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720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ind w:right="-119"/>
        <w:spacing w:after="0"/>
        <w:rPr>
          <w:sz w:val="20"/>
          <w:szCs w:val="20"/>
          <w:color w:val="auto"/>
        </w:rPr>
      </w:pPr>
      <w:r>
        <w:rPr>
          <w:rFonts w:ascii="Arial" w:cs="Arial" w:eastAsia="Arial" w:hAnsi="Arial"/>
          <w:sz w:val="26"/>
          <w:szCs w:val="26"/>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2720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6985"/>
                    </a:xfrm>
                    <a:prstGeom prst="rect">
                      <a:avLst/>
                    </a:prstGeom>
                    <a:noFill/>
                  </pic:spPr>
                </pic:pic>
              </a:graphicData>
            </a:graphic>
          </wp:anchor>
        </w:drawing>
      </w:r>
    </w:p>
    <w:p>
      <w:pPr>
        <w:spacing w:after="0" w:line="20" w:lineRule="exact"/>
        <w:rPr>
          <w:sz w:val="24"/>
          <w:szCs w:val="24"/>
          <w:color w:val="auto"/>
        </w:rPr>
      </w:pPr>
    </w:p>
    <w:p>
      <w:pPr>
        <w:jc w:val="center"/>
        <w:ind w:right="-119"/>
        <w:spacing w:after="0"/>
        <w:rPr>
          <w:sz w:val="20"/>
          <w:szCs w:val="20"/>
          <w:color w:val="auto"/>
        </w:rPr>
      </w:pPr>
      <w:r>
        <w:rPr>
          <w:rFonts w:ascii="Arial" w:cs="Arial" w:eastAsia="Arial" w:hAnsi="Arial"/>
          <w:sz w:val="26"/>
          <w:szCs w:val="26"/>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ind w:left="4440"/>
        <w:spacing w:after="0"/>
        <w:rPr>
          <w:sz w:val="20"/>
          <w:szCs w:val="20"/>
          <w:color w:val="auto"/>
        </w:rPr>
      </w:pPr>
      <w:r>
        <w:rPr>
          <w:rFonts w:ascii="Arial" w:cs="Arial" w:eastAsia="Arial" w:hAnsi="Arial"/>
          <w:sz w:val="13"/>
          <w:szCs w:val="13"/>
          <w:b w:val="1"/>
          <w:bCs w:val="1"/>
          <w:color w:val="auto"/>
        </w:rPr>
        <w:t>_______________________________________</w:t>
      </w:r>
    </w:p>
    <w:p>
      <w:pPr>
        <w:spacing w:after="0" w:line="199" w:lineRule="exact"/>
        <w:rPr>
          <w:sz w:val="24"/>
          <w:szCs w:val="24"/>
          <w:color w:val="auto"/>
        </w:rPr>
      </w:pPr>
    </w:p>
    <w:p>
      <w:pPr>
        <w:jc w:val="center"/>
        <w:ind w:right="-79"/>
        <w:spacing w:after="0"/>
        <w:rPr>
          <w:sz w:val="20"/>
          <w:szCs w:val="20"/>
          <w:color w:val="auto"/>
        </w:rPr>
      </w:pPr>
      <w:r>
        <w:rPr>
          <w:rFonts w:ascii="Arial" w:cs="Arial" w:eastAsia="Arial" w:hAnsi="Arial"/>
          <w:sz w:val="26"/>
          <w:szCs w:val="26"/>
          <w:b w:val="1"/>
          <w:bCs w:val="1"/>
          <w:color w:val="auto"/>
        </w:rPr>
        <w:t>FORM 10-Q</w:t>
      </w:r>
    </w:p>
    <w:p>
      <w:pPr>
        <w:spacing w:after="0" w:line="66" w:lineRule="exact"/>
        <w:rPr>
          <w:sz w:val="24"/>
          <w:szCs w:val="24"/>
          <w:color w:val="auto"/>
        </w:rPr>
      </w:pPr>
    </w:p>
    <w:p>
      <w:pPr>
        <w:ind w:left="4440"/>
        <w:spacing w:after="0"/>
        <w:rPr>
          <w:sz w:val="20"/>
          <w:szCs w:val="20"/>
          <w:color w:val="auto"/>
        </w:rPr>
      </w:pPr>
      <w:r>
        <w:rPr>
          <w:rFonts w:ascii="Arial" w:cs="Arial" w:eastAsia="Arial" w:hAnsi="Arial"/>
          <w:sz w:val="13"/>
          <w:szCs w:val="13"/>
          <w:b w:val="1"/>
          <w:bCs w:val="1"/>
          <w:color w:val="auto"/>
        </w:rPr>
        <w:t>_______________________________________</w:t>
      </w:r>
    </w:p>
    <w:p>
      <w:pPr>
        <w:spacing w:after="0" w:line="10" w:lineRule="exact"/>
        <w:rPr>
          <w:sz w:val="24"/>
          <w:szCs w:val="24"/>
          <w:color w:val="auto"/>
        </w:rPr>
      </w:pPr>
    </w:p>
    <w:p>
      <w:pPr>
        <w:spacing w:after="0"/>
        <w:rPr>
          <w:sz w:val="20"/>
          <w:szCs w:val="20"/>
          <w:color w:val="auto"/>
        </w:rPr>
      </w:pPr>
      <w:r>
        <w:rPr>
          <w:rFonts w:ascii="Arial" w:cs="Arial" w:eastAsia="Arial" w:hAnsi="Arial"/>
          <w:sz w:val="12"/>
          <w:szCs w:val="12"/>
          <w:color w:val="auto"/>
        </w:rPr>
        <w:t>(Mark One)</w:t>
      </w:r>
    </w:p>
    <w:p>
      <w:pPr>
        <w:spacing w:after="0" w:line="109" w:lineRule="exact"/>
        <w:rPr>
          <w:sz w:val="24"/>
          <w:szCs w:val="24"/>
          <w:color w:val="auto"/>
        </w:rPr>
      </w:pPr>
    </w:p>
    <w:p>
      <w:pPr>
        <w:ind w:left="720" w:hanging="409"/>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54" w:lineRule="exact"/>
        <w:rPr>
          <w:sz w:val="24"/>
          <w:szCs w:val="24"/>
          <w:color w:val="auto"/>
        </w:rPr>
      </w:pPr>
    </w:p>
    <w:p>
      <w:pPr>
        <w:jc w:val="center"/>
        <w:ind w:right="-119"/>
        <w:spacing w:after="0"/>
        <w:rPr>
          <w:sz w:val="20"/>
          <w:szCs w:val="20"/>
          <w:color w:val="auto"/>
        </w:rPr>
      </w:pPr>
      <w:r>
        <w:rPr>
          <w:rFonts w:ascii="Arial" w:cs="Arial" w:eastAsia="Arial" w:hAnsi="Arial"/>
          <w:sz w:val="15"/>
          <w:szCs w:val="15"/>
          <w:b w:val="1"/>
          <w:bCs w:val="1"/>
          <w:color w:val="auto"/>
        </w:rPr>
        <w:t>For the quarterly period ended March 31, 2017</w:t>
      </w:r>
    </w:p>
    <w:p>
      <w:pPr>
        <w:spacing w:after="0" w:line="70" w:lineRule="exact"/>
        <w:rPr>
          <w:sz w:val="24"/>
          <w:szCs w:val="24"/>
          <w:color w:val="auto"/>
        </w:rPr>
      </w:pPr>
    </w:p>
    <w:p>
      <w:pPr>
        <w:jc w:val="center"/>
        <w:ind w:right="-119"/>
        <w:spacing w:after="0"/>
        <w:rPr>
          <w:sz w:val="20"/>
          <w:szCs w:val="20"/>
          <w:color w:val="auto"/>
        </w:rPr>
      </w:pPr>
      <w:r>
        <w:rPr>
          <w:rFonts w:ascii="Arial" w:cs="Arial" w:eastAsia="Arial" w:hAnsi="Arial"/>
          <w:sz w:val="15"/>
          <w:szCs w:val="15"/>
          <w:b w:val="1"/>
          <w:bCs w:val="1"/>
          <w:color w:val="auto"/>
        </w:rPr>
        <w:t>or</w:t>
      </w:r>
    </w:p>
    <w:p>
      <w:pPr>
        <w:spacing w:after="0" w:line="139" w:lineRule="exact"/>
        <w:rPr>
          <w:sz w:val="24"/>
          <w:szCs w:val="24"/>
          <w:color w:val="auto"/>
        </w:rPr>
      </w:pPr>
    </w:p>
    <w:p>
      <w:pPr>
        <w:ind w:left="720" w:hanging="431"/>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 (d) of the Securities Exchange Act of 1934</w:t>
      </w:r>
    </w:p>
    <w:p>
      <w:pPr>
        <w:spacing w:after="0" w:line="66" w:lineRule="exact"/>
        <w:rPr>
          <w:sz w:val="24"/>
          <w:szCs w:val="24"/>
          <w:color w:val="auto"/>
        </w:rPr>
      </w:pPr>
    </w:p>
    <w:p>
      <w:pPr>
        <w:ind w:left="4260"/>
        <w:spacing w:after="0"/>
        <w:tabs>
          <w:tab w:leader="none" w:pos="662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3937000</wp:posOffset>
            </wp:positionH>
            <wp:positionV relativeFrom="paragraph">
              <wp:posOffset>-8890</wp:posOffset>
            </wp:positionV>
            <wp:extent cx="63754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7540" cy="6985"/>
                    </a:xfrm>
                    <a:prstGeom prst="rect">
                      <a:avLst/>
                    </a:prstGeom>
                    <a:noFill/>
                  </pic:spPr>
                </pic:pic>
              </a:graphicData>
            </a:graphic>
          </wp:anchor>
        </w:drawing>
      </w:r>
    </w:p>
    <w:tbl>
      <w:tblPr>
        <w:tblLayout w:type="fixed"/>
        <w:tblInd w:w="2080" w:type="dxa"/>
        <w:tblCellMar>
          <w:top w:w="0" w:type="dxa"/>
          <w:left w:w="0" w:type="dxa"/>
          <w:bottom w:w="0" w:type="dxa"/>
          <w:right w:w="0" w:type="dxa"/>
        </w:tblCellMar>
      </w:tblPr>
      <w:tr>
        <w:trPr>
          <w:trHeight w:val="172"/>
        </w:trPr>
        <w:tc>
          <w:tcPr>
            <w:tcW w:w="1280" w:type="dxa"/>
            <w:vAlign w:val="bottom"/>
          </w:tcPr>
          <w:p>
            <w:pPr>
              <w:spacing w:after="0"/>
              <w:rPr>
                <w:sz w:val="14"/>
                <w:szCs w:val="14"/>
                <w:color w:val="auto"/>
              </w:rPr>
            </w:pPr>
          </w:p>
        </w:tc>
        <w:tc>
          <w:tcPr>
            <w:tcW w:w="5800" w:type="dxa"/>
            <w:vAlign w:val="bottom"/>
          </w:tcPr>
          <w:p>
            <w:pPr>
              <w:jc w:val="center"/>
              <w:ind w:right="984"/>
              <w:spacing w:after="0"/>
              <w:rPr>
                <w:sz w:val="20"/>
                <w:szCs w:val="20"/>
                <w:color w:val="auto"/>
              </w:rPr>
            </w:pPr>
            <w:r>
              <w:rPr>
                <w:rFonts w:ascii="Arial" w:cs="Arial" w:eastAsia="Arial" w:hAnsi="Arial"/>
                <w:sz w:val="15"/>
                <w:szCs w:val="15"/>
                <w:b w:val="1"/>
                <w:bCs w:val="1"/>
                <w:color w:val="auto"/>
                <w:w w:val="87"/>
              </w:rPr>
              <w:t>Commission File No. 1-15461</w:t>
            </w:r>
          </w:p>
        </w:tc>
      </w:tr>
      <w:tr>
        <w:trPr>
          <w:trHeight w:val="170"/>
        </w:trPr>
        <w:tc>
          <w:tcPr>
            <w:tcW w:w="1280" w:type="dxa"/>
            <w:vAlign w:val="bottom"/>
          </w:tcPr>
          <w:p>
            <w:pPr>
              <w:spacing w:after="0"/>
              <w:rPr>
                <w:sz w:val="14"/>
                <w:szCs w:val="14"/>
                <w:color w:val="auto"/>
              </w:rPr>
            </w:pPr>
          </w:p>
        </w:tc>
        <w:tc>
          <w:tcPr>
            <w:tcW w:w="5800" w:type="dxa"/>
            <w:vAlign w:val="bottom"/>
          </w:tcPr>
          <w:p>
            <w:pPr>
              <w:jc w:val="center"/>
              <w:ind w:right="984"/>
              <w:spacing w:after="0"/>
              <w:rPr>
                <w:sz w:val="20"/>
                <w:szCs w:val="20"/>
                <w:color w:val="auto"/>
              </w:rPr>
            </w:pPr>
            <w:r>
              <w:rPr>
                <w:rFonts w:ascii="Arial" w:cs="Arial" w:eastAsia="Arial" w:hAnsi="Arial"/>
                <w:sz w:val="13"/>
                <w:szCs w:val="13"/>
                <w:b w:val="1"/>
                <w:bCs w:val="1"/>
                <w:color w:val="auto"/>
                <w:w w:val="91"/>
              </w:rPr>
              <w:t>__________________________________________</w:t>
            </w:r>
          </w:p>
        </w:tc>
      </w:tr>
      <w:tr>
        <w:trPr>
          <w:trHeight w:val="410"/>
        </w:trPr>
        <w:tc>
          <w:tcPr>
            <w:tcW w:w="1280" w:type="dxa"/>
            <w:vAlign w:val="bottom"/>
          </w:tcPr>
          <w:p>
            <w:pPr>
              <w:spacing w:after="0"/>
              <w:rPr>
                <w:sz w:val="24"/>
                <w:szCs w:val="24"/>
                <w:color w:val="auto"/>
              </w:rPr>
            </w:pPr>
          </w:p>
        </w:tc>
        <w:tc>
          <w:tcPr>
            <w:tcW w:w="5800" w:type="dxa"/>
            <w:vAlign w:val="bottom"/>
          </w:tcPr>
          <w:p>
            <w:pPr>
              <w:jc w:val="center"/>
              <w:ind w:right="984"/>
              <w:spacing w:after="0"/>
              <w:rPr>
                <w:sz w:val="20"/>
                <w:szCs w:val="20"/>
                <w:color w:val="auto"/>
              </w:rPr>
            </w:pPr>
            <w:r>
              <w:rPr>
                <w:rFonts w:ascii="Arial" w:cs="Arial" w:eastAsia="Arial" w:hAnsi="Arial"/>
                <w:sz w:val="32"/>
                <w:szCs w:val="32"/>
                <w:b w:val="1"/>
                <w:bCs w:val="1"/>
                <w:color w:val="auto"/>
              </w:rPr>
              <w:t>MATRIX SERVICE COMPANY</w:t>
            </w:r>
          </w:p>
        </w:tc>
      </w:tr>
      <w:tr>
        <w:trPr>
          <w:trHeight w:val="180"/>
        </w:trPr>
        <w:tc>
          <w:tcPr>
            <w:tcW w:w="1280" w:type="dxa"/>
            <w:vAlign w:val="bottom"/>
          </w:tcPr>
          <w:p>
            <w:pPr>
              <w:spacing w:after="0"/>
              <w:rPr>
                <w:sz w:val="15"/>
                <w:szCs w:val="15"/>
                <w:color w:val="auto"/>
              </w:rPr>
            </w:pPr>
          </w:p>
        </w:tc>
        <w:tc>
          <w:tcPr>
            <w:tcW w:w="5800" w:type="dxa"/>
            <w:vAlign w:val="bottom"/>
          </w:tcPr>
          <w:p>
            <w:pPr>
              <w:jc w:val="center"/>
              <w:ind w:right="964"/>
              <w:spacing w:after="0"/>
              <w:rPr>
                <w:sz w:val="20"/>
                <w:szCs w:val="20"/>
                <w:color w:val="auto"/>
              </w:rPr>
            </w:pPr>
            <w:r>
              <w:rPr>
                <w:rFonts w:ascii="Arial" w:cs="Arial" w:eastAsia="Arial" w:hAnsi="Arial"/>
                <w:sz w:val="15"/>
                <w:szCs w:val="15"/>
                <w:b w:val="1"/>
                <w:bCs w:val="1"/>
                <w:color w:val="auto"/>
                <w:w w:val="87"/>
              </w:rPr>
              <w:t>(Exact name of registrant as specified in its charter)</w:t>
            </w:r>
          </w:p>
        </w:tc>
      </w:tr>
      <w:tr>
        <w:trPr>
          <w:trHeight w:val="170"/>
        </w:trPr>
        <w:tc>
          <w:tcPr>
            <w:tcW w:w="1280" w:type="dxa"/>
            <w:vAlign w:val="bottom"/>
          </w:tcPr>
          <w:p>
            <w:pPr>
              <w:spacing w:after="0"/>
              <w:rPr>
                <w:sz w:val="14"/>
                <w:szCs w:val="14"/>
                <w:color w:val="auto"/>
              </w:rPr>
            </w:pPr>
          </w:p>
        </w:tc>
        <w:tc>
          <w:tcPr>
            <w:tcW w:w="5800" w:type="dxa"/>
            <w:vAlign w:val="bottom"/>
          </w:tcPr>
          <w:p>
            <w:pPr>
              <w:jc w:val="center"/>
              <w:ind w:right="984"/>
              <w:spacing w:after="0"/>
              <w:rPr>
                <w:sz w:val="20"/>
                <w:szCs w:val="20"/>
                <w:color w:val="auto"/>
              </w:rPr>
            </w:pPr>
            <w:r>
              <w:rPr>
                <w:rFonts w:ascii="Arial" w:cs="Arial" w:eastAsia="Arial" w:hAnsi="Arial"/>
                <w:sz w:val="13"/>
                <w:szCs w:val="13"/>
                <w:b w:val="1"/>
                <w:bCs w:val="1"/>
                <w:color w:val="auto"/>
                <w:w w:val="91"/>
              </w:rPr>
              <w:t>__________________________________________</w:t>
            </w:r>
          </w:p>
        </w:tc>
      </w:tr>
      <w:tr>
        <w:trPr>
          <w:trHeight w:val="304"/>
        </w:trPr>
        <w:tc>
          <w:tcPr>
            <w:tcW w:w="1280" w:type="dxa"/>
            <w:vAlign w:val="bottom"/>
          </w:tcPr>
          <w:p>
            <w:pPr>
              <w:jc w:val="center"/>
              <w:ind w:right="34"/>
              <w:spacing w:after="0"/>
              <w:rPr>
                <w:sz w:val="20"/>
                <w:szCs w:val="20"/>
                <w:color w:val="auto"/>
              </w:rPr>
            </w:pPr>
            <w:r>
              <w:rPr>
                <w:rFonts w:ascii="Arial" w:cs="Arial" w:eastAsia="Arial" w:hAnsi="Arial"/>
                <w:sz w:val="15"/>
                <w:szCs w:val="15"/>
                <w:b w:val="1"/>
                <w:bCs w:val="1"/>
                <w:color w:val="auto"/>
                <w:w w:val="94"/>
              </w:rPr>
              <w:t>DELAWARE</w:t>
            </w:r>
          </w:p>
        </w:tc>
        <w:tc>
          <w:tcPr>
            <w:tcW w:w="5800" w:type="dxa"/>
            <w:vAlign w:val="bottom"/>
          </w:tcPr>
          <w:p>
            <w:pPr>
              <w:jc w:val="right"/>
              <w:ind w:right="464"/>
              <w:spacing w:after="0"/>
              <w:rPr>
                <w:sz w:val="20"/>
                <w:szCs w:val="20"/>
                <w:color w:val="auto"/>
              </w:rPr>
            </w:pPr>
            <w:r>
              <w:rPr>
                <w:rFonts w:ascii="Arial" w:cs="Arial" w:eastAsia="Arial" w:hAnsi="Arial"/>
                <w:sz w:val="15"/>
                <w:szCs w:val="15"/>
                <w:b w:val="1"/>
                <w:bCs w:val="1"/>
                <w:color w:val="auto"/>
              </w:rPr>
              <w:t>73-1352174</w:t>
            </w:r>
          </w:p>
        </w:tc>
      </w:tr>
      <w:tr>
        <w:trPr>
          <w:trHeight w:val="177"/>
        </w:trPr>
        <w:tc>
          <w:tcPr>
            <w:tcW w:w="1280" w:type="dxa"/>
            <w:vAlign w:val="bottom"/>
          </w:tcPr>
          <w:p>
            <w:pPr>
              <w:jc w:val="center"/>
              <w:ind w:right="34"/>
              <w:spacing w:after="0"/>
              <w:rPr>
                <w:sz w:val="20"/>
                <w:szCs w:val="20"/>
                <w:color w:val="auto"/>
              </w:rPr>
            </w:pPr>
            <w:r>
              <w:rPr>
                <w:rFonts w:ascii="Arial" w:cs="Arial" w:eastAsia="Arial" w:hAnsi="Arial"/>
                <w:sz w:val="12"/>
                <w:szCs w:val="12"/>
                <w:b w:val="1"/>
                <w:bCs w:val="1"/>
                <w:color w:val="auto"/>
                <w:w w:val="88"/>
              </w:rPr>
              <w:t>(State of incorporation)</w:t>
            </w:r>
          </w:p>
        </w:tc>
        <w:tc>
          <w:tcPr>
            <w:tcW w:w="5800" w:type="dxa"/>
            <w:vAlign w:val="bottom"/>
          </w:tcPr>
          <w:p>
            <w:pPr>
              <w:jc w:val="center"/>
              <w:ind w:left="3924"/>
              <w:spacing w:after="0"/>
              <w:rPr>
                <w:sz w:val="20"/>
                <w:szCs w:val="20"/>
                <w:color w:val="auto"/>
              </w:rPr>
            </w:pPr>
            <w:r>
              <w:rPr>
                <w:rFonts w:ascii="Arial" w:cs="Arial" w:eastAsia="Arial" w:hAnsi="Arial"/>
                <w:sz w:val="12"/>
                <w:szCs w:val="12"/>
                <w:b w:val="1"/>
                <w:bCs w:val="1"/>
                <w:color w:val="auto"/>
                <w:w w:val="91"/>
              </w:rPr>
              <w:t>(I.R.S. Employer Identification No.)</w:t>
            </w:r>
          </w:p>
        </w:tc>
      </w:tr>
      <w:tr>
        <w:trPr>
          <w:trHeight w:val="213"/>
        </w:trPr>
        <w:tc>
          <w:tcPr>
            <w:tcW w:w="1280" w:type="dxa"/>
            <w:vAlign w:val="bottom"/>
          </w:tcPr>
          <w:p>
            <w:pPr>
              <w:spacing w:after="0"/>
              <w:rPr>
                <w:sz w:val="18"/>
                <w:szCs w:val="18"/>
                <w:color w:val="auto"/>
              </w:rPr>
            </w:pPr>
          </w:p>
        </w:tc>
        <w:tc>
          <w:tcPr>
            <w:tcW w:w="5800" w:type="dxa"/>
            <w:vAlign w:val="bottom"/>
          </w:tcPr>
          <w:p>
            <w:pPr>
              <w:jc w:val="center"/>
              <w:ind w:right="984"/>
              <w:spacing w:after="0"/>
              <w:rPr>
                <w:sz w:val="20"/>
                <w:szCs w:val="20"/>
                <w:color w:val="auto"/>
              </w:rPr>
            </w:pPr>
            <w:r>
              <w:rPr>
                <w:rFonts w:ascii="Arial" w:cs="Arial" w:eastAsia="Arial" w:hAnsi="Arial"/>
                <w:sz w:val="15"/>
                <w:szCs w:val="15"/>
                <w:b w:val="1"/>
                <w:bCs w:val="1"/>
                <w:color w:val="auto"/>
                <w:w w:val="88"/>
              </w:rPr>
              <w:t>5100 East Skelly Drive, Suite 500, Tulsa, Oklahoma 74135</w:t>
            </w:r>
          </w:p>
        </w:tc>
      </w:tr>
      <w:tr>
        <w:trPr>
          <w:trHeight w:val="151"/>
        </w:trPr>
        <w:tc>
          <w:tcPr>
            <w:tcW w:w="1280" w:type="dxa"/>
            <w:vAlign w:val="bottom"/>
          </w:tcPr>
          <w:p>
            <w:pPr>
              <w:spacing w:after="0"/>
              <w:rPr>
                <w:sz w:val="13"/>
                <w:szCs w:val="13"/>
                <w:color w:val="auto"/>
              </w:rPr>
            </w:pPr>
          </w:p>
        </w:tc>
        <w:tc>
          <w:tcPr>
            <w:tcW w:w="5800" w:type="dxa"/>
            <w:vAlign w:val="bottom"/>
          </w:tcPr>
          <w:p>
            <w:pPr>
              <w:jc w:val="center"/>
              <w:ind w:right="964"/>
              <w:spacing w:after="0"/>
              <w:rPr>
                <w:sz w:val="20"/>
                <w:szCs w:val="20"/>
                <w:color w:val="auto"/>
              </w:rPr>
            </w:pPr>
            <w:r>
              <w:rPr>
                <w:rFonts w:ascii="Arial" w:cs="Arial" w:eastAsia="Arial" w:hAnsi="Arial"/>
                <w:sz w:val="12"/>
                <w:szCs w:val="12"/>
                <w:b w:val="1"/>
                <w:bCs w:val="1"/>
                <w:color w:val="auto"/>
                <w:w w:val="86"/>
              </w:rPr>
              <w:t>(Address of principal executive offices and zip code)</w:t>
            </w:r>
          </w:p>
        </w:tc>
      </w:tr>
      <w:tr>
        <w:trPr>
          <w:trHeight w:val="219"/>
        </w:trPr>
        <w:tc>
          <w:tcPr>
            <w:tcW w:w="1280" w:type="dxa"/>
            <w:vAlign w:val="bottom"/>
          </w:tcPr>
          <w:p>
            <w:pPr>
              <w:spacing w:after="0"/>
              <w:rPr>
                <w:sz w:val="19"/>
                <w:szCs w:val="19"/>
                <w:color w:val="auto"/>
              </w:rPr>
            </w:pPr>
          </w:p>
        </w:tc>
        <w:tc>
          <w:tcPr>
            <w:tcW w:w="5800" w:type="dxa"/>
            <w:vAlign w:val="bottom"/>
          </w:tcPr>
          <w:p>
            <w:pPr>
              <w:jc w:val="center"/>
              <w:ind w:right="984"/>
              <w:spacing w:after="0"/>
              <w:rPr>
                <w:sz w:val="20"/>
                <w:szCs w:val="20"/>
                <w:color w:val="auto"/>
              </w:rPr>
            </w:pPr>
            <w:r>
              <w:rPr>
                <w:rFonts w:ascii="Arial" w:cs="Arial" w:eastAsia="Arial" w:hAnsi="Arial"/>
                <w:sz w:val="15"/>
                <w:szCs w:val="15"/>
                <w:b w:val="1"/>
                <w:bCs w:val="1"/>
                <w:color w:val="auto"/>
                <w:w w:val="87"/>
              </w:rPr>
              <w:t>Registrant’s telephone number, including area code: (918) 838-8822</w:t>
            </w:r>
          </w:p>
        </w:tc>
      </w:tr>
      <w:tr>
        <w:trPr>
          <w:trHeight w:val="203"/>
        </w:trPr>
        <w:tc>
          <w:tcPr>
            <w:tcW w:w="1280" w:type="dxa"/>
            <w:vAlign w:val="bottom"/>
          </w:tcPr>
          <w:p>
            <w:pPr>
              <w:spacing w:after="0"/>
              <w:rPr>
                <w:sz w:val="17"/>
                <w:szCs w:val="17"/>
                <w:color w:val="auto"/>
              </w:rPr>
            </w:pPr>
          </w:p>
        </w:tc>
        <w:tc>
          <w:tcPr>
            <w:tcW w:w="5800" w:type="dxa"/>
            <w:vAlign w:val="bottom"/>
          </w:tcPr>
          <w:p>
            <w:pPr>
              <w:jc w:val="center"/>
              <w:ind w:right="984"/>
              <w:spacing w:after="0"/>
              <w:rPr>
                <w:sz w:val="20"/>
                <w:szCs w:val="20"/>
                <w:color w:val="auto"/>
              </w:rPr>
            </w:pPr>
            <w:r>
              <w:rPr>
                <w:rFonts w:ascii="Arial" w:cs="Arial" w:eastAsia="Arial" w:hAnsi="Arial"/>
                <w:sz w:val="15"/>
                <w:szCs w:val="15"/>
                <w:b w:val="1"/>
                <w:bCs w:val="1"/>
                <w:color w:val="auto"/>
                <w:w w:val="89"/>
              </w:rPr>
              <w:t>Not Applicable</w:t>
            </w:r>
          </w:p>
        </w:tc>
      </w:tr>
      <w:tr>
        <w:trPr>
          <w:trHeight w:val="139"/>
        </w:trPr>
        <w:tc>
          <w:tcPr>
            <w:tcW w:w="1280" w:type="dxa"/>
            <w:vAlign w:val="bottom"/>
          </w:tcPr>
          <w:p>
            <w:pPr>
              <w:spacing w:after="0"/>
              <w:rPr>
                <w:sz w:val="12"/>
                <w:szCs w:val="12"/>
                <w:color w:val="auto"/>
              </w:rPr>
            </w:pPr>
          </w:p>
        </w:tc>
        <w:tc>
          <w:tcPr>
            <w:tcW w:w="5800" w:type="dxa"/>
            <w:vAlign w:val="bottom"/>
          </w:tcPr>
          <w:p>
            <w:pPr>
              <w:jc w:val="center"/>
              <w:ind w:right="964"/>
              <w:spacing w:after="0"/>
              <w:rPr>
                <w:sz w:val="20"/>
                <w:szCs w:val="20"/>
                <w:color w:val="auto"/>
              </w:rPr>
            </w:pPr>
            <w:r>
              <w:rPr>
                <w:rFonts w:ascii="Arial" w:cs="Arial" w:eastAsia="Arial" w:hAnsi="Arial"/>
                <w:sz w:val="12"/>
                <w:szCs w:val="12"/>
                <w:b w:val="1"/>
                <w:bCs w:val="1"/>
                <w:color w:val="auto"/>
                <w:w w:val="87"/>
              </w:rPr>
              <w:t>(Former name, former address and former fiscal year, if changed since last report)</w:t>
            </w:r>
          </w:p>
        </w:tc>
      </w:tr>
      <w:tr>
        <w:trPr>
          <w:trHeight w:val="187"/>
        </w:trPr>
        <w:tc>
          <w:tcPr>
            <w:tcW w:w="1280" w:type="dxa"/>
            <w:vAlign w:val="bottom"/>
          </w:tcPr>
          <w:p>
            <w:pPr>
              <w:spacing w:after="0"/>
              <w:rPr>
                <w:sz w:val="16"/>
                <w:szCs w:val="16"/>
                <w:color w:val="auto"/>
              </w:rPr>
            </w:pPr>
          </w:p>
        </w:tc>
        <w:tc>
          <w:tcPr>
            <w:tcW w:w="5800" w:type="dxa"/>
            <w:vAlign w:val="bottom"/>
          </w:tcPr>
          <w:p>
            <w:pPr>
              <w:jc w:val="center"/>
              <w:ind w:right="1004"/>
              <w:spacing w:after="0"/>
              <w:rPr>
                <w:sz w:val="20"/>
                <w:szCs w:val="20"/>
                <w:color w:val="auto"/>
              </w:rPr>
            </w:pPr>
            <w:r>
              <w:rPr>
                <w:rFonts w:ascii="Arial" w:cs="Arial" w:eastAsia="Arial" w:hAnsi="Arial"/>
                <w:sz w:val="15"/>
                <w:szCs w:val="15"/>
                <w:color w:val="auto"/>
                <w:w w:val="87"/>
              </w:rPr>
              <w:t>____________________________________</w:t>
            </w:r>
          </w:p>
        </w:tc>
      </w:tr>
    </w:tbl>
    <w:p>
      <w:pPr>
        <w:spacing w:after="0" w:line="56" w:lineRule="exact"/>
        <w:rPr>
          <w:sz w:val="24"/>
          <w:szCs w:val="24"/>
          <w:color w:val="auto"/>
        </w:rPr>
      </w:pPr>
    </w:p>
    <w:p>
      <w:pPr>
        <w:ind w:right="100"/>
        <w:spacing w:after="0" w:line="19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7" w:lineRule="exact"/>
        <w:rPr>
          <w:sz w:val="24"/>
          <w:szCs w:val="24"/>
          <w:color w:val="auto"/>
        </w:rPr>
      </w:pPr>
    </w:p>
    <w:p>
      <w:pPr>
        <w:spacing w:after="0" w:line="190"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 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7" w:lineRule="exact"/>
        <w:rPr>
          <w:sz w:val="24"/>
          <w:szCs w:val="24"/>
          <w:color w:val="auto"/>
        </w:rPr>
      </w:pPr>
    </w:p>
    <w:p>
      <w:pPr>
        <w:ind w:right="40"/>
        <w:spacing w:after="0" w:line="26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77"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22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460" w:type="dxa"/>
            <w:vAlign w:val="bottom"/>
          </w:tcPr>
          <w:p>
            <w:pPr>
              <w:ind w:left="700"/>
              <w:spacing w:after="0" w:line="151" w:lineRule="exact"/>
              <w:rPr>
                <w:sz w:val="20"/>
                <w:szCs w:val="20"/>
                <w:color w:val="auto"/>
              </w:rPr>
            </w:pPr>
            <w:r>
              <w:rPr>
                <w:rFonts w:ascii="MS PGothic" w:cs="MS PGothic" w:eastAsia="MS PGothic" w:hAnsi="MS PGothic"/>
                <w:sz w:val="15"/>
                <w:szCs w:val="15"/>
                <w:color w:val="auto"/>
              </w:rPr>
              <w:t>☐</w:t>
            </w:r>
          </w:p>
        </w:tc>
        <w:tc>
          <w:tcPr>
            <w:tcW w:w="4800" w:type="dxa"/>
            <w:vAlign w:val="bottom"/>
          </w:tcPr>
          <w:p>
            <w:pPr>
              <w:ind w:left="2620"/>
              <w:spacing w:after="0"/>
              <w:rPr>
                <w:sz w:val="20"/>
                <w:szCs w:val="20"/>
                <w:color w:val="auto"/>
              </w:rPr>
            </w:pPr>
            <w:r>
              <w:rPr>
                <w:rFonts w:ascii="Arial" w:cs="Arial" w:eastAsia="Arial" w:hAnsi="Arial"/>
                <w:sz w:val="15"/>
                <w:szCs w:val="15"/>
                <w:color w:val="auto"/>
              </w:rPr>
              <w:t>Accelerated filer</w:t>
            </w:r>
          </w:p>
        </w:tc>
        <w:tc>
          <w:tcPr>
            <w:tcW w:w="700" w:type="dxa"/>
            <w:vAlign w:val="bottom"/>
          </w:tcPr>
          <w:p>
            <w:pPr>
              <w:ind w:left="5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320"/>
        </w:trPr>
        <w:tc>
          <w:tcPr>
            <w:tcW w:w="2280" w:type="dxa"/>
            <w:vAlign w:val="bottom"/>
          </w:tcPr>
          <w:p>
            <w:pPr>
              <w:spacing w:after="0"/>
              <w:rPr>
                <w:sz w:val="20"/>
                <w:szCs w:val="20"/>
                <w:color w:val="auto"/>
              </w:rPr>
            </w:pPr>
            <w:r>
              <w:rPr>
                <w:rFonts w:ascii="Arial" w:cs="Arial" w:eastAsia="Arial" w:hAnsi="Arial"/>
                <w:sz w:val="15"/>
                <w:szCs w:val="15"/>
                <w:color w:val="auto"/>
              </w:rPr>
              <w:t>Non-accelerated filer</w:t>
            </w:r>
          </w:p>
        </w:tc>
        <w:tc>
          <w:tcPr>
            <w:tcW w:w="3460" w:type="dxa"/>
            <w:vAlign w:val="bottom"/>
          </w:tcPr>
          <w:p>
            <w:pPr>
              <w:ind w:left="700"/>
              <w:spacing w:after="0"/>
              <w:rPr>
                <w:sz w:val="20"/>
                <w:szCs w:val="20"/>
                <w:color w:val="auto"/>
              </w:rPr>
            </w:pPr>
            <w:r>
              <w:rPr>
                <w:rFonts w:ascii="Arial" w:cs="Arial" w:eastAsia="Arial" w:hAnsi="Arial"/>
                <w:sz w:val="15"/>
                <w:szCs w:val="15"/>
                <w:color w:val="auto"/>
              </w:rPr>
              <w:t>o</w:t>
            </w:r>
          </w:p>
        </w:tc>
        <w:tc>
          <w:tcPr>
            <w:tcW w:w="4800" w:type="dxa"/>
            <w:vAlign w:val="bottom"/>
          </w:tcPr>
          <w:p>
            <w:pPr>
              <w:ind w:left="2620"/>
              <w:spacing w:after="0"/>
              <w:rPr>
                <w:sz w:val="20"/>
                <w:szCs w:val="20"/>
                <w:color w:val="auto"/>
              </w:rPr>
            </w:pPr>
            <w:r>
              <w:rPr>
                <w:rFonts w:ascii="Arial" w:cs="Arial" w:eastAsia="Arial" w:hAnsi="Arial"/>
                <w:sz w:val="15"/>
                <w:szCs w:val="15"/>
                <w:color w:val="auto"/>
              </w:rPr>
              <w:t>Smaller reporting company</w:t>
            </w:r>
          </w:p>
        </w:tc>
        <w:tc>
          <w:tcPr>
            <w:tcW w:w="700" w:type="dxa"/>
            <w:vAlign w:val="bottom"/>
          </w:tcPr>
          <w:p>
            <w:pPr>
              <w:ind w:left="5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304"/>
        </w:trPr>
        <w:tc>
          <w:tcPr>
            <w:tcW w:w="228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460" w:type="dxa"/>
            <w:vAlign w:val="bottom"/>
          </w:tcPr>
          <w:p>
            <w:pPr>
              <w:ind w:left="700"/>
              <w:spacing w:after="0"/>
              <w:rPr>
                <w:sz w:val="20"/>
                <w:szCs w:val="20"/>
                <w:color w:val="auto"/>
              </w:rPr>
            </w:pPr>
            <w:r>
              <w:rPr>
                <w:rFonts w:ascii="Arial" w:cs="Arial" w:eastAsia="Arial" w:hAnsi="Arial"/>
                <w:sz w:val="15"/>
                <w:szCs w:val="15"/>
                <w:color w:val="auto"/>
              </w:rPr>
              <w:t>o</w:t>
            </w:r>
          </w:p>
        </w:tc>
        <w:tc>
          <w:tcPr>
            <w:tcW w:w="48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144" w:lineRule="exact"/>
        <w:rPr>
          <w:sz w:val="24"/>
          <w:szCs w:val="24"/>
          <w:color w:val="auto"/>
        </w:rPr>
      </w:pPr>
    </w:p>
    <w:p>
      <w:pPr>
        <w:ind w:right="460"/>
        <w:spacing w:after="0" w:line="265"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77" w:lineRule="exact"/>
        <w:rPr>
          <w:sz w:val="24"/>
          <w:szCs w:val="24"/>
          <w:color w:val="auto"/>
        </w:rPr>
      </w:pPr>
    </w:p>
    <w:p>
      <w:pPr>
        <w:spacing w:after="0" w:line="173" w:lineRule="exact"/>
        <w:tabs>
          <w:tab w:leader="none" w:pos="6800" w:val="left"/>
          <w:tab w:leader="none" w:pos="73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164" w:lineRule="exact"/>
        <w:rPr>
          <w:sz w:val="24"/>
          <w:szCs w:val="24"/>
          <w:color w:val="auto"/>
        </w:rPr>
      </w:pPr>
    </w:p>
    <w:p>
      <w:pPr>
        <w:spacing w:after="0"/>
        <w:rPr>
          <w:sz w:val="20"/>
          <w:szCs w:val="20"/>
          <w:color w:val="auto"/>
        </w:rPr>
      </w:pPr>
      <w:r>
        <w:rPr>
          <w:rFonts w:ascii="Arial" w:cs="Arial" w:eastAsia="Arial" w:hAnsi="Arial"/>
          <w:sz w:val="15"/>
          <w:szCs w:val="15"/>
          <w:color w:val="auto"/>
        </w:rPr>
        <w:t>As of May 8, 2017 there were 27,888,217 shares of the Company’s common stock, $0.01 par value per share, issued and 26,600,094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7202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wp:posOffset>
            </wp:positionV>
            <wp:extent cx="727202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6985"/>
                    </a:xfrm>
                    <a:prstGeom prst="rect">
                      <a:avLst/>
                    </a:prstGeom>
                    <a:noFill/>
                  </pic:spPr>
                </pic:pic>
              </a:graphicData>
            </a:graphic>
          </wp:anchor>
        </w:drawing>
      </w:r>
    </w:p>
    <w:p>
      <w:pPr>
        <w:sectPr>
          <w:pgSz w:w="11900" w:h="16838" w:orient="portrait"/>
          <w:cols w:equalWidth="0" w:num="1">
            <w:col w:w="11360"/>
          </w:cols>
          <w:pgMar w:left="220" w:top="393" w:right="319" w:bottom="1440" w:gutter="0" w:footer="0" w:header="0"/>
        </w:sectPr>
      </w:pPr>
    </w:p>
    <w:bookmarkStart w:id="1" w:name="page2"/>
    <w:bookmarkEnd w:id="1"/>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351" w:lineRule="exact"/>
        <w:rPr>
          <w:sz w:val="20"/>
          <w:szCs w:val="20"/>
          <w:color w:val="auto"/>
        </w:rPr>
      </w:pPr>
    </w:p>
    <w:p>
      <w:pPr>
        <w:jc w:val="center"/>
        <w:ind w:right="-319"/>
        <w:spacing w:after="0"/>
        <w:rPr>
          <w:sz w:val="20"/>
          <w:szCs w:val="20"/>
          <w:color w:val="auto"/>
        </w:rPr>
      </w:pPr>
      <w:r>
        <w:rPr>
          <w:rFonts w:ascii="Arial" w:cs="Arial" w:eastAsia="Arial" w:hAnsi="Arial"/>
          <w:sz w:val="15"/>
          <w:szCs w:val="15"/>
          <w:b w:val="1"/>
          <w:bCs w:val="1"/>
          <w:color w:val="auto"/>
        </w:rPr>
        <w:t>TABLE OF CONTENTS</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20" w:type="dxa"/>
            <w:vAlign w:val="bottom"/>
            <w:gridSpan w:val="3"/>
          </w:tcPr>
          <w:p>
            <w:pPr>
              <w:ind w:left="1100"/>
              <w:spacing w:after="0"/>
              <w:rPr>
                <w:sz w:val="20"/>
                <w:szCs w:val="20"/>
                <w:color w:val="auto"/>
              </w:rPr>
            </w:pPr>
            <w:r>
              <w:rPr>
                <w:rFonts w:ascii="Arial" w:cs="Arial" w:eastAsia="Arial" w:hAnsi="Arial"/>
                <w:sz w:val="12"/>
                <w:szCs w:val="12"/>
                <w:b w:val="1"/>
                <w:bCs w:val="1"/>
                <w:color w:val="auto"/>
                <w:w w:val="88"/>
              </w:rPr>
              <w:t>PAGE</w:t>
            </w:r>
          </w:p>
        </w:tc>
      </w:tr>
      <w:tr>
        <w:trPr>
          <w:trHeight w:val="175"/>
        </w:trPr>
        <w:tc>
          <w:tcPr>
            <w:tcW w:w="1020" w:type="dxa"/>
            <w:vAlign w:val="bottom"/>
            <w:gridSpan w:val="3"/>
          </w:tcPr>
          <w:p>
            <w:pPr>
              <w:spacing w:after="0"/>
              <w:rPr>
                <w:rFonts w:ascii="Arial" w:cs="Arial" w:eastAsia="Arial" w:hAnsi="Arial"/>
                <w:sz w:val="15"/>
                <w:szCs w:val="15"/>
                <w:b w:val="1"/>
                <w:bCs w:val="1"/>
                <w:color w:val="0000EE"/>
              </w:rPr>
            </w:pPr>
            <w:hyperlink w:anchor="page3">
              <w:r>
                <w:rPr>
                  <w:rFonts w:ascii="Arial" w:cs="Arial" w:eastAsia="Arial" w:hAnsi="Arial"/>
                  <w:sz w:val="15"/>
                  <w:szCs w:val="15"/>
                  <w:b w:val="1"/>
                  <w:bCs w:val="1"/>
                  <w:color w:val="0000EE"/>
                </w:rPr>
                <w:t>PART I</w:t>
              </w:r>
            </w:hyperlink>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120" w:type="dxa"/>
            <w:vAlign w:val="bottom"/>
            <w:gridSpan w:val="7"/>
          </w:tcPr>
          <w:p>
            <w:pPr>
              <w:jc w:val="center"/>
              <w:ind w:right="2700"/>
              <w:spacing w:after="0"/>
              <w:rPr>
                <w:sz w:val="20"/>
                <w:szCs w:val="20"/>
                <w:color w:val="auto"/>
              </w:rPr>
            </w:pPr>
            <w:r>
              <w:rPr>
                <w:rFonts w:ascii="Arial" w:cs="Arial" w:eastAsia="Arial" w:hAnsi="Arial"/>
                <w:sz w:val="15"/>
                <w:szCs w:val="15"/>
                <w:b w:val="1"/>
                <w:bCs w:val="1"/>
                <w:color w:val="auto"/>
              </w:rPr>
              <w:t>FINANCIAL INFORMATION</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00"/>
        </w:trPr>
        <w:tc>
          <w:tcPr>
            <w:tcW w:w="460" w:type="dxa"/>
            <w:vAlign w:val="bottom"/>
            <w:tcBorders>
              <w:top w:val="single" w:sz="8" w:color="0000EE"/>
            </w:tcBorders>
          </w:tcPr>
          <w:p>
            <w:pPr>
              <w:spacing w:after="0"/>
              <w:rPr>
                <w:sz w:val="20"/>
                <w:szCs w:val="20"/>
                <w:color w:val="auto"/>
              </w:rPr>
            </w:pPr>
            <w:r>
              <w:rPr>
                <w:rFonts w:ascii="Arial" w:cs="Arial" w:eastAsia="Arial" w:hAnsi="Arial"/>
                <w:sz w:val="15"/>
                <w:szCs w:val="15"/>
                <w:color w:val="auto"/>
                <w:w w:val="95"/>
              </w:rPr>
              <w:t>Item 1.</w:t>
            </w:r>
          </w:p>
        </w:tc>
        <w:tc>
          <w:tcPr>
            <w:tcW w:w="560" w:type="dxa"/>
            <w:vAlign w:val="bottom"/>
            <w:gridSpan w:val="2"/>
          </w:tcPr>
          <w:p>
            <w:pPr>
              <w:spacing w:after="0"/>
              <w:rPr>
                <w:sz w:val="24"/>
                <w:szCs w:val="24"/>
                <w:color w:val="auto"/>
              </w:rPr>
            </w:pPr>
          </w:p>
        </w:tc>
        <w:tc>
          <w:tcPr>
            <w:tcW w:w="8660" w:type="dxa"/>
            <w:vAlign w:val="bottom"/>
            <w:gridSpan w:val="14"/>
          </w:tcPr>
          <w:p>
            <w:pPr>
              <w:spacing w:after="0"/>
              <w:rPr>
                <w:rFonts w:ascii="Arial" w:cs="Arial" w:eastAsia="Arial" w:hAnsi="Arial"/>
                <w:sz w:val="15"/>
                <w:szCs w:val="15"/>
                <w:color w:val="0000FF"/>
              </w:rPr>
            </w:pPr>
            <w:hyperlink w:anchor="page3">
              <w:r>
                <w:rPr>
                  <w:rFonts w:ascii="Arial" w:cs="Arial" w:eastAsia="Arial" w:hAnsi="Arial"/>
                  <w:sz w:val="15"/>
                  <w:szCs w:val="15"/>
                  <w:color w:val="0000FF"/>
                </w:rPr>
                <w:t>Financial Statements (Unaudited)</w:t>
              </w:r>
            </w:hyperlink>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6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0"/>
        </w:trPr>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60" w:type="dxa"/>
            <w:vAlign w:val="bottom"/>
            <w:gridSpan w:val="14"/>
          </w:tcPr>
          <w:p>
            <w:pPr>
              <w:spacing w:after="0"/>
              <w:rPr>
                <w:rFonts w:ascii="Arial" w:cs="Arial" w:eastAsia="Arial" w:hAnsi="Arial"/>
                <w:sz w:val="15"/>
                <w:szCs w:val="15"/>
                <w:color w:val="0000FF"/>
              </w:rPr>
            </w:pPr>
            <w:hyperlink w:anchor="page3">
              <w:r>
                <w:rPr>
                  <w:rFonts w:ascii="Arial" w:cs="Arial" w:eastAsia="Arial" w:hAnsi="Arial"/>
                  <w:sz w:val="15"/>
                  <w:szCs w:val="15"/>
                  <w:color w:val="0000FF"/>
                </w:rPr>
                <w:t>Condensed Consolidated Statements of Income for the Three and Nine Months Ended March 31, 2017 and 2016</w:t>
              </w:r>
            </w:hyperlink>
          </w:p>
        </w:tc>
        <w:tc>
          <w:tcPr>
            <w:tcW w:w="1300" w:type="dxa"/>
            <w:vAlign w:val="bottom"/>
            <w:gridSpan w:val="2"/>
          </w:tcPr>
          <w:p>
            <w:pPr>
              <w:jc w:val="center"/>
              <w:ind w:left="1148"/>
              <w:spacing w:after="0"/>
              <w:rPr>
                <w:rFonts w:ascii="Arial" w:cs="Arial" w:eastAsia="Arial" w:hAnsi="Arial"/>
                <w:sz w:val="15"/>
                <w:szCs w:val="15"/>
                <w:color w:val="0000EE"/>
                <w:w w:val="95"/>
              </w:rPr>
            </w:pPr>
            <w:hyperlink w:anchor="page3">
              <w:r>
                <w:rPr>
                  <w:rFonts w:ascii="Arial" w:cs="Arial" w:eastAsia="Arial" w:hAnsi="Arial"/>
                  <w:sz w:val="15"/>
                  <w:szCs w:val="15"/>
                  <w:color w:val="0000EE"/>
                  <w:w w:val="95"/>
                </w:rPr>
                <w:t>1</w:t>
              </w:r>
            </w:hyperlink>
          </w:p>
        </w:tc>
        <w:tc>
          <w:tcPr>
            <w:tcW w:w="12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4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0"/>
        </w:trPr>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560" w:type="dxa"/>
            <w:vAlign w:val="bottom"/>
            <w:gridSpan w:val="13"/>
          </w:tcPr>
          <w:p>
            <w:pPr>
              <w:spacing w:after="0"/>
              <w:rPr>
                <w:rFonts w:ascii="Arial" w:cs="Arial" w:eastAsia="Arial" w:hAnsi="Arial"/>
                <w:sz w:val="15"/>
                <w:szCs w:val="15"/>
                <w:color w:val="0000FF"/>
                <w:w w:val="87"/>
              </w:rPr>
            </w:pPr>
            <w:hyperlink w:anchor="page4">
              <w:r>
                <w:rPr>
                  <w:rFonts w:ascii="Arial" w:cs="Arial" w:eastAsia="Arial" w:hAnsi="Arial"/>
                  <w:sz w:val="15"/>
                  <w:szCs w:val="15"/>
                  <w:color w:val="0000FF"/>
                  <w:w w:val="87"/>
                </w:rPr>
                <w:t>Condensed Consolidated Statements of Comprehensive Income for the Three and Nine Months Ended March 31, 2017 and 2016</w:t>
              </w:r>
            </w:hyperlink>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jc w:val="center"/>
              <w:spacing w:after="0"/>
              <w:rPr>
                <w:rFonts w:ascii="Arial" w:cs="Arial" w:eastAsia="Arial" w:hAnsi="Arial"/>
                <w:sz w:val="15"/>
                <w:szCs w:val="15"/>
                <w:color w:val="0000EE"/>
                <w:w w:val="95"/>
              </w:rPr>
            </w:pPr>
            <w:hyperlink w:anchor="page4">
              <w:r>
                <w:rPr>
                  <w:rFonts w:ascii="Arial" w:cs="Arial" w:eastAsia="Arial" w:hAnsi="Arial"/>
                  <w:sz w:val="15"/>
                  <w:szCs w:val="15"/>
                  <w:color w:val="0000EE"/>
                  <w:w w:val="95"/>
                </w:rPr>
                <w:t>2</w:t>
              </w:r>
            </w:hyperlink>
          </w:p>
        </w:tc>
        <w:tc>
          <w:tcPr>
            <w:tcW w:w="12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4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0"/>
        </w:trPr>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560" w:type="dxa"/>
            <w:vAlign w:val="bottom"/>
            <w:gridSpan w:val="13"/>
          </w:tcPr>
          <w:p>
            <w:pPr>
              <w:spacing w:after="0"/>
              <w:rPr>
                <w:rFonts w:ascii="Arial" w:cs="Arial" w:eastAsia="Arial" w:hAnsi="Arial"/>
                <w:sz w:val="15"/>
                <w:szCs w:val="15"/>
                <w:color w:val="0000FF"/>
              </w:rPr>
            </w:pPr>
            <w:hyperlink w:anchor="page5">
              <w:r>
                <w:rPr>
                  <w:rFonts w:ascii="Arial" w:cs="Arial" w:eastAsia="Arial" w:hAnsi="Arial"/>
                  <w:sz w:val="15"/>
                  <w:szCs w:val="15"/>
                  <w:color w:val="0000FF"/>
                </w:rPr>
                <w:t>Condensed Consolidated Balance Sheets as of March 31, 2017 and June 30, 2016</w:t>
              </w:r>
            </w:hyperlink>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jc w:val="center"/>
              <w:spacing w:after="0"/>
              <w:rPr>
                <w:rFonts w:ascii="Arial" w:cs="Arial" w:eastAsia="Arial" w:hAnsi="Arial"/>
                <w:sz w:val="15"/>
                <w:szCs w:val="15"/>
                <w:color w:val="0000EE"/>
                <w:w w:val="95"/>
              </w:rPr>
            </w:pPr>
            <w:hyperlink w:anchor="page5">
              <w:r>
                <w:rPr>
                  <w:rFonts w:ascii="Arial" w:cs="Arial" w:eastAsia="Arial" w:hAnsi="Arial"/>
                  <w:sz w:val="15"/>
                  <w:szCs w:val="15"/>
                  <w:color w:val="0000EE"/>
                  <w:w w:val="95"/>
                </w:rPr>
                <w:t>3</w:t>
              </w:r>
            </w:hyperlink>
          </w:p>
        </w:tc>
        <w:tc>
          <w:tcPr>
            <w:tcW w:w="12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4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0"/>
        </w:trPr>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60" w:type="dxa"/>
            <w:vAlign w:val="bottom"/>
            <w:gridSpan w:val="14"/>
          </w:tcPr>
          <w:p>
            <w:pPr>
              <w:spacing w:after="0"/>
              <w:rPr>
                <w:rFonts w:ascii="Arial" w:cs="Arial" w:eastAsia="Arial" w:hAnsi="Arial"/>
                <w:sz w:val="15"/>
                <w:szCs w:val="15"/>
                <w:color w:val="0000FF"/>
              </w:rPr>
            </w:pPr>
            <w:hyperlink w:anchor="page7">
              <w:r>
                <w:rPr>
                  <w:rFonts w:ascii="Arial" w:cs="Arial" w:eastAsia="Arial" w:hAnsi="Arial"/>
                  <w:sz w:val="15"/>
                  <w:szCs w:val="15"/>
                  <w:color w:val="0000FF"/>
                </w:rPr>
                <w:t>Condensed Consolidated Statements of Cash Flows for the Nine Months Ended March 31, 2017 and 2016</w:t>
              </w:r>
            </w:hyperlink>
          </w:p>
        </w:tc>
        <w:tc>
          <w:tcPr>
            <w:tcW w:w="1300" w:type="dxa"/>
            <w:vAlign w:val="bottom"/>
            <w:gridSpan w:val="2"/>
          </w:tcPr>
          <w:p>
            <w:pPr>
              <w:jc w:val="center"/>
              <w:ind w:left="1148"/>
              <w:spacing w:after="0"/>
              <w:rPr>
                <w:rFonts w:ascii="Arial" w:cs="Arial" w:eastAsia="Arial" w:hAnsi="Arial"/>
                <w:sz w:val="15"/>
                <w:szCs w:val="15"/>
                <w:color w:val="0000EE"/>
                <w:w w:val="95"/>
              </w:rPr>
            </w:pPr>
            <w:hyperlink w:anchor="page7">
              <w:r>
                <w:rPr>
                  <w:rFonts w:ascii="Arial" w:cs="Arial" w:eastAsia="Arial" w:hAnsi="Arial"/>
                  <w:sz w:val="15"/>
                  <w:szCs w:val="15"/>
                  <w:color w:val="0000EE"/>
                  <w:w w:val="95"/>
                </w:rPr>
                <w:t>5</w:t>
              </w:r>
            </w:hyperlink>
          </w:p>
        </w:tc>
        <w:tc>
          <w:tcPr>
            <w:tcW w:w="12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20" w:type="dxa"/>
            <w:vAlign w:val="bottom"/>
            <w:tcBorders>
              <w:left w:val="single" w:sz="8" w:color="0000FF"/>
            </w:tcBorders>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0"/>
        </w:trPr>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60" w:type="dxa"/>
            <w:vAlign w:val="bottom"/>
            <w:gridSpan w:val="14"/>
          </w:tcPr>
          <w:p>
            <w:pPr>
              <w:spacing w:after="0"/>
              <w:rPr>
                <w:rFonts w:ascii="Arial" w:cs="Arial" w:eastAsia="Arial" w:hAnsi="Arial"/>
                <w:sz w:val="15"/>
                <w:szCs w:val="15"/>
                <w:color w:val="0000FF"/>
              </w:rPr>
            </w:pPr>
            <w:hyperlink w:anchor="page9">
              <w:r>
                <w:rPr>
                  <w:rFonts w:ascii="Arial" w:cs="Arial" w:eastAsia="Arial" w:hAnsi="Arial"/>
                  <w:sz w:val="15"/>
                  <w:szCs w:val="15"/>
                  <w:color w:val="0000FF"/>
                </w:rPr>
                <w:t>Condensed Consolidated Statements of Changes in Stockholders’ Equity for the Nine Months Ended March 31, 2017 and 2016</w:t>
              </w:r>
            </w:hyperlink>
          </w:p>
        </w:tc>
        <w:tc>
          <w:tcPr>
            <w:tcW w:w="1300" w:type="dxa"/>
            <w:vAlign w:val="bottom"/>
            <w:gridSpan w:val="2"/>
          </w:tcPr>
          <w:p>
            <w:pPr>
              <w:jc w:val="center"/>
              <w:ind w:left="1148"/>
              <w:spacing w:after="0"/>
              <w:rPr>
                <w:rFonts w:ascii="Arial" w:cs="Arial" w:eastAsia="Arial" w:hAnsi="Arial"/>
                <w:sz w:val="15"/>
                <w:szCs w:val="15"/>
                <w:color w:val="0000EE"/>
                <w:w w:val="95"/>
              </w:rPr>
            </w:pPr>
            <w:hyperlink w:anchor="page9">
              <w:r>
                <w:rPr>
                  <w:rFonts w:ascii="Arial" w:cs="Arial" w:eastAsia="Arial" w:hAnsi="Arial"/>
                  <w:sz w:val="15"/>
                  <w:szCs w:val="15"/>
                  <w:color w:val="0000EE"/>
                  <w:w w:val="95"/>
                </w:rPr>
                <w:t>7</w:t>
              </w:r>
            </w:hyperlink>
          </w:p>
        </w:tc>
        <w:tc>
          <w:tcPr>
            <w:tcW w:w="12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20" w:type="dxa"/>
            <w:vAlign w:val="bottom"/>
            <w:tcBorders>
              <w:left w:val="single" w:sz="8" w:color="0000FF"/>
            </w:tcBorders>
            <w:gridSpan w:val="2"/>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0"/>
        </w:trPr>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60" w:type="dxa"/>
            <w:vAlign w:val="bottom"/>
            <w:gridSpan w:val="6"/>
          </w:tcPr>
          <w:p>
            <w:pPr>
              <w:spacing w:after="0"/>
              <w:rPr>
                <w:rFonts w:ascii="Arial" w:cs="Arial" w:eastAsia="Arial" w:hAnsi="Arial"/>
                <w:sz w:val="15"/>
                <w:szCs w:val="15"/>
                <w:color w:val="0000FF"/>
                <w:w w:val="86"/>
              </w:rPr>
            </w:pPr>
            <w:hyperlink w:anchor="page10">
              <w:r>
                <w:rPr>
                  <w:rFonts w:ascii="Arial" w:cs="Arial" w:eastAsia="Arial" w:hAnsi="Arial"/>
                  <w:sz w:val="15"/>
                  <w:szCs w:val="15"/>
                  <w:color w:val="0000FF"/>
                  <w:w w:val="86"/>
                </w:rPr>
                <w:t>Notes to Condensed Consolidated Financial Statements</w:t>
              </w:r>
            </w:hyperlink>
          </w:p>
        </w:tc>
        <w:tc>
          <w:tcPr>
            <w:tcW w:w="4200" w:type="dxa"/>
            <w:vAlign w:val="bottom"/>
            <w:gridSpan w:val="6"/>
          </w:tcPr>
          <w:p>
            <w:pPr>
              <w:spacing w:after="0"/>
              <w:rPr>
                <w:sz w:val="24"/>
                <w:szCs w:val="24"/>
                <w:color w:val="auto"/>
              </w:rPr>
            </w:pPr>
          </w:p>
        </w:tc>
        <w:tc>
          <w:tcPr>
            <w:tcW w:w="1200" w:type="dxa"/>
            <w:vAlign w:val="bottom"/>
            <w:gridSpan w:val="2"/>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jc w:val="center"/>
              <w:spacing w:after="0"/>
              <w:rPr>
                <w:rFonts w:ascii="Arial" w:cs="Arial" w:eastAsia="Arial" w:hAnsi="Arial"/>
                <w:sz w:val="15"/>
                <w:szCs w:val="15"/>
                <w:color w:val="0000EE"/>
                <w:w w:val="95"/>
              </w:rPr>
            </w:pPr>
            <w:hyperlink w:anchor="page10">
              <w:r>
                <w:rPr>
                  <w:rFonts w:ascii="Arial" w:cs="Arial" w:eastAsia="Arial" w:hAnsi="Arial"/>
                  <w:sz w:val="15"/>
                  <w:szCs w:val="15"/>
                  <w:color w:val="0000EE"/>
                  <w:w w:val="95"/>
                </w:rPr>
                <w:t>8</w:t>
              </w:r>
            </w:hyperlink>
          </w:p>
        </w:tc>
        <w:tc>
          <w:tcPr>
            <w:tcW w:w="120" w:type="dxa"/>
            <w:vAlign w:val="bottom"/>
          </w:tcPr>
          <w:p>
            <w:pPr>
              <w:spacing w:after="0"/>
              <w:rPr>
                <w:sz w:val="24"/>
                <w:szCs w:val="24"/>
                <w:color w:val="auto"/>
              </w:rPr>
            </w:pPr>
          </w:p>
        </w:tc>
      </w:tr>
      <w:tr>
        <w:trPr>
          <w:trHeight w:val="20"/>
        </w:trPr>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0"/>
        </w:trPr>
        <w:tc>
          <w:tcPr>
            <w:tcW w:w="1020" w:type="dxa"/>
            <w:vAlign w:val="bottom"/>
            <w:gridSpan w:val="3"/>
          </w:tcPr>
          <w:p>
            <w:pPr>
              <w:spacing w:after="0"/>
              <w:rPr>
                <w:sz w:val="20"/>
                <w:szCs w:val="20"/>
                <w:color w:val="auto"/>
              </w:rPr>
            </w:pPr>
            <w:r>
              <w:rPr>
                <w:rFonts w:ascii="Arial" w:cs="Arial" w:eastAsia="Arial" w:hAnsi="Arial"/>
                <w:sz w:val="15"/>
                <w:szCs w:val="15"/>
                <w:color w:val="auto"/>
              </w:rPr>
              <w:t>Item 2.</w:t>
            </w:r>
          </w:p>
        </w:tc>
        <w:tc>
          <w:tcPr>
            <w:tcW w:w="8660" w:type="dxa"/>
            <w:vAlign w:val="bottom"/>
            <w:gridSpan w:val="14"/>
          </w:tcPr>
          <w:p>
            <w:pPr>
              <w:spacing w:after="0"/>
              <w:rPr>
                <w:rFonts w:ascii="Arial" w:cs="Arial" w:eastAsia="Arial" w:hAnsi="Arial"/>
                <w:sz w:val="15"/>
                <w:szCs w:val="15"/>
                <w:color w:val="0000FF"/>
              </w:rPr>
            </w:pPr>
            <w:hyperlink w:anchor="page24">
              <w:r>
                <w:rPr>
                  <w:rFonts w:ascii="Arial" w:cs="Arial" w:eastAsia="Arial" w:hAnsi="Arial"/>
                  <w:sz w:val="15"/>
                  <w:szCs w:val="15"/>
                  <w:color w:val="0000FF"/>
                </w:rPr>
                <w:t>Management’s Discussion and Analysis of Financial Condition and Results of Operations</w:t>
              </w:r>
            </w:hyperlink>
          </w:p>
        </w:tc>
        <w:tc>
          <w:tcPr>
            <w:tcW w:w="1300" w:type="dxa"/>
            <w:vAlign w:val="bottom"/>
            <w:gridSpan w:val="2"/>
          </w:tcPr>
          <w:p>
            <w:pPr>
              <w:jc w:val="center"/>
              <w:ind w:left="1088"/>
              <w:spacing w:after="0"/>
              <w:rPr>
                <w:rFonts w:ascii="Arial" w:cs="Arial" w:eastAsia="Arial" w:hAnsi="Arial"/>
                <w:sz w:val="15"/>
                <w:szCs w:val="15"/>
                <w:color w:val="0000EE"/>
                <w:w w:val="83"/>
              </w:rPr>
            </w:pPr>
            <w:hyperlink w:anchor="page24">
              <w:r>
                <w:rPr>
                  <w:rFonts w:ascii="Arial" w:cs="Arial" w:eastAsia="Arial" w:hAnsi="Arial"/>
                  <w:sz w:val="15"/>
                  <w:szCs w:val="15"/>
                  <w:color w:val="0000EE"/>
                  <w:w w:val="83"/>
                </w:rPr>
                <w:t>22</w:t>
              </w:r>
            </w:hyperlink>
          </w:p>
        </w:tc>
        <w:tc>
          <w:tcPr>
            <w:tcW w:w="120" w:type="dxa"/>
            <w:vAlign w:val="bottom"/>
          </w:tcPr>
          <w:p>
            <w:pPr>
              <w:spacing w:after="0"/>
              <w:rPr>
                <w:sz w:val="24"/>
                <w:szCs w:val="24"/>
                <w:color w:val="auto"/>
              </w:rPr>
            </w:pPr>
          </w:p>
        </w:tc>
      </w:tr>
      <w:tr>
        <w:trPr>
          <w:trHeight w:val="20"/>
        </w:trPr>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40" w:type="dxa"/>
            <w:vAlign w:val="bottom"/>
            <w:tcBorders>
              <w:left w:val="single" w:sz="8" w:color="0000FF"/>
            </w:tcBorders>
            <w:gridSpan w:val="2"/>
            <w:shd w:val="clear" w:color="auto" w:fill="0000FF"/>
          </w:tcPr>
          <w:p>
            <w:pPr>
              <w:spacing w:after="0" w:line="20" w:lineRule="exact"/>
              <w:rPr>
                <w:sz w:val="1"/>
                <w:szCs w:val="1"/>
                <w:color w:val="auto"/>
              </w:rPr>
            </w:pPr>
          </w:p>
        </w:tc>
        <w:tc>
          <w:tcPr>
            <w:tcW w:w="1720" w:type="dxa"/>
            <w:vAlign w:val="bottom"/>
            <w:tcBorders>
              <w:left w:val="single" w:sz="8" w:color="0000FF"/>
            </w:tcBorders>
            <w:gridSpan w:val="2"/>
            <w:shd w:val="clear" w:color="auto" w:fill="0000FF"/>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12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300"/>
        </w:trPr>
        <w:tc>
          <w:tcPr>
            <w:tcW w:w="1020" w:type="dxa"/>
            <w:vAlign w:val="bottom"/>
            <w:gridSpan w:val="3"/>
          </w:tcPr>
          <w:p>
            <w:pPr>
              <w:spacing w:after="0"/>
              <w:rPr>
                <w:sz w:val="20"/>
                <w:szCs w:val="20"/>
                <w:color w:val="auto"/>
              </w:rPr>
            </w:pPr>
            <w:r>
              <w:rPr>
                <w:rFonts w:ascii="Arial" w:cs="Arial" w:eastAsia="Arial" w:hAnsi="Arial"/>
                <w:sz w:val="15"/>
                <w:szCs w:val="15"/>
                <w:color w:val="auto"/>
              </w:rPr>
              <w:t>Item 3.</w:t>
            </w:r>
          </w:p>
        </w:tc>
        <w:tc>
          <w:tcPr>
            <w:tcW w:w="3540" w:type="dxa"/>
            <w:vAlign w:val="bottom"/>
            <w:gridSpan w:val="7"/>
          </w:tcPr>
          <w:p>
            <w:pPr>
              <w:spacing w:after="0"/>
              <w:rPr>
                <w:rFonts w:ascii="Arial" w:cs="Arial" w:eastAsia="Arial" w:hAnsi="Arial"/>
                <w:sz w:val="15"/>
                <w:szCs w:val="15"/>
                <w:color w:val="0000FF"/>
                <w:w w:val="89"/>
              </w:rPr>
            </w:pPr>
            <w:hyperlink w:anchor="page39">
              <w:r>
                <w:rPr>
                  <w:rFonts w:ascii="Arial" w:cs="Arial" w:eastAsia="Arial" w:hAnsi="Arial"/>
                  <w:sz w:val="15"/>
                  <w:szCs w:val="15"/>
                  <w:color w:val="0000FF"/>
                  <w:w w:val="89"/>
                </w:rPr>
                <w:t>Quantitative and Qualitative Disclosures About Market Risk</w:t>
              </w:r>
            </w:hyperlink>
          </w:p>
        </w:tc>
        <w:tc>
          <w:tcPr>
            <w:tcW w:w="1720" w:type="dxa"/>
            <w:vAlign w:val="bottom"/>
            <w:gridSpan w:val="2"/>
          </w:tcPr>
          <w:p>
            <w:pPr>
              <w:spacing w:after="0"/>
              <w:rPr>
                <w:sz w:val="24"/>
                <w:szCs w:val="24"/>
                <w:color w:val="auto"/>
              </w:rPr>
            </w:pPr>
          </w:p>
        </w:tc>
        <w:tc>
          <w:tcPr>
            <w:tcW w:w="3400" w:type="dxa"/>
            <w:vAlign w:val="bottom"/>
            <w:gridSpan w:val="5"/>
          </w:tcPr>
          <w:p>
            <w:pPr>
              <w:spacing w:after="0"/>
              <w:rPr>
                <w:sz w:val="24"/>
                <w:szCs w:val="24"/>
                <w:color w:val="auto"/>
              </w:rPr>
            </w:pPr>
          </w:p>
        </w:tc>
        <w:tc>
          <w:tcPr>
            <w:tcW w:w="1300" w:type="dxa"/>
            <w:vAlign w:val="bottom"/>
            <w:gridSpan w:val="2"/>
          </w:tcPr>
          <w:p>
            <w:pPr>
              <w:jc w:val="center"/>
              <w:ind w:left="1088"/>
              <w:spacing w:after="0"/>
              <w:rPr>
                <w:rFonts w:ascii="Arial" w:cs="Arial" w:eastAsia="Arial" w:hAnsi="Arial"/>
                <w:sz w:val="15"/>
                <w:szCs w:val="15"/>
                <w:color w:val="0000EE"/>
                <w:w w:val="83"/>
              </w:rPr>
            </w:pPr>
            <w:hyperlink w:anchor="page39">
              <w:r>
                <w:rPr>
                  <w:rFonts w:ascii="Arial" w:cs="Arial" w:eastAsia="Arial" w:hAnsi="Arial"/>
                  <w:sz w:val="15"/>
                  <w:szCs w:val="15"/>
                  <w:color w:val="0000EE"/>
                  <w:w w:val="83"/>
                </w:rPr>
                <w:t>37</w:t>
              </w:r>
            </w:hyperlink>
          </w:p>
        </w:tc>
        <w:tc>
          <w:tcPr>
            <w:tcW w:w="120" w:type="dxa"/>
            <w:vAlign w:val="bottom"/>
          </w:tcPr>
          <w:p>
            <w:pPr>
              <w:spacing w:after="0"/>
              <w:rPr>
                <w:sz w:val="24"/>
                <w:szCs w:val="24"/>
                <w:color w:val="auto"/>
              </w:rPr>
            </w:pPr>
          </w:p>
        </w:tc>
      </w:tr>
      <w:tr>
        <w:trPr>
          <w:trHeight w:val="20"/>
        </w:trPr>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40" w:type="dxa"/>
            <w:vAlign w:val="bottom"/>
            <w:tcBorders>
              <w:left w:val="single" w:sz="8" w:color="0000FF"/>
            </w:tcBorders>
            <w:gridSpan w:val="2"/>
            <w:shd w:val="clear" w:color="auto" w:fill="0000FF"/>
          </w:tcPr>
          <w:p>
            <w:pPr>
              <w:spacing w:after="0" w:line="20" w:lineRule="exact"/>
              <w:rPr>
                <w:sz w:val="1"/>
                <w:szCs w:val="1"/>
                <w:color w:val="auto"/>
              </w:rPr>
            </w:pPr>
          </w:p>
        </w:tc>
        <w:tc>
          <w:tcPr>
            <w:tcW w:w="5120" w:type="dxa"/>
            <w:vAlign w:val="bottom"/>
            <w:tcBorders>
              <w:left w:val="single" w:sz="8" w:color="0000FF"/>
            </w:tcBorders>
            <w:gridSpan w:val="7"/>
          </w:tcPr>
          <w:p>
            <w:pPr>
              <w:spacing w:after="0" w:line="20" w:lineRule="exact"/>
              <w:rPr>
                <w:sz w:val="1"/>
                <w:szCs w:val="1"/>
                <w:color w:val="auto"/>
              </w:rPr>
            </w:pPr>
          </w:p>
        </w:tc>
        <w:tc>
          <w:tcPr>
            <w:tcW w:w="12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300"/>
        </w:trPr>
        <w:tc>
          <w:tcPr>
            <w:tcW w:w="1020" w:type="dxa"/>
            <w:vAlign w:val="bottom"/>
            <w:gridSpan w:val="3"/>
          </w:tcPr>
          <w:p>
            <w:pPr>
              <w:spacing w:after="0"/>
              <w:rPr>
                <w:sz w:val="20"/>
                <w:szCs w:val="20"/>
                <w:color w:val="auto"/>
              </w:rPr>
            </w:pPr>
            <w:r>
              <w:rPr>
                <w:rFonts w:ascii="Arial" w:cs="Arial" w:eastAsia="Arial" w:hAnsi="Arial"/>
                <w:sz w:val="15"/>
                <w:szCs w:val="15"/>
                <w:color w:val="auto"/>
              </w:rPr>
              <w:t>Item 4.</w:t>
            </w:r>
          </w:p>
        </w:tc>
        <w:tc>
          <w:tcPr>
            <w:tcW w:w="3540" w:type="dxa"/>
            <w:vAlign w:val="bottom"/>
            <w:gridSpan w:val="7"/>
          </w:tcPr>
          <w:p>
            <w:pPr>
              <w:spacing w:after="0"/>
              <w:rPr>
                <w:rFonts w:ascii="Arial" w:cs="Arial" w:eastAsia="Arial" w:hAnsi="Arial"/>
                <w:sz w:val="15"/>
                <w:szCs w:val="15"/>
                <w:color w:val="0000FF"/>
              </w:rPr>
            </w:pPr>
            <w:hyperlink w:anchor="page39">
              <w:r>
                <w:rPr>
                  <w:rFonts w:ascii="Arial" w:cs="Arial" w:eastAsia="Arial" w:hAnsi="Arial"/>
                  <w:sz w:val="15"/>
                  <w:szCs w:val="15"/>
                  <w:color w:val="0000FF"/>
                </w:rPr>
                <w:t>Controls and Procedures</w:t>
              </w:r>
            </w:hyperlink>
          </w:p>
        </w:tc>
        <w:tc>
          <w:tcPr>
            <w:tcW w:w="5120" w:type="dxa"/>
            <w:vAlign w:val="bottom"/>
            <w:gridSpan w:val="7"/>
          </w:tcPr>
          <w:p>
            <w:pPr>
              <w:spacing w:after="0"/>
              <w:rPr>
                <w:sz w:val="24"/>
                <w:szCs w:val="24"/>
                <w:color w:val="auto"/>
              </w:rPr>
            </w:pPr>
          </w:p>
        </w:tc>
        <w:tc>
          <w:tcPr>
            <w:tcW w:w="1300" w:type="dxa"/>
            <w:vAlign w:val="bottom"/>
            <w:gridSpan w:val="2"/>
          </w:tcPr>
          <w:p>
            <w:pPr>
              <w:jc w:val="center"/>
              <w:ind w:left="1088"/>
              <w:spacing w:after="0"/>
              <w:rPr>
                <w:rFonts w:ascii="Arial" w:cs="Arial" w:eastAsia="Arial" w:hAnsi="Arial"/>
                <w:sz w:val="15"/>
                <w:szCs w:val="15"/>
                <w:color w:val="0000EE"/>
                <w:w w:val="83"/>
              </w:rPr>
            </w:pPr>
            <w:hyperlink w:anchor="page39">
              <w:r>
                <w:rPr>
                  <w:rFonts w:ascii="Arial" w:cs="Arial" w:eastAsia="Arial" w:hAnsi="Arial"/>
                  <w:sz w:val="15"/>
                  <w:szCs w:val="15"/>
                  <w:color w:val="0000EE"/>
                  <w:w w:val="83"/>
                </w:rPr>
                <w:t>37</w:t>
              </w:r>
            </w:hyperlink>
          </w:p>
        </w:tc>
        <w:tc>
          <w:tcPr>
            <w:tcW w:w="120" w:type="dxa"/>
            <w:vAlign w:val="bottom"/>
          </w:tcPr>
          <w:p>
            <w:pPr>
              <w:spacing w:after="0"/>
              <w:rPr>
                <w:sz w:val="24"/>
                <w:szCs w:val="24"/>
                <w:color w:val="auto"/>
              </w:rPr>
            </w:pPr>
          </w:p>
        </w:tc>
      </w:tr>
      <w:tr>
        <w:trPr>
          <w:trHeight w:val="465"/>
        </w:trPr>
        <w:tc>
          <w:tcPr>
            <w:tcW w:w="1020" w:type="dxa"/>
            <w:vAlign w:val="bottom"/>
            <w:gridSpan w:val="3"/>
          </w:tcPr>
          <w:p>
            <w:pPr>
              <w:spacing w:after="0"/>
              <w:rPr>
                <w:rFonts w:ascii="Arial" w:cs="Arial" w:eastAsia="Arial" w:hAnsi="Arial"/>
                <w:sz w:val="15"/>
                <w:szCs w:val="15"/>
                <w:b w:val="1"/>
                <w:bCs w:val="1"/>
                <w:color w:val="0000EE"/>
              </w:rPr>
            </w:pPr>
            <w:hyperlink w:anchor="page40">
              <w:r>
                <w:rPr>
                  <w:rFonts w:ascii="Arial" w:cs="Arial" w:eastAsia="Arial" w:hAnsi="Arial"/>
                  <w:sz w:val="15"/>
                  <w:szCs w:val="15"/>
                  <w:b w:val="1"/>
                  <w:bCs w:val="1"/>
                  <w:color w:val="0000EE"/>
                </w:rPr>
                <w:t>PART II</w:t>
              </w:r>
            </w:hyperlink>
          </w:p>
        </w:tc>
        <w:tc>
          <w:tcPr>
            <w:tcW w:w="4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20" w:type="dxa"/>
            <w:vAlign w:val="bottom"/>
            <w:gridSpan w:val="7"/>
          </w:tcPr>
          <w:p>
            <w:pPr>
              <w:jc w:val="center"/>
              <w:ind w:right="2700"/>
              <w:spacing w:after="0"/>
              <w:rPr>
                <w:sz w:val="20"/>
                <w:szCs w:val="20"/>
                <w:color w:val="auto"/>
              </w:rPr>
            </w:pPr>
            <w:r>
              <w:rPr>
                <w:rFonts w:ascii="Arial" w:cs="Arial" w:eastAsia="Arial" w:hAnsi="Arial"/>
                <w:sz w:val="15"/>
                <w:szCs w:val="15"/>
                <w:b w:val="1"/>
                <w:bCs w:val="1"/>
                <w:color w:val="auto"/>
              </w:rPr>
              <w:t>OTHER INFORMATION</w:t>
            </w:r>
          </w:p>
        </w:tc>
        <w:tc>
          <w:tcPr>
            <w:tcW w:w="12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560" w:type="dxa"/>
            <w:vAlign w:val="bottom"/>
            <w:tcBorders>
              <w:top w:val="single" w:sz="8" w:color="0000EE"/>
            </w:tcBorders>
            <w:gridSpan w:val="2"/>
          </w:tcPr>
          <w:p>
            <w:pPr>
              <w:spacing w:after="0"/>
              <w:rPr>
                <w:sz w:val="20"/>
                <w:szCs w:val="20"/>
                <w:color w:val="auto"/>
              </w:rPr>
            </w:pPr>
            <w:r>
              <w:rPr>
                <w:rFonts w:ascii="Arial" w:cs="Arial" w:eastAsia="Arial" w:hAnsi="Arial"/>
                <w:sz w:val="15"/>
                <w:szCs w:val="15"/>
                <w:color w:val="auto"/>
              </w:rPr>
              <w:t>Item 1.</w:t>
            </w:r>
          </w:p>
        </w:tc>
        <w:tc>
          <w:tcPr>
            <w:tcW w:w="460" w:type="dxa"/>
            <w:vAlign w:val="bottom"/>
          </w:tcPr>
          <w:p>
            <w:pPr>
              <w:spacing w:after="0"/>
              <w:rPr>
                <w:sz w:val="24"/>
                <w:szCs w:val="24"/>
                <w:color w:val="auto"/>
              </w:rPr>
            </w:pPr>
          </w:p>
        </w:tc>
        <w:tc>
          <w:tcPr>
            <w:tcW w:w="8660" w:type="dxa"/>
            <w:vAlign w:val="bottom"/>
            <w:gridSpan w:val="14"/>
          </w:tcPr>
          <w:p>
            <w:pPr>
              <w:spacing w:after="0"/>
              <w:rPr>
                <w:rFonts w:ascii="Arial" w:cs="Arial" w:eastAsia="Arial" w:hAnsi="Arial"/>
                <w:sz w:val="15"/>
                <w:szCs w:val="15"/>
                <w:color w:val="0000FF"/>
              </w:rPr>
            </w:pPr>
            <w:hyperlink w:anchor="page40">
              <w:r>
                <w:rPr>
                  <w:rFonts w:ascii="Arial" w:cs="Arial" w:eastAsia="Arial" w:hAnsi="Arial"/>
                  <w:sz w:val="15"/>
                  <w:szCs w:val="15"/>
                  <w:color w:val="0000FF"/>
                </w:rPr>
                <w:t>Legal Proceedings</w:t>
              </w:r>
            </w:hyperlink>
          </w:p>
        </w:tc>
        <w:tc>
          <w:tcPr>
            <w:tcW w:w="1300" w:type="dxa"/>
            <w:vAlign w:val="bottom"/>
            <w:gridSpan w:val="2"/>
          </w:tcPr>
          <w:p>
            <w:pPr>
              <w:jc w:val="center"/>
              <w:ind w:left="1088"/>
              <w:spacing w:after="0"/>
              <w:rPr>
                <w:rFonts w:ascii="Arial" w:cs="Arial" w:eastAsia="Arial" w:hAnsi="Arial"/>
                <w:sz w:val="15"/>
                <w:szCs w:val="15"/>
                <w:color w:val="0000EE"/>
                <w:w w:val="83"/>
              </w:rPr>
            </w:pPr>
            <w:hyperlink w:anchor="page40">
              <w:r>
                <w:rPr>
                  <w:rFonts w:ascii="Arial" w:cs="Arial" w:eastAsia="Arial" w:hAnsi="Arial"/>
                  <w:sz w:val="15"/>
                  <w:szCs w:val="15"/>
                  <w:color w:val="0000EE"/>
                  <w:w w:val="83"/>
                </w:rPr>
                <w:t>38</w:t>
              </w:r>
            </w:hyperlink>
          </w:p>
        </w:tc>
        <w:tc>
          <w:tcPr>
            <w:tcW w:w="120" w:type="dxa"/>
            <w:vAlign w:val="bottom"/>
          </w:tcPr>
          <w:p>
            <w:pPr>
              <w:spacing w:after="0"/>
              <w:rPr>
                <w:sz w:val="24"/>
                <w:szCs w:val="24"/>
                <w:color w:val="auto"/>
              </w:rPr>
            </w:pPr>
          </w:p>
        </w:tc>
      </w:tr>
      <w:tr>
        <w:trPr>
          <w:trHeight w:val="20"/>
        </w:trPr>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12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300"/>
        </w:trPr>
        <w:tc>
          <w:tcPr>
            <w:tcW w:w="1020" w:type="dxa"/>
            <w:vAlign w:val="bottom"/>
            <w:gridSpan w:val="3"/>
          </w:tcPr>
          <w:p>
            <w:pPr>
              <w:spacing w:after="0"/>
              <w:rPr>
                <w:sz w:val="20"/>
                <w:szCs w:val="20"/>
                <w:color w:val="auto"/>
              </w:rPr>
            </w:pPr>
            <w:r>
              <w:rPr>
                <w:rFonts w:ascii="Arial" w:cs="Arial" w:eastAsia="Arial" w:hAnsi="Arial"/>
                <w:sz w:val="15"/>
                <w:szCs w:val="15"/>
                <w:color w:val="auto"/>
              </w:rPr>
              <w:t>Item 1A.</w:t>
            </w:r>
          </w:p>
        </w:tc>
        <w:tc>
          <w:tcPr>
            <w:tcW w:w="740" w:type="dxa"/>
            <w:vAlign w:val="bottom"/>
            <w:gridSpan w:val="2"/>
          </w:tcPr>
          <w:p>
            <w:pPr>
              <w:spacing w:after="0"/>
              <w:rPr>
                <w:rFonts w:ascii="Arial" w:cs="Arial" w:eastAsia="Arial" w:hAnsi="Arial"/>
                <w:sz w:val="15"/>
                <w:szCs w:val="15"/>
                <w:color w:val="0000FF"/>
                <w:w w:val="86"/>
              </w:rPr>
            </w:pPr>
            <w:hyperlink w:anchor="page40">
              <w:r>
                <w:rPr>
                  <w:rFonts w:ascii="Arial" w:cs="Arial" w:eastAsia="Arial" w:hAnsi="Arial"/>
                  <w:sz w:val="15"/>
                  <w:szCs w:val="15"/>
                  <w:color w:val="0000FF"/>
                  <w:w w:val="86"/>
                </w:rPr>
                <w:t>Risk Factors</w:t>
              </w:r>
            </w:hyperlink>
          </w:p>
        </w:tc>
        <w:tc>
          <w:tcPr>
            <w:tcW w:w="320" w:type="dxa"/>
            <w:vAlign w:val="bottom"/>
          </w:tcPr>
          <w:p>
            <w:pPr>
              <w:spacing w:after="0"/>
              <w:rPr>
                <w:sz w:val="24"/>
                <w:szCs w:val="24"/>
                <w:color w:val="auto"/>
              </w:rPr>
            </w:pPr>
          </w:p>
        </w:tc>
        <w:tc>
          <w:tcPr>
            <w:tcW w:w="7600" w:type="dxa"/>
            <w:vAlign w:val="bottom"/>
            <w:gridSpan w:val="11"/>
          </w:tcPr>
          <w:p>
            <w:pPr>
              <w:spacing w:after="0"/>
              <w:rPr>
                <w:sz w:val="24"/>
                <w:szCs w:val="24"/>
                <w:color w:val="auto"/>
              </w:rPr>
            </w:pPr>
          </w:p>
        </w:tc>
        <w:tc>
          <w:tcPr>
            <w:tcW w:w="1300" w:type="dxa"/>
            <w:vAlign w:val="bottom"/>
            <w:gridSpan w:val="2"/>
          </w:tcPr>
          <w:p>
            <w:pPr>
              <w:jc w:val="center"/>
              <w:ind w:left="1088"/>
              <w:spacing w:after="0"/>
              <w:rPr>
                <w:rFonts w:ascii="Arial" w:cs="Arial" w:eastAsia="Arial" w:hAnsi="Arial"/>
                <w:sz w:val="15"/>
                <w:szCs w:val="15"/>
                <w:color w:val="0000EE"/>
                <w:w w:val="83"/>
              </w:rPr>
            </w:pPr>
            <w:hyperlink w:anchor="page40">
              <w:r>
                <w:rPr>
                  <w:rFonts w:ascii="Arial" w:cs="Arial" w:eastAsia="Arial" w:hAnsi="Arial"/>
                  <w:sz w:val="15"/>
                  <w:szCs w:val="15"/>
                  <w:color w:val="0000EE"/>
                  <w:w w:val="83"/>
                </w:rPr>
                <w:t>38</w:t>
              </w:r>
            </w:hyperlink>
          </w:p>
        </w:tc>
        <w:tc>
          <w:tcPr>
            <w:tcW w:w="120" w:type="dxa"/>
            <w:vAlign w:val="bottom"/>
          </w:tcPr>
          <w:p>
            <w:pPr>
              <w:spacing w:after="0"/>
              <w:rPr>
                <w:sz w:val="24"/>
                <w:szCs w:val="24"/>
                <w:color w:val="auto"/>
              </w:rPr>
            </w:pPr>
          </w:p>
        </w:tc>
      </w:tr>
      <w:tr>
        <w:trPr>
          <w:trHeight w:val="20"/>
        </w:trPr>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12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300"/>
        </w:trPr>
        <w:tc>
          <w:tcPr>
            <w:tcW w:w="1020" w:type="dxa"/>
            <w:vAlign w:val="bottom"/>
            <w:gridSpan w:val="3"/>
          </w:tcPr>
          <w:p>
            <w:pPr>
              <w:spacing w:after="0"/>
              <w:rPr>
                <w:sz w:val="20"/>
                <w:szCs w:val="20"/>
                <w:color w:val="auto"/>
              </w:rPr>
            </w:pPr>
            <w:r>
              <w:rPr>
                <w:rFonts w:ascii="Arial" w:cs="Arial" w:eastAsia="Arial" w:hAnsi="Arial"/>
                <w:sz w:val="15"/>
                <w:szCs w:val="15"/>
                <w:color w:val="auto"/>
              </w:rPr>
              <w:t>Item 2.</w:t>
            </w:r>
          </w:p>
        </w:tc>
        <w:tc>
          <w:tcPr>
            <w:tcW w:w="8660" w:type="dxa"/>
            <w:vAlign w:val="bottom"/>
            <w:gridSpan w:val="14"/>
          </w:tcPr>
          <w:p>
            <w:pPr>
              <w:spacing w:after="0"/>
              <w:rPr>
                <w:rFonts w:ascii="Arial" w:cs="Arial" w:eastAsia="Arial" w:hAnsi="Arial"/>
                <w:sz w:val="15"/>
                <w:szCs w:val="15"/>
                <w:color w:val="0000FF"/>
              </w:rPr>
            </w:pPr>
            <w:hyperlink w:anchor="page40">
              <w:r>
                <w:rPr>
                  <w:rFonts w:ascii="Arial" w:cs="Arial" w:eastAsia="Arial" w:hAnsi="Arial"/>
                  <w:sz w:val="15"/>
                  <w:szCs w:val="15"/>
                  <w:color w:val="0000FF"/>
                </w:rPr>
                <w:t>Unregistered Sales of Equity Securities and Use of Proceeds</w:t>
              </w:r>
            </w:hyperlink>
          </w:p>
        </w:tc>
        <w:tc>
          <w:tcPr>
            <w:tcW w:w="1300" w:type="dxa"/>
            <w:vAlign w:val="bottom"/>
            <w:gridSpan w:val="2"/>
          </w:tcPr>
          <w:p>
            <w:pPr>
              <w:jc w:val="center"/>
              <w:ind w:left="1088"/>
              <w:spacing w:after="0"/>
              <w:rPr>
                <w:rFonts w:ascii="Arial" w:cs="Arial" w:eastAsia="Arial" w:hAnsi="Arial"/>
                <w:sz w:val="15"/>
                <w:szCs w:val="15"/>
                <w:color w:val="0000EE"/>
                <w:w w:val="83"/>
              </w:rPr>
            </w:pPr>
            <w:hyperlink w:anchor="page40">
              <w:r>
                <w:rPr>
                  <w:rFonts w:ascii="Arial" w:cs="Arial" w:eastAsia="Arial" w:hAnsi="Arial"/>
                  <w:sz w:val="15"/>
                  <w:szCs w:val="15"/>
                  <w:color w:val="0000EE"/>
                  <w:w w:val="83"/>
                </w:rPr>
                <w:t>38</w:t>
              </w:r>
            </w:hyperlink>
          </w:p>
        </w:tc>
        <w:tc>
          <w:tcPr>
            <w:tcW w:w="120" w:type="dxa"/>
            <w:vAlign w:val="bottom"/>
          </w:tcPr>
          <w:p>
            <w:pPr>
              <w:spacing w:after="0"/>
              <w:rPr>
                <w:sz w:val="24"/>
                <w:szCs w:val="24"/>
                <w:color w:val="auto"/>
              </w:rPr>
            </w:pPr>
          </w:p>
        </w:tc>
      </w:tr>
      <w:tr>
        <w:trPr>
          <w:trHeight w:val="20"/>
        </w:trPr>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40" w:type="dxa"/>
            <w:vAlign w:val="bottom"/>
            <w:tcBorders>
              <w:left w:val="single" w:sz="8" w:color="0000FF"/>
            </w:tcBorders>
            <w:gridSpan w:val="2"/>
            <w:shd w:val="clear" w:color="auto" w:fill="0000FF"/>
          </w:tcPr>
          <w:p>
            <w:pPr>
              <w:spacing w:after="0" w:line="20" w:lineRule="exact"/>
              <w:rPr>
                <w:sz w:val="1"/>
                <w:szCs w:val="1"/>
                <w:color w:val="auto"/>
              </w:rPr>
            </w:pPr>
          </w:p>
        </w:tc>
        <w:tc>
          <w:tcPr>
            <w:tcW w:w="1640" w:type="dxa"/>
            <w:vAlign w:val="bottom"/>
            <w:tcBorders>
              <w:left w:val="single" w:sz="8" w:color="0000FF"/>
            </w:tcBorders>
            <w:gridSpan w:val="2"/>
            <w:shd w:val="clear" w:color="auto" w:fill="0000FF"/>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12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300"/>
        </w:trPr>
        <w:tc>
          <w:tcPr>
            <w:tcW w:w="1020" w:type="dxa"/>
            <w:vAlign w:val="bottom"/>
            <w:gridSpan w:val="3"/>
          </w:tcPr>
          <w:p>
            <w:pPr>
              <w:spacing w:after="0"/>
              <w:rPr>
                <w:sz w:val="20"/>
                <w:szCs w:val="20"/>
                <w:color w:val="auto"/>
              </w:rPr>
            </w:pPr>
            <w:r>
              <w:rPr>
                <w:rFonts w:ascii="Arial" w:cs="Arial" w:eastAsia="Arial" w:hAnsi="Arial"/>
                <w:sz w:val="15"/>
                <w:szCs w:val="15"/>
                <w:color w:val="auto"/>
              </w:rPr>
              <w:t>Item 3.</w:t>
            </w:r>
          </w:p>
        </w:tc>
        <w:tc>
          <w:tcPr>
            <w:tcW w:w="1900" w:type="dxa"/>
            <w:vAlign w:val="bottom"/>
            <w:gridSpan w:val="5"/>
          </w:tcPr>
          <w:p>
            <w:pPr>
              <w:spacing w:after="0"/>
              <w:rPr>
                <w:rFonts w:ascii="Arial" w:cs="Arial" w:eastAsia="Arial" w:hAnsi="Arial"/>
                <w:sz w:val="15"/>
                <w:szCs w:val="15"/>
                <w:color w:val="0000FF"/>
                <w:w w:val="87"/>
              </w:rPr>
            </w:pPr>
            <w:hyperlink w:anchor="page41">
              <w:r>
                <w:rPr>
                  <w:rFonts w:ascii="Arial" w:cs="Arial" w:eastAsia="Arial" w:hAnsi="Arial"/>
                  <w:sz w:val="15"/>
                  <w:szCs w:val="15"/>
                  <w:color w:val="0000FF"/>
                  <w:w w:val="87"/>
                </w:rPr>
                <w:t>Defaults Upon Senior Securities</w:t>
              </w:r>
            </w:hyperlink>
          </w:p>
        </w:tc>
        <w:tc>
          <w:tcPr>
            <w:tcW w:w="1640" w:type="dxa"/>
            <w:vAlign w:val="bottom"/>
            <w:gridSpan w:val="2"/>
          </w:tcPr>
          <w:p>
            <w:pPr>
              <w:spacing w:after="0"/>
              <w:rPr>
                <w:sz w:val="24"/>
                <w:szCs w:val="24"/>
                <w:color w:val="auto"/>
              </w:rPr>
            </w:pPr>
          </w:p>
        </w:tc>
        <w:tc>
          <w:tcPr>
            <w:tcW w:w="5120" w:type="dxa"/>
            <w:vAlign w:val="bottom"/>
            <w:gridSpan w:val="7"/>
          </w:tcPr>
          <w:p>
            <w:pPr>
              <w:spacing w:after="0"/>
              <w:rPr>
                <w:sz w:val="24"/>
                <w:szCs w:val="24"/>
                <w:color w:val="auto"/>
              </w:rPr>
            </w:pPr>
          </w:p>
        </w:tc>
        <w:tc>
          <w:tcPr>
            <w:tcW w:w="1300" w:type="dxa"/>
            <w:vAlign w:val="bottom"/>
            <w:gridSpan w:val="2"/>
          </w:tcPr>
          <w:p>
            <w:pPr>
              <w:jc w:val="center"/>
              <w:ind w:left="1088"/>
              <w:spacing w:after="0"/>
              <w:rPr>
                <w:rFonts w:ascii="Arial" w:cs="Arial" w:eastAsia="Arial" w:hAnsi="Arial"/>
                <w:sz w:val="15"/>
                <w:szCs w:val="15"/>
                <w:color w:val="0000EE"/>
                <w:w w:val="83"/>
              </w:rPr>
            </w:pPr>
            <w:hyperlink w:anchor="page41">
              <w:r>
                <w:rPr>
                  <w:rFonts w:ascii="Arial" w:cs="Arial" w:eastAsia="Arial" w:hAnsi="Arial"/>
                  <w:sz w:val="15"/>
                  <w:szCs w:val="15"/>
                  <w:color w:val="0000EE"/>
                  <w:w w:val="83"/>
                </w:rPr>
                <w:t>39</w:t>
              </w:r>
            </w:hyperlink>
          </w:p>
        </w:tc>
        <w:tc>
          <w:tcPr>
            <w:tcW w:w="120" w:type="dxa"/>
            <w:vAlign w:val="bottom"/>
          </w:tcPr>
          <w:p>
            <w:pPr>
              <w:spacing w:after="0"/>
              <w:rPr>
                <w:sz w:val="24"/>
                <w:szCs w:val="24"/>
                <w:color w:val="auto"/>
              </w:rPr>
            </w:pPr>
          </w:p>
        </w:tc>
      </w:tr>
      <w:tr>
        <w:trPr>
          <w:trHeight w:val="20"/>
        </w:trPr>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40" w:type="dxa"/>
            <w:vAlign w:val="bottom"/>
            <w:tcBorders>
              <w:left w:val="single" w:sz="8" w:color="0000FF"/>
            </w:tcBorders>
            <w:gridSpan w:val="2"/>
            <w:shd w:val="clear" w:color="auto" w:fill="0000FF"/>
          </w:tcPr>
          <w:p>
            <w:pPr>
              <w:spacing w:after="0" w:line="20" w:lineRule="exact"/>
              <w:rPr>
                <w:sz w:val="1"/>
                <w:szCs w:val="1"/>
                <w:color w:val="auto"/>
              </w:rPr>
            </w:pPr>
          </w:p>
        </w:tc>
        <w:tc>
          <w:tcPr>
            <w:tcW w:w="6760" w:type="dxa"/>
            <w:vAlign w:val="bottom"/>
            <w:gridSpan w:val="9"/>
          </w:tcPr>
          <w:p>
            <w:pPr>
              <w:spacing w:after="0" w:line="20" w:lineRule="exact"/>
              <w:rPr>
                <w:sz w:val="1"/>
                <w:szCs w:val="1"/>
                <w:color w:val="auto"/>
              </w:rPr>
            </w:pPr>
          </w:p>
        </w:tc>
        <w:tc>
          <w:tcPr>
            <w:tcW w:w="12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300"/>
        </w:trPr>
        <w:tc>
          <w:tcPr>
            <w:tcW w:w="1020" w:type="dxa"/>
            <w:vAlign w:val="bottom"/>
            <w:gridSpan w:val="3"/>
          </w:tcPr>
          <w:p>
            <w:pPr>
              <w:spacing w:after="0"/>
              <w:rPr>
                <w:sz w:val="20"/>
                <w:szCs w:val="20"/>
                <w:color w:val="auto"/>
              </w:rPr>
            </w:pPr>
            <w:r>
              <w:rPr>
                <w:rFonts w:ascii="Arial" w:cs="Arial" w:eastAsia="Arial" w:hAnsi="Arial"/>
                <w:sz w:val="15"/>
                <w:szCs w:val="15"/>
                <w:color w:val="auto"/>
              </w:rPr>
              <w:t>Item 4.</w:t>
            </w:r>
          </w:p>
        </w:tc>
        <w:tc>
          <w:tcPr>
            <w:tcW w:w="1440" w:type="dxa"/>
            <w:vAlign w:val="bottom"/>
            <w:gridSpan w:val="4"/>
          </w:tcPr>
          <w:p>
            <w:pPr>
              <w:spacing w:after="0"/>
              <w:rPr>
                <w:rFonts w:ascii="Arial" w:cs="Arial" w:eastAsia="Arial" w:hAnsi="Arial"/>
                <w:sz w:val="15"/>
                <w:szCs w:val="15"/>
                <w:color w:val="0000FF"/>
                <w:w w:val="88"/>
              </w:rPr>
            </w:pPr>
            <w:hyperlink w:anchor="page41">
              <w:r>
                <w:rPr>
                  <w:rFonts w:ascii="Arial" w:cs="Arial" w:eastAsia="Arial" w:hAnsi="Arial"/>
                  <w:sz w:val="15"/>
                  <w:szCs w:val="15"/>
                  <w:color w:val="0000FF"/>
                  <w:w w:val="88"/>
                </w:rPr>
                <w:t>Mine Safety Disclosures</w:t>
              </w:r>
            </w:hyperlink>
          </w:p>
        </w:tc>
        <w:tc>
          <w:tcPr>
            <w:tcW w:w="460" w:type="dxa"/>
            <w:vAlign w:val="bottom"/>
          </w:tcPr>
          <w:p>
            <w:pPr>
              <w:spacing w:after="0"/>
              <w:rPr>
                <w:sz w:val="24"/>
                <w:szCs w:val="24"/>
                <w:color w:val="auto"/>
              </w:rPr>
            </w:pPr>
          </w:p>
        </w:tc>
        <w:tc>
          <w:tcPr>
            <w:tcW w:w="6760" w:type="dxa"/>
            <w:vAlign w:val="bottom"/>
            <w:gridSpan w:val="9"/>
          </w:tcPr>
          <w:p>
            <w:pPr>
              <w:spacing w:after="0"/>
              <w:rPr>
                <w:sz w:val="24"/>
                <w:szCs w:val="24"/>
                <w:color w:val="auto"/>
              </w:rPr>
            </w:pPr>
          </w:p>
        </w:tc>
        <w:tc>
          <w:tcPr>
            <w:tcW w:w="1300" w:type="dxa"/>
            <w:vAlign w:val="bottom"/>
            <w:gridSpan w:val="2"/>
          </w:tcPr>
          <w:p>
            <w:pPr>
              <w:jc w:val="center"/>
              <w:ind w:left="1088"/>
              <w:spacing w:after="0"/>
              <w:rPr>
                <w:rFonts w:ascii="Arial" w:cs="Arial" w:eastAsia="Arial" w:hAnsi="Arial"/>
                <w:sz w:val="15"/>
                <w:szCs w:val="15"/>
                <w:color w:val="0000EE"/>
                <w:w w:val="83"/>
              </w:rPr>
            </w:pPr>
            <w:hyperlink w:anchor="page41">
              <w:r>
                <w:rPr>
                  <w:rFonts w:ascii="Arial" w:cs="Arial" w:eastAsia="Arial" w:hAnsi="Arial"/>
                  <w:sz w:val="15"/>
                  <w:szCs w:val="15"/>
                  <w:color w:val="0000EE"/>
                  <w:w w:val="83"/>
                </w:rPr>
                <w:t>39</w:t>
              </w:r>
            </w:hyperlink>
          </w:p>
        </w:tc>
        <w:tc>
          <w:tcPr>
            <w:tcW w:w="120" w:type="dxa"/>
            <w:vAlign w:val="bottom"/>
          </w:tcPr>
          <w:p>
            <w:pPr>
              <w:spacing w:after="0"/>
              <w:rPr>
                <w:sz w:val="24"/>
                <w:szCs w:val="24"/>
                <w:color w:val="auto"/>
              </w:rPr>
            </w:pPr>
          </w:p>
        </w:tc>
      </w:tr>
      <w:tr>
        <w:trPr>
          <w:trHeight w:val="20"/>
        </w:trPr>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7220" w:type="dxa"/>
            <w:vAlign w:val="bottom"/>
            <w:gridSpan w:val="10"/>
          </w:tcPr>
          <w:p>
            <w:pPr>
              <w:spacing w:after="0" w:line="20" w:lineRule="exact"/>
              <w:rPr>
                <w:sz w:val="1"/>
                <w:szCs w:val="1"/>
                <w:color w:val="auto"/>
              </w:rPr>
            </w:pPr>
          </w:p>
        </w:tc>
        <w:tc>
          <w:tcPr>
            <w:tcW w:w="12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300"/>
        </w:trPr>
        <w:tc>
          <w:tcPr>
            <w:tcW w:w="1020" w:type="dxa"/>
            <w:vAlign w:val="bottom"/>
            <w:gridSpan w:val="3"/>
          </w:tcPr>
          <w:p>
            <w:pPr>
              <w:spacing w:after="0"/>
              <w:rPr>
                <w:sz w:val="20"/>
                <w:szCs w:val="20"/>
                <w:color w:val="auto"/>
              </w:rPr>
            </w:pPr>
            <w:r>
              <w:rPr>
                <w:rFonts w:ascii="Arial" w:cs="Arial" w:eastAsia="Arial" w:hAnsi="Arial"/>
                <w:sz w:val="15"/>
                <w:szCs w:val="15"/>
                <w:color w:val="auto"/>
              </w:rPr>
              <w:t>Item 5.</w:t>
            </w:r>
          </w:p>
        </w:tc>
        <w:tc>
          <w:tcPr>
            <w:tcW w:w="1440" w:type="dxa"/>
            <w:vAlign w:val="bottom"/>
            <w:gridSpan w:val="4"/>
          </w:tcPr>
          <w:p>
            <w:pPr>
              <w:spacing w:after="0"/>
              <w:rPr>
                <w:rFonts w:ascii="Arial" w:cs="Arial" w:eastAsia="Arial" w:hAnsi="Arial"/>
                <w:sz w:val="15"/>
                <w:szCs w:val="15"/>
                <w:color w:val="0000FF"/>
              </w:rPr>
            </w:pPr>
            <w:hyperlink w:anchor="page41">
              <w:r>
                <w:rPr>
                  <w:rFonts w:ascii="Arial" w:cs="Arial" w:eastAsia="Arial" w:hAnsi="Arial"/>
                  <w:sz w:val="15"/>
                  <w:szCs w:val="15"/>
                  <w:color w:val="0000FF"/>
                </w:rPr>
                <w:t>Other Information</w:t>
              </w:r>
            </w:hyperlink>
          </w:p>
        </w:tc>
        <w:tc>
          <w:tcPr>
            <w:tcW w:w="7220" w:type="dxa"/>
            <w:vAlign w:val="bottom"/>
            <w:gridSpan w:val="10"/>
          </w:tcPr>
          <w:p>
            <w:pPr>
              <w:spacing w:after="0"/>
              <w:rPr>
                <w:sz w:val="24"/>
                <w:szCs w:val="24"/>
                <w:color w:val="auto"/>
              </w:rPr>
            </w:pPr>
          </w:p>
        </w:tc>
        <w:tc>
          <w:tcPr>
            <w:tcW w:w="1300" w:type="dxa"/>
            <w:vAlign w:val="bottom"/>
            <w:gridSpan w:val="2"/>
          </w:tcPr>
          <w:p>
            <w:pPr>
              <w:jc w:val="center"/>
              <w:ind w:left="1088"/>
              <w:spacing w:after="0"/>
              <w:rPr>
                <w:rFonts w:ascii="Arial" w:cs="Arial" w:eastAsia="Arial" w:hAnsi="Arial"/>
                <w:sz w:val="15"/>
                <w:szCs w:val="15"/>
                <w:color w:val="0000EE"/>
                <w:w w:val="83"/>
              </w:rPr>
            </w:pPr>
            <w:hyperlink w:anchor="page41">
              <w:r>
                <w:rPr>
                  <w:rFonts w:ascii="Arial" w:cs="Arial" w:eastAsia="Arial" w:hAnsi="Arial"/>
                  <w:sz w:val="15"/>
                  <w:szCs w:val="15"/>
                  <w:color w:val="0000EE"/>
                  <w:w w:val="83"/>
                </w:rPr>
                <w:t>39</w:t>
              </w:r>
            </w:hyperlink>
          </w:p>
        </w:tc>
        <w:tc>
          <w:tcPr>
            <w:tcW w:w="120" w:type="dxa"/>
            <w:vAlign w:val="bottom"/>
          </w:tcPr>
          <w:p>
            <w:pPr>
              <w:spacing w:after="0"/>
              <w:rPr>
                <w:sz w:val="24"/>
                <w:szCs w:val="24"/>
                <w:color w:val="auto"/>
              </w:rPr>
            </w:pPr>
          </w:p>
        </w:tc>
      </w:tr>
      <w:tr>
        <w:trPr>
          <w:trHeight w:val="20"/>
        </w:trPr>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600" w:type="dxa"/>
            <w:vAlign w:val="bottom"/>
            <w:gridSpan w:val="11"/>
          </w:tcPr>
          <w:p>
            <w:pPr>
              <w:spacing w:after="0" w:line="20" w:lineRule="exact"/>
              <w:rPr>
                <w:sz w:val="1"/>
                <w:szCs w:val="1"/>
                <w:color w:val="auto"/>
              </w:rPr>
            </w:pPr>
          </w:p>
        </w:tc>
        <w:tc>
          <w:tcPr>
            <w:tcW w:w="12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300"/>
        </w:trPr>
        <w:tc>
          <w:tcPr>
            <w:tcW w:w="1020" w:type="dxa"/>
            <w:vAlign w:val="bottom"/>
            <w:gridSpan w:val="3"/>
          </w:tcPr>
          <w:p>
            <w:pPr>
              <w:spacing w:after="0"/>
              <w:rPr>
                <w:sz w:val="20"/>
                <w:szCs w:val="20"/>
                <w:color w:val="auto"/>
              </w:rPr>
            </w:pPr>
            <w:r>
              <w:rPr>
                <w:rFonts w:ascii="Arial" w:cs="Arial" w:eastAsia="Arial" w:hAnsi="Arial"/>
                <w:sz w:val="15"/>
                <w:szCs w:val="15"/>
                <w:color w:val="auto"/>
              </w:rPr>
              <w:t>Item 6.</w:t>
            </w:r>
          </w:p>
        </w:tc>
        <w:tc>
          <w:tcPr>
            <w:tcW w:w="1060" w:type="dxa"/>
            <w:vAlign w:val="bottom"/>
            <w:gridSpan w:val="3"/>
          </w:tcPr>
          <w:p>
            <w:pPr>
              <w:spacing w:after="0"/>
              <w:rPr>
                <w:rFonts w:ascii="Arial" w:cs="Arial" w:eastAsia="Arial" w:hAnsi="Arial"/>
                <w:sz w:val="15"/>
                <w:szCs w:val="15"/>
                <w:color w:val="0000FF"/>
              </w:rPr>
            </w:pPr>
            <w:hyperlink w:anchor="page42">
              <w:r>
                <w:rPr>
                  <w:rFonts w:ascii="Arial" w:cs="Arial" w:eastAsia="Arial" w:hAnsi="Arial"/>
                  <w:sz w:val="15"/>
                  <w:szCs w:val="15"/>
                  <w:color w:val="0000FF"/>
                </w:rPr>
                <w:t>Exhibits</w:t>
              </w:r>
            </w:hyperlink>
          </w:p>
        </w:tc>
        <w:tc>
          <w:tcPr>
            <w:tcW w:w="7600" w:type="dxa"/>
            <w:vAlign w:val="bottom"/>
            <w:gridSpan w:val="11"/>
          </w:tcPr>
          <w:p>
            <w:pPr>
              <w:spacing w:after="0"/>
              <w:rPr>
                <w:sz w:val="24"/>
                <w:szCs w:val="24"/>
                <w:color w:val="auto"/>
              </w:rPr>
            </w:pPr>
          </w:p>
        </w:tc>
        <w:tc>
          <w:tcPr>
            <w:tcW w:w="1300" w:type="dxa"/>
            <w:vAlign w:val="bottom"/>
            <w:gridSpan w:val="2"/>
          </w:tcPr>
          <w:p>
            <w:pPr>
              <w:jc w:val="center"/>
              <w:ind w:left="1088"/>
              <w:spacing w:after="0"/>
              <w:rPr>
                <w:rFonts w:ascii="Arial" w:cs="Arial" w:eastAsia="Arial" w:hAnsi="Arial"/>
                <w:sz w:val="15"/>
                <w:szCs w:val="15"/>
                <w:color w:val="0000EE"/>
                <w:w w:val="83"/>
              </w:rPr>
            </w:pPr>
            <w:hyperlink w:anchor="page42">
              <w:r>
                <w:rPr>
                  <w:rFonts w:ascii="Arial" w:cs="Arial" w:eastAsia="Arial" w:hAnsi="Arial"/>
                  <w:sz w:val="15"/>
                  <w:szCs w:val="15"/>
                  <w:color w:val="0000EE"/>
                  <w:w w:val="83"/>
                </w:rPr>
                <w:t>40</w:t>
              </w:r>
            </w:hyperlink>
          </w:p>
        </w:tc>
        <w:tc>
          <w:tcPr>
            <w:tcW w:w="120" w:type="dxa"/>
            <w:vAlign w:val="bottom"/>
          </w:tcPr>
          <w:p>
            <w:pPr>
              <w:spacing w:after="0"/>
              <w:rPr>
                <w:sz w:val="24"/>
                <w:szCs w:val="24"/>
                <w:color w:val="auto"/>
              </w:rPr>
            </w:pPr>
          </w:p>
        </w:tc>
      </w:tr>
      <w:tr>
        <w:trPr>
          <w:trHeight w:val="20"/>
        </w:trPr>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300"/>
        </w:trPr>
        <w:tc>
          <w:tcPr>
            <w:tcW w:w="560" w:type="dxa"/>
            <w:vAlign w:val="bottom"/>
            <w:gridSpan w:val="2"/>
          </w:tcPr>
          <w:p>
            <w:pPr>
              <w:spacing w:after="0"/>
              <w:rPr>
                <w:rFonts w:ascii="Arial" w:cs="Arial" w:eastAsia="Arial" w:hAnsi="Arial"/>
                <w:sz w:val="15"/>
                <w:szCs w:val="15"/>
                <w:color w:val="0000EE"/>
                <w:w w:val="80"/>
              </w:rPr>
            </w:pPr>
            <w:hyperlink w:anchor="page42">
              <w:r>
                <w:rPr>
                  <w:rFonts w:ascii="Arial" w:cs="Arial" w:eastAsia="Arial" w:hAnsi="Arial"/>
                  <w:sz w:val="15"/>
                  <w:szCs w:val="15"/>
                  <w:color w:val="0000EE"/>
                  <w:w w:val="80"/>
                </w:rPr>
                <w:t>Signature</w:t>
              </w:r>
            </w:hyperlink>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gridSpan w:val="2"/>
          </w:tcPr>
          <w:p>
            <w:pPr>
              <w:jc w:val="center"/>
              <w:ind w:left="1088"/>
              <w:spacing w:after="0"/>
              <w:rPr>
                <w:rFonts w:ascii="Arial" w:cs="Arial" w:eastAsia="Arial" w:hAnsi="Arial"/>
                <w:sz w:val="15"/>
                <w:szCs w:val="15"/>
                <w:color w:val="0000EE"/>
                <w:w w:val="83"/>
              </w:rPr>
            </w:pPr>
            <w:hyperlink w:anchor="page42">
              <w:r>
                <w:rPr>
                  <w:rFonts w:ascii="Arial" w:cs="Arial" w:eastAsia="Arial" w:hAnsi="Arial"/>
                  <w:sz w:val="15"/>
                  <w:szCs w:val="15"/>
                  <w:color w:val="0000EE"/>
                  <w:w w:val="83"/>
                </w:rPr>
                <w:t>40</w:t>
              </w:r>
            </w:hyperlink>
          </w:p>
        </w:tc>
        <w:tc>
          <w:tcPr>
            <w:tcW w:w="120" w:type="dxa"/>
            <w:vAlign w:val="bottom"/>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bl>
    <w:p>
      <w:pPr>
        <w:sectPr>
          <w:pgSz w:w="11900" w:h="16838" w:orient="portrait"/>
          <w:cols w:equalWidth="0" w:num="1">
            <w:col w:w="11140"/>
          </w:cols>
          <w:pgMar w:left="220" w:top="305" w:right="539" w:bottom="1440" w:gutter="0" w:footer="0" w:header="0"/>
        </w:sectPr>
      </w:pPr>
    </w:p>
    <w:bookmarkStart w:id="2" w:name="page3"/>
    <w:bookmarkEnd w:id="2"/>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351" w:lineRule="exact"/>
        <w:rPr>
          <w:sz w:val="20"/>
          <w:szCs w:val="20"/>
          <w:color w:val="auto"/>
        </w:rPr>
      </w:pPr>
    </w:p>
    <w:p>
      <w:pPr>
        <w:ind w:left="4480"/>
        <w:spacing w:after="0"/>
        <w:rPr>
          <w:sz w:val="20"/>
          <w:szCs w:val="20"/>
          <w:color w:val="auto"/>
        </w:rPr>
      </w:pPr>
      <w:r>
        <w:rPr>
          <w:rFonts w:ascii="Arial" w:cs="Arial" w:eastAsia="Arial" w:hAnsi="Arial"/>
          <w:sz w:val="15"/>
          <w:szCs w:val="15"/>
          <w:b w:val="1"/>
          <w:bCs w:val="1"/>
          <w:color w:val="auto"/>
        </w:rPr>
        <w:t>PART I. FINANCIAL INFORMATION</w:t>
      </w:r>
    </w:p>
    <w:p>
      <w:pPr>
        <w:spacing w:after="0" w:line="70" w:lineRule="exact"/>
        <w:rPr>
          <w:sz w:val="20"/>
          <w:szCs w:val="20"/>
          <w:color w:val="auto"/>
        </w:rPr>
      </w:pPr>
    </w:p>
    <w:p>
      <w:pPr>
        <w:ind w:left="4840"/>
        <w:spacing w:after="0"/>
        <w:rPr>
          <w:sz w:val="20"/>
          <w:szCs w:val="20"/>
          <w:color w:val="auto"/>
        </w:rPr>
      </w:pPr>
      <w:r>
        <w:rPr>
          <w:rFonts w:ascii="Arial" w:cs="Arial" w:eastAsia="Arial" w:hAnsi="Arial"/>
          <w:sz w:val="15"/>
          <w:szCs w:val="15"/>
          <w:b w:val="1"/>
          <w:bCs w:val="1"/>
          <w:color w:val="auto"/>
        </w:rPr>
        <w:t>Item 1.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Matrix Service Company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Income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thousands, except per share data)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6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4"/>
          </w:tcPr>
          <w:p>
            <w:pPr>
              <w:jc w:val="right"/>
              <w:ind w:right="828"/>
              <w:spacing w:after="0"/>
              <w:rPr>
                <w:sz w:val="20"/>
                <w:szCs w:val="20"/>
                <w:color w:val="auto"/>
              </w:rPr>
            </w:pPr>
            <w:r>
              <w:rPr>
                <w:rFonts w:ascii="Arial" w:cs="Arial" w:eastAsia="Arial" w:hAnsi="Arial"/>
                <w:sz w:val="12"/>
                <w:szCs w:val="12"/>
                <w:b w:val="1"/>
                <w:bCs w:val="1"/>
                <w:color w:val="auto"/>
              </w:rPr>
              <w:t>Three Months Ended</w:t>
            </w: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4"/>
          </w:tcPr>
          <w:p>
            <w:pPr>
              <w:jc w:val="right"/>
              <w:ind w:right="828"/>
              <w:spacing w:after="0"/>
              <w:rPr>
                <w:sz w:val="20"/>
                <w:szCs w:val="20"/>
                <w:color w:val="auto"/>
              </w:rPr>
            </w:pPr>
            <w:r>
              <w:rPr>
                <w:rFonts w:ascii="Arial" w:cs="Arial" w:eastAsia="Arial" w:hAnsi="Arial"/>
                <w:sz w:val="12"/>
                <w:szCs w:val="12"/>
                <w:b w:val="1"/>
                <w:bCs w:val="1"/>
                <w:color w:val="auto"/>
              </w:rPr>
              <w:t>Nine Months Ended</w:t>
            </w:r>
          </w:p>
        </w:tc>
      </w:tr>
      <w:tr>
        <w:trPr>
          <w:trHeight w:val="122"/>
        </w:trPr>
        <w:tc>
          <w:tcPr>
            <w:tcW w:w="5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gridSpan w:val="2"/>
          </w:tcPr>
          <w:p>
            <w:pPr>
              <w:ind w:left="180"/>
              <w:spacing w:after="0" w:line="122" w:lineRule="exact"/>
              <w:rPr>
                <w:sz w:val="20"/>
                <w:szCs w:val="20"/>
                <w:color w:val="auto"/>
              </w:rPr>
            </w:pPr>
            <w:r>
              <w:rPr>
                <w:rFonts w:ascii="Arial" w:cs="Arial" w:eastAsia="Arial" w:hAnsi="Arial"/>
                <w:sz w:val="12"/>
                <w:szCs w:val="12"/>
                <w:b w:val="1"/>
                <w:bCs w:val="1"/>
                <w:color w:val="auto"/>
              </w:rPr>
              <w:t>March 31,</w:t>
            </w:r>
          </w:p>
        </w:tc>
        <w:tc>
          <w:tcPr>
            <w:tcW w:w="260" w:type="dxa"/>
            <w:vAlign w:val="bottom"/>
          </w:tcPr>
          <w:p>
            <w:pPr>
              <w:spacing w:after="0"/>
              <w:rPr>
                <w:sz w:val="10"/>
                <w:szCs w:val="10"/>
                <w:color w:val="auto"/>
              </w:rPr>
            </w:pPr>
          </w:p>
        </w:tc>
        <w:tc>
          <w:tcPr>
            <w:tcW w:w="1240" w:type="dxa"/>
            <w:vAlign w:val="bottom"/>
            <w:gridSpan w:val="2"/>
          </w:tcPr>
          <w:p>
            <w:pPr>
              <w:ind w:left="160"/>
              <w:spacing w:after="0" w:line="122" w:lineRule="exact"/>
              <w:rPr>
                <w:sz w:val="20"/>
                <w:szCs w:val="20"/>
                <w:color w:val="auto"/>
              </w:rPr>
            </w:pPr>
            <w:r>
              <w:rPr>
                <w:rFonts w:ascii="Arial" w:cs="Arial" w:eastAsia="Arial" w:hAnsi="Arial"/>
                <w:sz w:val="12"/>
                <w:szCs w:val="12"/>
                <w:b w:val="1"/>
                <w:bCs w:val="1"/>
                <w:color w:val="auto"/>
              </w:rPr>
              <w:t>March 31,</w:t>
            </w:r>
          </w:p>
        </w:tc>
        <w:tc>
          <w:tcPr>
            <w:tcW w:w="240" w:type="dxa"/>
            <w:vAlign w:val="bottom"/>
          </w:tcPr>
          <w:p>
            <w:pPr>
              <w:spacing w:after="0"/>
              <w:rPr>
                <w:sz w:val="10"/>
                <w:szCs w:val="10"/>
                <w:color w:val="auto"/>
              </w:rPr>
            </w:pPr>
          </w:p>
        </w:tc>
        <w:tc>
          <w:tcPr>
            <w:tcW w:w="1220" w:type="dxa"/>
            <w:vAlign w:val="bottom"/>
            <w:gridSpan w:val="2"/>
          </w:tcPr>
          <w:p>
            <w:pPr>
              <w:ind w:left="160"/>
              <w:spacing w:after="0" w:line="122" w:lineRule="exact"/>
              <w:rPr>
                <w:sz w:val="20"/>
                <w:szCs w:val="20"/>
                <w:color w:val="auto"/>
              </w:rPr>
            </w:pPr>
            <w:r>
              <w:rPr>
                <w:rFonts w:ascii="Arial" w:cs="Arial" w:eastAsia="Arial" w:hAnsi="Arial"/>
                <w:sz w:val="12"/>
                <w:szCs w:val="12"/>
                <w:b w:val="1"/>
                <w:bCs w:val="1"/>
                <w:color w:val="auto"/>
              </w:rPr>
              <w:t>March 31,</w:t>
            </w:r>
          </w:p>
        </w:tc>
        <w:tc>
          <w:tcPr>
            <w:tcW w:w="260" w:type="dxa"/>
            <w:vAlign w:val="bottom"/>
          </w:tcPr>
          <w:p>
            <w:pPr>
              <w:spacing w:after="0"/>
              <w:rPr>
                <w:sz w:val="10"/>
                <w:szCs w:val="10"/>
                <w:color w:val="auto"/>
              </w:rPr>
            </w:pPr>
          </w:p>
        </w:tc>
        <w:tc>
          <w:tcPr>
            <w:tcW w:w="1100" w:type="dxa"/>
            <w:vAlign w:val="bottom"/>
          </w:tcPr>
          <w:p>
            <w:pPr>
              <w:jc w:val="right"/>
              <w:ind w:right="368"/>
              <w:spacing w:after="0" w:line="122" w:lineRule="exact"/>
              <w:rPr>
                <w:sz w:val="20"/>
                <w:szCs w:val="20"/>
                <w:color w:val="auto"/>
              </w:rPr>
            </w:pPr>
            <w:r>
              <w:rPr>
                <w:rFonts w:ascii="Arial" w:cs="Arial" w:eastAsia="Arial" w:hAnsi="Arial"/>
                <w:sz w:val="12"/>
                <w:szCs w:val="12"/>
                <w:b w:val="1"/>
                <w:bCs w:val="1"/>
                <w:color w:val="auto"/>
              </w:rPr>
              <w:t>March 31,</w:t>
            </w:r>
          </w:p>
        </w:tc>
      </w:tr>
      <w:tr>
        <w:trPr>
          <w:trHeight w:val="156"/>
        </w:trPr>
        <w:tc>
          <w:tcPr>
            <w:tcW w:w="56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09"/>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2"/>
                <w:szCs w:val="12"/>
                <w:b w:val="1"/>
                <w:bCs w:val="1"/>
                <w:color w:val="auto"/>
              </w:rPr>
              <w:t>2016</w:t>
            </w:r>
          </w:p>
        </w:tc>
        <w:tc>
          <w:tcPr>
            <w:tcW w:w="1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89"/>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2"/>
                <w:szCs w:val="12"/>
                <w:b w:val="1"/>
                <w:bCs w:val="1"/>
                <w:color w:val="auto"/>
              </w:rPr>
              <w:t>2016</w:t>
            </w:r>
          </w:p>
        </w:tc>
      </w:tr>
      <w:tr>
        <w:trPr>
          <w:trHeight w:val="19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Revenues</w:t>
            </w:r>
          </w:p>
        </w:tc>
        <w:tc>
          <w:tcPr>
            <w:tcW w:w="2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251,237</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309,422</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905,673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952,282</w:t>
            </w:r>
          </w:p>
        </w:tc>
      </w:tr>
      <w:tr>
        <w:trPr>
          <w:trHeight w:val="198"/>
        </w:trPr>
        <w:tc>
          <w:tcPr>
            <w:tcW w:w="5620" w:type="dxa"/>
            <w:vAlign w:val="bottom"/>
          </w:tcPr>
          <w:p>
            <w:pPr>
              <w:ind w:left="40"/>
              <w:spacing w:after="0"/>
              <w:rPr>
                <w:sz w:val="20"/>
                <w:szCs w:val="20"/>
                <w:color w:val="auto"/>
              </w:rPr>
            </w:pPr>
            <w:r>
              <w:rPr>
                <w:rFonts w:ascii="Arial" w:cs="Arial" w:eastAsia="Arial" w:hAnsi="Arial"/>
                <w:sz w:val="15"/>
                <w:szCs w:val="15"/>
                <w:color w:val="auto"/>
              </w:rPr>
              <w:t>Cost of revenues</w:t>
            </w:r>
          </w:p>
        </w:tc>
        <w:tc>
          <w:tcPr>
            <w:tcW w:w="260" w:type="dxa"/>
            <w:vAlign w:val="bottom"/>
          </w:tcPr>
          <w:p>
            <w:pPr>
              <w:spacing w:after="0"/>
              <w:rPr>
                <w:sz w:val="17"/>
                <w:szCs w:val="17"/>
                <w:color w:val="auto"/>
              </w:rPr>
            </w:pPr>
          </w:p>
        </w:tc>
        <w:tc>
          <w:tcPr>
            <w:tcW w:w="1140" w:type="dxa"/>
            <w:vAlign w:val="bottom"/>
          </w:tcPr>
          <w:p>
            <w:pPr>
              <w:jc w:val="right"/>
              <w:ind w:right="49"/>
              <w:spacing w:after="0"/>
              <w:rPr>
                <w:sz w:val="20"/>
                <w:szCs w:val="20"/>
                <w:color w:val="auto"/>
              </w:rPr>
            </w:pPr>
            <w:r>
              <w:rPr>
                <w:rFonts w:ascii="Arial" w:cs="Arial" w:eastAsia="Arial" w:hAnsi="Arial"/>
                <w:sz w:val="15"/>
                <w:szCs w:val="15"/>
                <w:color w:val="auto"/>
              </w:rPr>
              <w:t>253,851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5"/>
                <w:szCs w:val="15"/>
                <w:color w:val="auto"/>
              </w:rPr>
              <w:t>282,119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9"/>
              <w:spacing w:after="0"/>
              <w:rPr>
                <w:sz w:val="20"/>
                <w:szCs w:val="20"/>
                <w:color w:val="auto"/>
              </w:rPr>
            </w:pPr>
            <w:r>
              <w:rPr>
                <w:rFonts w:ascii="Arial" w:cs="Arial" w:eastAsia="Arial" w:hAnsi="Arial"/>
                <w:sz w:val="15"/>
                <w:szCs w:val="15"/>
                <w:color w:val="auto"/>
              </w:rPr>
              <w:t>847,797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5"/>
                <w:szCs w:val="15"/>
                <w:color w:val="auto"/>
              </w:rPr>
              <w:t>860,390</w:t>
            </w:r>
          </w:p>
        </w:tc>
      </w:tr>
      <w:tr>
        <w:trPr>
          <w:trHeight w:val="22"/>
        </w:trPr>
        <w:tc>
          <w:tcPr>
            <w:tcW w:w="5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Gross profit (loss)</w:t>
            </w:r>
          </w:p>
        </w:tc>
        <w:tc>
          <w:tcPr>
            <w:tcW w:w="2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5"/>
                <w:szCs w:val="15"/>
                <w:color w:val="auto"/>
              </w:rPr>
              <w:t>(2,614)</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27,303</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57,876</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91,892</w:t>
            </w:r>
          </w:p>
        </w:tc>
      </w:tr>
      <w:tr>
        <w:trPr>
          <w:trHeight w:val="198"/>
        </w:trPr>
        <w:tc>
          <w:tcPr>
            <w:tcW w:w="5620" w:type="dxa"/>
            <w:vAlign w:val="bottom"/>
          </w:tcPr>
          <w:p>
            <w:pPr>
              <w:ind w:left="40"/>
              <w:spacing w:after="0"/>
              <w:rPr>
                <w:sz w:val="20"/>
                <w:szCs w:val="20"/>
                <w:color w:val="auto"/>
              </w:rPr>
            </w:pPr>
            <w:r>
              <w:rPr>
                <w:rFonts w:ascii="Arial" w:cs="Arial" w:eastAsia="Arial" w:hAnsi="Arial"/>
                <w:sz w:val="15"/>
                <w:szCs w:val="15"/>
                <w:color w:val="auto"/>
              </w:rPr>
              <w:t>Selling, general and administrative expenses</w:t>
            </w:r>
          </w:p>
        </w:tc>
        <w:tc>
          <w:tcPr>
            <w:tcW w:w="260" w:type="dxa"/>
            <w:vAlign w:val="bottom"/>
          </w:tcPr>
          <w:p>
            <w:pPr>
              <w:spacing w:after="0"/>
              <w:rPr>
                <w:sz w:val="17"/>
                <w:szCs w:val="17"/>
                <w:color w:val="auto"/>
              </w:rPr>
            </w:pPr>
          </w:p>
        </w:tc>
        <w:tc>
          <w:tcPr>
            <w:tcW w:w="1140" w:type="dxa"/>
            <w:vAlign w:val="bottom"/>
          </w:tcPr>
          <w:p>
            <w:pPr>
              <w:jc w:val="right"/>
              <w:ind w:right="49"/>
              <w:spacing w:after="0"/>
              <w:rPr>
                <w:sz w:val="20"/>
                <w:szCs w:val="20"/>
                <w:color w:val="auto"/>
              </w:rPr>
            </w:pPr>
            <w:r>
              <w:rPr>
                <w:rFonts w:ascii="Arial" w:cs="Arial" w:eastAsia="Arial" w:hAnsi="Arial"/>
                <w:sz w:val="15"/>
                <w:szCs w:val="15"/>
                <w:color w:val="auto"/>
              </w:rPr>
              <w:t>18,596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5"/>
                <w:szCs w:val="15"/>
                <w:color w:val="auto"/>
              </w:rPr>
              <w:t>20,956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9"/>
              <w:spacing w:after="0"/>
              <w:rPr>
                <w:sz w:val="20"/>
                <w:szCs w:val="20"/>
                <w:color w:val="auto"/>
              </w:rPr>
            </w:pPr>
            <w:r>
              <w:rPr>
                <w:rFonts w:ascii="Arial" w:cs="Arial" w:eastAsia="Arial" w:hAnsi="Arial"/>
                <w:sz w:val="15"/>
                <w:szCs w:val="15"/>
                <w:color w:val="auto"/>
              </w:rPr>
              <w:t>56,548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5"/>
                <w:szCs w:val="15"/>
                <w:color w:val="auto"/>
              </w:rPr>
              <w:t>65,509</w:t>
            </w:r>
          </w:p>
        </w:tc>
      </w:tr>
      <w:tr>
        <w:trPr>
          <w:trHeight w:val="22"/>
        </w:trPr>
        <w:tc>
          <w:tcPr>
            <w:tcW w:w="5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Operating income (loss)</w:t>
            </w:r>
          </w:p>
        </w:tc>
        <w:tc>
          <w:tcPr>
            <w:tcW w:w="2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5"/>
                <w:szCs w:val="15"/>
                <w:color w:val="auto"/>
              </w:rPr>
              <w:t>(21,210)</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6,347</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1,328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26,383</w:t>
            </w:r>
          </w:p>
        </w:tc>
      </w:tr>
      <w:tr>
        <w:trPr>
          <w:trHeight w:val="198"/>
        </w:trPr>
        <w:tc>
          <w:tcPr>
            <w:tcW w:w="5620" w:type="dxa"/>
            <w:vAlign w:val="bottom"/>
          </w:tcPr>
          <w:p>
            <w:pPr>
              <w:ind w:left="40"/>
              <w:spacing w:after="0"/>
              <w:rPr>
                <w:sz w:val="20"/>
                <w:szCs w:val="20"/>
                <w:color w:val="auto"/>
              </w:rPr>
            </w:pPr>
            <w:r>
              <w:rPr>
                <w:rFonts w:ascii="Arial" w:cs="Arial" w:eastAsia="Arial" w:hAnsi="Arial"/>
                <w:sz w:val="15"/>
                <w:szCs w:val="15"/>
                <w:color w:val="auto"/>
              </w:rPr>
              <w:t>Other income (expense):</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
        </w:trPr>
        <w:tc>
          <w:tcPr>
            <w:tcW w:w="5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0"/>
        </w:trPr>
        <w:tc>
          <w:tcPr>
            <w:tcW w:w="5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Interest expense</w:t>
            </w:r>
          </w:p>
        </w:tc>
        <w:tc>
          <w:tcPr>
            <w:tcW w:w="2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5"/>
                <w:szCs w:val="15"/>
                <w:color w:val="auto"/>
              </w:rPr>
              <w:t>(833)</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(241)</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(1,573)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(756)</w:t>
            </w:r>
          </w:p>
        </w:tc>
      </w:tr>
      <w:tr>
        <w:trPr>
          <w:trHeight w:val="198"/>
        </w:trPr>
        <w:tc>
          <w:tcPr>
            <w:tcW w:w="5620" w:type="dxa"/>
            <w:vAlign w:val="bottom"/>
          </w:tcPr>
          <w:p>
            <w:pPr>
              <w:ind w:left="320"/>
              <w:spacing w:after="0"/>
              <w:rPr>
                <w:sz w:val="20"/>
                <w:szCs w:val="20"/>
                <w:color w:val="auto"/>
              </w:rPr>
            </w:pPr>
            <w:r>
              <w:rPr>
                <w:rFonts w:ascii="Arial" w:cs="Arial" w:eastAsia="Arial" w:hAnsi="Arial"/>
                <w:sz w:val="15"/>
                <w:szCs w:val="15"/>
                <w:color w:val="auto"/>
              </w:rPr>
              <w:t>Interest income</w:t>
            </w:r>
          </w:p>
        </w:tc>
        <w:tc>
          <w:tcPr>
            <w:tcW w:w="260" w:type="dxa"/>
            <w:vAlign w:val="bottom"/>
          </w:tcPr>
          <w:p>
            <w:pPr>
              <w:spacing w:after="0"/>
              <w:rPr>
                <w:sz w:val="17"/>
                <w:szCs w:val="17"/>
                <w:color w:val="auto"/>
              </w:rPr>
            </w:pPr>
          </w:p>
        </w:tc>
        <w:tc>
          <w:tcPr>
            <w:tcW w:w="1140" w:type="dxa"/>
            <w:vAlign w:val="bottom"/>
          </w:tcPr>
          <w:p>
            <w:pPr>
              <w:jc w:val="right"/>
              <w:ind w:right="49"/>
              <w:spacing w:after="0"/>
              <w:rPr>
                <w:sz w:val="20"/>
                <w:szCs w:val="20"/>
                <w:color w:val="auto"/>
              </w:rPr>
            </w:pPr>
            <w:r>
              <w:rPr>
                <w:rFonts w:ascii="Arial" w:cs="Arial" w:eastAsia="Arial" w:hAnsi="Arial"/>
                <w:sz w:val="15"/>
                <w:szCs w:val="15"/>
                <w:color w:val="auto"/>
              </w:rPr>
              <w:t>73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5"/>
                <w:szCs w:val="15"/>
                <w:color w:val="auto"/>
              </w:rPr>
              <w:t>56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9"/>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5"/>
                <w:szCs w:val="15"/>
                <w:color w:val="auto"/>
              </w:rPr>
              <w:t>147</w:t>
            </w:r>
          </w:p>
        </w:tc>
      </w:tr>
      <w:tr>
        <w:trPr>
          <w:trHeight w:val="22"/>
        </w:trPr>
        <w:tc>
          <w:tcPr>
            <w:tcW w:w="5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0"/>
        </w:trPr>
        <w:tc>
          <w:tcPr>
            <w:tcW w:w="5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5"/>
                <w:szCs w:val="15"/>
                <w:color w:val="auto"/>
              </w:rPr>
              <w:t>(51)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(311)</w:t>
            </w:r>
          </w:p>
        </w:tc>
      </w:tr>
      <w:tr>
        <w:trPr>
          <w:trHeight w:val="189"/>
        </w:trPr>
        <w:tc>
          <w:tcPr>
            <w:tcW w:w="5620" w:type="dxa"/>
            <w:vAlign w:val="bottom"/>
          </w:tcPr>
          <w:p>
            <w:pPr>
              <w:ind w:left="40"/>
              <w:spacing w:after="0"/>
              <w:rPr>
                <w:sz w:val="20"/>
                <w:szCs w:val="20"/>
                <w:color w:val="auto"/>
              </w:rPr>
            </w:pPr>
            <w:r>
              <w:rPr>
                <w:rFonts w:ascii="Arial" w:cs="Arial" w:eastAsia="Arial" w:hAnsi="Arial"/>
                <w:sz w:val="15"/>
                <w:szCs w:val="15"/>
                <w:color w:val="auto"/>
              </w:rPr>
              <w:t>Income (loss) before income tax expense</w:t>
            </w: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9"/>
              <w:spacing w:after="0"/>
              <w:rPr>
                <w:sz w:val="20"/>
                <w:szCs w:val="20"/>
                <w:color w:val="auto"/>
              </w:rPr>
            </w:pPr>
            <w:r>
              <w:rPr>
                <w:rFonts w:ascii="Arial" w:cs="Arial" w:eastAsia="Arial" w:hAnsi="Arial"/>
                <w:sz w:val="15"/>
                <w:szCs w:val="15"/>
                <w:color w:val="auto"/>
              </w:rPr>
              <w:t>(22,021)</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48"/>
              <w:spacing w:after="0"/>
              <w:rPr>
                <w:sz w:val="20"/>
                <w:szCs w:val="20"/>
                <w:color w:val="auto"/>
              </w:rPr>
            </w:pPr>
            <w:r>
              <w:rPr>
                <w:rFonts w:ascii="Arial" w:cs="Arial" w:eastAsia="Arial" w:hAnsi="Arial"/>
                <w:sz w:val="15"/>
                <w:szCs w:val="15"/>
                <w:color w:val="auto"/>
              </w:rPr>
              <w:t>6,053</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(131)</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8"/>
              <w:spacing w:after="0"/>
              <w:rPr>
                <w:sz w:val="20"/>
                <w:szCs w:val="20"/>
                <w:color w:val="auto"/>
              </w:rPr>
            </w:pPr>
            <w:r>
              <w:rPr>
                <w:rFonts w:ascii="Arial" w:cs="Arial" w:eastAsia="Arial" w:hAnsi="Arial"/>
                <w:sz w:val="15"/>
                <w:szCs w:val="15"/>
                <w:color w:val="auto"/>
              </w:rPr>
              <w:t>25,463</w:t>
            </w:r>
          </w:p>
        </w:tc>
      </w:tr>
      <w:tr>
        <w:trPr>
          <w:trHeight w:val="22"/>
        </w:trPr>
        <w:tc>
          <w:tcPr>
            <w:tcW w:w="5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Provision (benefit) for federal, state and foreign income taxes</w:t>
            </w: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5"/>
                <w:szCs w:val="15"/>
                <w:color w:val="auto"/>
              </w:rPr>
              <w:t>(8,521)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2,507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(1,223)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9,060</w:t>
            </w:r>
          </w:p>
        </w:tc>
      </w:tr>
      <w:tr>
        <w:trPr>
          <w:trHeight w:val="189"/>
        </w:trPr>
        <w:tc>
          <w:tcPr>
            <w:tcW w:w="5620" w:type="dxa"/>
            <w:vAlign w:val="bottom"/>
          </w:tcPr>
          <w:p>
            <w:pPr>
              <w:ind w:left="40"/>
              <w:spacing w:after="0"/>
              <w:rPr>
                <w:sz w:val="20"/>
                <w:szCs w:val="20"/>
                <w:color w:val="auto"/>
              </w:rPr>
            </w:pPr>
            <w:r>
              <w:rPr>
                <w:rFonts w:ascii="Arial" w:cs="Arial" w:eastAsia="Arial" w:hAnsi="Arial"/>
                <w:sz w:val="15"/>
                <w:szCs w:val="15"/>
                <w:color w:val="auto"/>
              </w:rPr>
              <w:t>Net income (loss)</w:t>
            </w: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9"/>
              <w:spacing w:after="0"/>
              <w:rPr>
                <w:sz w:val="20"/>
                <w:szCs w:val="20"/>
                <w:color w:val="auto"/>
              </w:rPr>
            </w:pPr>
            <w:r>
              <w:rPr>
                <w:rFonts w:ascii="Arial" w:cs="Arial" w:eastAsia="Arial" w:hAnsi="Arial"/>
                <w:sz w:val="15"/>
                <w:szCs w:val="15"/>
                <w:color w:val="auto"/>
              </w:rPr>
              <w:t>(13,500)</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48"/>
              <w:spacing w:after="0"/>
              <w:rPr>
                <w:sz w:val="20"/>
                <w:szCs w:val="20"/>
                <w:color w:val="auto"/>
              </w:rPr>
            </w:pPr>
            <w:r>
              <w:rPr>
                <w:rFonts w:ascii="Arial" w:cs="Arial" w:eastAsia="Arial" w:hAnsi="Arial"/>
                <w:sz w:val="15"/>
                <w:szCs w:val="15"/>
                <w:color w:val="auto"/>
              </w:rPr>
              <w:t>3,546</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49"/>
              <w:spacing w:after="0"/>
              <w:rPr>
                <w:sz w:val="20"/>
                <w:szCs w:val="20"/>
                <w:color w:val="auto"/>
              </w:rPr>
            </w:pPr>
            <w:r>
              <w:rPr>
                <w:rFonts w:ascii="Arial" w:cs="Arial" w:eastAsia="Arial" w:hAnsi="Arial"/>
                <w:sz w:val="15"/>
                <w:szCs w:val="15"/>
                <w:color w:val="auto"/>
              </w:rPr>
              <w:t>1,092</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8"/>
              <w:spacing w:after="0"/>
              <w:rPr>
                <w:sz w:val="20"/>
                <w:szCs w:val="20"/>
                <w:color w:val="auto"/>
              </w:rPr>
            </w:pPr>
            <w:r>
              <w:rPr>
                <w:rFonts w:ascii="Arial" w:cs="Arial" w:eastAsia="Arial" w:hAnsi="Arial"/>
                <w:sz w:val="15"/>
                <w:szCs w:val="15"/>
                <w:color w:val="auto"/>
              </w:rPr>
              <w:t>16,403</w:t>
            </w:r>
          </w:p>
        </w:tc>
      </w:tr>
      <w:tr>
        <w:trPr>
          <w:trHeight w:val="22"/>
        </w:trPr>
        <w:tc>
          <w:tcPr>
            <w:tcW w:w="5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Less: Net income (loss) attributable to noncontrolling interest</w:t>
            </w: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321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(811)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321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(3,326)</w:t>
            </w:r>
          </w:p>
        </w:tc>
      </w:tr>
      <w:tr>
        <w:trPr>
          <w:trHeight w:val="189"/>
        </w:trPr>
        <w:tc>
          <w:tcPr>
            <w:tcW w:w="5620" w:type="dxa"/>
            <w:vAlign w:val="bottom"/>
          </w:tcPr>
          <w:p>
            <w:pPr>
              <w:ind w:left="40"/>
              <w:spacing w:after="0"/>
              <w:rPr>
                <w:sz w:val="20"/>
                <w:szCs w:val="20"/>
                <w:color w:val="auto"/>
              </w:rPr>
            </w:pPr>
            <w:r>
              <w:rPr>
                <w:rFonts w:ascii="Arial" w:cs="Arial" w:eastAsia="Arial" w:hAnsi="Arial"/>
                <w:sz w:val="15"/>
                <w:szCs w:val="15"/>
                <w:color w:val="auto"/>
              </w:rPr>
              <w:t>Net income (loss) attributable to Matrix Service Company</w:t>
            </w:r>
          </w:p>
        </w:tc>
        <w:tc>
          <w:tcPr>
            <w:tcW w:w="26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tcPr>
          <w:p>
            <w:pPr>
              <w:jc w:val="right"/>
              <w:ind w:right="9"/>
              <w:spacing w:after="0"/>
              <w:rPr>
                <w:sz w:val="20"/>
                <w:szCs w:val="20"/>
                <w:color w:val="auto"/>
              </w:rPr>
            </w:pPr>
            <w:r>
              <w:rPr>
                <w:rFonts w:ascii="Arial" w:cs="Arial" w:eastAsia="Arial" w:hAnsi="Arial"/>
                <w:sz w:val="15"/>
                <w:szCs w:val="15"/>
                <w:color w:val="auto"/>
              </w:rPr>
              <w:t>(13,821)</w:t>
            </w:r>
          </w:p>
        </w:tc>
        <w:tc>
          <w:tcPr>
            <w:tcW w:w="120" w:type="dxa"/>
            <w:vAlign w:val="bottom"/>
          </w:tcPr>
          <w:p>
            <w:pPr>
              <w:spacing w:after="0"/>
              <w:rPr>
                <w:sz w:val="16"/>
                <w:szCs w:val="16"/>
                <w:color w:val="auto"/>
              </w:rPr>
            </w:pPr>
          </w:p>
        </w:tc>
        <w:tc>
          <w:tcPr>
            <w:tcW w:w="26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tcBorders>
          </w:tcPr>
          <w:p>
            <w:pPr>
              <w:jc w:val="right"/>
              <w:ind w:right="48"/>
              <w:spacing w:after="0"/>
              <w:rPr>
                <w:sz w:val="20"/>
                <w:szCs w:val="20"/>
                <w:color w:val="auto"/>
              </w:rPr>
            </w:pPr>
            <w:r>
              <w:rPr>
                <w:rFonts w:ascii="Arial" w:cs="Arial" w:eastAsia="Arial" w:hAnsi="Arial"/>
                <w:sz w:val="15"/>
                <w:szCs w:val="15"/>
                <w:color w:val="auto"/>
              </w:rPr>
              <w:t>4,357</w:t>
            </w:r>
          </w:p>
        </w:tc>
        <w:tc>
          <w:tcPr>
            <w:tcW w:w="120" w:type="dxa"/>
            <w:vAlign w:val="bottom"/>
          </w:tcPr>
          <w:p>
            <w:pPr>
              <w:spacing w:after="0"/>
              <w:rPr>
                <w:sz w:val="16"/>
                <w:szCs w:val="16"/>
                <w:color w:val="auto"/>
              </w:rPr>
            </w:pPr>
          </w:p>
        </w:tc>
        <w:tc>
          <w:tcPr>
            <w:tcW w:w="24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tcBorders>
          </w:tcPr>
          <w:p>
            <w:pPr>
              <w:jc w:val="right"/>
              <w:ind w:right="49"/>
              <w:spacing w:after="0"/>
              <w:rPr>
                <w:sz w:val="20"/>
                <w:szCs w:val="20"/>
                <w:color w:val="auto"/>
              </w:rPr>
            </w:pPr>
            <w:r>
              <w:rPr>
                <w:rFonts w:ascii="Arial" w:cs="Arial" w:eastAsia="Arial" w:hAnsi="Arial"/>
                <w:sz w:val="15"/>
                <w:szCs w:val="15"/>
                <w:color w:val="auto"/>
              </w:rPr>
              <w:t>771</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tcPr>
          <w:p>
            <w:pPr>
              <w:jc w:val="right"/>
              <w:ind w:right="48"/>
              <w:spacing w:after="0"/>
              <w:rPr>
                <w:sz w:val="20"/>
                <w:szCs w:val="20"/>
                <w:color w:val="auto"/>
              </w:rPr>
            </w:pPr>
            <w:r>
              <w:rPr>
                <w:rFonts w:ascii="Arial" w:cs="Arial" w:eastAsia="Arial" w:hAnsi="Arial"/>
                <w:sz w:val="15"/>
                <w:szCs w:val="15"/>
                <w:color w:val="auto"/>
              </w:rPr>
              <w:t>19,729</w:t>
            </w:r>
          </w:p>
        </w:tc>
      </w:tr>
      <w:tr>
        <w:trPr>
          <w:trHeight w:val="62"/>
        </w:trPr>
        <w:tc>
          <w:tcPr>
            <w:tcW w:w="56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16"/>
        </w:trPr>
        <w:tc>
          <w:tcPr>
            <w:tcW w:w="5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8"/>
        </w:trPr>
        <w:tc>
          <w:tcPr>
            <w:tcW w:w="5620" w:type="dxa"/>
            <w:vAlign w:val="bottom"/>
          </w:tcPr>
          <w:p>
            <w:pPr>
              <w:ind w:left="40"/>
              <w:spacing w:after="0"/>
              <w:rPr>
                <w:sz w:val="20"/>
                <w:szCs w:val="20"/>
                <w:color w:val="auto"/>
              </w:rPr>
            </w:pPr>
            <w:r>
              <w:rPr>
                <w:rFonts w:ascii="Arial" w:cs="Arial" w:eastAsia="Arial" w:hAnsi="Arial"/>
                <w:sz w:val="15"/>
                <w:szCs w:val="15"/>
                <w:color w:val="auto"/>
              </w:rPr>
              <w:t>Basic earnings (loss) per common share</w:t>
            </w: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9"/>
              <w:spacing w:after="0"/>
              <w:rPr>
                <w:sz w:val="20"/>
                <w:szCs w:val="20"/>
                <w:color w:val="auto"/>
              </w:rPr>
            </w:pPr>
            <w:r>
              <w:rPr>
                <w:rFonts w:ascii="Arial" w:cs="Arial" w:eastAsia="Arial" w:hAnsi="Arial"/>
                <w:sz w:val="15"/>
                <w:szCs w:val="15"/>
                <w:color w:val="auto"/>
              </w:rPr>
              <w:t>(0.52)</w:t>
            </w:r>
          </w:p>
        </w:tc>
        <w:tc>
          <w:tcPr>
            <w:tcW w:w="120" w:type="dxa"/>
            <w:vAlign w:val="bottom"/>
          </w:tcPr>
          <w:p>
            <w:pPr>
              <w:spacing w:after="0"/>
              <w:rPr>
                <w:sz w:val="17"/>
                <w:szCs w:val="17"/>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8"/>
              <w:spacing w:after="0"/>
              <w:rPr>
                <w:sz w:val="20"/>
                <w:szCs w:val="20"/>
                <w:color w:val="auto"/>
              </w:rPr>
            </w:pPr>
            <w:r>
              <w:rPr>
                <w:rFonts w:ascii="Arial" w:cs="Arial" w:eastAsia="Arial" w:hAnsi="Arial"/>
                <w:sz w:val="15"/>
                <w:szCs w:val="15"/>
                <w:color w:val="auto"/>
              </w:rPr>
              <w:t>0.16</w:t>
            </w:r>
          </w:p>
        </w:tc>
        <w:tc>
          <w:tcPr>
            <w:tcW w:w="120" w:type="dxa"/>
            <w:vAlign w:val="bottom"/>
          </w:tcPr>
          <w:p>
            <w:pPr>
              <w:spacing w:after="0"/>
              <w:rPr>
                <w:sz w:val="17"/>
                <w:szCs w:val="17"/>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9"/>
              <w:spacing w:after="0"/>
              <w:rPr>
                <w:sz w:val="20"/>
                <w:szCs w:val="20"/>
                <w:color w:val="auto"/>
              </w:rPr>
            </w:pPr>
            <w:r>
              <w:rPr>
                <w:rFonts w:ascii="Arial" w:cs="Arial" w:eastAsia="Arial" w:hAnsi="Arial"/>
                <w:sz w:val="15"/>
                <w:szCs w:val="15"/>
                <w:color w:val="auto"/>
              </w:rPr>
              <w:t>0.03</w:t>
            </w:r>
          </w:p>
        </w:tc>
        <w:tc>
          <w:tcPr>
            <w:tcW w:w="100" w:type="dxa"/>
            <w:vAlign w:val="bottom"/>
          </w:tcPr>
          <w:p>
            <w:pPr>
              <w:spacing w:after="0"/>
              <w:rPr>
                <w:sz w:val="17"/>
                <w:szCs w:val="17"/>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48"/>
              <w:spacing w:after="0"/>
              <w:rPr>
                <w:sz w:val="20"/>
                <w:szCs w:val="20"/>
                <w:color w:val="auto"/>
              </w:rPr>
            </w:pPr>
            <w:r>
              <w:rPr>
                <w:rFonts w:ascii="Arial" w:cs="Arial" w:eastAsia="Arial" w:hAnsi="Arial"/>
                <w:sz w:val="15"/>
                <w:szCs w:val="15"/>
                <w:color w:val="auto"/>
              </w:rPr>
              <w:t>0.74</w:t>
            </w:r>
          </w:p>
        </w:tc>
      </w:tr>
      <w:tr>
        <w:trPr>
          <w:trHeight w:val="22"/>
        </w:trPr>
        <w:tc>
          <w:tcPr>
            <w:tcW w:w="5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Diluted earnings (loss) per common share</w:t>
            </w:r>
          </w:p>
        </w:tc>
        <w:tc>
          <w:tcPr>
            <w:tcW w:w="2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5"/>
                <w:szCs w:val="15"/>
                <w:color w:val="auto"/>
              </w:rPr>
              <w:t>(0.52)</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0.16</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0.03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0.73</w:t>
            </w:r>
          </w:p>
        </w:tc>
      </w:tr>
      <w:tr>
        <w:trPr>
          <w:trHeight w:val="198"/>
        </w:trPr>
        <w:tc>
          <w:tcPr>
            <w:tcW w:w="5620" w:type="dxa"/>
            <w:vAlign w:val="bottom"/>
          </w:tcPr>
          <w:p>
            <w:pPr>
              <w:ind w:left="40"/>
              <w:spacing w:after="0"/>
              <w:rPr>
                <w:sz w:val="20"/>
                <w:szCs w:val="20"/>
                <w:color w:val="auto"/>
              </w:rPr>
            </w:pPr>
            <w:r>
              <w:rPr>
                <w:rFonts w:ascii="Arial" w:cs="Arial" w:eastAsia="Arial" w:hAnsi="Arial"/>
                <w:sz w:val="15"/>
                <w:szCs w:val="15"/>
                <w:color w:val="auto"/>
              </w:rPr>
              <w:t>Weighted average common shares outstanding:</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
        </w:trPr>
        <w:tc>
          <w:tcPr>
            <w:tcW w:w="5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0"/>
        </w:trPr>
        <w:tc>
          <w:tcPr>
            <w:tcW w:w="5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Basic</w:t>
            </w:r>
          </w:p>
        </w:tc>
        <w:tc>
          <w:tcPr>
            <w:tcW w:w="2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26,594</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26,758</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26,511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26,651</w:t>
            </w:r>
          </w:p>
        </w:tc>
      </w:tr>
      <w:tr>
        <w:trPr>
          <w:trHeight w:val="198"/>
        </w:trPr>
        <w:tc>
          <w:tcPr>
            <w:tcW w:w="5620" w:type="dxa"/>
            <w:vAlign w:val="bottom"/>
          </w:tcPr>
          <w:p>
            <w:pPr>
              <w:ind w:left="320"/>
              <w:spacing w:after="0"/>
              <w:rPr>
                <w:sz w:val="20"/>
                <w:szCs w:val="20"/>
                <w:color w:val="auto"/>
              </w:rPr>
            </w:pPr>
            <w:r>
              <w:rPr>
                <w:rFonts w:ascii="Arial" w:cs="Arial" w:eastAsia="Arial" w:hAnsi="Arial"/>
                <w:sz w:val="15"/>
                <w:szCs w:val="15"/>
                <w:color w:val="auto"/>
              </w:rPr>
              <w:t>Diluted</w:t>
            </w:r>
          </w:p>
        </w:tc>
        <w:tc>
          <w:tcPr>
            <w:tcW w:w="260" w:type="dxa"/>
            <w:vAlign w:val="bottom"/>
          </w:tcPr>
          <w:p>
            <w:pPr>
              <w:spacing w:after="0"/>
              <w:rPr>
                <w:sz w:val="17"/>
                <w:szCs w:val="17"/>
                <w:color w:val="auto"/>
              </w:rPr>
            </w:pPr>
          </w:p>
        </w:tc>
        <w:tc>
          <w:tcPr>
            <w:tcW w:w="1140" w:type="dxa"/>
            <w:vAlign w:val="bottom"/>
          </w:tcPr>
          <w:p>
            <w:pPr>
              <w:jc w:val="right"/>
              <w:ind w:right="49"/>
              <w:spacing w:after="0"/>
              <w:rPr>
                <w:sz w:val="20"/>
                <w:szCs w:val="20"/>
                <w:color w:val="auto"/>
              </w:rPr>
            </w:pPr>
            <w:r>
              <w:rPr>
                <w:rFonts w:ascii="Arial" w:cs="Arial" w:eastAsia="Arial" w:hAnsi="Arial"/>
                <w:sz w:val="15"/>
                <w:szCs w:val="15"/>
                <w:color w:val="auto"/>
              </w:rPr>
              <w:t>26,594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5"/>
                <w:szCs w:val="15"/>
                <w:color w:val="auto"/>
              </w:rPr>
              <w:t>27,054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9"/>
              <w:spacing w:after="0"/>
              <w:rPr>
                <w:sz w:val="20"/>
                <w:szCs w:val="20"/>
                <w:color w:val="auto"/>
              </w:rPr>
            </w:pPr>
            <w:r>
              <w:rPr>
                <w:rFonts w:ascii="Arial" w:cs="Arial" w:eastAsia="Arial" w:hAnsi="Arial"/>
                <w:sz w:val="15"/>
                <w:szCs w:val="15"/>
                <w:color w:val="auto"/>
              </w:rPr>
              <w:t>26,838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5"/>
                <w:szCs w:val="15"/>
                <w:color w:val="auto"/>
              </w:rPr>
              <w:t>27,191</w:t>
            </w: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See accompanying notes.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w:t>
      </w:r>
    </w:p>
    <w:p>
      <w:pPr>
        <w:sectPr>
          <w:pgSz w:w="11900" w:h="16838" w:orient="portrait"/>
          <w:cols w:equalWidth="0" w:num="1">
            <w:col w:w="11460"/>
          </w:cols>
          <w:pgMar w:left="220" w:top="305" w:right="219" w:bottom="1440" w:gutter="0" w:footer="0" w:header="0"/>
        </w:sectPr>
      </w:pPr>
    </w:p>
    <w:bookmarkStart w:id="3" w:name="page4"/>
    <w:bookmarkEnd w:id="3"/>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Matrix Service Company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Comprehensive Income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(unaudited)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6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4"/>
          </w:tcPr>
          <w:p>
            <w:pPr>
              <w:jc w:val="right"/>
              <w:ind w:right="831"/>
              <w:spacing w:after="0"/>
              <w:rPr>
                <w:sz w:val="20"/>
                <w:szCs w:val="20"/>
                <w:color w:val="auto"/>
              </w:rPr>
            </w:pPr>
            <w:r>
              <w:rPr>
                <w:rFonts w:ascii="Arial" w:cs="Arial" w:eastAsia="Arial" w:hAnsi="Arial"/>
                <w:sz w:val="12"/>
                <w:szCs w:val="12"/>
                <w:b w:val="1"/>
                <w:bCs w:val="1"/>
                <w:color w:val="auto"/>
              </w:rPr>
              <w:t>Three Months Ended</w:t>
            </w: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4"/>
          </w:tcPr>
          <w:p>
            <w:pPr>
              <w:jc w:val="right"/>
              <w:ind w:right="831"/>
              <w:spacing w:after="0"/>
              <w:rPr>
                <w:sz w:val="20"/>
                <w:szCs w:val="20"/>
                <w:color w:val="auto"/>
              </w:rPr>
            </w:pPr>
            <w:r>
              <w:rPr>
                <w:rFonts w:ascii="Arial" w:cs="Arial" w:eastAsia="Arial" w:hAnsi="Arial"/>
                <w:sz w:val="12"/>
                <w:szCs w:val="12"/>
                <w:b w:val="1"/>
                <w:bCs w:val="1"/>
                <w:color w:val="auto"/>
              </w:rPr>
              <w:t>Nine Months Ended</w:t>
            </w:r>
          </w:p>
        </w:tc>
      </w:tr>
      <w:tr>
        <w:trPr>
          <w:trHeight w:val="122"/>
        </w:trPr>
        <w:tc>
          <w:tcPr>
            <w:tcW w:w="5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gridSpan w:val="2"/>
          </w:tcPr>
          <w:p>
            <w:pPr>
              <w:ind w:left="180"/>
              <w:spacing w:after="0" w:line="122" w:lineRule="exact"/>
              <w:rPr>
                <w:sz w:val="20"/>
                <w:szCs w:val="20"/>
                <w:color w:val="auto"/>
              </w:rPr>
            </w:pPr>
            <w:r>
              <w:rPr>
                <w:rFonts w:ascii="Arial" w:cs="Arial" w:eastAsia="Arial" w:hAnsi="Arial"/>
                <w:sz w:val="12"/>
                <w:szCs w:val="12"/>
                <w:b w:val="1"/>
                <w:bCs w:val="1"/>
                <w:color w:val="auto"/>
              </w:rPr>
              <w:t>March 31,</w:t>
            </w:r>
          </w:p>
        </w:tc>
        <w:tc>
          <w:tcPr>
            <w:tcW w:w="260" w:type="dxa"/>
            <w:vAlign w:val="bottom"/>
          </w:tcPr>
          <w:p>
            <w:pPr>
              <w:spacing w:after="0"/>
              <w:rPr>
                <w:sz w:val="10"/>
                <w:szCs w:val="10"/>
                <w:color w:val="auto"/>
              </w:rPr>
            </w:pPr>
          </w:p>
        </w:tc>
        <w:tc>
          <w:tcPr>
            <w:tcW w:w="1240" w:type="dxa"/>
            <w:vAlign w:val="bottom"/>
            <w:gridSpan w:val="2"/>
          </w:tcPr>
          <w:p>
            <w:pPr>
              <w:ind w:left="160"/>
              <w:spacing w:after="0" w:line="122" w:lineRule="exact"/>
              <w:rPr>
                <w:sz w:val="20"/>
                <w:szCs w:val="20"/>
                <w:color w:val="auto"/>
              </w:rPr>
            </w:pPr>
            <w:r>
              <w:rPr>
                <w:rFonts w:ascii="Arial" w:cs="Arial" w:eastAsia="Arial" w:hAnsi="Arial"/>
                <w:sz w:val="12"/>
                <w:szCs w:val="12"/>
                <w:b w:val="1"/>
                <w:bCs w:val="1"/>
                <w:color w:val="auto"/>
              </w:rPr>
              <w:t>March 31,</w:t>
            </w:r>
          </w:p>
        </w:tc>
        <w:tc>
          <w:tcPr>
            <w:tcW w:w="240" w:type="dxa"/>
            <w:vAlign w:val="bottom"/>
          </w:tcPr>
          <w:p>
            <w:pPr>
              <w:spacing w:after="0"/>
              <w:rPr>
                <w:sz w:val="10"/>
                <w:szCs w:val="10"/>
                <w:color w:val="auto"/>
              </w:rPr>
            </w:pPr>
          </w:p>
        </w:tc>
        <w:tc>
          <w:tcPr>
            <w:tcW w:w="1220" w:type="dxa"/>
            <w:vAlign w:val="bottom"/>
            <w:gridSpan w:val="2"/>
          </w:tcPr>
          <w:p>
            <w:pPr>
              <w:ind w:left="160"/>
              <w:spacing w:after="0" w:line="122" w:lineRule="exact"/>
              <w:rPr>
                <w:sz w:val="20"/>
                <w:szCs w:val="20"/>
                <w:color w:val="auto"/>
              </w:rPr>
            </w:pPr>
            <w:r>
              <w:rPr>
                <w:rFonts w:ascii="Arial" w:cs="Arial" w:eastAsia="Arial" w:hAnsi="Arial"/>
                <w:sz w:val="12"/>
                <w:szCs w:val="12"/>
                <w:b w:val="1"/>
                <w:bCs w:val="1"/>
                <w:color w:val="auto"/>
              </w:rPr>
              <w:t>March 31,</w:t>
            </w:r>
          </w:p>
        </w:tc>
        <w:tc>
          <w:tcPr>
            <w:tcW w:w="260" w:type="dxa"/>
            <w:vAlign w:val="bottom"/>
          </w:tcPr>
          <w:p>
            <w:pPr>
              <w:spacing w:after="0"/>
              <w:rPr>
                <w:sz w:val="10"/>
                <w:szCs w:val="10"/>
                <w:color w:val="auto"/>
              </w:rPr>
            </w:pPr>
          </w:p>
        </w:tc>
        <w:tc>
          <w:tcPr>
            <w:tcW w:w="1100" w:type="dxa"/>
            <w:vAlign w:val="bottom"/>
          </w:tcPr>
          <w:p>
            <w:pPr>
              <w:jc w:val="right"/>
              <w:ind w:right="371"/>
              <w:spacing w:after="0" w:line="122" w:lineRule="exact"/>
              <w:rPr>
                <w:sz w:val="20"/>
                <w:szCs w:val="20"/>
                <w:color w:val="auto"/>
              </w:rPr>
            </w:pPr>
            <w:r>
              <w:rPr>
                <w:rFonts w:ascii="Arial" w:cs="Arial" w:eastAsia="Arial" w:hAnsi="Arial"/>
                <w:sz w:val="12"/>
                <w:szCs w:val="12"/>
                <w:b w:val="1"/>
                <w:bCs w:val="1"/>
                <w:color w:val="auto"/>
              </w:rPr>
              <w:t>March 31,</w:t>
            </w:r>
          </w:p>
        </w:tc>
      </w:tr>
      <w:tr>
        <w:trPr>
          <w:trHeight w:val="156"/>
        </w:trPr>
        <w:tc>
          <w:tcPr>
            <w:tcW w:w="56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2"/>
                <w:szCs w:val="12"/>
                <w:b w:val="1"/>
                <w:bCs w:val="1"/>
                <w:color w:val="auto"/>
              </w:rPr>
              <w:t>2016</w:t>
            </w:r>
          </w:p>
        </w:tc>
        <w:tc>
          <w:tcPr>
            <w:tcW w:w="1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2"/>
                <w:szCs w:val="12"/>
                <w:b w:val="1"/>
                <w:bCs w:val="1"/>
                <w:color w:val="auto"/>
              </w:rPr>
              <w:t>2016</w:t>
            </w:r>
          </w:p>
        </w:tc>
      </w:tr>
      <w:tr>
        <w:trPr>
          <w:trHeight w:val="19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Net income (loss)</w:t>
            </w:r>
          </w:p>
        </w:tc>
        <w:tc>
          <w:tcPr>
            <w:tcW w:w="2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5"/>
                <w:szCs w:val="15"/>
                <w:color w:val="auto"/>
              </w:rPr>
              <w:t>(13,500)</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5"/>
                <w:szCs w:val="15"/>
                <w:color w:val="auto"/>
              </w:rPr>
              <w:t>3,546</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5"/>
                <w:szCs w:val="15"/>
                <w:color w:val="auto"/>
              </w:rPr>
              <w:t>1,092</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5"/>
                <w:szCs w:val="15"/>
                <w:color w:val="auto"/>
              </w:rPr>
              <w:t>16,403</w:t>
            </w:r>
          </w:p>
        </w:tc>
      </w:tr>
      <w:tr>
        <w:trPr>
          <w:trHeight w:val="198"/>
        </w:trPr>
        <w:tc>
          <w:tcPr>
            <w:tcW w:w="5620" w:type="dxa"/>
            <w:vAlign w:val="bottom"/>
          </w:tcPr>
          <w:p>
            <w:pPr>
              <w:ind w:left="40"/>
              <w:spacing w:after="0"/>
              <w:rPr>
                <w:sz w:val="20"/>
                <w:szCs w:val="20"/>
                <w:color w:val="auto"/>
              </w:rPr>
            </w:pPr>
            <w:r>
              <w:rPr>
                <w:rFonts w:ascii="Arial" w:cs="Arial" w:eastAsia="Arial" w:hAnsi="Arial"/>
                <w:sz w:val="15"/>
                <w:szCs w:val="15"/>
                <w:color w:val="auto"/>
              </w:rPr>
              <w:t>Other comprehensive income (loss), net of tax:</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
        </w:trPr>
        <w:tc>
          <w:tcPr>
            <w:tcW w:w="5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8"/>
        </w:trPr>
        <w:tc>
          <w:tcPr>
            <w:tcW w:w="562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0"/>
              </w:rPr>
              <w:t>Foreign currency translation gain (loss) (net of tax expense (benefit) of ($5) and $100 for</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76"/>
        </w:trPr>
        <w:tc>
          <w:tcPr>
            <w:tcW w:w="562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0"/>
              </w:rPr>
              <w:t>the three and nine months ended March 31, 2017, respectively, and ($166) and $218 for</w:t>
            </w: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9"/>
        </w:trPr>
        <w:tc>
          <w:tcPr>
            <w:tcW w:w="5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the three and nine months ended March 31, 2016, respectively)</w:t>
            </w: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5"/>
                <w:szCs w:val="15"/>
                <w:color w:val="auto"/>
              </w:rPr>
              <w:t>1,035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5"/>
                <w:szCs w:val="15"/>
                <w:color w:val="auto"/>
              </w:rPr>
              <w:t>2,754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(962)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(1,061)</w:t>
            </w:r>
          </w:p>
        </w:tc>
      </w:tr>
      <w:tr>
        <w:trPr>
          <w:trHeight w:val="189"/>
        </w:trPr>
        <w:tc>
          <w:tcPr>
            <w:tcW w:w="5620" w:type="dxa"/>
            <w:vAlign w:val="bottom"/>
          </w:tcPr>
          <w:p>
            <w:pPr>
              <w:ind w:left="40"/>
              <w:spacing w:after="0"/>
              <w:rPr>
                <w:sz w:val="20"/>
                <w:szCs w:val="20"/>
                <w:color w:val="auto"/>
              </w:rPr>
            </w:pPr>
            <w:r>
              <w:rPr>
                <w:rFonts w:ascii="Arial" w:cs="Arial" w:eastAsia="Arial" w:hAnsi="Arial"/>
                <w:sz w:val="15"/>
                <w:szCs w:val="15"/>
                <w:color w:val="auto"/>
              </w:rPr>
              <w:t>Comprehensive income (loss)</w:t>
            </w: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5"/>
                <w:szCs w:val="15"/>
                <w:color w:val="auto"/>
              </w:rPr>
              <w:t>(12,465)</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1"/>
              <w:spacing w:after="0"/>
              <w:rPr>
                <w:sz w:val="20"/>
                <w:szCs w:val="20"/>
                <w:color w:val="auto"/>
              </w:rPr>
            </w:pPr>
            <w:r>
              <w:rPr>
                <w:rFonts w:ascii="Arial" w:cs="Arial" w:eastAsia="Arial" w:hAnsi="Arial"/>
                <w:sz w:val="15"/>
                <w:szCs w:val="15"/>
                <w:color w:val="auto"/>
              </w:rPr>
              <w:t>6,300</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2"/>
              <w:spacing w:after="0"/>
              <w:rPr>
                <w:sz w:val="20"/>
                <w:szCs w:val="20"/>
                <w:color w:val="auto"/>
              </w:rPr>
            </w:pPr>
            <w:r>
              <w:rPr>
                <w:rFonts w:ascii="Arial" w:cs="Arial" w:eastAsia="Arial" w:hAnsi="Arial"/>
                <w:sz w:val="15"/>
                <w:szCs w:val="15"/>
                <w:color w:val="auto"/>
              </w:rPr>
              <w:t>130</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5"/>
                <w:szCs w:val="15"/>
                <w:color w:val="auto"/>
              </w:rPr>
              <w:t>15,342</w:t>
            </w:r>
          </w:p>
        </w:tc>
      </w:tr>
      <w:tr>
        <w:trPr>
          <w:trHeight w:val="22"/>
        </w:trPr>
        <w:tc>
          <w:tcPr>
            <w:tcW w:w="5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Less: Comprehensive income (loss) attributable to noncontrolling interest</w:t>
            </w: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5"/>
                <w:szCs w:val="15"/>
                <w:color w:val="auto"/>
              </w:rPr>
              <w:t>321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(811)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5"/>
                <w:szCs w:val="15"/>
                <w:color w:val="auto"/>
              </w:rPr>
              <w:t>321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(3,326)</w:t>
            </w:r>
          </w:p>
        </w:tc>
      </w:tr>
      <w:tr>
        <w:trPr>
          <w:trHeight w:val="206"/>
        </w:trPr>
        <w:tc>
          <w:tcPr>
            <w:tcW w:w="5620" w:type="dxa"/>
            <w:vAlign w:val="bottom"/>
          </w:tcPr>
          <w:p>
            <w:pPr>
              <w:ind w:left="40"/>
              <w:spacing w:after="0"/>
              <w:rPr>
                <w:sz w:val="20"/>
                <w:szCs w:val="20"/>
                <w:color w:val="auto"/>
              </w:rPr>
            </w:pPr>
            <w:r>
              <w:rPr>
                <w:rFonts w:ascii="Arial" w:cs="Arial" w:eastAsia="Arial" w:hAnsi="Arial"/>
                <w:sz w:val="15"/>
                <w:szCs w:val="15"/>
                <w:color w:val="auto"/>
              </w:rPr>
              <w:t>Comprehensive income (loss) attributable to Matrix Service Company</w:t>
            </w:r>
          </w:p>
        </w:tc>
        <w:tc>
          <w:tcPr>
            <w:tcW w:w="26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5"/>
                <w:szCs w:val="15"/>
                <w:color w:val="auto"/>
              </w:rPr>
              <w:t>(12,786)</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5"/>
                <w:szCs w:val="15"/>
                <w:color w:val="auto"/>
              </w:rPr>
              <w:t>7,111</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(191)</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5"/>
                <w:szCs w:val="15"/>
                <w:color w:val="auto"/>
              </w:rPr>
              <w:t>18,668</w:t>
            </w: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See accompanying notes.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- 2-</w:t>
      </w:r>
    </w:p>
    <w:p>
      <w:pPr>
        <w:sectPr>
          <w:pgSz w:w="11900" w:h="16838" w:orient="portrait"/>
          <w:cols w:equalWidth="0" w:num="1">
            <w:col w:w="11460"/>
          </w:cols>
          <w:pgMar w:left="220" w:top="305" w:right="219" w:bottom="1440" w:gutter="0" w:footer="0" w:header="0"/>
        </w:sectPr>
      </w:pPr>
    </w:p>
    <w:bookmarkStart w:id="4" w:name="page5"/>
    <w:bookmarkEnd w:id="4"/>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Matrix Service Company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(unaudited)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March 31,</w:t>
            </w:r>
          </w:p>
        </w:tc>
        <w:tc>
          <w:tcPr>
            <w:tcW w:w="240" w:type="dxa"/>
            <w:vAlign w:val="bottom"/>
          </w:tcPr>
          <w:p>
            <w:pPr>
              <w:spacing w:after="0"/>
              <w:rPr>
                <w:sz w:val="12"/>
                <w:szCs w:val="12"/>
                <w:color w:val="auto"/>
              </w:rPr>
            </w:pPr>
          </w:p>
        </w:tc>
        <w:tc>
          <w:tcPr>
            <w:tcW w:w="1000" w:type="dxa"/>
            <w:vAlign w:val="bottom"/>
          </w:tcPr>
          <w:p>
            <w:pPr>
              <w:jc w:val="right"/>
              <w:ind w:right="348"/>
              <w:spacing w:after="0"/>
              <w:rPr>
                <w:sz w:val="20"/>
                <w:szCs w:val="20"/>
                <w:color w:val="auto"/>
              </w:rPr>
            </w:pPr>
            <w:r>
              <w:rPr>
                <w:rFonts w:ascii="Arial" w:cs="Arial" w:eastAsia="Arial" w:hAnsi="Arial"/>
                <w:sz w:val="12"/>
                <w:szCs w:val="12"/>
                <w:b w:val="1"/>
                <w:bCs w:val="1"/>
                <w:color w:val="auto"/>
              </w:rPr>
              <w:t>June 30,</w:t>
            </w:r>
          </w:p>
        </w:tc>
      </w:tr>
      <w:tr>
        <w:trPr>
          <w:trHeight w:val="152"/>
        </w:trPr>
        <w:tc>
          <w:tcPr>
            <w:tcW w:w="88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2"/>
                <w:szCs w:val="12"/>
                <w:b w:val="1"/>
                <w:bCs w:val="1"/>
                <w:color w:val="auto"/>
              </w:rPr>
              <w:t>2017</w:t>
            </w: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2"/>
                <w:szCs w:val="12"/>
                <w:b w:val="1"/>
                <w:bCs w:val="1"/>
                <w:color w:val="auto"/>
              </w:rPr>
              <w:t>2016</w:t>
            </w:r>
          </w:p>
        </w:tc>
      </w:tr>
      <w:tr>
        <w:trPr>
          <w:trHeight w:val="198"/>
        </w:trPr>
        <w:tc>
          <w:tcPr>
            <w:tcW w:w="8840" w:type="dxa"/>
            <w:vAlign w:val="bottom"/>
          </w:tcPr>
          <w:p>
            <w:pPr>
              <w:ind w:left="40"/>
              <w:spacing w:after="0"/>
              <w:rPr>
                <w:sz w:val="20"/>
                <w:szCs w:val="20"/>
                <w:color w:val="auto"/>
              </w:rPr>
            </w:pPr>
            <w:r>
              <w:rPr>
                <w:rFonts w:ascii="Arial" w:cs="Arial" w:eastAsia="Arial" w:hAnsi="Arial"/>
                <w:sz w:val="15"/>
                <w:szCs w:val="15"/>
                <w:b w:val="1"/>
                <w:bCs w:val="1"/>
                <w:color w:val="auto"/>
              </w:rPr>
              <w:t>Assets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0"/>
        </w:trPr>
        <w:tc>
          <w:tcPr>
            <w:tcW w:w="8840" w:type="dxa"/>
            <w:vAlign w:val="bottom"/>
          </w:tcPr>
          <w:p>
            <w:pPr>
              <w:ind w:left="40"/>
              <w:spacing w:after="0"/>
              <w:rPr>
                <w:sz w:val="20"/>
                <w:szCs w:val="20"/>
                <w:color w:val="auto"/>
              </w:rPr>
            </w:pPr>
            <w:r>
              <w:rPr>
                <w:rFonts w:ascii="Arial" w:cs="Arial" w:eastAsia="Arial" w:hAnsi="Arial"/>
                <w:sz w:val="15"/>
                <w:szCs w:val="15"/>
                <w:color w:val="auto"/>
              </w:rPr>
              <w:t>Current assets:</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
        </w:trPr>
        <w:tc>
          <w:tcPr>
            <w:tcW w:w="8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0"/>
        </w:trPr>
        <w:tc>
          <w:tcPr>
            <w:tcW w:w="8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Cash and cash equivalents</w:t>
            </w: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39,697</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71,656</w:t>
            </w:r>
          </w:p>
        </w:tc>
      </w:tr>
      <w:tr>
        <w:trPr>
          <w:trHeight w:val="198"/>
        </w:trPr>
        <w:tc>
          <w:tcPr>
            <w:tcW w:w="8840" w:type="dxa"/>
            <w:vAlign w:val="bottom"/>
          </w:tcPr>
          <w:p>
            <w:pPr>
              <w:ind w:left="320"/>
              <w:spacing w:after="0"/>
              <w:rPr>
                <w:sz w:val="20"/>
                <w:szCs w:val="20"/>
                <w:color w:val="auto"/>
              </w:rPr>
            </w:pPr>
            <w:r>
              <w:rPr>
                <w:rFonts w:ascii="Arial" w:cs="Arial" w:eastAsia="Arial" w:hAnsi="Arial"/>
                <w:sz w:val="15"/>
                <w:szCs w:val="15"/>
                <w:color w:val="auto"/>
              </w:rPr>
              <w:t>Accounts receivable, less allowances (March 31, 2017— $9,247 and June 30, 2016—$8,403)</w:t>
            </w:r>
          </w:p>
        </w:tc>
        <w:tc>
          <w:tcPr>
            <w:tcW w:w="22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5"/>
                <w:szCs w:val="15"/>
                <w:color w:val="auto"/>
              </w:rPr>
              <w:t>223,338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5"/>
                <w:szCs w:val="15"/>
                <w:color w:val="auto"/>
              </w:rPr>
              <w:t>190,434</w:t>
            </w:r>
          </w:p>
        </w:tc>
      </w:tr>
      <w:tr>
        <w:trPr>
          <w:trHeight w:val="22"/>
        </w:trPr>
        <w:tc>
          <w:tcPr>
            <w:tcW w:w="8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0"/>
        </w:trPr>
        <w:tc>
          <w:tcPr>
            <w:tcW w:w="8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Costs and estimated earnings in excess of billings on uncompleted contracts</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69,986</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104,001</w:t>
            </w:r>
          </w:p>
        </w:tc>
      </w:tr>
      <w:tr>
        <w:trPr>
          <w:trHeight w:val="198"/>
        </w:trPr>
        <w:tc>
          <w:tcPr>
            <w:tcW w:w="8840" w:type="dxa"/>
            <w:vAlign w:val="bottom"/>
          </w:tcPr>
          <w:p>
            <w:pPr>
              <w:ind w:left="320"/>
              <w:spacing w:after="0"/>
              <w:rPr>
                <w:sz w:val="20"/>
                <w:szCs w:val="20"/>
                <w:color w:val="auto"/>
              </w:rPr>
            </w:pPr>
            <w:r>
              <w:rPr>
                <w:rFonts w:ascii="Arial" w:cs="Arial" w:eastAsia="Arial" w:hAnsi="Arial"/>
                <w:sz w:val="15"/>
                <w:szCs w:val="15"/>
                <w:color w:val="auto"/>
              </w:rPr>
              <w:t>Inventories</w:t>
            </w:r>
          </w:p>
        </w:tc>
        <w:tc>
          <w:tcPr>
            <w:tcW w:w="22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5"/>
                <w:szCs w:val="15"/>
                <w:color w:val="auto"/>
              </w:rPr>
              <w:t>3,926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5"/>
                <w:szCs w:val="15"/>
                <w:color w:val="auto"/>
              </w:rPr>
              <w:t>3,935</w:t>
            </w:r>
          </w:p>
        </w:tc>
      </w:tr>
      <w:tr>
        <w:trPr>
          <w:trHeight w:val="22"/>
        </w:trPr>
        <w:tc>
          <w:tcPr>
            <w:tcW w:w="8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0"/>
        </w:trPr>
        <w:tc>
          <w:tcPr>
            <w:tcW w:w="8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Income taxes receivable</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5,314</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9</w:t>
            </w:r>
          </w:p>
        </w:tc>
      </w:tr>
      <w:tr>
        <w:trPr>
          <w:trHeight w:val="198"/>
        </w:trPr>
        <w:tc>
          <w:tcPr>
            <w:tcW w:w="8840" w:type="dxa"/>
            <w:vAlign w:val="bottom"/>
          </w:tcPr>
          <w:p>
            <w:pPr>
              <w:ind w:left="320"/>
              <w:spacing w:after="0"/>
              <w:rPr>
                <w:sz w:val="20"/>
                <w:szCs w:val="20"/>
                <w:color w:val="auto"/>
              </w:rPr>
            </w:pPr>
            <w:r>
              <w:rPr>
                <w:rFonts w:ascii="Arial" w:cs="Arial" w:eastAsia="Arial" w:hAnsi="Arial"/>
                <w:sz w:val="15"/>
                <w:szCs w:val="15"/>
                <w:color w:val="auto"/>
              </w:rPr>
              <w:t>Other current assets</w:t>
            </w:r>
          </w:p>
        </w:tc>
        <w:tc>
          <w:tcPr>
            <w:tcW w:w="22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5"/>
                <w:szCs w:val="15"/>
                <w:color w:val="auto"/>
              </w:rPr>
              <w:t>7,373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5"/>
                <w:szCs w:val="15"/>
                <w:color w:val="auto"/>
              </w:rPr>
              <w:t>5,411</w:t>
            </w:r>
          </w:p>
        </w:tc>
      </w:tr>
      <w:tr>
        <w:trPr>
          <w:trHeight w:val="22"/>
        </w:trPr>
        <w:tc>
          <w:tcPr>
            <w:tcW w:w="8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1"/>
        </w:trPr>
        <w:tc>
          <w:tcPr>
            <w:tcW w:w="8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Total current assets</w:t>
            </w: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349,634</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375,446</w:t>
            </w:r>
          </w:p>
        </w:tc>
      </w:tr>
      <w:tr>
        <w:trPr>
          <w:trHeight w:val="198"/>
        </w:trPr>
        <w:tc>
          <w:tcPr>
            <w:tcW w:w="8840" w:type="dxa"/>
            <w:vAlign w:val="bottom"/>
          </w:tcPr>
          <w:p>
            <w:pPr>
              <w:ind w:left="40"/>
              <w:spacing w:after="0"/>
              <w:rPr>
                <w:sz w:val="20"/>
                <w:szCs w:val="20"/>
                <w:color w:val="auto"/>
              </w:rPr>
            </w:pPr>
            <w:r>
              <w:rPr>
                <w:rFonts w:ascii="Arial" w:cs="Arial" w:eastAsia="Arial" w:hAnsi="Arial"/>
                <w:sz w:val="15"/>
                <w:szCs w:val="15"/>
                <w:color w:val="auto"/>
              </w:rPr>
              <w:t>Property, plant and equipment at cost:</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
        </w:trPr>
        <w:tc>
          <w:tcPr>
            <w:tcW w:w="8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0"/>
        </w:trPr>
        <w:tc>
          <w:tcPr>
            <w:tcW w:w="8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Land and buildings</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39,826</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39,224</w:t>
            </w:r>
          </w:p>
        </w:tc>
      </w:tr>
      <w:tr>
        <w:trPr>
          <w:trHeight w:val="198"/>
        </w:trPr>
        <w:tc>
          <w:tcPr>
            <w:tcW w:w="8840" w:type="dxa"/>
            <w:vAlign w:val="bottom"/>
          </w:tcPr>
          <w:p>
            <w:pPr>
              <w:ind w:left="320"/>
              <w:spacing w:after="0"/>
              <w:rPr>
                <w:sz w:val="20"/>
                <w:szCs w:val="20"/>
                <w:color w:val="auto"/>
              </w:rPr>
            </w:pPr>
            <w:r>
              <w:rPr>
                <w:rFonts w:ascii="Arial" w:cs="Arial" w:eastAsia="Arial" w:hAnsi="Arial"/>
                <w:sz w:val="15"/>
                <w:szCs w:val="15"/>
                <w:color w:val="auto"/>
              </w:rPr>
              <w:t>Construction equipment</w:t>
            </w:r>
          </w:p>
        </w:tc>
        <w:tc>
          <w:tcPr>
            <w:tcW w:w="22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5"/>
                <w:szCs w:val="15"/>
                <w:color w:val="auto"/>
              </w:rPr>
              <w:t>93,178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5"/>
                <w:szCs w:val="15"/>
                <w:color w:val="auto"/>
              </w:rPr>
              <w:t>90,386</w:t>
            </w:r>
          </w:p>
        </w:tc>
      </w:tr>
      <w:tr>
        <w:trPr>
          <w:trHeight w:val="22"/>
        </w:trPr>
        <w:tc>
          <w:tcPr>
            <w:tcW w:w="8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0"/>
        </w:trPr>
        <w:tc>
          <w:tcPr>
            <w:tcW w:w="8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Transportation equipment</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48,156</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49,046</w:t>
            </w:r>
          </w:p>
        </w:tc>
      </w:tr>
      <w:tr>
        <w:trPr>
          <w:trHeight w:val="198"/>
        </w:trPr>
        <w:tc>
          <w:tcPr>
            <w:tcW w:w="8840" w:type="dxa"/>
            <w:vAlign w:val="bottom"/>
          </w:tcPr>
          <w:p>
            <w:pPr>
              <w:ind w:left="320"/>
              <w:spacing w:after="0"/>
              <w:rPr>
                <w:sz w:val="20"/>
                <w:szCs w:val="20"/>
                <w:color w:val="auto"/>
              </w:rPr>
            </w:pPr>
            <w:r>
              <w:rPr>
                <w:rFonts w:ascii="Arial" w:cs="Arial" w:eastAsia="Arial" w:hAnsi="Arial"/>
                <w:sz w:val="15"/>
                <w:szCs w:val="15"/>
                <w:color w:val="auto"/>
              </w:rPr>
              <w:t>Office equipment and software</w:t>
            </w:r>
          </w:p>
        </w:tc>
        <w:tc>
          <w:tcPr>
            <w:tcW w:w="22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5"/>
                <w:szCs w:val="15"/>
                <w:color w:val="auto"/>
              </w:rPr>
              <w:t>36,284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5"/>
                <w:szCs w:val="15"/>
                <w:color w:val="auto"/>
              </w:rPr>
              <w:t>29,577</w:t>
            </w:r>
          </w:p>
        </w:tc>
      </w:tr>
      <w:tr>
        <w:trPr>
          <w:trHeight w:val="22"/>
        </w:trPr>
        <w:tc>
          <w:tcPr>
            <w:tcW w:w="8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0"/>
        </w:trPr>
        <w:tc>
          <w:tcPr>
            <w:tcW w:w="8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Construction in progress</w:t>
            </w: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5,827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7,475</w:t>
            </w:r>
          </w:p>
        </w:tc>
      </w:tr>
      <w:tr>
        <w:trPr>
          <w:trHeight w:val="189"/>
        </w:trPr>
        <w:tc>
          <w:tcPr>
            <w:tcW w:w="8840" w:type="dxa"/>
            <w:vAlign w:val="bottom"/>
          </w:tcPr>
          <w:p>
            <w:pPr>
              <w:ind w:left="140"/>
              <w:spacing w:after="0"/>
              <w:rPr>
                <w:sz w:val="20"/>
                <w:szCs w:val="20"/>
                <w:color w:val="auto"/>
              </w:rPr>
            </w:pPr>
            <w:r>
              <w:rPr>
                <w:rFonts w:ascii="Arial" w:cs="Arial" w:eastAsia="Arial" w:hAnsi="Arial"/>
                <w:sz w:val="15"/>
                <w:szCs w:val="15"/>
                <w:color w:val="auto"/>
              </w:rPr>
              <w:t>Total property, plant and equipment - at cost</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5"/>
                <w:szCs w:val="15"/>
                <w:color w:val="auto"/>
              </w:rPr>
              <w:t>223,271</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5"/>
                <w:szCs w:val="15"/>
                <w:color w:val="auto"/>
              </w:rPr>
              <w:t>215,708</w:t>
            </w:r>
          </w:p>
        </w:tc>
      </w:tr>
      <w:tr>
        <w:trPr>
          <w:trHeight w:val="22"/>
        </w:trPr>
        <w:tc>
          <w:tcPr>
            <w:tcW w:w="8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0"/>
        </w:trPr>
        <w:tc>
          <w:tcPr>
            <w:tcW w:w="8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Accumulated depreciation</w:t>
            </w: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(141,308)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(130,977)</w:t>
            </w:r>
          </w:p>
        </w:tc>
      </w:tr>
      <w:tr>
        <w:trPr>
          <w:trHeight w:val="189"/>
        </w:trPr>
        <w:tc>
          <w:tcPr>
            <w:tcW w:w="8840" w:type="dxa"/>
            <w:vAlign w:val="bottom"/>
          </w:tcPr>
          <w:p>
            <w:pPr>
              <w:ind w:left="140"/>
              <w:spacing w:after="0"/>
              <w:rPr>
                <w:sz w:val="20"/>
                <w:szCs w:val="20"/>
                <w:color w:val="auto"/>
              </w:rPr>
            </w:pPr>
            <w:r>
              <w:rPr>
                <w:rFonts w:ascii="Arial" w:cs="Arial" w:eastAsia="Arial" w:hAnsi="Arial"/>
                <w:sz w:val="15"/>
                <w:szCs w:val="15"/>
                <w:color w:val="auto"/>
              </w:rPr>
              <w:t>Property, plant and equipment - net</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5"/>
                <w:szCs w:val="15"/>
                <w:color w:val="auto"/>
              </w:rPr>
              <w:t>81,963</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5"/>
                <w:szCs w:val="15"/>
                <w:color w:val="auto"/>
              </w:rPr>
              <w:t>84,731</w:t>
            </w:r>
          </w:p>
        </w:tc>
      </w:tr>
      <w:tr>
        <w:trPr>
          <w:trHeight w:val="22"/>
        </w:trPr>
        <w:tc>
          <w:tcPr>
            <w:tcW w:w="8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0"/>
        </w:trPr>
        <w:tc>
          <w:tcPr>
            <w:tcW w:w="8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Goodwill</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113,182</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78,293</w:t>
            </w:r>
          </w:p>
        </w:tc>
      </w:tr>
      <w:tr>
        <w:trPr>
          <w:trHeight w:val="198"/>
        </w:trPr>
        <w:tc>
          <w:tcPr>
            <w:tcW w:w="8840" w:type="dxa"/>
            <w:vAlign w:val="bottom"/>
          </w:tcPr>
          <w:p>
            <w:pPr>
              <w:ind w:left="40"/>
              <w:spacing w:after="0"/>
              <w:rPr>
                <w:sz w:val="20"/>
                <w:szCs w:val="20"/>
                <w:color w:val="auto"/>
              </w:rPr>
            </w:pPr>
            <w:r>
              <w:rPr>
                <w:rFonts w:ascii="Arial" w:cs="Arial" w:eastAsia="Arial" w:hAnsi="Arial"/>
                <w:sz w:val="15"/>
                <w:szCs w:val="15"/>
                <w:color w:val="auto"/>
              </w:rPr>
              <w:t>Other intangible assets</w:t>
            </w:r>
          </w:p>
        </w:tc>
        <w:tc>
          <w:tcPr>
            <w:tcW w:w="22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5"/>
                <w:szCs w:val="15"/>
                <w:color w:val="auto"/>
              </w:rPr>
              <w:t>27,781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5"/>
                <w:szCs w:val="15"/>
                <w:color w:val="auto"/>
              </w:rPr>
              <w:t>20,999</w:t>
            </w:r>
          </w:p>
        </w:tc>
      </w:tr>
      <w:tr>
        <w:trPr>
          <w:trHeight w:val="22"/>
        </w:trPr>
        <w:tc>
          <w:tcPr>
            <w:tcW w:w="8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0"/>
        </w:trPr>
        <w:tc>
          <w:tcPr>
            <w:tcW w:w="8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Deferred income taxes</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5,663</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3,719</w:t>
            </w:r>
          </w:p>
        </w:tc>
      </w:tr>
      <w:tr>
        <w:trPr>
          <w:trHeight w:val="198"/>
        </w:trPr>
        <w:tc>
          <w:tcPr>
            <w:tcW w:w="8840" w:type="dxa"/>
            <w:vAlign w:val="bottom"/>
          </w:tcPr>
          <w:p>
            <w:pPr>
              <w:ind w:left="40"/>
              <w:spacing w:after="0"/>
              <w:rPr>
                <w:sz w:val="20"/>
                <w:szCs w:val="20"/>
                <w:color w:val="auto"/>
              </w:rPr>
            </w:pPr>
            <w:r>
              <w:rPr>
                <w:rFonts w:ascii="Arial" w:cs="Arial" w:eastAsia="Arial" w:hAnsi="Arial"/>
                <w:sz w:val="15"/>
                <w:szCs w:val="15"/>
                <w:color w:val="auto"/>
              </w:rPr>
              <w:t>Other assets</w:t>
            </w:r>
          </w:p>
        </w:tc>
        <w:tc>
          <w:tcPr>
            <w:tcW w:w="22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5"/>
                <w:szCs w:val="15"/>
                <w:color w:val="auto"/>
              </w:rPr>
              <w:t>2,045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5"/>
                <w:szCs w:val="15"/>
                <w:color w:val="auto"/>
              </w:rPr>
              <w:t>1,779</w:t>
            </w:r>
          </w:p>
        </w:tc>
      </w:tr>
      <w:tr>
        <w:trPr>
          <w:trHeight w:val="22"/>
        </w:trPr>
        <w:tc>
          <w:tcPr>
            <w:tcW w:w="8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6"/>
        </w:trPr>
        <w:tc>
          <w:tcPr>
            <w:tcW w:w="8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Total assets</w:t>
            </w:r>
          </w:p>
        </w:tc>
        <w:tc>
          <w:tcPr>
            <w:tcW w:w="2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rPr>
              <w:t>580,268</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564,967</w:t>
            </w:r>
          </w:p>
        </w:tc>
      </w:tr>
      <w:tr>
        <w:trPr>
          <w:trHeight w:val="20"/>
        </w:trPr>
        <w:tc>
          <w:tcPr>
            <w:tcW w:w="8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- 3-</w:t>
      </w:r>
    </w:p>
    <w:p>
      <w:pPr>
        <w:sectPr>
          <w:pgSz w:w="11900" w:h="16838" w:orient="portrait"/>
          <w:cols w:equalWidth="0" w:num="1">
            <w:col w:w="11460"/>
          </w:cols>
          <w:pgMar w:left="220" w:top="305" w:right="219" w:bottom="1440" w:gutter="0" w:footer="0" w:header="0"/>
        </w:sectPr>
      </w:pPr>
    </w:p>
    <w:bookmarkStart w:id="5" w:name="page6"/>
    <w:bookmarkEnd w:id="5"/>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Matrix Service Company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thousands, except share data)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March 31,</w:t>
            </w:r>
          </w:p>
        </w:tc>
        <w:tc>
          <w:tcPr>
            <w:tcW w:w="240" w:type="dxa"/>
            <w:vAlign w:val="bottom"/>
          </w:tcPr>
          <w:p>
            <w:pPr>
              <w:spacing w:after="0"/>
              <w:rPr>
                <w:sz w:val="12"/>
                <w:szCs w:val="12"/>
                <w:color w:val="auto"/>
              </w:rPr>
            </w:pPr>
          </w:p>
        </w:tc>
        <w:tc>
          <w:tcPr>
            <w:tcW w:w="1000" w:type="dxa"/>
            <w:vAlign w:val="bottom"/>
          </w:tcPr>
          <w:p>
            <w:pPr>
              <w:jc w:val="right"/>
              <w:ind w:right="348"/>
              <w:spacing w:after="0"/>
              <w:rPr>
                <w:sz w:val="20"/>
                <w:szCs w:val="20"/>
                <w:color w:val="auto"/>
              </w:rPr>
            </w:pPr>
            <w:r>
              <w:rPr>
                <w:rFonts w:ascii="Arial" w:cs="Arial" w:eastAsia="Arial" w:hAnsi="Arial"/>
                <w:sz w:val="12"/>
                <w:szCs w:val="12"/>
                <w:b w:val="1"/>
                <w:bCs w:val="1"/>
                <w:color w:val="auto"/>
              </w:rPr>
              <w:t>June 30,</w:t>
            </w:r>
          </w:p>
        </w:tc>
      </w:tr>
      <w:tr>
        <w:trPr>
          <w:trHeight w:val="156"/>
        </w:trPr>
        <w:tc>
          <w:tcPr>
            <w:tcW w:w="88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2"/>
                <w:szCs w:val="12"/>
                <w:b w:val="1"/>
                <w:bCs w:val="1"/>
                <w:color w:val="auto"/>
              </w:rPr>
              <w:t>2016</w:t>
            </w:r>
          </w:p>
        </w:tc>
      </w:tr>
      <w:tr>
        <w:trPr>
          <w:trHeight w:val="197"/>
        </w:trPr>
        <w:tc>
          <w:tcPr>
            <w:tcW w:w="8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Liabilities and stockholders’ equity</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198"/>
        </w:trPr>
        <w:tc>
          <w:tcPr>
            <w:tcW w:w="8840" w:type="dxa"/>
            <w:vAlign w:val="bottom"/>
          </w:tcPr>
          <w:p>
            <w:pPr>
              <w:ind w:left="40"/>
              <w:spacing w:after="0"/>
              <w:rPr>
                <w:sz w:val="20"/>
                <w:szCs w:val="20"/>
                <w:color w:val="auto"/>
              </w:rPr>
            </w:pPr>
            <w:r>
              <w:rPr>
                <w:rFonts w:ascii="Arial" w:cs="Arial" w:eastAsia="Arial" w:hAnsi="Arial"/>
                <w:sz w:val="15"/>
                <w:szCs w:val="15"/>
                <w:color w:val="auto"/>
              </w:rPr>
              <w:t>Current liabilities: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
        </w:trPr>
        <w:tc>
          <w:tcPr>
            <w:tcW w:w="8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0"/>
        </w:trPr>
        <w:tc>
          <w:tcPr>
            <w:tcW w:w="8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Accounts payable</w:t>
            </w: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97,271</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141,445</w:t>
            </w:r>
          </w:p>
        </w:tc>
      </w:tr>
      <w:tr>
        <w:trPr>
          <w:trHeight w:val="198"/>
        </w:trPr>
        <w:tc>
          <w:tcPr>
            <w:tcW w:w="8840" w:type="dxa"/>
            <w:vAlign w:val="bottom"/>
          </w:tcPr>
          <w:p>
            <w:pPr>
              <w:ind w:left="320"/>
              <w:spacing w:after="0"/>
              <w:rPr>
                <w:sz w:val="20"/>
                <w:szCs w:val="20"/>
                <w:color w:val="auto"/>
              </w:rPr>
            </w:pPr>
            <w:r>
              <w:rPr>
                <w:rFonts w:ascii="Arial" w:cs="Arial" w:eastAsia="Arial" w:hAnsi="Arial"/>
                <w:sz w:val="15"/>
                <w:szCs w:val="15"/>
                <w:color w:val="auto"/>
              </w:rPr>
              <w:t>Billings on uncompleted contracts in excess of costs and estimated earnings</w:t>
            </w:r>
          </w:p>
        </w:tc>
        <w:tc>
          <w:tcPr>
            <w:tcW w:w="22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5"/>
                <w:szCs w:val="15"/>
                <w:color w:val="auto"/>
              </w:rPr>
              <w:t>75,424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5"/>
                <w:szCs w:val="15"/>
                <w:color w:val="auto"/>
              </w:rPr>
              <w:t>58,327</w:t>
            </w:r>
          </w:p>
        </w:tc>
      </w:tr>
      <w:tr>
        <w:trPr>
          <w:trHeight w:val="22"/>
        </w:trPr>
        <w:tc>
          <w:tcPr>
            <w:tcW w:w="8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0"/>
        </w:trPr>
        <w:tc>
          <w:tcPr>
            <w:tcW w:w="8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Accrued wages and benefits</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25,102</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27,716</w:t>
            </w:r>
          </w:p>
        </w:tc>
      </w:tr>
      <w:tr>
        <w:trPr>
          <w:trHeight w:val="198"/>
        </w:trPr>
        <w:tc>
          <w:tcPr>
            <w:tcW w:w="8840" w:type="dxa"/>
            <w:vAlign w:val="bottom"/>
          </w:tcPr>
          <w:p>
            <w:pPr>
              <w:ind w:left="320"/>
              <w:spacing w:after="0"/>
              <w:rPr>
                <w:sz w:val="20"/>
                <w:szCs w:val="20"/>
                <w:color w:val="auto"/>
              </w:rPr>
            </w:pPr>
            <w:r>
              <w:rPr>
                <w:rFonts w:ascii="Arial" w:cs="Arial" w:eastAsia="Arial" w:hAnsi="Arial"/>
                <w:sz w:val="15"/>
                <w:szCs w:val="15"/>
                <w:color w:val="auto"/>
              </w:rPr>
              <w:t>Accrued insurance</w:t>
            </w:r>
          </w:p>
        </w:tc>
        <w:tc>
          <w:tcPr>
            <w:tcW w:w="22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5"/>
                <w:szCs w:val="15"/>
                <w:color w:val="auto"/>
              </w:rPr>
              <w:t>8,804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5"/>
                <w:szCs w:val="15"/>
                <w:color w:val="auto"/>
              </w:rPr>
              <w:t>9,246</w:t>
            </w:r>
          </w:p>
        </w:tc>
      </w:tr>
      <w:tr>
        <w:trPr>
          <w:trHeight w:val="22"/>
        </w:trPr>
        <w:tc>
          <w:tcPr>
            <w:tcW w:w="8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0"/>
        </w:trPr>
        <w:tc>
          <w:tcPr>
            <w:tcW w:w="8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Income taxes payable</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148</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2,675</w:t>
            </w:r>
          </w:p>
        </w:tc>
      </w:tr>
      <w:tr>
        <w:trPr>
          <w:trHeight w:val="198"/>
        </w:trPr>
        <w:tc>
          <w:tcPr>
            <w:tcW w:w="8840" w:type="dxa"/>
            <w:vAlign w:val="bottom"/>
          </w:tcPr>
          <w:p>
            <w:pPr>
              <w:ind w:left="320"/>
              <w:spacing w:after="0"/>
              <w:rPr>
                <w:sz w:val="20"/>
                <w:szCs w:val="20"/>
                <w:color w:val="auto"/>
              </w:rPr>
            </w:pPr>
            <w:r>
              <w:rPr>
                <w:rFonts w:ascii="Arial" w:cs="Arial" w:eastAsia="Arial" w:hAnsi="Arial"/>
                <w:sz w:val="15"/>
                <w:szCs w:val="15"/>
                <w:color w:val="auto"/>
              </w:rPr>
              <w:t>Other accrued expenses</w:t>
            </w:r>
          </w:p>
        </w:tc>
        <w:tc>
          <w:tcPr>
            <w:tcW w:w="22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5"/>
                <w:szCs w:val="15"/>
                <w:color w:val="auto"/>
              </w:rPr>
              <w:t>8,314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5"/>
                <w:szCs w:val="15"/>
                <w:color w:val="auto"/>
              </w:rPr>
              <w:t>6,621</w:t>
            </w:r>
          </w:p>
        </w:tc>
      </w:tr>
      <w:tr>
        <w:trPr>
          <w:trHeight w:val="22"/>
        </w:trPr>
        <w:tc>
          <w:tcPr>
            <w:tcW w:w="8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1"/>
        </w:trPr>
        <w:tc>
          <w:tcPr>
            <w:tcW w:w="8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Total current liabilities</w:t>
            </w: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215,063</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246,030</w:t>
            </w:r>
          </w:p>
        </w:tc>
      </w:tr>
      <w:tr>
        <w:trPr>
          <w:trHeight w:val="198"/>
        </w:trPr>
        <w:tc>
          <w:tcPr>
            <w:tcW w:w="8840" w:type="dxa"/>
            <w:vAlign w:val="bottom"/>
          </w:tcPr>
          <w:p>
            <w:pPr>
              <w:ind w:left="320"/>
              <w:spacing w:after="0"/>
              <w:rPr>
                <w:sz w:val="20"/>
                <w:szCs w:val="20"/>
                <w:color w:val="auto"/>
              </w:rPr>
            </w:pPr>
            <w:r>
              <w:rPr>
                <w:rFonts w:ascii="Arial" w:cs="Arial" w:eastAsia="Arial" w:hAnsi="Arial"/>
                <w:sz w:val="15"/>
                <w:szCs w:val="15"/>
                <w:color w:val="auto"/>
              </w:rPr>
              <w:t>Deferred income taxes</w:t>
            </w:r>
          </w:p>
        </w:tc>
        <w:tc>
          <w:tcPr>
            <w:tcW w:w="22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5"/>
                <w:szCs w:val="15"/>
                <w:color w:val="auto"/>
              </w:rPr>
              <w:t>377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5"/>
                <w:szCs w:val="15"/>
                <w:color w:val="auto"/>
              </w:rPr>
              <w:t>3,198</w:t>
            </w:r>
          </w:p>
        </w:tc>
      </w:tr>
      <w:tr>
        <w:trPr>
          <w:trHeight w:val="22"/>
        </w:trPr>
        <w:tc>
          <w:tcPr>
            <w:tcW w:w="8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0"/>
        </w:trPr>
        <w:tc>
          <w:tcPr>
            <w:tcW w:w="8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Borrowings under senior revolving credit facility</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44,139</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w:t>
            </w:r>
          </w:p>
        </w:tc>
      </w:tr>
      <w:tr>
        <w:trPr>
          <w:trHeight w:val="198"/>
        </w:trPr>
        <w:tc>
          <w:tcPr>
            <w:tcW w:w="8840" w:type="dxa"/>
            <w:vAlign w:val="bottom"/>
          </w:tcPr>
          <w:p>
            <w:pPr>
              <w:ind w:left="320"/>
              <w:spacing w:after="0"/>
              <w:rPr>
                <w:sz w:val="20"/>
                <w:szCs w:val="20"/>
                <w:color w:val="auto"/>
              </w:rPr>
            </w:pPr>
            <w:r>
              <w:rPr>
                <w:rFonts w:ascii="Arial" w:cs="Arial" w:eastAsia="Arial" w:hAnsi="Arial"/>
                <w:sz w:val="15"/>
                <w:szCs w:val="15"/>
                <w:color w:val="auto"/>
              </w:rPr>
              <w:t>Other liabilities</w:t>
            </w:r>
          </w:p>
        </w:tc>
        <w:tc>
          <w:tcPr>
            <w:tcW w:w="22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5"/>
                <w:szCs w:val="15"/>
                <w:color w:val="auto"/>
              </w:rPr>
              <w:t>472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5"/>
                <w:szCs w:val="15"/>
                <w:color w:val="auto"/>
              </w:rPr>
              <w:t>173</w:t>
            </w:r>
          </w:p>
        </w:tc>
      </w:tr>
      <w:tr>
        <w:trPr>
          <w:trHeight w:val="22"/>
        </w:trPr>
        <w:tc>
          <w:tcPr>
            <w:tcW w:w="8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1"/>
        </w:trPr>
        <w:tc>
          <w:tcPr>
            <w:tcW w:w="8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Total liabilities</w:t>
            </w: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260,051</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249,401</w:t>
            </w:r>
          </w:p>
        </w:tc>
      </w:tr>
      <w:tr>
        <w:trPr>
          <w:trHeight w:val="198"/>
        </w:trPr>
        <w:tc>
          <w:tcPr>
            <w:tcW w:w="8840" w:type="dxa"/>
            <w:vAlign w:val="bottom"/>
          </w:tcPr>
          <w:p>
            <w:pPr>
              <w:ind w:left="40"/>
              <w:spacing w:after="0"/>
              <w:rPr>
                <w:sz w:val="20"/>
                <w:szCs w:val="20"/>
                <w:color w:val="auto"/>
              </w:rPr>
            </w:pPr>
            <w:r>
              <w:rPr>
                <w:rFonts w:ascii="Arial" w:cs="Arial" w:eastAsia="Arial" w:hAnsi="Arial"/>
                <w:sz w:val="15"/>
                <w:szCs w:val="15"/>
                <w:color w:val="auto"/>
              </w:rPr>
              <w:t>Commitments and contingencies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
        </w:trPr>
        <w:tc>
          <w:tcPr>
            <w:tcW w:w="8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0"/>
        </w:trPr>
        <w:tc>
          <w:tcPr>
            <w:tcW w:w="8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Stockholders’ equity:</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198"/>
        </w:trPr>
        <w:tc>
          <w:tcPr>
            <w:tcW w:w="8840" w:type="dxa"/>
            <w:vAlign w:val="bottom"/>
          </w:tcPr>
          <w:p>
            <w:pPr>
              <w:ind w:left="40"/>
              <w:spacing w:after="0"/>
              <w:rPr>
                <w:sz w:val="20"/>
                <w:szCs w:val="20"/>
                <w:color w:val="auto"/>
              </w:rPr>
            </w:pPr>
            <w:r>
              <w:rPr>
                <w:rFonts w:ascii="Arial" w:cs="Arial" w:eastAsia="Arial" w:hAnsi="Arial"/>
                <w:sz w:val="15"/>
                <w:szCs w:val="15"/>
                <w:color w:val="auto"/>
              </w:rPr>
              <w:t>Matrix Service Company stockholders' equity:</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
        </w:trPr>
        <w:tc>
          <w:tcPr>
            <w:tcW w:w="8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8"/>
        </w:trPr>
        <w:tc>
          <w:tcPr>
            <w:tcW w:w="8840" w:type="dxa"/>
            <w:vAlign w:val="bottom"/>
            <w:shd w:val="clear" w:color="auto" w:fill="CCEEFF"/>
          </w:tcPr>
          <w:p>
            <w:pPr>
              <w:ind w:left="320"/>
              <w:spacing w:after="0"/>
              <w:rPr>
                <w:sz w:val="20"/>
                <w:szCs w:val="20"/>
                <w:color w:val="auto"/>
              </w:rPr>
            </w:pPr>
            <w:r>
              <w:rPr>
                <w:rFonts w:ascii="Arial" w:cs="Arial" w:eastAsia="Arial" w:hAnsi="Arial"/>
                <w:sz w:val="15"/>
                <w:szCs w:val="15"/>
                <w:color w:val="auto"/>
                <w:w w:val="88"/>
              </w:rPr>
              <w:t>Common stock—$.01 par value; 60,000,000 shares authorized; 27,888,217 shares issued as of March 31, 2017, and June 30, 2016; 26,594,319</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9"/>
        </w:trPr>
        <w:tc>
          <w:tcPr>
            <w:tcW w:w="8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and 26,297,145 shares outstanding as of March 31, 2017 and June 30, 2016</w:t>
            </w: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279</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279</w:t>
            </w:r>
          </w:p>
        </w:tc>
      </w:tr>
      <w:tr>
        <w:trPr>
          <w:trHeight w:val="198"/>
        </w:trPr>
        <w:tc>
          <w:tcPr>
            <w:tcW w:w="8840" w:type="dxa"/>
            <w:vAlign w:val="bottom"/>
          </w:tcPr>
          <w:p>
            <w:pPr>
              <w:ind w:left="320"/>
              <w:spacing w:after="0"/>
              <w:rPr>
                <w:sz w:val="20"/>
                <w:szCs w:val="20"/>
                <w:color w:val="auto"/>
              </w:rPr>
            </w:pPr>
            <w:r>
              <w:rPr>
                <w:rFonts w:ascii="Arial" w:cs="Arial" w:eastAsia="Arial" w:hAnsi="Arial"/>
                <w:sz w:val="15"/>
                <w:szCs w:val="15"/>
                <w:color w:val="auto"/>
              </w:rPr>
              <w:t>Additional paid-in capital</w:t>
            </w:r>
          </w:p>
        </w:tc>
        <w:tc>
          <w:tcPr>
            <w:tcW w:w="22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5"/>
                <w:szCs w:val="15"/>
                <w:color w:val="auto"/>
              </w:rPr>
              <w:t>126,513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5"/>
                <w:szCs w:val="15"/>
                <w:color w:val="auto"/>
              </w:rPr>
              <w:t>127,058</w:t>
            </w:r>
          </w:p>
        </w:tc>
      </w:tr>
      <w:tr>
        <w:trPr>
          <w:trHeight w:val="22"/>
        </w:trPr>
        <w:tc>
          <w:tcPr>
            <w:tcW w:w="8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0"/>
        </w:trPr>
        <w:tc>
          <w:tcPr>
            <w:tcW w:w="8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Retained earnings</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223,928</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223,157</w:t>
            </w:r>
          </w:p>
        </w:tc>
      </w:tr>
      <w:tr>
        <w:trPr>
          <w:trHeight w:val="198"/>
        </w:trPr>
        <w:tc>
          <w:tcPr>
            <w:tcW w:w="8840" w:type="dxa"/>
            <w:vAlign w:val="bottom"/>
          </w:tcPr>
          <w:p>
            <w:pPr>
              <w:ind w:left="320"/>
              <w:spacing w:after="0"/>
              <w:rPr>
                <w:sz w:val="20"/>
                <w:szCs w:val="20"/>
                <w:color w:val="auto"/>
              </w:rPr>
            </w:pPr>
            <w:r>
              <w:rPr>
                <w:rFonts w:ascii="Arial" w:cs="Arial" w:eastAsia="Arial" w:hAnsi="Arial"/>
                <w:sz w:val="15"/>
                <w:szCs w:val="15"/>
                <w:color w:val="auto"/>
              </w:rPr>
              <w:t>Accumulated other comprehensive loss</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(7,807)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(6,845)</w:t>
            </w:r>
          </w:p>
        </w:tc>
      </w:tr>
      <w:tr>
        <w:trPr>
          <w:trHeight w:val="22"/>
        </w:trPr>
        <w:tc>
          <w:tcPr>
            <w:tcW w:w="8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1"/>
        </w:trPr>
        <w:tc>
          <w:tcPr>
            <w:tcW w:w="88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342,913</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343,649</w:t>
            </w:r>
          </w:p>
        </w:tc>
      </w:tr>
      <w:tr>
        <w:trPr>
          <w:trHeight w:val="198"/>
        </w:trPr>
        <w:tc>
          <w:tcPr>
            <w:tcW w:w="8840" w:type="dxa"/>
            <w:vAlign w:val="bottom"/>
          </w:tcPr>
          <w:p>
            <w:pPr>
              <w:ind w:left="320"/>
              <w:spacing w:after="0"/>
              <w:rPr>
                <w:sz w:val="20"/>
                <w:szCs w:val="20"/>
                <w:color w:val="auto"/>
              </w:rPr>
            </w:pPr>
            <w:r>
              <w:rPr>
                <w:rFonts w:ascii="Arial" w:cs="Arial" w:eastAsia="Arial" w:hAnsi="Arial"/>
                <w:sz w:val="15"/>
                <w:szCs w:val="15"/>
                <w:color w:val="auto"/>
              </w:rPr>
              <w:t>Less: Treasury stock, at cost — 1,293,898 shares as of March 31, 2017, and 1,591,072 shares as of June 30, 2016</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(22,696)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(26,907)</w:t>
            </w:r>
          </w:p>
        </w:tc>
      </w:tr>
      <w:tr>
        <w:trPr>
          <w:trHeight w:val="22"/>
        </w:trPr>
        <w:tc>
          <w:tcPr>
            <w:tcW w:w="8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1"/>
        </w:trPr>
        <w:tc>
          <w:tcPr>
            <w:tcW w:w="8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Total Matrix Service Company stockholders’ equity</w:t>
            </w: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320,217</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316,742</w:t>
            </w:r>
          </w:p>
        </w:tc>
      </w:tr>
      <w:tr>
        <w:trPr>
          <w:trHeight w:val="198"/>
        </w:trPr>
        <w:tc>
          <w:tcPr>
            <w:tcW w:w="8840" w:type="dxa"/>
            <w:vAlign w:val="bottom"/>
          </w:tcPr>
          <w:p>
            <w:pPr>
              <w:ind w:left="40"/>
              <w:spacing w:after="0"/>
              <w:rPr>
                <w:sz w:val="20"/>
                <w:szCs w:val="20"/>
                <w:color w:val="auto"/>
              </w:rPr>
            </w:pPr>
            <w:r>
              <w:rPr>
                <w:rFonts w:ascii="Arial" w:cs="Arial" w:eastAsia="Arial" w:hAnsi="Arial"/>
                <w:sz w:val="15"/>
                <w:szCs w:val="15"/>
                <w:color w:val="auto"/>
              </w:rPr>
              <w:t>Noncontrolling interest</w:t>
            </w:r>
          </w:p>
        </w:tc>
        <w:tc>
          <w:tcPr>
            <w:tcW w:w="22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(1,176)</w:t>
            </w:r>
          </w:p>
        </w:tc>
      </w:tr>
      <w:tr>
        <w:trPr>
          <w:trHeight w:val="22"/>
        </w:trPr>
        <w:tc>
          <w:tcPr>
            <w:tcW w:w="8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1"/>
        </w:trPr>
        <w:tc>
          <w:tcPr>
            <w:tcW w:w="8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Total stockholders' equity</w:t>
            </w: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320,217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315,566</w:t>
            </w:r>
          </w:p>
        </w:tc>
      </w:tr>
      <w:tr>
        <w:trPr>
          <w:trHeight w:val="206"/>
        </w:trPr>
        <w:tc>
          <w:tcPr>
            <w:tcW w:w="8840" w:type="dxa"/>
            <w:vAlign w:val="bottom"/>
          </w:tcPr>
          <w:p>
            <w:pPr>
              <w:ind w:left="40"/>
              <w:spacing w:after="0"/>
              <w:rPr>
                <w:sz w:val="20"/>
                <w:szCs w:val="20"/>
                <w:color w:val="auto"/>
              </w:rPr>
            </w:pPr>
            <w:r>
              <w:rPr>
                <w:rFonts w:ascii="Arial" w:cs="Arial" w:eastAsia="Arial" w:hAnsi="Arial"/>
                <w:sz w:val="15"/>
                <w:szCs w:val="15"/>
                <w:color w:val="auto"/>
              </w:rPr>
              <w:t>Total liabilities and stockholders’ equity</w:t>
            </w:r>
          </w:p>
        </w:tc>
        <w:tc>
          <w:tcPr>
            <w:tcW w:w="22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color w:val="auto"/>
              </w:rPr>
              <w:t>580,268</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color w:val="auto"/>
              </w:rPr>
              <w:t>564,967</w:t>
            </w:r>
          </w:p>
        </w:tc>
      </w:tr>
      <w:tr>
        <w:trPr>
          <w:trHeight w:val="20"/>
        </w:trPr>
        <w:tc>
          <w:tcPr>
            <w:tcW w:w="8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See accompanying notes.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- 4-</w:t>
      </w:r>
    </w:p>
    <w:p>
      <w:pPr>
        <w:sectPr>
          <w:pgSz w:w="11900" w:h="16838" w:orient="portrait"/>
          <w:cols w:equalWidth="0" w:num="1">
            <w:col w:w="11460"/>
          </w:cols>
          <w:pgMar w:left="220" w:top="305" w:right="219" w:bottom="1440" w:gutter="0" w:footer="0" w:header="0"/>
        </w:sectPr>
      </w:pPr>
    </w:p>
    <w:bookmarkStart w:id="6" w:name="page7"/>
    <w:bookmarkEnd w:id="6"/>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Matrix Service Company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8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2"/>
                <w:szCs w:val="12"/>
                <w:b w:val="1"/>
                <w:bCs w:val="1"/>
                <w:color w:val="auto"/>
              </w:rPr>
              <w:t>Nine Months Ended</w:t>
            </w:r>
          </w:p>
        </w:tc>
      </w:tr>
      <w:tr>
        <w:trPr>
          <w:trHeight w:val="122"/>
        </w:trPr>
        <w:tc>
          <w:tcPr>
            <w:tcW w:w="8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tcPr>
          <w:p>
            <w:pPr>
              <w:ind w:left="140"/>
              <w:spacing w:after="0" w:line="122" w:lineRule="exact"/>
              <w:rPr>
                <w:sz w:val="20"/>
                <w:szCs w:val="20"/>
                <w:color w:val="auto"/>
              </w:rPr>
            </w:pPr>
            <w:r>
              <w:rPr>
                <w:rFonts w:ascii="Arial" w:cs="Arial" w:eastAsia="Arial" w:hAnsi="Arial"/>
                <w:sz w:val="12"/>
                <w:szCs w:val="12"/>
                <w:b w:val="1"/>
                <w:bCs w:val="1"/>
                <w:color w:val="auto"/>
              </w:rPr>
              <w:t>March 31,</w:t>
            </w:r>
          </w:p>
        </w:tc>
        <w:tc>
          <w:tcPr>
            <w:tcW w:w="220" w:type="dxa"/>
            <w:vAlign w:val="bottom"/>
          </w:tcPr>
          <w:p>
            <w:pPr>
              <w:spacing w:after="0"/>
              <w:rPr>
                <w:sz w:val="10"/>
                <w:szCs w:val="10"/>
                <w:color w:val="auto"/>
              </w:rPr>
            </w:pPr>
          </w:p>
        </w:tc>
        <w:tc>
          <w:tcPr>
            <w:tcW w:w="1020" w:type="dxa"/>
            <w:vAlign w:val="bottom"/>
          </w:tcPr>
          <w:p>
            <w:pPr>
              <w:jc w:val="right"/>
              <w:ind w:right="308"/>
              <w:spacing w:after="0" w:line="122" w:lineRule="exact"/>
              <w:rPr>
                <w:sz w:val="20"/>
                <w:szCs w:val="20"/>
                <w:color w:val="auto"/>
              </w:rPr>
            </w:pPr>
            <w:r>
              <w:rPr>
                <w:rFonts w:ascii="Arial" w:cs="Arial" w:eastAsia="Arial" w:hAnsi="Arial"/>
                <w:sz w:val="12"/>
                <w:szCs w:val="12"/>
                <w:b w:val="1"/>
                <w:bCs w:val="1"/>
                <w:color w:val="auto"/>
              </w:rPr>
              <w:t>March 31,</w:t>
            </w:r>
          </w:p>
        </w:tc>
      </w:tr>
      <w:tr>
        <w:trPr>
          <w:trHeight w:val="156"/>
        </w:trPr>
        <w:tc>
          <w:tcPr>
            <w:tcW w:w="88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9"/>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2"/>
                <w:szCs w:val="12"/>
                <w:b w:val="1"/>
                <w:bCs w:val="1"/>
                <w:color w:val="auto"/>
              </w:rPr>
              <w:t>2016</w:t>
            </w:r>
          </w:p>
        </w:tc>
      </w:tr>
      <w:tr>
        <w:trPr>
          <w:trHeight w:val="197"/>
        </w:trPr>
        <w:tc>
          <w:tcPr>
            <w:tcW w:w="8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Operating activities:</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r>
      <w:tr>
        <w:trPr>
          <w:trHeight w:val="198"/>
        </w:trPr>
        <w:tc>
          <w:tcPr>
            <w:tcW w:w="8840" w:type="dxa"/>
            <w:vAlign w:val="bottom"/>
          </w:tcPr>
          <w:p>
            <w:pPr>
              <w:ind w:left="40"/>
              <w:spacing w:after="0"/>
              <w:rPr>
                <w:sz w:val="20"/>
                <w:szCs w:val="20"/>
                <w:color w:val="auto"/>
              </w:rPr>
            </w:pPr>
            <w:r>
              <w:rPr>
                <w:rFonts w:ascii="Arial" w:cs="Arial" w:eastAsia="Arial" w:hAnsi="Arial"/>
                <w:sz w:val="15"/>
                <w:szCs w:val="15"/>
                <w:color w:val="auto"/>
              </w:rPr>
              <w:t>Net income</w:t>
            </w: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29"/>
              <w:spacing w:after="0"/>
              <w:rPr>
                <w:sz w:val="20"/>
                <w:szCs w:val="20"/>
                <w:color w:val="auto"/>
              </w:rPr>
            </w:pPr>
            <w:r>
              <w:rPr>
                <w:rFonts w:ascii="Arial" w:cs="Arial" w:eastAsia="Arial" w:hAnsi="Arial"/>
                <w:sz w:val="15"/>
                <w:szCs w:val="15"/>
                <w:color w:val="auto"/>
              </w:rPr>
              <w:t>1,092</w:t>
            </w:r>
          </w:p>
        </w:tc>
        <w:tc>
          <w:tcPr>
            <w:tcW w:w="120" w:type="dxa"/>
            <w:vAlign w:val="bottom"/>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48"/>
              <w:spacing w:after="0"/>
              <w:rPr>
                <w:sz w:val="20"/>
                <w:szCs w:val="20"/>
                <w:color w:val="auto"/>
              </w:rPr>
            </w:pPr>
            <w:r>
              <w:rPr>
                <w:rFonts w:ascii="Arial" w:cs="Arial" w:eastAsia="Arial" w:hAnsi="Arial"/>
                <w:sz w:val="15"/>
                <w:szCs w:val="15"/>
                <w:color w:val="auto"/>
              </w:rPr>
              <w:t>16,403</w:t>
            </w:r>
          </w:p>
        </w:tc>
      </w:tr>
      <w:tr>
        <w:trPr>
          <w:trHeight w:val="22"/>
        </w:trPr>
        <w:tc>
          <w:tcPr>
            <w:tcW w:w="8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0"/>
        </w:trPr>
        <w:tc>
          <w:tcPr>
            <w:tcW w:w="8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Adjustments to reconcile net income to net cash used by operating activities, net of effects from acquisitions:</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r>
      <w:tr>
        <w:trPr>
          <w:trHeight w:val="198"/>
        </w:trPr>
        <w:tc>
          <w:tcPr>
            <w:tcW w:w="8840" w:type="dxa"/>
            <w:vAlign w:val="bottom"/>
          </w:tcPr>
          <w:p>
            <w:pPr>
              <w:ind w:left="320"/>
              <w:spacing w:after="0"/>
              <w:rPr>
                <w:sz w:val="20"/>
                <w:szCs w:val="20"/>
                <w:color w:val="auto"/>
              </w:rPr>
            </w:pPr>
            <w:r>
              <w:rPr>
                <w:rFonts w:ascii="Arial" w:cs="Arial" w:eastAsia="Arial" w:hAnsi="Arial"/>
                <w:sz w:val="15"/>
                <w:szCs w:val="15"/>
                <w:color w:val="auto"/>
              </w:rPr>
              <w:t>Depreciation and amortization</w:t>
            </w:r>
          </w:p>
        </w:tc>
        <w:tc>
          <w:tcPr>
            <w:tcW w:w="220" w:type="dxa"/>
            <w:vAlign w:val="bottom"/>
          </w:tcPr>
          <w:p>
            <w:pPr>
              <w:spacing w:after="0"/>
              <w:rPr>
                <w:sz w:val="17"/>
                <w:szCs w:val="17"/>
                <w:color w:val="auto"/>
              </w:rPr>
            </w:pPr>
          </w:p>
        </w:tc>
        <w:tc>
          <w:tcPr>
            <w:tcW w:w="1040" w:type="dxa"/>
            <w:vAlign w:val="bottom"/>
          </w:tcPr>
          <w:p>
            <w:pPr>
              <w:jc w:val="right"/>
              <w:ind w:right="29"/>
              <w:spacing w:after="0"/>
              <w:rPr>
                <w:sz w:val="20"/>
                <w:szCs w:val="20"/>
                <w:color w:val="auto"/>
              </w:rPr>
            </w:pPr>
            <w:r>
              <w:rPr>
                <w:rFonts w:ascii="Arial" w:cs="Arial" w:eastAsia="Arial" w:hAnsi="Arial"/>
                <w:sz w:val="15"/>
                <w:szCs w:val="15"/>
                <w:color w:val="auto"/>
              </w:rPr>
              <w:t>15,839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48"/>
              <w:spacing w:after="0"/>
              <w:rPr>
                <w:sz w:val="20"/>
                <w:szCs w:val="20"/>
                <w:color w:val="auto"/>
              </w:rPr>
            </w:pPr>
            <w:r>
              <w:rPr>
                <w:rFonts w:ascii="Arial" w:cs="Arial" w:eastAsia="Arial" w:hAnsi="Arial"/>
                <w:sz w:val="15"/>
                <w:szCs w:val="15"/>
                <w:color w:val="auto"/>
              </w:rPr>
              <w:t>16,139</w:t>
            </w:r>
          </w:p>
        </w:tc>
      </w:tr>
      <w:tr>
        <w:trPr>
          <w:trHeight w:val="22"/>
        </w:trPr>
        <w:tc>
          <w:tcPr>
            <w:tcW w:w="8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0"/>
        </w:trPr>
        <w:tc>
          <w:tcPr>
            <w:tcW w:w="8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Deferred income tax</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(4,665)</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1,413</w:t>
            </w:r>
          </w:p>
        </w:tc>
      </w:tr>
      <w:tr>
        <w:trPr>
          <w:trHeight w:val="198"/>
        </w:trPr>
        <w:tc>
          <w:tcPr>
            <w:tcW w:w="8840" w:type="dxa"/>
            <w:vAlign w:val="bottom"/>
          </w:tcPr>
          <w:p>
            <w:pPr>
              <w:ind w:left="320"/>
              <w:spacing w:after="0"/>
              <w:rPr>
                <w:sz w:val="20"/>
                <w:szCs w:val="20"/>
                <w:color w:val="auto"/>
              </w:rPr>
            </w:pPr>
            <w:r>
              <w:rPr>
                <w:rFonts w:ascii="Arial" w:cs="Arial" w:eastAsia="Arial" w:hAnsi="Arial"/>
                <w:sz w:val="15"/>
                <w:szCs w:val="15"/>
                <w:color w:val="auto"/>
              </w:rPr>
              <w:t>Gain on sale of property, plant and equipment</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(366)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(111)</w:t>
            </w:r>
          </w:p>
        </w:tc>
      </w:tr>
      <w:tr>
        <w:trPr>
          <w:trHeight w:val="22"/>
        </w:trPr>
        <w:tc>
          <w:tcPr>
            <w:tcW w:w="8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0"/>
        </w:trPr>
        <w:tc>
          <w:tcPr>
            <w:tcW w:w="8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Provision for uncollectible accounts</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900</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5,684</w:t>
            </w:r>
          </w:p>
        </w:tc>
      </w:tr>
      <w:tr>
        <w:trPr>
          <w:trHeight w:val="198"/>
        </w:trPr>
        <w:tc>
          <w:tcPr>
            <w:tcW w:w="8840" w:type="dxa"/>
            <w:vAlign w:val="bottom"/>
          </w:tcPr>
          <w:p>
            <w:pPr>
              <w:ind w:left="320"/>
              <w:spacing w:after="0"/>
              <w:rPr>
                <w:sz w:val="20"/>
                <w:szCs w:val="20"/>
                <w:color w:val="auto"/>
              </w:rPr>
            </w:pPr>
            <w:r>
              <w:rPr>
                <w:rFonts w:ascii="Arial" w:cs="Arial" w:eastAsia="Arial" w:hAnsi="Arial"/>
                <w:sz w:val="15"/>
                <w:szCs w:val="15"/>
                <w:color w:val="auto"/>
              </w:rPr>
              <w:t>Stock-based compensation expense</w:t>
            </w:r>
          </w:p>
        </w:tc>
        <w:tc>
          <w:tcPr>
            <w:tcW w:w="220" w:type="dxa"/>
            <w:vAlign w:val="bottom"/>
          </w:tcPr>
          <w:p>
            <w:pPr>
              <w:spacing w:after="0"/>
              <w:rPr>
                <w:sz w:val="17"/>
                <w:szCs w:val="17"/>
                <w:color w:val="auto"/>
              </w:rPr>
            </w:pPr>
          </w:p>
        </w:tc>
        <w:tc>
          <w:tcPr>
            <w:tcW w:w="1040" w:type="dxa"/>
            <w:vAlign w:val="bottom"/>
          </w:tcPr>
          <w:p>
            <w:pPr>
              <w:jc w:val="right"/>
              <w:ind w:right="29"/>
              <w:spacing w:after="0"/>
              <w:rPr>
                <w:sz w:val="20"/>
                <w:szCs w:val="20"/>
                <w:color w:val="auto"/>
              </w:rPr>
            </w:pPr>
            <w:r>
              <w:rPr>
                <w:rFonts w:ascii="Arial" w:cs="Arial" w:eastAsia="Arial" w:hAnsi="Arial"/>
                <w:sz w:val="15"/>
                <w:szCs w:val="15"/>
                <w:color w:val="auto"/>
              </w:rPr>
              <w:t>5,467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48"/>
              <w:spacing w:after="0"/>
              <w:rPr>
                <w:sz w:val="20"/>
                <w:szCs w:val="20"/>
                <w:color w:val="auto"/>
              </w:rPr>
            </w:pPr>
            <w:r>
              <w:rPr>
                <w:rFonts w:ascii="Arial" w:cs="Arial" w:eastAsia="Arial" w:hAnsi="Arial"/>
                <w:sz w:val="15"/>
                <w:szCs w:val="15"/>
                <w:color w:val="auto"/>
              </w:rPr>
              <w:t>5,023</w:t>
            </w:r>
          </w:p>
        </w:tc>
      </w:tr>
      <w:tr>
        <w:trPr>
          <w:trHeight w:val="22"/>
        </w:trPr>
        <w:tc>
          <w:tcPr>
            <w:tcW w:w="8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0"/>
        </w:trPr>
        <w:tc>
          <w:tcPr>
            <w:tcW w:w="8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Other</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211</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179</w:t>
            </w:r>
          </w:p>
        </w:tc>
      </w:tr>
      <w:tr>
        <w:trPr>
          <w:trHeight w:val="198"/>
        </w:trPr>
        <w:tc>
          <w:tcPr>
            <w:tcW w:w="8840" w:type="dxa"/>
            <w:vAlign w:val="bottom"/>
          </w:tcPr>
          <w:p>
            <w:pPr>
              <w:ind w:left="320"/>
              <w:spacing w:after="0"/>
              <w:rPr>
                <w:sz w:val="20"/>
                <w:szCs w:val="20"/>
                <w:color w:val="auto"/>
              </w:rPr>
            </w:pPr>
            <w:r>
              <w:rPr>
                <w:rFonts w:ascii="Arial" w:cs="Arial" w:eastAsia="Arial" w:hAnsi="Arial"/>
                <w:sz w:val="15"/>
                <w:szCs w:val="15"/>
                <w:color w:val="auto"/>
              </w:rPr>
              <w:t>Changes in operating assets and liabilities increasing (decreasing) cash, net of effects from acquisitions: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
        </w:trPr>
        <w:tc>
          <w:tcPr>
            <w:tcW w:w="8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0"/>
        </w:trPr>
        <w:tc>
          <w:tcPr>
            <w:tcW w:w="88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5"/>
                <w:szCs w:val="15"/>
                <w:color w:val="auto"/>
              </w:rPr>
              <w:t>Accounts receivable</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(23,531)</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23,684</w:t>
            </w:r>
          </w:p>
        </w:tc>
      </w:tr>
      <w:tr>
        <w:trPr>
          <w:trHeight w:val="198"/>
        </w:trPr>
        <w:tc>
          <w:tcPr>
            <w:tcW w:w="8840" w:type="dxa"/>
            <w:vAlign w:val="bottom"/>
          </w:tcPr>
          <w:p>
            <w:pPr>
              <w:ind w:left="580"/>
              <w:spacing w:after="0"/>
              <w:rPr>
                <w:sz w:val="20"/>
                <w:szCs w:val="20"/>
                <w:color w:val="auto"/>
              </w:rPr>
            </w:pPr>
            <w:r>
              <w:rPr>
                <w:rFonts w:ascii="Arial" w:cs="Arial" w:eastAsia="Arial" w:hAnsi="Arial"/>
                <w:sz w:val="15"/>
                <w:szCs w:val="15"/>
                <w:color w:val="auto"/>
              </w:rPr>
              <w:t>Costs and estimated earnings in excess of billings on uncompleted contracts</w:t>
            </w:r>
          </w:p>
        </w:tc>
        <w:tc>
          <w:tcPr>
            <w:tcW w:w="220" w:type="dxa"/>
            <w:vAlign w:val="bottom"/>
          </w:tcPr>
          <w:p>
            <w:pPr>
              <w:spacing w:after="0"/>
              <w:rPr>
                <w:sz w:val="17"/>
                <w:szCs w:val="17"/>
                <w:color w:val="auto"/>
              </w:rPr>
            </w:pPr>
          </w:p>
        </w:tc>
        <w:tc>
          <w:tcPr>
            <w:tcW w:w="1040" w:type="dxa"/>
            <w:vAlign w:val="bottom"/>
          </w:tcPr>
          <w:p>
            <w:pPr>
              <w:jc w:val="right"/>
              <w:ind w:right="29"/>
              <w:spacing w:after="0"/>
              <w:rPr>
                <w:sz w:val="20"/>
                <w:szCs w:val="20"/>
                <w:color w:val="auto"/>
              </w:rPr>
            </w:pPr>
            <w:r>
              <w:rPr>
                <w:rFonts w:ascii="Arial" w:cs="Arial" w:eastAsia="Arial" w:hAnsi="Arial"/>
                <w:sz w:val="15"/>
                <w:szCs w:val="15"/>
                <w:color w:val="auto"/>
              </w:rPr>
              <w:t>34,761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(6,575)</w:t>
            </w:r>
          </w:p>
        </w:tc>
      </w:tr>
      <w:tr>
        <w:trPr>
          <w:trHeight w:val="22"/>
        </w:trPr>
        <w:tc>
          <w:tcPr>
            <w:tcW w:w="8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0"/>
        </w:trPr>
        <w:tc>
          <w:tcPr>
            <w:tcW w:w="88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5"/>
                <w:szCs w:val="15"/>
                <w:color w:val="auto"/>
              </w:rPr>
              <w:t>Inventories</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9</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568</w:t>
            </w:r>
          </w:p>
        </w:tc>
      </w:tr>
      <w:tr>
        <w:trPr>
          <w:trHeight w:val="198"/>
        </w:trPr>
        <w:tc>
          <w:tcPr>
            <w:tcW w:w="8840" w:type="dxa"/>
            <w:vAlign w:val="bottom"/>
          </w:tcPr>
          <w:p>
            <w:pPr>
              <w:ind w:left="580"/>
              <w:spacing w:after="0"/>
              <w:rPr>
                <w:sz w:val="20"/>
                <w:szCs w:val="20"/>
                <w:color w:val="auto"/>
              </w:rPr>
            </w:pPr>
            <w:r>
              <w:rPr>
                <w:rFonts w:ascii="Arial" w:cs="Arial" w:eastAsia="Arial" w:hAnsi="Arial"/>
                <w:sz w:val="15"/>
                <w:szCs w:val="15"/>
                <w:color w:val="auto"/>
              </w:rPr>
              <w:t>Other assets and liabilities</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(9,668)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(5,461)</w:t>
            </w:r>
          </w:p>
        </w:tc>
      </w:tr>
      <w:tr>
        <w:trPr>
          <w:trHeight w:val="22"/>
        </w:trPr>
        <w:tc>
          <w:tcPr>
            <w:tcW w:w="8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0"/>
        </w:trPr>
        <w:tc>
          <w:tcPr>
            <w:tcW w:w="88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5"/>
                <w:szCs w:val="15"/>
                <w:color w:val="auto"/>
              </w:rPr>
              <w:t>Accounts payable</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(45,690)</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(3,492)</w:t>
            </w:r>
          </w:p>
        </w:tc>
      </w:tr>
      <w:tr>
        <w:trPr>
          <w:trHeight w:val="198"/>
        </w:trPr>
        <w:tc>
          <w:tcPr>
            <w:tcW w:w="8840" w:type="dxa"/>
            <w:vAlign w:val="bottom"/>
          </w:tcPr>
          <w:p>
            <w:pPr>
              <w:ind w:left="580"/>
              <w:spacing w:after="0"/>
              <w:rPr>
                <w:sz w:val="20"/>
                <w:szCs w:val="20"/>
                <w:color w:val="auto"/>
              </w:rPr>
            </w:pPr>
            <w:r>
              <w:rPr>
                <w:rFonts w:ascii="Arial" w:cs="Arial" w:eastAsia="Arial" w:hAnsi="Arial"/>
                <w:sz w:val="15"/>
                <w:szCs w:val="15"/>
                <w:color w:val="auto"/>
              </w:rPr>
              <w:t>Billings on uncompleted contracts in excess of costs and estimated earnings</w:t>
            </w:r>
          </w:p>
        </w:tc>
        <w:tc>
          <w:tcPr>
            <w:tcW w:w="220" w:type="dxa"/>
            <w:vAlign w:val="bottom"/>
          </w:tcPr>
          <w:p>
            <w:pPr>
              <w:spacing w:after="0"/>
              <w:rPr>
                <w:sz w:val="17"/>
                <w:szCs w:val="17"/>
                <w:color w:val="auto"/>
              </w:rPr>
            </w:pPr>
          </w:p>
        </w:tc>
        <w:tc>
          <w:tcPr>
            <w:tcW w:w="1040" w:type="dxa"/>
            <w:vAlign w:val="bottom"/>
          </w:tcPr>
          <w:p>
            <w:pPr>
              <w:jc w:val="right"/>
              <w:ind w:right="29"/>
              <w:spacing w:after="0"/>
              <w:rPr>
                <w:sz w:val="20"/>
                <w:szCs w:val="20"/>
                <w:color w:val="auto"/>
              </w:rPr>
            </w:pPr>
            <w:r>
              <w:rPr>
                <w:rFonts w:ascii="Arial" w:cs="Arial" w:eastAsia="Arial" w:hAnsi="Arial"/>
                <w:sz w:val="15"/>
                <w:szCs w:val="15"/>
                <w:color w:val="auto"/>
              </w:rPr>
              <w:t>5,449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(29,895)</w:t>
            </w:r>
          </w:p>
        </w:tc>
      </w:tr>
      <w:tr>
        <w:trPr>
          <w:trHeight w:val="22"/>
        </w:trPr>
        <w:tc>
          <w:tcPr>
            <w:tcW w:w="8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0"/>
        </w:trPr>
        <w:tc>
          <w:tcPr>
            <w:tcW w:w="88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5"/>
                <w:szCs w:val="15"/>
                <w:color w:val="auto"/>
              </w:rPr>
              <w:t>Accrued expenses</w:t>
            </w: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(5,417)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983</w:t>
            </w:r>
          </w:p>
        </w:tc>
      </w:tr>
      <w:tr>
        <w:trPr>
          <w:trHeight w:val="189"/>
        </w:trPr>
        <w:tc>
          <w:tcPr>
            <w:tcW w:w="8840" w:type="dxa"/>
            <w:vAlign w:val="bottom"/>
          </w:tcPr>
          <w:p>
            <w:pPr>
              <w:ind w:left="40"/>
              <w:spacing w:after="0"/>
              <w:rPr>
                <w:sz w:val="20"/>
                <w:szCs w:val="20"/>
                <w:color w:val="auto"/>
              </w:rPr>
            </w:pPr>
            <w:r>
              <w:rPr>
                <w:rFonts w:ascii="Arial" w:cs="Arial" w:eastAsia="Arial" w:hAnsi="Arial"/>
                <w:sz w:val="15"/>
                <w:szCs w:val="15"/>
                <w:color w:val="auto"/>
              </w:rPr>
              <w:t>Net cash provided (used) by operating activities</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(25,609)</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8"/>
              <w:spacing w:after="0"/>
              <w:rPr>
                <w:sz w:val="20"/>
                <w:szCs w:val="20"/>
                <w:color w:val="auto"/>
              </w:rPr>
            </w:pPr>
            <w:r>
              <w:rPr>
                <w:rFonts w:ascii="Arial" w:cs="Arial" w:eastAsia="Arial" w:hAnsi="Arial"/>
                <w:sz w:val="15"/>
                <w:szCs w:val="15"/>
                <w:color w:val="auto"/>
              </w:rPr>
              <w:t>24,542</w:t>
            </w:r>
          </w:p>
        </w:tc>
      </w:tr>
      <w:tr>
        <w:trPr>
          <w:trHeight w:val="22"/>
        </w:trPr>
        <w:tc>
          <w:tcPr>
            <w:tcW w:w="8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0"/>
        </w:trPr>
        <w:tc>
          <w:tcPr>
            <w:tcW w:w="8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Investing activities:</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r>
      <w:tr>
        <w:trPr>
          <w:trHeight w:val="198"/>
        </w:trPr>
        <w:tc>
          <w:tcPr>
            <w:tcW w:w="8840" w:type="dxa"/>
            <w:vAlign w:val="bottom"/>
          </w:tcPr>
          <w:p>
            <w:pPr>
              <w:ind w:left="40"/>
              <w:spacing w:after="0"/>
              <w:rPr>
                <w:sz w:val="20"/>
                <w:szCs w:val="20"/>
                <w:color w:val="auto"/>
              </w:rPr>
            </w:pPr>
            <w:r>
              <w:rPr>
                <w:rFonts w:ascii="Arial" w:cs="Arial" w:eastAsia="Arial" w:hAnsi="Arial"/>
                <w:sz w:val="15"/>
                <w:szCs w:val="15"/>
                <w:color w:val="auto"/>
              </w:rPr>
              <w:t>Acquisitions (Note 2)</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(40,819)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(13,049)</w:t>
            </w:r>
          </w:p>
        </w:tc>
      </w:tr>
      <w:tr>
        <w:trPr>
          <w:trHeight w:val="22"/>
        </w:trPr>
        <w:tc>
          <w:tcPr>
            <w:tcW w:w="8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0"/>
        </w:trPr>
        <w:tc>
          <w:tcPr>
            <w:tcW w:w="8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Acquisition of property, plant and equipment</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(8,475)</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(11,746)</w:t>
            </w:r>
          </w:p>
        </w:tc>
      </w:tr>
      <w:tr>
        <w:trPr>
          <w:trHeight w:val="198"/>
        </w:trPr>
        <w:tc>
          <w:tcPr>
            <w:tcW w:w="8840" w:type="dxa"/>
            <w:vAlign w:val="bottom"/>
          </w:tcPr>
          <w:p>
            <w:pPr>
              <w:ind w:left="40"/>
              <w:spacing w:after="0"/>
              <w:rPr>
                <w:sz w:val="20"/>
                <w:szCs w:val="20"/>
                <w:color w:val="auto"/>
              </w:rPr>
            </w:pPr>
            <w:r>
              <w:rPr>
                <w:rFonts w:ascii="Arial" w:cs="Arial" w:eastAsia="Arial" w:hAnsi="Arial"/>
                <w:sz w:val="15"/>
                <w:szCs w:val="15"/>
                <w:color w:val="auto"/>
              </w:rPr>
              <w:t>Proceeds from asset sales</w:t>
            </w:r>
          </w:p>
        </w:tc>
        <w:tc>
          <w:tcPr>
            <w:tcW w:w="220" w:type="dxa"/>
            <w:vAlign w:val="bottom"/>
          </w:tcPr>
          <w:p>
            <w:pPr>
              <w:spacing w:after="0"/>
              <w:rPr>
                <w:sz w:val="17"/>
                <w:szCs w:val="17"/>
                <w:color w:val="auto"/>
              </w:rPr>
            </w:pPr>
          </w:p>
        </w:tc>
        <w:tc>
          <w:tcPr>
            <w:tcW w:w="1040" w:type="dxa"/>
            <w:vAlign w:val="bottom"/>
          </w:tcPr>
          <w:p>
            <w:pPr>
              <w:jc w:val="right"/>
              <w:ind w:right="29"/>
              <w:spacing w:after="0"/>
              <w:rPr>
                <w:sz w:val="20"/>
                <w:szCs w:val="20"/>
                <w:color w:val="auto"/>
              </w:rPr>
            </w:pPr>
            <w:r>
              <w:rPr>
                <w:rFonts w:ascii="Arial" w:cs="Arial" w:eastAsia="Arial" w:hAnsi="Arial"/>
                <w:sz w:val="15"/>
                <w:szCs w:val="15"/>
                <w:color w:val="auto"/>
              </w:rPr>
              <w:t>1,145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48"/>
              <w:spacing w:after="0"/>
              <w:rPr>
                <w:sz w:val="20"/>
                <w:szCs w:val="20"/>
                <w:color w:val="auto"/>
              </w:rPr>
            </w:pPr>
            <w:r>
              <w:rPr>
                <w:rFonts w:ascii="Arial" w:cs="Arial" w:eastAsia="Arial" w:hAnsi="Arial"/>
                <w:sz w:val="15"/>
                <w:szCs w:val="15"/>
                <w:color w:val="auto"/>
              </w:rPr>
              <w:t>258</w:t>
            </w:r>
          </w:p>
        </w:tc>
      </w:tr>
      <w:tr>
        <w:trPr>
          <w:trHeight w:val="22"/>
        </w:trPr>
        <w:tc>
          <w:tcPr>
            <w:tcW w:w="8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9"/>
        </w:trPr>
        <w:tc>
          <w:tcPr>
            <w:tcW w:w="884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cash used by investing activities</w:t>
            </w:r>
          </w:p>
        </w:tc>
        <w:tc>
          <w:tcPr>
            <w:tcW w:w="2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(48,149)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(24,537)</w:t>
            </w:r>
          </w:p>
        </w:tc>
      </w:tr>
      <w:tr>
        <w:trPr>
          <w:trHeight w:val="22"/>
        </w:trPr>
        <w:tc>
          <w:tcPr>
            <w:tcW w:w="88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r>
    </w:tbl>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5"/>
          <w:szCs w:val="15"/>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- 5-</w:t>
      </w:r>
    </w:p>
    <w:p>
      <w:pPr>
        <w:sectPr>
          <w:pgSz w:w="11900" w:h="16838" w:orient="portrait"/>
          <w:cols w:equalWidth="0" w:num="1">
            <w:col w:w="11460"/>
          </w:cols>
          <w:pgMar w:left="220" w:top="305" w:right="219" w:bottom="1440" w:gutter="0" w:footer="0" w:header="0"/>
        </w:sectPr>
      </w:pPr>
    </w:p>
    <w:bookmarkStart w:id="7" w:name="page8"/>
    <w:bookmarkEnd w:id="7"/>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Matrix Service Company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8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22"/>
        </w:trPr>
        <w:tc>
          <w:tcPr>
            <w:tcW w:w="8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tcPr>
          <w:p>
            <w:pPr>
              <w:ind w:left="140"/>
              <w:spacing w:after="0" w:line="122" w:lineRule="exact"/>
              <w:rPr>
                <w:sz w:val="20"/>
                <w:szCs w:val="20"/>
                <w:color w:val="auto"/>
              </w:rPr>
            </w:pPr>
            <w:r>
              <w:rPr>
                <w:rFonts w:ascii="Arial" w:cs="Arial" w:eastAsia="Arial" w:hAnsi="Arial"/>
                <w:sz w:val="12"/>
                <w:szCs w:val="12"/>
                <w:b w:val="1"/>
                <w:bCs w:val="1"/>
                <w:color w:val="auto"/>
              </w:rPr>
              <w:t>March 31,</w:t>
            </w:r>
          </w:p>
        </w:tc>
        <w:tc>
          <w:tcPr>
            <w:tcW w:w="220" w:type="dxa"/>
            <w:vAlign w:val="bottom"/>
          </w:tcPr>
          <w:p>
            <w:pPr>
              <w:spacing w:after="0"/>
              <w:rPr>
                <w:sz w:val="10"/>
                <w:szCs w:val="10"/>
                <w:color w:val="auto"/>
              </w:rPr>
            </w:pPr>
          </w:p>
        </w:tc>
        <w:tc>
          <w:tcPr>
            <w:tcW w:w="1020" w:type="dxa"/>
            <w:vAlign w:val="bottom"/>
          </w:tcPr>
          <w:p>
            <w:pPr>
              <w:jc w:val="right"/>
              <w:ind w:right="308"/>
              <w:spacing w:after="0" w:line="122" w:lineRule="exact"/>
              <w:rPr>
                <w:sz w:val="20"/>
                <w:szCs w:val="20"/>
                <w:color w:val="auto"/>
              </w:rPr>
            </w:pPr>
            <w:r>
              <w:rPr>
                <w:rFonts w:ascii="Arial" w:cs="Arial" w:eastAsia="Arial" w:hAnsi="Arial"/>
                <w:sz w:val="12"/>
                <w:szCs w:val="12"/>
                <w:b w:val="1"/>
                <w:bCs w:val="1"/>
                <w:color w:val="auto"/>
              </w:rPr>
              <w:t>March 31,</w:t>
            </w:r>
          </w:p>
        </w:tc>
        <w:tc>
          <w:tcPr>
            <w:tcW w:w="0" w:type="dxa"/>
            <w:vAlign w:val="bottom"/>
          </w:tcPr>
          <w:p>
            <w:pPr>
              <w:spacing w:after="0"/>
              <w:rPr>
                <w:sz w:val="1"/>
                <w:szCs w:val="1"/>
                <w:color w:val="auto"/>
              </w:rPr>
            </w:pPr>
          </w:p>
        </w:tc>
      </w:tr>
      <w:tr>
        <w:trPr>
          <w:trHeight w:val="156"/>
        </w:trPr>
        <w:tc>
          <w:tcPr>
            <w:tcW w:w="88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9"/>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2"/>
                <w:szCs w:val="12"/>
                <w:b w:val="1"/>
                <w:bCs w:val="1"/>
                <w:color w:val="auto"/>
              </w:rPr>
              <w:t>2016</w:t>
            </w:r>
          </w:p>
        </w:tc>
        <w:tc>
          <w:tcPr>
            <w:tcW w:w="0" w:type="dxa"/>
            <w:vAlign w:val="bottom"/>
          </w:tcPr>
          <w:p>
            <w:pPr>
              <w:spacing w:after="0"/>
              <w:rPr>
                <w:sz w:val="1"/>
                <w:szCs w:val="1"/>
                <w:color w:val="auto"/>
              </w:rPr>
            </w:pPr>
          </w:p>
        </w:tc>
      </w:tr>
      <w:tr>
        <w:trPr>
          <w:trHeight w:val="197"/>
        </w:trPr>
        <w:tc>
          <w:tcPr>
            <w:tcW w:w="8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Financing activities:</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840" w:type="dxa"/>
            <w:vAlign w:val="bottom"/>
          </w:tcPr>
          <w:p>
            <w:pPr>
              <w:ind w:left="40"/>
              <w:spacing w:after="0"/>
              <w:rPr>
                <w:sz w:val="20"/>
                <w:szCs w:val="20"/>
                <w:color w:val="auto"/>
              </w:rPr>
            </w:pPr>
            <w:r>
              <w:rPr>
                <w:rFonts w:ascii="Arial" w:cs="Arial" w:eastAsia="Arial" w:hAnsi="Arial"/>
                <w:sz w:val="15"/>
                <w:szCs w:val="15"/>
                <w:color w:val="auto"/>
              </w:rPr>
              <w:t>Advances under senior revolving credit facility</w:t>
            </w: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29"/>
              <w:spacing w:after="0"/>
              <w:rPr>
                <w:sz w:val="20"/>
                <w:szCs w:val="20"/>
                <w:color w:val="auto"/>
              </w:rPr>
            </w:pPr>
            <w:r>
              <w:rPr>
                <w:rFonts w:ascii="Arial" w:cs="Arial" w:eastAsia="Arial" w:hAnsi="Arial"/>
                <w:sz w:val="15"/>
                <w:szCs w:val="15"/>
                <w:color w:val="auto"/>
              </w:rPr>
              <w:t>106,168</w:t>
            </w:r>
          </w:p>
        </w:tc>
        <w:tc>
          <w:tcPr>
            <w:tcW w:w="120" w:type="dxa"/>
            <w:vAlign w:val="bottom"/>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48"/>
              <w:spacing w:after="0"/>
              <w:rPr>
                <w:sz w:val="20"/>
                <w:szCs w:val="20"/>
                <w:color w:val="auto"/>
              </w:rPr>
            </w:pPr>
            <w:r>
              <w:rPr>
                <w:rFonts w:ascii="Arial" w:cs="Arial" w:eastAsia="Arial" w:hAnsi="Arial"/>
                <w:sz w:val="15"/>
                <w:szCs w:val="15"/>
                <w:color w:val="auto"/>
              </w:rPr>
              <w:t>2,753</w:t>
            </w:r>
          </w:p>
        </w:tc>
        <w:tc>
          <w:tcPr>
            <w:tcW w:w="0" w:type="dxa"/>
            <w:vAlign w:val="bottom"/>
          </w:tcPr>
          <w:p>
            <w:pPr>
              <w:spacing w:after="0"/>
              <w:rPr>
                <w:sz w:val="1"/>
                <w:szCs w:val="1"/>
                <w:color w:val="auto"/>
              </w:rPr>
            </w:pPr>
          </w:p>
        </w:tc>
      </w:tr>
      <w:tr>
        <w:trPr>
          <w:trHeight w:val="22"/>
        </w:trPr>
        <w:tc>
          <w:tcPr>
            <w:tcW w:w="8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Repayments of advances under senior revolving credit facility</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(62,029)</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(7,712)</w:t>
            </w:r>
          </w:p>
        </w:tc>
        <w:tc>
          <w:tcPr>
            <w:tcW w:w="0" w:type="dxa"/>
            <w:vAlign w:val="bottom"/>
          </w:tcPr>
          <w:p>
            <w:pPr>
              <w:spacing w:after="0"/>
              <w:rPr>
                <w:sz w:val="1"/>
                <w:szCs w:val="1"/>
                <w:color w:val="auto"/>
              </w:rPr>
            </w:pPr>
          </w:p>
        </w:tc>
      </w:tr>
      <w:tr>
        <w:trPr>
          <w:trHeight w:val="198"/>
        </w:trPr>
        <w:tc>
          <w:tcPr>
            <w:tcW w:w="8840" w:type="dxa"/>
            <w:vAlign w:val="bottom"/>
          </w:tcPr>
          <w:p>
            <w:pPr>
              <w:ind w:left="40"/>
              <w:spacing w:after="0"/>
              <w:rPr>
                <w:sz w:val="20"/>
                <w:szCs w:val="20"/>
                <w:color w:val="auto"/>
              </w:rPr>
            </w:pPr>
            <w:r>
              <w:rPr>
                <w:rFonts w:ascii="Arial" w:cs="Arial" w:eastAsia="Arial" w:hAnsi="Arial"/>
                <w:sz w:val="15"/>
                <w:szCs w:val="15"/>
                <w:color w:val="auto"/>
              </w:rPr>
              <w:t>Payment of debt amendment fees</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(822)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
        </w:trPr>
        <w:tc>
          <w:tcPr>
            <w:tcW w:w="8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Open market purchase of treasury shares</w:t>
            </w:r>
          </w:p>
        </w:tc>
        <w:tc>
          <w:tcPr>
            <w:tcW w:w="2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(5,460)</w:t>
            </w:r>
          </w:p>
        </w:tc>
        <w:tc>
          <w:tcPr>
            <w:tcW w:w="0" w:type="dxa"/>
            <w:vAlign w:val="bottom"/>
          </w:tcPr>
          <w:p>
            <w:pPr>
              <w:spacing w:after="0"/>
              <w:rPr>
                <w:sz w:val="1"/>
                <w:szCs w:val="1"/>
                <w:color w:val="auto"/>
              </w:rPr>
            </w:pPr>
          </w:p>
        </w:tc>
      </w:tr>
      <w:tr>
        <w:trPr>
          <w:trHeight w:val="198"/>
        </w:trPr>
        <w:tc>
          <w:tcPr>
            <w:tcW w:w="8840" w:type="dxa"/>
            <w:vAlign w:val="bottom"/>
          </w:tcPr>
          <w:p>
            <w:pPr>
              <w:ind w:left="40"/>
              <w:spacing w:after="0"/>
              <w:rPr>
                <w:sz w:val="20"/>
                <w:szCs w:val="20"/>
                <w:color w:val="auto"/>
              </w:rPr>
            </w:pPr>
            <w:r>
              <w:rPr>
                <w:rFonts w:ascii="Arial" w:cs="Arial" w:eastAsia="Arial" w:hAnsi="Arial"/>
                <w:sz w:val="15"/>
                <w:szCs w:val="15"/>
                <w:color w:val="auto"/>
              </w:rPr>
              <w:t>Issuances of common stock</w:t>
            </w:r>
          </w:p>
        </w:tc>
        <w:tc>
          <w:tcPr>
            <w:tcW w:w="220" w:type="dxa"/>
            <w:vAlign w:val="bottom"/>
          </w:tcPr>
          <w:p>
            <w:pPr>
              <w:spacing w:after="0"/>
              <w:rPr>
                <w:sz w:val="17"/>
                <w:szCs w:val="17"/>
                <w:color w:val="auto"/>
              </w:rPr>
            </w:pPr>
          </w:p>
        </w:tc>
        <w:tc>
          <w:tcPr>
            <w:tcW w:w="1040" w:type="dxa"/>
            <w:vAlign w:val="bottom"/>
          </w:tcPr>
          <w:p>
            <w:pPr>
              <w:jc w:val="right"/>
              <w:ind w:right="29"/>
              <w:spacing w:after="0"/>
              <w:rPr>
                <w:sz w:val="20"/>
                <w:szCs w:val="20"/>
                <w:color w:val="auto"/>
              </w:rPr>
            </w:pPr>
            <w:r>
              <w:rPr>
                <w:rFonts w:ascii="Arial" w:cs="Arial" w:eastAsia="Arial" w:hAnsi="Arial"/>
                <w:sz w:val="15"/>
                <w:szCs w:val="15"/>
                <w:color w:val="auto"/>
              </w:rPr>
              <w:t>234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48"/>
              <w:spacing w:after="0"/>
              <w:rPr>
                <w:sz w:val="20"/>
                <w:szCs w:val="20"/>
                <w:color w:val="auto"/>
              </w:rPr>
            </w:pPr>
            <w:r>
              <w:rPr>
                <w:rFonts w:ascii="Arial" w:cs="Arial" w:eastAsia="Arial" w:hAnsi="Arial"/>
                <w:sz w:val="15"/>
                <w:szCs w:val="15"/>
                <w:color w:val="auto"/>
              </w:rPr>
              <w:t>578</w:t>
            </w:r>
          </w:p>
        </w:tc>
        <w:tc>
          <w:tcPr>
            <w:tcW w:w="0" w:type="dxa"/>
            <w:vAlign w:val="bottom"/>
          </w:tcPr>
          <w:p>
            <w:pPr>
              <w:spacing w:after="0"/>
              <w:rPr>
                <w:sz w:val="1"/>
                <w:szCs w:val="1"/>
                <w:color w:val="auto"/>
              </w:rPr>
            </w:pPr>
          </w:p>
        </w:tc>
      </w:tr>
      <w:tr>
        <w:trPr>
          <w:trHeight w:val="22"/>
        </w:trPr>
        <w:tc>
          <w:tcPr>
            <w:tcW w:w="8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Proceeds from issuance of common stock under employee stock purchase plan</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253</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261</w:t>
            </w:r>
          </w:p>
        </w:tc>
        <w:tc>
          <w:tcPr>
            <w:tcW w:w="0" w:type="dxa"/>
            <w:vAlign w:val="bottom"/>
          </w:tcPr>
          <w:p>
            <w:pPr>
              <w:spacing w:after="0"/>
              <w:rPr>
                <w:sz w:val="1"/>
                <w:szCs w:val="1"/>
                <w:color w:val="auto"/>
              </w:rPr>
            </w:pPr>
          </w:p>
        </w:tc>
      </w:tr>
      <w:tr>
        <w:trPr>
          <w:trHeight w:val="198"/>
        </w:trPr>
        <w:tc>
          <w:tcPr>
            <w:tcW w:w="8840" w:type="dxa"/>
            <w:vAlign w:val="bottom"/>
          </w:tcPr>
          <w:p>
            <w:pPr>
              <w:ind w:left="40"/>
              <w:spacing w:after="0"/>
              <w:rPr>
                <w:sz w:val="20"/>
                <w:szCs w:val="20"/>
                <w:color w:val="auto"/>
              </w:rPr>
            </w:pPr>
            <w:r>
              <w:rPr>
                <w:rFonts w:ascii="Arial" w:cs="Arial" w:eastAsia="Arial" w:hAnsi="Arial"/>
                <w:sz w:val="15"/>
                <w:szCs w:val="15"/>
                <w:color w:val="auto"/>
              </w:rPr>
              <w:t>Repurchase of common stock for payment of statutory taxes due on equity-based compensation</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(2,288)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(4,540)</w:t>
            </w:r>
          </w:p>
        </w:tc>
        <w:tc>
          <w:tcPr>
            <w:tcW w:w="0" w:type="dxa"/>
            <w:vAlign w:val="bottom"/>
          </w:tcPr>
          <w:p>
            <w:pPr>
              <w:spacing w:after="0"/>
              <w:rPr>
                <w:sz w:val="1"/>
                <w:szCs w:val="1"/>
                <w:color w:val="auto"/>
              </w:rPr>
            </w:pPr>
          </w:p>
        </w:tc>
      </w:tr>
      <w:tr>
        <w:trPr>
          <w:trHeight w:val="22"/>
        </w:trPr>
        <w:tc>
          <w:tcPr>
            <w:tcW w:w="8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Capital contributions from noncontrolling interest</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855</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10,892</w:t>
            </w:r>
          </w:p>
        </w:tc>
        <w:tc>
          <w:tcPr>
            <w:tcW w:w="0" w:type="dxa"/>
            <w:vAlign w:val="bottom"/>
          </w:tcPr>
          <w:p>
            <w:pPr>
              <w:spacing w:after="0"/>
              <w:rPr>
                <w:sz w:val="1"/>
                <w:szCs w:val="1"/>
                <w:color w:val="auto"/>
              </w:rPr>
            </w:pPr>
          </w:p>
        </w:tc>
      </w:tr>
      <w:tr>
        <w:trPr>
          <w:trHeight w:val="198"/>
        </w:trPr>
        <w:tc>
          <w:tcPr>
            <w:tcW w:w="8840" w:type="dxa"/>
            <w:vAlign w:val="bottom"/>
          </w:tcPr>
          <w:p>
            <w:pPr>
              <w:ind w:left="40"/>
              <w:spacing w:after="0"/>
              <w:rPr>
                <w:sz w:val="20"/>
                <w:szCs w:val="20"/>
                <w:color w:val="auto"/>
              </w:rPr>
            </w:pPr>
            <w:r>
              <w:rPr>
                <w:rFonts w:ascii="Arial" w:cs="Arial" w:eastAsia="Arial" w:hAnsi="Arial"/>
                <w:sz w:val="15"/>
                <w:szCs w:val="15"/>
                <w:color w:val="auto"/>
              </w:rPr>
              <w:t>Repayment of acquired long-term debt</w:t>
            </w:r>
          </w:p>
        </w:tc>
        <w:tc>
          <w:tcPr>
            <w:tcW w:w="22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(1,858)</w:t>
            </w:r>
          </w:p>
        </w:tc>
        <w:tc>
          <w:tcPr>
            <w:tcW w:w="0" w:type="dxa"/>
            <w:vAlign w:val="bottom"/>
          </w:tcPr>
          <w:p>
            <w:pPr>
              <w:spacing w:after="0"/>
              <w:rPr>
                <w:sz w:val="1"/>
                <w:szCs w:val="1"/>
                <w:color w:val="auto"/>
              </w:rPr>
            </w:pPr>
          </w:p>
        </w:tc>
      </w:tr>
      <w:tr>
        <w:trPr>
          <w:trHeight w:val="22"/>
        </w:trPr>
        <w:tc>
          <w:tcPr>
            <w:tcW w:w="8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8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Net cash provided (used) by financing activities</w:t>
            </w: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42,371</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(5,086)</w:t>
            </w:r>
          </w:p>
        </w:tc>
        <w:tc>
          <w:tcPr>
            <w:tcW w:w="0" w:type="dxa"/>
            <w:vAlign w:val="bottom"/>
          </w:tcPr>
          <w:p>
            <w:pPr>
              <w:spacing w:after="0"/>
              <w:rPr>
                <w:sz w:val="1"/>
                <w:szCs w:val="1"/>
                <w:color w:val="auto"/>
              </w:rPr>
            </w:pPr>
          </w:p>
        </w:tc>
      </w:tr>
      <w:tr>
        <w:trPr>
          <w:trHeight w:val="198"/>
        </w:trPr>
        <w:tc>
          <w:tcPr>
            <w:tcW w:w="8840" w:type="dxa"/>
            <w:vAlign w:val="bottom"/>
          </w:tcPr>
          <w:p>
            <w:pPr>
              <w:ind w:left="40"/>
              <w:spacing w:after="0"/>
              <w:rPr>
                <w:sz w:val="20"/>
                <w:szCs w:val="20"/>
                <w:color w:val="auto"/>
              </w:rPr>
            </w:pPr>
            <w:r>
              <w:rPr>
                <w:rFonts w:ascii="Arial" w:cs="Arial" w:eastAsia="Arial" w:hAnsi="Arial"/>
                <w:sz w:val="15"/>
                <w:szCs w:val="15"/>
                <w:color w:val="auto"/>
              </w:rPr>
              <w:t>Effect of exchange rate changes on cash and cash equivalents</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(572)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(755)</w:t>
            </w:r>
          </w:p>
        </w:tc>
        <w:tc>
          <w:tcPr>
            <w:tcW w:w="0" w:type="dxa"/>
            <w:vAlign w:val="bottom"/>
          </w:tcPr>
          <w:p>
            <w:pPr>
              <w:spacing w:after="0"/>
              <w:rPr>
                <w:sz w:val="1"/>
                <w:szCs w:val="1"/>
                <w:color w:val="auto"/>
              </w:rPr>
            </w:pPr>
          </w:p>
        </w:tc>
      </w:tr>
      <w:tr>
        <w:trPr>
          <w:trHeight w:val="22"/>
        </w:trPr>
        <w:tc>
          <w:tcPr>
            <w:tcW w:w="8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8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Decrease in cash and cash equivalents</w:t>
            </w: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(31,959)</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(5,836)</w:t>
            </w:r>
          </w:p>
        </w:tc>
        <w:tc>
          <w:tcPr>
            <w:tcW w:w="0" w:type="dxa"/>
            <w:vAlign w:val="bottom"/>
          </w:tcPr>
          <w:p>
            <w:pPr>
              <w:spacing w:after="0"/>
              <w:rPr>
                <w:sz w:val="1"/>
                <w:szCs w:val="1"/>
                <w:color w:val="auto"/>
              </w:rPr>
            </w:pPr>
          </w:p>
        </w:tc>
      </w:tr>
      <w:tr>
        <w:trPr>
          <w:trHeight w:val="198"/>
        </w:trPr>
        <w:tc>
          <w:tcPr>
            <w:tcW w:w="8840" w:type="dxa"/>
            <w:vAlign w:val="bottom"/>
          </w:tcPr>
          <w:p>
            <w:pPr>
              <w:ind w:left="40"/>
              <w:spacing w:after="0"/>
              <w:rPr>
                <w:sz w:val="20"/>
                <w:szCs w:val="20"/>
                <w:color w:val="auto"/>
              </w:rPr>
            </w:pPr>
            <w:r>
              <w:rPr>
                <w:rFonts w:ascii="Arial" w:cs="Arial" w:eastAsia="Arial" w:hAnsi="Arial"/>
                <w:sz w:val="15"/>
                <w:szCs w:val="15"/>
                <w:color w:val="auto"/>
              </w:rPr>
              <w:t>Cash and cash equivalents, beginning of period</w:t>
            </w:r>
          </w:p>
        </w:tc>
        <w:tc>
          <w:tcPr>
            <w:tcW w:w="220" w:type="dxa"/>
            <w:vAlign w:val="bottom"/>
          </w:tcPr>
          <w:p>
            <w:pPr>
              <w:spacing w:after="0"/>
              <w:rPr>
                <w:sz w:val="17"/>
                <w:szCs w:val="17"/>
                <w:color w:val="auto"/>
              </w:rPr>
            </w:pPr>
          </w:p>
        </w:tc>
        <w:tc>
          <w:tcPr>
            <w:tcW w:w="1040" w:type="dxa"/>
            <w:vAlign w:val="bottom"/>
          </w:tcPr>
          <w:p>
            <w:pPr>
              <w:jc w:val="right"/>
              <w:ind w:right="29"/>
              <w:spacing w:after="0"/>
              <w:rPr>
                <w:sz w:val="20"/>
                <w:szCs w:val="20"/>
                <w:color w:val="auto"/>
              </w:rPr>
            </w:pPr>
            <w:r>
              <w:rPr>
                <w:rFonts w:ascii="Arial" w:cs="Arial" w:eastAsia="Arial" w:hAnsi="Arial"/>
                <w:sz w:val="15"/>
                <w:szCs w:val="15"/>
                <w:color w:val="auto"/>
              </w:rPr>
              <w:t>71,656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48"/>
              <w:spacing w:after="0"/>
              <w:rPr>
                <w:sz w:val="20"/>
                <w:szCs w:val="20"/>
                <w:color w:val="auto"/>
              </w:rPr>
            </w:pPr>
            <w:r>
              <w:rPr>
                <w:rFonts w:ascii="Arial" w:cs="Arial" w:eastAsia="Arial" w:hAnsi="Arial"/>
                <w:sz w:val="15"/>
                <w:szCs w:val="15"/>
                <w:color w:val="auto"/>
              </w:rPr>
              <w:t>79,239</w:t>
            </w:r>
          </w:p>
        </w:tc>
        <w:tc>
          <w:tcPr>
            <w:tcW w:w="0" w:type="dxa"/>
            <w:vAlign w:val="bottom"/>
          </w:tcPr>
          <w:p>
            <w:pPr>
              <w:spacing w:after="0"/>
              <w:rPr>
                <w:sz w:val="1"/>
                <w:szCs w:val="1"/>
                <w:color w:val="auto"/>
              </w:rPr>
            </w:pPr>
          </w:p>
        </w:tc>
      </w:tr>
      <w:tr>
        <w:trPr>
          <w:trHeight w:val="22"/>
        </w:trPr>
        <w:tc>
          <w:tcPr>
            <w:tcW w:w="8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8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Cash and cash equivalents, end of period</w:t>
            </w:r>
          </w:p>
        </w:tc>
        <w:tc>
          <w:tcPr>
            <w:tcW w:w="2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rPr>
              <w:t>39,697</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73,403</w:t>
            </w:r>
          </w:p>
        </w:tc>
        <w:tc>
          <w:tcPr>
            <w:tcW w:w="0" w:type="dxa"/>
            <w:vAlign w:val="bottom"/>
          </w:tcPr>
          <w:p>
            <w:pPr>
              <w:spacing w:after="0"/>
              <w:rPr>
                <w:sz w:val="1"/>
                <w:szCs w:val="1"/>
                <w:color w:val="auto"/>
              </w:rPr>
            </w:pPr>
          </w:p>
        </w:tc>
      </w:tr>
      <w:tr>
        <w:trPr>
          <w:trHeight w:val="20"/>
        </w:trPr>
        <w:tc>
          <w:tcPr>
            <w:tcW w:w="884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Supplemental disclosure of cash flow information:</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8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8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Cash paid during the period for:</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84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Income taxes</w:t>
            </w:r>
          </w:p>
        </w:tc>
        <w:tc>
          <w:tcPr>
            <w:tcW w:w="2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ind w:right="29"/>
              <w:spacing w:after="0"/>
              <w:rPr>
                <w:sz w:val="20"/>
                <w:szCs w:val="20"/>
                <w:color w:val="auto"/>
              </w:rPr>
            </w:pPr>
            <w:r>
              <w:rPr>
                <w:rFonts w:ascii="Arial" w:cs="Arial" w:eastAsia="Arial" w:hAnsi="Arial"/>
                <w:sz w:val="15"/>
                <w:szCs w:val="15"/>
                <w:color w:val="auto"/>
              </w:rPr>
              <w:t>11,679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9,192</w:t>
            </w:r>
          </w:p>
        </w:tc>
        <w:tc>
          <w:tcPr>
            <w:tcW w:w="0" w:type="dxa"/>
            <w:vAlign w:val="bottom"/>
          </w:tcPr>
          <w:p>
            <w:pPr>
              <w:spacing w:after="0"/>
              <w:rPr>
                <w:sz w:val="1"/>
                <w:szCs w:val="1"/>
                <w:color w:val="auto"/>
              </w:rPr>
            </w:pPr>
          </w:p>
        </w:tc>
      </w:tr>
      <w:tr>
        <w:trPr>
          <w:trHeight w:val="194"/>
        </w:trPr>
        <w:tc>
          <w:tcPr>
            <w:tcW w:w="8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Interest</w:t>
            </w:r>
          </w:p>
        </w:tc>
        <w:tc>
          <w:tcPr>
            <w:tcW w:w="2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rPr>
              <w:t>1,266</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789</w:t>
            </w:r>
          </w:p>
        </w:tc>
        <w:tc>
          <w:tcPr>
            <w:tcW w:w="0" w:type="dxa"/>
            <w:vAlign w:val="bottom"/>
          </w:tcPr>
          <w:p>
            <w:pPr>
              <w:spacing w:after="0"/>
              <w:rPr>
                <w:sz w:val="1"/>
                <w:szCs w:val="1"/>
                <w:color w:val="auto"/>
              </w:rPr>
            </w:pPr>
          </w:p>
        </w:tc>
      </w:tr>
      <w:tr>
        <w:trPr>
          <w:trHeight w:val="20"/>
        </w:trPr>
        <w:tc>
          <w:tcPr>
            <w:tcW w:w="8840" w:type="dxa"/>
            <w:vAlign w:val="bottom"/>
            <w:vMerge w:val="restart"/>
          </w:tcPr>
          <w:p>
            <w:pPr>
              <w:ind w:left="40"/>
              <w:spacing w:after="0"/>
              <w:rPr>
                <w:sz w:val="20"/>
                <w:szCs w:val="20"/>
                <w:color w:val="auto"/>
              </w:rPr>
            </w:pPr>
            <w:r>
              <w:rPr>
                <w:rFonts w:ascii="Arial" w:cs="Arial" w:eastAsia="Arial" w:hAnsi="Arial"/>
                <w:sz w:val="15"/>
                <w:szCs w:val="15"/>
                <w:color w:val="auto"/>
              </w:rPr>
              <w:t>Non-cash investing and financing activities:</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8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8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Purchases of property, plant and equipment on account</w:t>
            </w:r>
          </w:p>
        </w:tc>
        <w:tc>
          <w:tcPr>
            <w:tcW w:w="2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rPr>
              <w:t>846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401</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840" w:type="dxa"/>
            <w:vAlign w:val="bottom"/>
          </w:tcPr>
          <w:p>
            <w:pPr>
              <w:ind w:left="320"/>
              <w:spacing w:after="0"/>
              <w:rPr>
                <w:sz w:val="20"/>
                <w:szCs w:val="20"/>
                <w:color w:val="auto"/>
              </w:rPr>
            </w:pPr>
            <w:r>
              <w:rPr>
                <w:rFonts w:ascii="Arial" w:cs="Arial" w:eastAsia="Arial" w:hAnsi="Arial"/>
                <w:sz w:val="15"/>
                <w:szCs w:val="15"/>
                <w:color w:val="auto"/>
              </w:rPr>
              <w:t>Acquisition of long-term debt</w:t>
            </w: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48"/>
              <w:spacing w:after="0"/>
              <w:rPr>
                <w:sz w:val="20"/>
                <w:szCs w:val="20"/>
                <w:color w:val="auto"/>
              </w:rPr>
            </w:pPr>
            <w:r>
              <w:rPr>
                <w:rFonts w:ascii="Arial" w:cs="Arial" w:eastAsia="Arial" w:hAnsi="Arial"/>
                <w:sz w:val="15"/>
                <w:szCs w:val="15"/>
                <w:color w:val="auto"/>
              </w:rPr>
              <w:t>1,858</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5"/>
          <w:szCs w:val="15"/>
          <w:i w:val="1"/>
          <w:iCs w:val="1"/>
          <w:color w:val="auto"/>
        </w:rPr>
        <w:t>See accompanying notes.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- 6-</w:t>
      </w:r>
    </w:p>
    <w:p>
      <w:pPr>
        <w:sectPr>
          <w:pgSz w:w="11900" w:h="16838" w:orient="portrait"/>
          <w:cols w:equalWidth="0" w:num="1">
            <w:col w:w="11460"/>
          </w:cols>
          <w:pgMar w:left="220" w:top="305" w:right="219" w:bottom="1440" w:gutter="0" w:footer="0" w:header="0"/>
        </w:sectPr>
      </w:pPr>
    </w:p>
    <w:bookmarkStart w:id="8" w:name="page9"/>
    <w:bookmarkEnd w:id="8"/>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Matrix Service Company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Changes in Stockholders’ Equity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thousands, except share data)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7"/>
              </w:rPr>
              <w:t>Accumulated</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21"/>
        </w:trPr>
        <w:tc>
          <w:tcPr>
            <w:tcW w:w="3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tcPr>
          <w:p>
            <w:pPr>
              <w:jc w:val="center"/>
              <w:ind w:right="280"/>
              <w:spacing w:after="0" w:line="121" w:lineRule="exact"/>
              <w:rPr>
                <w:sz w:val="20"/>
                <w:szCs w:val="20"/>
                <w:color w:val="auto"/>
              </w:rPr>
            </w:pPr>
            <w:r>
              <w:rPr>
                <w:rFonts w:ascii="Arial" w:cs="Arial" w:eastAsia="Arial" w:hAnsi="Arial"/>
                <w:sz w:val="12"/>
                <w:szCs w:val="12"/>
                <w:b w:val="1"/>
                <w:bCs w:val="1"/>
                <w:color w:val="auto"/>
                <w:w w:val="91"/>
              </w:rPr>
              <w:t>Additional</w:t>
            </w: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2"/>
          </w:tcPr>
          <w:p>
            <w:pPr>
              <w:jc w:val="center"/>
              <w:ind w:right="300"/>
              <w:spacing w:after="0" w:line="121"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1"/>
        </w:trPr>
        <w:tc>
          <w:tcPr>
            <w:tcW w:w="3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tcPr>
          <w:p>
            <w:pPr>
              <w:jc w:val="center"/>
              <w:ind w:right="300"/>
              <w:spacing w:after="0" w:line="121" w:lineRule="exact"/>
              <w:rPr>
                <w:sz w:val="20"/>
                <w:szCs w:val="20"/>
                <w:color w:val="auto"/>
              </w:rPr>
            </w:pPr>
            <w:r>
              <w:rPr>
                <w:rFonts w:ascii="Arial" w:cs="Arial" w:eastAsia="Arial" w:hAnsi="Arial"/>
                <w:sz w:val="12"/>
                <w:szCs w:val="12"/>
                <w:b w:val="1"/>
                <w:bCs w:val="1"/>
                <w:color w:val="auto"/>
                <w:w w:val="88"/>
              </w:rPr>
              <w:t>Common</w:t>
            </w:r>
          </w:p>
        </w:tc>
        <w:tc>
          <w:tcPr>
            <w:tcW w:w="160" w:type="dxa"/>
            <w:vAlign w:val="bottom"/>
          </w:tcPr>
          <w:p>
            <w:pPr>
              <w:spacing w:after="0"/>
              <w:rPr>
                <w:sz w:val="10"/>
                <w:szCs w:val="10"/>
                <w:color w:val="auto"/>
              </w:rPr>
            </w:pPr>
          </w:p>
        </w:tc>
        <w:tc>
          <w:tcPr>
            <w:tcW w:w="900" w:type="dxa"/>
            <w:vAlign w:val="bottom"/>
            <w:gridSpan w:val="2"/>
          </w:tcPr>
          <w:p>
            <w:pPr>
              <w:jc w:val="center"/>
              <w:ind w:right="280"/>
              <w:spacing w:after="0" w:line="121" w:lineRule="exact"/>
              <w:rPr>
                <w:sz w:val="20"/>
                <w:szCs w:val="20"/>
                <w:color w:val="auto"/>
              </w:rPr>
            </w:pPr>
            <w:r>
              <w:rPr>
                <w:rFonts w:ascii="Arial" w:cs="Arial" w:eastAsia="Arial" w:hAnsi="Arial"/>
                <w:sz w:val="12"/>
                <w:szCs w:val="12"/>
                <w:b w:val="1"/>
                <w:bCs w:val="1"/>
                <w:color w:val="auto"/>
                <w:w w:val="94"/>
              </w:rPr>
              <w:t>Paid-In</w:t>
            </w:r>
          </w:p>
        </w:tc>
        <w:tc>
          <w:tcPr>
            <w:tcW w:w="160" w:type="dxa"/>
            <w:vAlign w:val="bottom"/>
          </w:tcPr>
          <w:p>
            <w:pPr>
              <w:spacing w:after="0"/>
              <w:rPr>
                <w:sz w:val="10"/>
                <w:szCs w:val="10"/>
                <w:color w:val="auto"/>
              </w:rPr>
            </w:pPr>
          </w:p>
        </w:tc>
        <w:tc>
          <w:tcPr>
            <w:tcW w:w="90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Retained</w:t>
            </w:r>
          </w:p>
        </w:tc>
        <w:tc>
          <w:tcPr>
            <w:tcW w:w="180" w:type="dxa"/>
            <w:vAlign w:val="bottom"/>
          </w:tcPr>
          <w:p>
            <w:pPr>
              <w:spacing w:after="0"/>
              <w:rPr>
                <w:sz w:val="10"/>
                <w:szCs w:val="10"/>
                <w:color w:val="auto"/>
              </w:rPr>
            </w:pPr>
          </w:p>
        </w:tc>
        <w:tc>
          <w:tcPr>
            <w:tcW w:w="940" w:type="dxa"/>
            <w:vAlign w:val="bottom"/>
            <w:gridSpan w:val="2"/>
          </w:tcPr>
          <w:p>
            <w:pPr>
              <w:jc w:val="center"/>
              <w:ind w:right="300"/>
              <w:spacing w:after="0" w:line="121" w:lineRule="exact"/>
              <w:rPr>
                <w:sz w:val="20"/>
                <w:szCs w:val="20"/>
                <w:color w:val="auto"/>
              </w:rPr>
            </w:pPr>
            <w:r>
              <w:rPr>
                <w:rFonts w:ascii="Arial" w:cs="Arial" w:eastAsia="Arial" w:hAnsi="Arial"/>
                <w:sz w:val="12"/>
                <w:szCs w:val="12"/>
                <w:b w:val="1"/>
                <w:bCs w:val="1"/>
                <w:color w:val="auto"/>
                <w:w w:val="86"/>
              </w:rPr>
              <w:t>Treasury</w:t>
            </w:r>
          </w:p>
        </w:tc>
        <w:tc>
          <w:tcPr>
            <w:tcW w:w="180" w:type="dxa"/>
            <w:vAlign w:val="bottom"/>
          </w:tcPr>
          <w:p>
            <w:pPr>
              <w:spacing w:after="0"/>
              <w:rPr>
                <w:sz w:val="10"/>
                <w:szCs w:val="10"/>
                <w:color w:val="auto"/>
              </w:rPr>
            </w:pPr>
          </w:p>
        </w:tc>
        <w:tc>
          <w:tcPr>
            <w:tcW w:w="1280" w:type="dxa"/>
            <w:vAlign w:val="bottom"/>
            <w:gridSpan w:val="2"/>
          </w:tcPr>
          <w:p>
            <w:pPr>
              <w:jc w:val="center"/>
              <w:ind w:right="300"/>
              <w:spacing w:after="0" w:line="121" w:lineRule="exact"/>
              <w:rPr>
                <w:sz w:val="20"/>
                <w:szCs w:val="20"/>
                <w:color w:val="auto"/>
              </w:rPr>
            </w:pPr>
            <w:r>
              <w:rPr>
                <w:rFonts w:ascii="Arial" w:cs="Arial" w:eastAsia="Arial" w:hAnsi="Arial"/>
                <w:sz w:val="12"/>
                <w:szCs w:val="12"/>
                <w:b w:val="1"/>
                <w:bCs w:val="1"/>
                <w:color w:val="auto"/>
                <w:w w:val="86"/>
              </w:rPr>
              <w:t>Comprehensive</w:t>
            </w:r>
          </w:p>
        </w:tc>
        <w:tc>
          <w:tcPr>
            <w:tcW w:w="100" w:type="dxa"/>
            <w:vAlign w:val="bottom"/>
          </w:tcPr>
          <w:p>
            <w:pPr>
              <w:spacing w:after="0"/>
              <w:rPr>
                <w:sz w:val="10"/>
                <w:szCs w:val="10"/>
                <w:color w:val="auto"/>
              </w:rPr>
            </w:pPr>
          </w:p>
        </w:tc>
        <w:tc>
          <w:tcPr>
            <w:tcW w:w="1020" w:type="dxa"/>
            <w:vAlign w:val="bottom"/>
            <w:gridSpan w:val="2"/>
          </w:tcPr>
          <w:p>
            <w:pPr>
              <w:jc w:val="center"/>
              <w:ind w:right="200"/>
              <w:spacing w:after="0" w:line="121" w:lineRule="exact"/>
              <w:rPr>
                <w:sz w:val="20"/>
                <w:szCs w:val="20"/>
                <w:color w:val="auto"/>
              </w:rPr>
            </w:pPr>
            <w:r>
              <w:rPr>
                <w:rFonts w:ascii="Arial" w:cs="Arial" w:eastAsia="Arial" w:hAnsi="Arial"/>
                <w:sz w:val="12"/>
                <w:szCs w:val="12"/>
                <w:b w:val="1"/>
                <w:bCs w:val="1"/>
                <w:color w:val="auto"/>
                <w:w w:val="89"/>
              </w:rPr>
              <w:t>Non-Controlling</w:t>
            </w: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56"/>
        </w:trPr>
        <w:tc>
          <w:tcPr>
            <w:tcW w:w="3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5"/>
              </w:rPr>
              <w:t>Stock</w:t>
            </w:r>
          </w:p>
        </w:tc>
        <w:tc>
          <w:tcPr>
            <w:tcW w:w="160" w:type="dxa"/>
            <w:vAlign w:val="bottom"/>
          </w:tcPr>
          <w:p>
            <w:pPr>
              <w:spacing w:after="0"/>
              <w:rPr>
                <w:sz w:val="13"/>
                <w:szCs w:val="13"/>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4"/>
              </w:rPr>
              <w:t>Capital</w:t>
            </w:r>
          </w:p>
        </w:tc>
        <w:tc>
          <w:tcPr>
            <w:tcW w:w="160" w:type="dxa"/>
            <w:vAlign w:val="bottom"/>
          </w:tcPr>
          <w:p>
            <w:pPr>
              <w:spacing w:after="0"/>
              <w:rPr>
                <w:sz w:val="13"/>
                <w:szCs w:val="13"/>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Earnings</w:t>
            </w:r>
          </w:p>
        </w:tc>
        <w:tc>
          <w:tcPr>
            <w:tcW w:w="180" w:type="dxa"/>
            <w:vAlign w:val="bottom"/>
          </w:tcPr>
          <w:p>
            <w:pPr>
              <w:spacing w:after="0"/>
              <w:rPr>
                <w:sz w:val="13"/>
                <w:szCs w:val="13"/>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5"/>
              </w:rPr>
              <w:t>Stock</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7"/>
              </w:rPr>
              <w:t>Income(Loss)</w:t>
            </w:r>
          </w:p>
        </w:tc>
        <w:tc>
          <w:tcPr>
            <w:tcW w:w="10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7"/>
              </w:rPr>
              <w:t>Interest</w:t>
            </w:r>
          </w:p>
        </w:tc>
        <w:tc>
          <w:tcPr>
            <w:tcW w:w="240" w:type="dxa"/>
            <w:vAlign w:val="bottom"/>
          </w:tcPr>
          <w:p>
            <w:pPr>
              <w:spacing w:after="0"/>
              <w:rPr>
                <w:sz w:val="13"/>
                <w:szCs w:val="13"/>
                <w:color w:val="auto"/>
              </w:rPr>
            </w:pPr>
          </w:p>
        </w:tc>
        <w:tc>
          <w:tcPr>
            <w:tcW w:w="780" w:type="dxa"/>
            <w:vAlign w:val="bottom"/>
          </w:tcPr>
          <w:p>
            <w:pPr>
              <w:jc w:val="right"/>
              <w:ind w:right="314"/>
              <w:spacing w:after="0"/>
              <w:rPr>
                <w:sz w:val="20"/>
                <w:szCs w:val="20"/>
                <w:color w:val="auto"/>
              </w:rPr>
            </w:pPr>
            <w:r>
              <w:rPr>
                <w:rFonts w:ascii="Arial" w:cs="Arial" w:eastAsia="Arial" w:hAnsi="Arial"/>
                <w:sz w:val="12"/>
                <w:szCs w:val="12"/>
                <w:b w:val="1"/>
                <w:bCs w:val="1"/>
                <w:color w:val="auto"/>
              </w:rPr>
              <w:t>Total</w:t>
            </w:r>
          </w:p>
        </w:tc>
      </w:tr>
      <w:tr>
        <w:trPr>
          <w:trHeight w:val="185"/>
        </w:trPr>
        <w:tc>
          <w:tcPr>
            <w:tcW w:w="3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Balances, July 1, 2016</w:t>
            </w:r>
          </w:p>
        </w:tc>
        <w:tc>
          <w:tcPr>
            <w:tcW w:w="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279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126,958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223,257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(26,907)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(6,845)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3"/>
                <w:szCs w:val="13"/>
                <w:color w:val="auto"/>
              </w:rPr>
              <w:t>(1,176)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3"/>
                <w:szCs w:val="13"/>
                <w:color w:val="auto"/>
              </w:rPr>
              <w:t>315,566</w:t>
            </w:r>
          </w:p>
        </w:tc>
      </w:tr>
      <w:tr>
        <w:trPr>
          <w:trHeight w:val="181"/>
        </w:trPr>
        <w:tc>
          <w:tcPr>
            <w:tcW w:w="3560" w:type="dxa"/>
            <w:vAlign w:val="bottom"/>
          </w:tcPr>
          <w:p>
            <w:pPr>
              <w:ind w:left="40"/>
              <w:spacing w:after="0"/>
              <w:rPr>
                <w:sz w:val="20"/>
                <w:szCs w:val="20"/>
                <w:color w:val="auto"/>
              </w:rPr>
            </w:pPr>
            <w:r>
              <w:rPr>
                <w:rFonts w:ascii="Arial" w:cs="Arial" w:eastAsia="Arial" w:hAnsi="Arial"/>
                <w:sz w:val="13"/>
                <w:szCs w:val="13"/>
                <w:color w:val="auto"/>
                <w:w w:val="97"/>
              </w:rPr>
              <w:t>Retrospective adjustment upon adoption of ASU 2016-09 (see</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66"/>
        </w:trPr>
        <w:tc>
          <w:tcPr>
            <w:tcW w:w="3560" w:type="dxa"/>
            <w:vAlign w:val="bottom"/>
          </w:tcPr>
          <w:p>
            <w:pPr>
              <w:ind w:left="40"/>
              <w:spacing w:after="0"/>
              <w:rPr>
                <w:sz w:val="20"/>
                <w:szCs w:val="20"/>
                <w:color w:val="auto"/>
              </w:rPr>
            </w:pPr>
            <w:r>
              <w:rPr>
                <w:rFonts w:ascii="Arial" w:cs="Arial" w:eastAsia="Arial" w:hAnsi="Arial"/>
                <w:sz w:val="13"/>
                <w:szCs w:val="13"/>
                <w:color w:val="auto"/>
              </w:rPr>
              <w:t>Note 1)</w:t>
            </w:r>
          </w:p>
        </w:tc>
        <w:tc>
          <w:tcPr>
            <w:tcW w:w="18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80" w:type="dxa"/>
            <w:vAlign w:val="bottom"/>
          </w:tcPr>
          <w:p>
            <w:pPr>
              <w:jc w:val="right"/>
              <w:ind w:right="55"/>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15"/>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ind w:right="54"/>
              <w:spacing w:after="0"/>
              <w:rPr>
                <w:sz w:val="20"/>
                <w:szCs w:val="20"/>
                <w:color w:val="auto"/>
              </w:rPr>
            </w:pPr>
            <w:r>
              <w:rPr>
                <w:rFonts w:ascii="Arial" w:cs="Arial" w:eastAsia="Arial" w:hAnsi="Arial"/>
                <w:sz w:val="13"/>
                <w:szCs w:val="13"/>
                <w:color w:val="auto"/>
              </w:rPr>
              <w:t>—</w:t>
            </w:r>
          </w:p>
        </w:tc>
      </w:tr>
      <w:tr>
        <w:trPr>
          <w:trHeight w:val="28"/>
        </w:trPr>
        <w:tc>
          <w:tcPr>
            <w:tcW w:w="3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Balances, July 1, 2016, as adjusted</w:t>
            </w: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279</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127,058</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223,157</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(26,907)</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(6,845)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3"/>
                <w:szCs w:val="13"/>
                <w:color w:val="auto"/>
              </w:rPr>
              <w:t>(1,176)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3"/>
                <w:szCs w:val="13"/>
                <w:color w:val="auto"/>
              </w:rPr>
              <w:t>315,566</w:t>
            </w:r>
          </w:p>
        </w:tc>
      </w:tr>
      <w:tr>
        <w:trPr>
          <w:trHeight w:val="195"/>
        </w:trPr>
        <w:tc>
          <w:tcPr>
            <w:tcW w:w="3560" w:type="dxa"/>
            <w:vAlign w:val="bottom"/>
          </w:tcPr>
          <w:p>
            <w:pPr>
              <w:ind w:left="40"/>
              <w:spacing w:after="0"/>
              <w:rPr>
                <w:sz w:val="20"/>
                <w:szCs w:val="20"/>
                <w:color w:val="auto"/>
              </w:rPr>
            </w:pPr>
            <w:r>
              <w:rPr>
                <w:rFonts w:ascii="Arial" w:cs="Arial" w:eastAsia="Arial" w:hAnsi="Arial"/>
                <w:sz w:val="13"/>
                <w:szCs w:val="13"/>
                <w:color w:val="auto"/>
              </w:rPr>
              <w:t>Capital contributions from noncontrolling interest</w:t>
            </w: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55"/>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55"/>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55"/>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5"/>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5"/>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54"/>
              <w:spacing w:after="0"/>
              <w:rPr>
                <w:sz w:val="20"/>
                <w:szCs w:val="20"/>
                <w:color w:val="auto"/>
              </w:rPr>
            </w:pPr>
            <w:r>
              <w:rPr>
                <w:rFonts w:ascii="Arial" w:cs="Arial" w:eastAsia="Arial" w:hAnsi="Arial"/>
                <w:sz w:val="13"/>
                <w:szCs w:val="13"/>
                <w:color w:val="auto"/>
              </w:rPr>
              <w:t>855</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54"/>
              <w:spacing w:after="0"/>
              <w:rPr>
                <w:sz w:val="20"/>
                <w:szCs w:val="20"/>
                <w:color w:val="auto"/>
              </w:rPr>
            </w:pPr>
            <w:r>
              <w:rPr>
                <w:rFonts w:ascii="Arial" w:cs="Arial" w:eastAsia="Arial" w:hAnsi="Arial"/>
                <w:sz w:val="13"/>
                <w:szCs w:val="13"/>
                <w:color w:val="auto"/>
              </w:rPr>
              <w:t>855</w:t>
            </w:r>
          </w:p>
        </w:tc>
      </w:tr>
      <w:tr>
        <w:trPr>
          <w:trHeight w:val="205"/>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771</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3"/>
                <w:szCs w:val="13"/>
                <w:color w:val="auto"/>
              </w:rPr>
              <w:t>321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3"/>
                <w:szCs w:val="13"/>
                <w:color w:val="auto"/>
              </w:rPr>
              <w:t>1,092</w:t>
            </w:r>
          </w:p>
        </w:tc>
      </w:tr>
      <w:tr>
        <w:trPr>
          <w:trHeight w:val="192"/>
        </w:trPr>
        <w:tc>
          <w:tcPr>
            <w:tcW w:w="3560" w:type="dxa"/>
            <w:vAlign w:val="bottom"/>
          </w:tcPr>
          <w:p>
            <w:pPr>
              <w:ind w:left="40"/>
              <w:spacing w:after="0"/>
              <w:rPr>
                <w:sz w:val="20"/>
                <w:szCs w:val="20"/>
                <w:color w:val="auto"/>
              </w:rPr>
            </w:pPr>
            <w:r>
              <w:rPr>
                <w:rFonts w:ascii="Arial" w:cs="Arial" w:eastAsia="Arial" w:hAnsi="Arial"/>
                <w:sz w:val="13"/>
                <w:szCs w:val="13"/>
                <w:color w:val="auto"/>
              </w:rPr>
              <w:t>Other comprehensive loss</w:t>
            </w:r>
          </w:p>
        </w:tc>
        <w:tc>
          <w:tcPr>
            <w:tcW w:w="18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180" w:type="dxa"/>
            <w:vAlign w:val="bottom"/>
          </w:tcPr>
          <w:p>
            <w:pPr>
              <w:jc w:val="right"/>
              <w:ind w:right="15"/>
              <w:spacing w:after="0"/>
              <w:rPr>
                <w:sz w:val="20"/>
                <w:szCs w:val="20"/>
                <w:color w:val="auto"/>
              </w:rPr>
            </w:pPr>
            <w:r>
              <w:rPr>
                <w:rFonts w:ascii="Arial" w:cs="Arial" w:eastAsia="Arial" w:hAnsi="Arial"/>
                <w:sz w:val="13"/>
                <w:szCs w:val="13"/>
                <w:color w:val="auto"/>
              </w:rPr>
              <w:t>(962)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(962)</w:t>
            </w:r>
          </w:p>
        </w:tc>
      </w:tr>
      <w:tr>
        <w:trPr>
          <w:trHeight w:val="28"/>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81"/>
        </w:trPr>
        <w:tc>
          <w:tcPr>
            <w:tcW w:w="35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4"/>
              </w:rPr>
              <w:t>Treasury shares sold to Employee Stock Purchase Plan (12,734</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7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shares)</w:t>
            </w: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18</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235</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3"/>
                <w:szCs w:val="13"/>
                <w:color w:val="auto"/>
              </w:rPr>
              <w:t>253</w:t>
            </w:r>
          </w:p>
        </w:tc>
      </w:tr>
      <w:tr>
        <w:trPr>
          <w:trHeight w:val="192"/>
        </w:trPr>
        <w:tc>
          <w:tcPr>
            <w:tcW w:w="3560" w:type="dxa"/>
            <w:vAlign w:val="bottom"/>
          </w:tcPr>
          <w:p>
            <w:pPr>
              <w:ind w:left="40"/>
              <w:spacing w:after="0"/>
              <w:rPr>
                <w:sz w:val="20"/>
                <w:szCs w:val="20"/>
                <w:color w:val="auto"/>
              </w:rPr>
            </w:pPr>
            <w:r>
              <w:rPr>
                <w:rFonts w:ascii="Arial" w:cs="Arial" w:eastAsia="Arial" w:hAnsi="Arial"/>
                <w:sz w:val="13"/>
                <w:szCs w:val="13"/>
                <w:color w:val="auto"/>
              </w:rPr>
              <w:t>Exercise of stock options (22,913 shares)</w:t>
            </w:r>
          </w:p>
        </w:tc>
        <w:tc>
          <w:tcPr>
            <w:tcW w:w="18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80" w:type="dxa"/>
            <w:vAlign w:val="bottom"/>
          </w:tcPr>
          <w:p>
            <w:pPr>
              <w:jc w:val="right"/>
              <w:ind w:right="15"/>
              <w:spacing w:after="0"/>
              <w:rPr>
                <w:sz w:val="20"/>
                <w:szCs w:val="20"/>
                <w:color w:val="auto"/>
              </w:rPr>
            </w:pPr>
            <w:r>
              <w:rPr>
                <w:rFonts w:ascii="Arial" w:cs="Arial" w:eastAsia="Arial" w:hAnsi="Arial"/>
                <w:sz w:val="13"/>
                <w:szCs w:val="13"/>
                <w:color w:val="auto"/>
              </w:rPr>
              <w:t>(290)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820" w:type="dxa"/>
            <w:vAlign w:val="bottom"/>
          </w:tcPr>
          <w:p>
            <w:pPr>
              <w:jc w:val="right"/>
              <w:ind w:right="35"/>
              <w:spacing w:after="0"/>
              <w:rPr>
                <w:sz w:val="20"/>
                <w:szCs w:val="20"/>
                <w:color w:val="auto"/>
              </w:rPr>
            </w:pPr>
            <w:r>
              <w:rPr>
                <w:rFonts w:ascii="Arial" w:cs="Arial" w:eastAsia="Arial" w:hAnsi="Arial"/>
                <w:sz w:val="13"/>
                <w:szCs w:val="13"/>
                <w:color w:val="auto"/>
              </w:rPr>
              <w:t>524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780" w:type="dxa"/>
            <w:vAlign w:val="bottom"/>
          </w:tcPr>
          <w:p>
            <w:pPr>
              <w:jc w:val="right"/>
              <w:ind w:right="54"/>
              <w:spacing w:after="0"/>
              <w:rPr>
                <w:sz w:val="20"/>
                <w:szCs w:val="20"/>
                <w:color w:val="auto"/>
              </w:rPr>
            </w:pPr>
            <w:r>
              <w:rPr>
                <w:rFonts w:ascii="Arial" w:cs="Arial" w:eastAsia="Arial" w:hAnsi="Arial"/>
                <w:sz w:val="13"/>
                <w:szCs w:val="13"/>
                <w:color w:val="auto"/>
              </w:rPr>
              <w:t>234</w:t>
            </w:r>
          </w:p>
        </w:tc>
      </w:tr>
      <w:tr>
        <w:trPr>
          <w:trHeight w:val="28"/>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0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Issuance of deferred shares (395,780 shares)</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(5,740)</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5,740</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r>
      <w:tr>
        <w:trPr>
          <w:trHeight w:val="181"/>
        </w:trPr>
        <w:tc>
          <w:tcPr>
            <w:tcW w:w="3560" w:type="dxa"/>
            <w:vAlign w:val="bottom"/>
          </w:tcPr>
          <w:p>
            <w:pPr>
              <w:ind w:left="40"/>
              <w:spacing w:after="0"/>
              <w:rPr>
                <w:sz w:val="20"/>
                <w:szCs w:val="20"/>
                <w:color w:val="auto"/>
              </w:rPr>
            </w:pPr>
            <w:r>
              <w:rPr>
                <w:rFonts w:ascii="Arial" w:cs="Arial" w:eastAsia="Arial" w:hAnsi="Arial"/>
                <w:sz w:val="13"/>
                <w:szCs w:val="13"/>
                <w:color w:val="auto"/>
                <w:w w:val="94"/>
              </w:rPr>
              <w:t>Treasury shares purchased to satisfy tax withholding obligations</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66"/>
        </w:trPr>
        <w:tc>
          <w:tcPr>
            <w:tcW w:w="3560" w:type="dxa"/>
            <w:vAlign w:val="bottom"/>
          </w:tcPr>
          <w:p>
            <w:pPr>
              <w:ind w:left="40"/>
              <w:spacing w:after="0"/>
              <w:rPr>
                <w:sz w:val="20"/>
                <w:szCs w:val="20"/>
                <w:color w:val="auto"/>
              </w:rPr>
            </w:pPr>
            <w:r>
              <w:rPr>
                <w:rFonts w:ascii="Arial" w:cs="Arial" w:eastAsia="Arial" w:hAnsi="Arial"/>
                <w:sz w:val="13"/>
                <w:szCs w:val="13"/>
                <w:color w:val="auto"/>
              </w:rPr>
              <w:t>(134,253 shares)</w:t>
            </w:r>
          </w:p>
        </w:tc>
        <w:tc>
          <w:tcPr>
            <w:tcW w:w="18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(2,288)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(2,288)</w:t>
            </w:r>
          </w:p>
        </w:tc>
      </w:tr>
      <w:tr>
        <w:trPr>
          <w:trHeight w:val="28"/>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Stock-based compensation expense</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5,467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3"/>
                <w:szCs w:val="13"/>
                <w:color w:val="auto"/>
              </w:rPr>
              <w:t>5,467</w:t>
            </w:r>
          </w:p>
        </w:tc>
      </w:tr>
      <w:tr>
        <w:trPr>
          <w:trHeight w:val="172"/>
        </w:trPr>
        <w:tc>
          <w:tcPr>
            <w:tcW w:w="3560" w:type="dxa"/>
            <w:vAlign w:val="bottom"/>
          </w:tcPr>
          <w:p>
            <w:pPr>
              <w:ind w:left="40"/>
              <w:spacing w:after="0"/>
              <w:rPr>
                <w:sz w:val="20"/>
                <w:szCs w:val="20"/>
                <w:color w:val="auto"/>
              </w:rPr>
            </w:pPr>
            <w:r>
              <w:rPr>
                <w:rFonts w:ascii="Arial" w:cs="Arial" w:eastAsia="Arial" w:hAnsi="Arial"/>
                <w:sz w:val="13"/>
                <w:szCs w:val="13"/>
                <w:color w:val="auto"/>
              </w:rPr>
              <w:t>Balances, March 31, 2017</w:t>
            </w:r>
          </w:p>
        </w:tc>
        <w:tc>
          <w:tcPr>
            <w:tcW w:w="180" w:type="dxa"/>
            <w:vAlign w:val="bottom"/>
            <w:tcBorders>
              <w:top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279</w:t>
            </w:r>
          </w:p>
        </w:tc>
        <w:tc>
          <w:tcPr>
            <w:tcW w:w="120" w:type="dxa"/>
            <w:vAlign w:val="bottom"/>
          </w:tcPr>
          <w:p>
            <w:pPr>
              <w:spacing w:after="0"/>
              <w:rPr>
                <w:sz w:val="14"/>
                <w:szCs w:val="1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126,513</w:t>
            </w:r>
          </w:p>
        </w:tc>
        <w:tc>
          <w:tcPr>
            <w:tcW w:w="120" w:type="dxa"/>
            <w:vAlign w:val="bottom"/>
          </w:tcPr>
          <w:p>
            <w:pPr>
              <w:spacing w:after="0"/>
              <w:rPr>
                <w:sz w:val="14"/>
                <w:szCs w:val="1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223,928</w:t>
            </w:r>
          </w:p>
        </w:tc>
        <w:tc>
          <w:tcPr>
            <w:tcW w:w="120" w:type="dxa"/>
            <w:vAlign w:val="bottom"/>
          </w:tcPr>
          <w:p>
            <w:pPr>
              <w:spacing w:after="0"/>
              <w:rPr>
                <w:sz w:val="14"/>
                <w:szCs w:val="14"/>
                <w:color w:val="auto"/>
              </w:rPr>
            </w:pPr>
          </w:p>
        </w:tc>
        <w:tc>
          <w:tcPr>
            <w:tcW w:w="180" w:type="dxa"/>
            <w:vAlign w:val="bottom"/>
            <w:tcBorders>
              <w:top w:val="single" w:sz="8" w:color="auto"/>
            </w:tcBorders>
          </w:tcPr>
          <w:p>
            <w:pPr>
              <w:jc w:val="right"/>
              <w:ind w:right="34"/>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(22,696)</w:t>
            </w:r>
          </w:p>
        </w:tc>
        <w:tc>
          <w:tcPr>
            <w:tcW w:w="120" w:type="dxa"/>
            <w:vAlign w:val="bottom"/>
          </w:tcPr>
          <w:p>
            <w:pPr>
              <w:spacing w:after="0"/>
              <w:rPr>
                <w:sz w:val="14"/>
                <w:szCs w:val="14"/>
                <w:color w:val="auto"/>
              </w:rPr>
            </w:pPr>
          </w:p>
        </w:tc>
        <w:tc>
          <w:tcPr>
            <w:tcW w:w="180" w:type="dxa"/>
            <w:vAlign w:val="bottom"/>
            <w:tcBorders>
              <w:top w:val="single" w:sz="8" w:color="auto"/>
            </w:tcBorders>
          </w:tcPr>
          <w:p>
            <w:pPr>
              <w:jc w:val="right"/>
              <w:ind w:right="34"/>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3"/>
                <w:szCs w:val="13"/>
                <w:color w:val="auto"/>
              </w:rPr>
              <w:t>(7,807)</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Borders>
              <w:top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tcPr>
          <w:p>
            <w:pPr>
              <w:jc w:val="right"/>
              <w:ind w:right="54"/>
              <w:spacing w:after="0"/>
              <w:rPr>
                <w:sz w:val="20"/>
                <w:szCs w:val="20"/>
                <w:color w:val="auto"/>
              </w:rPr>
            </w:pPr>
            <w:r>
              <w:rPr>
                <w:rFonts w:ascii="Arial" w:cs="Arial" w:eastAsia="Arial" w:hAnsi="Arial"/>
                <w:sz w:val="13"/>
                <w:szCs w:val="13"/>
                <w:color w:val="auto"/>
              </w:rPr>
              <w:t>320,217</w:t>
            </w:r>
          </w:p>
        </w:tc>
      </w:tr>
      <w:tr>
        <w:trPr>
          <w:trHeight w:val="68"/>
        </w:trPr>
        <w:tc>
          <w:tcPr>
            <w:tcW w:w="35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116"/>
        </w:trPr>
        <w:tc>
          <w:tcPr>
            <w:tcW w:w="3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92"/>
        </w:trPr>
        <w:tc>
          <w:tcPr>
            <w:tcW w:w="3560" w:type="dxa"/>
            <w:vAlign w:val="bottom"/>
          </w:tcPr>
          <w:p>
            <w:pPr>
              <w:ind w:left="40"/>
              <w:spacing w:after="0"/>
              <w:rPr>
                <w:sz w:val="20"/>
                <w:szCs w:val="20"/>
                <w:color w:val="auto"/>
              </w:rPr>
            </w:pPr>
            <w:r>
              <w:rPr>
                <w:rFonts w:ascii="Arial" w:cs="Arial" w:eastAsia="Arial" w:hAnsi="Arial"/>
                <w:sz w:val="13"/>
                <w:szCs w:val="13"/>
                <w:color w:val="auto"/>
              </w:rPr>
              <w:t>Balances, July 1, 2015</w:t>
            </w:r>
          </w:p>
        </w:tc>
        <w:tc>
          <w:tcPr>
            <w:tcW w:w="1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5"/>
              <w:spacing w:after="0"/>
              <w:rPr>
                <w:sz w:val="20"/>
                <w:szCs w:val="20"/>
                <w:color w:val="auto"/>
              </w:rPr>
            </w:pPr>
            <w:r>
              <w:rPr>
                <w:rFonts w:ascii="Arial" w:cs="Arial" w:eastAsia="Arial" w:hAnsi="Arial"/>
                <w:sz w:val="13"/>
                <w:szCs w:val="13"/>
                <w:color w:val="auto"/>
              </w:rPr>
              <w:t>279</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5"/>
              <w:spacing w:after="0"/>
              <w:rPr>
                <w:sz w:val="20"/>
                <w:szCs w:val="20"/>
                <w:color w:val="auto"/>
              </w:rPr>
            </w:pPr>
            <w:r>
              <w:rPr>
                <w:rFonts w:ascii="Arial" w:cs="Arial" w:eastAsia="Arial" w:hAnsi="Arial"/>
                <w:sz w:val="13"/>
                <w:szCs w:val="13"/>
                <w:color w:val="auto"/>
              </w:rPr>
              <w:t>123,038</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5"/>
              <w:spacing w:after="0"/>
              <w:rPr>
                <w:sz w:val="20"/>
                <w:szCs w:val="20"/>
                <w:color w:val="auto"/>
              </w:rPr>
            </w:pPr>
            <w:r>
              <w:rPr>
                <w:rFonts w:ascii="Arial" w:cs="Arial" w:eastAsia="Arial" w:hAnsi="Arial"/>
                <w:sz w:val="13"/>
                <w:szCs w:val="13"/>
                <w:color w:val="auto"/>
              </w:rPr>
              <w:t>194,394</w:t>
            </w:r>
          </w:p>
        </w:tc>
        <w:tc>
          <w:tcPr>
            <w:tcW w:w="120" w:type="dxa"/>
            <w:vAlign w:val="bottom"/>
          </w:tcPr>
          <w:p>
            <w:pPr>
              <w:spacing w:after="0"/>
              <w:rPr>
                <w:sz w:val="16"/>
                <w:szCs w:val="16"/>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(18,489)</w:t>
            </w:r>
          </w:p>
        </w:tc>
        <w:tc>
          <w:tcPr>
            <w:tcW w:w="120" w:type="dxa"/>
            <w:vAlign w:val="bottom"/>
          </w:tcPr>
          <w:p>
            <w:pPr>
              <w:spacing w:after="0"/>
              <w:rPr>
                <w:sz w:val="16"/>
                <w:szCs w:val="16"/>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ind w:right="15"/>
              <w:spacing w:after="0"/>
              <w:rPr>
                <w:sz w:val="20"/>
                <w:szCs w:val="20"/>
                <w:color w:val="auto"/>
              </w:rPr>
            </w:pPr>
            <w:r>
              <w:rPr>
                <w:rFonts w:ascii="Arial" w:cs="Arial" w:eastAsia="Arial" w:hAnsi="Arial"/>
                <w:sz w:val="13"/>
                <w:szCs w:val="13"/>
                <w:color w:val="auto"/>
              </w:rPr>
              <w:t>(5,926)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14"/>
              <w:spacing w:after="0"/>
              <w:rPr>
                <w:sz w:val="20"/>
                <w:szCs w:val="20"/>
                <w:color w:val="auto"/>
              </w:rPr>
            </w:pPr>
            <w:r>
              <w:rPr>
                <w:rFonts w:ascii="Arial" w:cs="Arial" w:eastAsia="Arial" w:hAnsi="Arial"/>
                <w:sz w:val="13"/>
                <w:szCs w:val="13"/>
                <w:color w:val="auto"/>
              </w:rPr>
              <w:t>(8,742)</w:t>
            </w:r>
          </w:p>
        </w:tc>
        <w:tc>
          <w:tcPr>
            <w:tcW w:w="100" w:type="dxa"/>
            <w:vAlign w:val="bottom"/>
          </w:tcPr>
          <w:p>
            <w:pPr>
              <w:spacing w:after="0"/>
              <w:rPr>
                <w:sz w:val="16"/>
                <w:szCs w:val="16"/>
                <w:color w:val="auto"/>
              </w:rPr>
            </w:pPr>
          </w:p>
        </w:tc>
        <w:tc>
          <w:tcPr>
            <w:tcW w:w="24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4"/>
              <w:spacing w:after="0"/>
              <w:rPr>
                <w:sz w:val="20"/>
                <w:szCs w:val="20"/>
                <w:color w:val="auto"/>
              </w:rPr>
            </w:pPr>
            <w:r>
              <w:rPr>
                <w:rFonts w:ascii="Arial" w:cs="Arial" w:eastAsia="Arial" w:hAnsi="Arial"/>
                <w:sz w:val="13"/>
                <w:szCs w:val="13"/>
                <w:color w:val="auto"/>
              </w:rPr>
              <w:t>284,554</w:t>
            </w:r>
          </w:p>
        </w:tc>
      </w:tr>
      <w:tr>
        <w:trPr>
          <w:trHeight w:val="28"/>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0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Capital contributions from noncontrolling interest</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3"/>
                <w:szCs w:val="13"/>
                <w:color w:val="auto"/>
              </w:rPr>
              <w:t>10,892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3"/>
                <w:szCs w:val="13"/>
                <w:color w:val="auto"/>
              </w:rPr>
              <w:t>10,892</w:t>
            </w:r>
          </w:p>
        </w:tc>
      </w:tr>
      <w:tr>
        <w:trPr>
          <w:trHeight w:val="192"/>
        </w:trPr>
        <w:tc>
          <w:tcPr>
            <w:tcW w:w="3560" w:type="dxa"/>
            <w:vAlign w:val="bottom"/>
          </w:tcPr>
          <w:p>
            <w:pPr>
              <w:ind w:left="40"/>
              <w:spacing w:after="0"/>
              <w:rPr>
                <w:sz w:val="20"/>
                <w:szCs w:val="20"/>
                <w:color w:val="auto"/>
              </w:rPr>
            </w:pPr>
            <w:r>
              <w:rPr>
                <w:rFonts w:ascii="Arial" w:cs="Arial" w:eastAsia="Arial" w:hAnsi="Arial"/>
                <w:sz w:val="13"/>
                <w:szCs w:val="13"/>
                <w:color w:val="auto"/>
              </w:rPr>
              <w:t>Net income (loss)</w:t>
            </w:r>
          </w:p>
        </w:tc>
        <w:tc>
          <w:tcPr>
            <w:tcW w:w="18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80" w:type="dxa"/>
            <w:vAlign w:val="bottom"/>
          </w:tcPr>
          <w:p>
            <w:pPr>
              <w:jc w:val="right"/>
              <w:ind w:right="55"/>
              <w:spacing w:after="0"/>
              <w:rPr>
                <w:sz w:val="20"/>
                <w:szCs w:val="20"/>
                <w:color w:val="auto"/>
              </w:rPr>
            </w:pPr>
            <w:r>
              <w:rPr>
                <w:rFonts w:ascii="Arial" w:cs="Arial" w:eastAsia="Arial" w:hAnsi="Arial"/>
                <w:sz w:val="13"/>
                <w:szCs w:val="13"/>
                <w:color w:val="auto"/>
              </w:rPr>
              <w:t>19,729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920" w:type="dxa"/>
            <w:vAlign w:val="bottom"/>
          </w:tcPr>
          <w:p>
            <w:pPr>
              <w:jc w:val="right"/>
              <w:ind w:right="14"/>
              <w:spacing w:after="0"/>
              <w:rPr>
                <w:sz w:val="20"/>
                <w:szCs w:val="20"/>
                <w:color w:val="auto"/>
              </w:rPr>
            </w:pPr>
            <w:r>
              <w:rPr>
                <w:rFonts w:ascii="Arial" w:cs="Arial" w:eastAsia="Arial" w:hAnsi="Arial"/>
                <w:sz w:val="13"/>
                <w:szCs w:val="13"/>
                <w:color w:val="auto"/>
              </w:rPr>
              <w:t>(3,326)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54"/>
              <w:spacing w:after="0"/>
              <w:rPr>
                <w:sz w:val="20"/>
                <w:szCs w:val="20"/>
                <w:color w:val="auto"/>
              </w:rPr>
            </w:pPr>
            <w:r>
              <w:rPr>
                <w:rFonts w:ascii="Arial" w:cs="Arial" w:eastAsia="Arial" w:hAnsi="Arial"/>
                <w:sz w:val="13"/>
                <w:szCs w:val="13"/>
                <w:color w:val="auto"/>
              </w:rPr>
              <w:t>16,403</w:t>
            </w:r>
          </w:p>
        </w:tc>
      </w:tr>
      <w:tr>
        <w:trPr>
          <w:trHeight w:val="28"/>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0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Other comprehensive loss</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(1,061)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(1,061)</w:t>
            </w:r>
          </w:p>
        </w:tc>
      </w:tr>
      <w:tr>
        <w:trPr>
          <w:trHeight w:val="181"/>
        </w:trPr>
        <w:tc>
          <w:tcPr>
            <w:tcW w:w="3560" w:type="dxa"/>
            <w:vAlign w:val="bottom"/>
          </w:tcPr>
          <w:p>
            <w:pPr>
              <w:ind w:left="40"/>
              <w:spacing w:after="0"/>
              <w:rPr>
                <w:sz w:val="20"/>
                <w:szCs w:val="20"/>
                <w:color w:val="auto"/>
              </w:rPr>
            </w:pPr>
            <w:r>
              <w:rPr>
                <w:rFonts w:ascii="Arial" w:cs="Arial" w:eastAsia="Arial" w:hAnsi="Arial"/>
                <w:sz w:val="13"/>
                <w:szCs w:val="13"/>
                <w:color w:val="auto"/>
                <w:w w:val="94"/>
              </w:rPr>
              <w:t>Treasury shares sold to Employee Stock Purchase Plan (13,003</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66"/>
        </w:trPr>
        <w:tc>
          <w:tcPr>
            <w:tcW w:w="3560" w:type="dxa"/>
            <w:vAlign w:val="bottom"/>
          </w:tcPr>
          <w:p>
            <w:pPr>
              <w:ind w:left="40"/>
              <w:spacing w:after="0"/>
              <w:rPr>
                <w:sz w:val="20"/>
                <w:szCs w:val="20"/>
                <w:color w:val="auto"/>
              </w:rPr>
            </w:pPr>
            <w:r>
              <w:rPr>
                <w:rFonts w:ascii="Arial" w:cs="Arial" w:eastAsia="Arial" w:hAnsi="Arial"/>
                <w:sz w:val="13"/>
                <w:szCs w:val="13"/>
                <w:color w:val="auto"/>
              </w:rPr>
              <w:t>shares)</w:t>
            </w:r>
          </w:p>
        </w:tc>
        <w:tc>
          <w:tcPr>
            <w:tcW w:w="18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80" w:type="dxa"/>
            <w:vAlign w:val="bottom"/>
          </w:tcPr>
          <w:p>
            <w:pPr>
              <w:jc w:val="right"/>
              <w:ind w:right="55"/>
              <w:spacing w:after="0"/>
              <w:rPr>
                <w:sz w:val="20"/>
                <w:szCs w:val="20"/>
                <w:color w:val="auto"/>
              </w:rPr>
            </w:pPr>
            <w:r>
              <w:rPr>
                <w:rFonts w:ascii="Arial" w:cs="Arial" w:eastAsia="Arial" w:hAnsi="Arial"/>
                <w:sz w:val="13"/>
                <w:szCs w:val="13"/>
                <w:color w:val="auto"/>
              </w:rPr>
              <w:t>142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ind w:right="35"/>
              <w:spacing w:after="0"/>
              <w:rPr>
                <w:sz w:val="20"/>
                <w:szCs w:val="20"/>
                <w:color w:val="auto"/>
              </w:rPr>
            </w:pPr>
            <w:r>
              <w:rPr>
                <w:rFonts w:ascii="Arial" w:cs="Arial" w:eastAsia="Arial" w:hAnsi="Arial"/>
                <w:sz w:val="13"/>
                <w:szCs w:val="13"/>
                <w:color w:val="auto"/>
              </w:rPr>
              <w:t>119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ind w:right="54"/>
              <w:spacing w:after="0"/>
              <w:rPr>
                <w:sz w:val="20"/>
                <w:szCs w:val="20"/>
                <w:color w:val="auto"/>
              </w:rPr>
            </w:pPr>
            <w:r>
              <w:rPr>
                <w:rFonts w:ascii="Arial" w:cs="Arial" w:eastAsia="Arial" w:hAnsi="Arial"/>
                <w:sz w:val="13"/>
                <w:szCs w:val="13"/>
                <w:color w:val="auto"/>
              </w:rPr>
              <w:t>261</w:t>
            </w:r>
          </w:p>
        </w:tc>
      </w:tr>
      <w:tr>
        <w:trPr>
          <w:trHeight w:val="28"/>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0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Exercise of stock options (62,137 shares)</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7</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571</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3"/>
                <w:szCs w:val="13"/>
                <w:color w:val="auto"/>
              </w:rPr>
              <w:t>578</w:t>
            </w:r>
          </w:p>
        </w:tc>
      </w:tr>
      <w:tr>
        <w:trPr>
          <w:trHeight w:val="192"/>
        </w:trPr>
        <w:tc>
          <w:tcPr>
            <w:tcW w:w="3560" w:type="dxa"/>
            <w:vAlign w:val="bottom"/>
          </w:tcPr>
          <w:p>
            <w:pPr>
              <w:ind w:left="40"/>
              <w:spacing w:after="0"/>
              <w:rPr>
                <w:sz w:val="20"/>
                <w:szCs w:val="20"/>
                <w:color w:val="auto"/>
              </w:rPr>
            </w:pPr>
            <w:r>
              <w:rPr>
                <w:rFonts w:ascii="Arial" w:cs="Arial" w:eastAsia="Arial" w:hAnsi="Arial"/>
                <w:sz w:val="13"/>
                <w:szCs w:val="13"/>
                <w:color w:val="auto"/>
              </w:rPr>
              <w:t>Issuance of deferred shares (623,443 shares)</w:t>
            </w:r>
          </w:p>
        </w:tc>
        <w:tc>
          <w:tcPr>
            <w:tcW w:w="18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80" w:type="dxa"/>
            <w:vAlign w:val="bottom"/>
          </w:tcPr>
          <w:p>
            <w:pPr>
              <w:jc w:val="right"/>
              <w:ind w:right="15"/>
              <w:spacing w:after="0"/>
              <w:rPr>
                <w:sz w:val="20"/>
                <w:szCs w:val="20"/>
                <w:color w:val="auto"/>
              </w:rPr>
            </w:pPr>
            <w:r>
              <w:rPr>
                <w:rFonts w:ascii="Arial" w:cs="Arial" w:eastAsia="Arial" w:hAnsi="Arial"/>
                <w:sz w:val="13"/>
                <w:szCs w:val="13"/>
                <w:color w:val="auto"/>
              </w:rPr>
              <w:t>(5,777)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820" w:type="dxa"/>
            <w:vAlign w:val="bottom"/>
          </w:tcPr>
          <w:p>
            <w:pPr>
              <w:jc w:val="right"/>
              <w:ind w:right="35"/>
              <w:spacing w:after="0"/>
              <w:rPr>
                <w:sz w:val="20"/>
                <w:szCs w:val="20"/>
                <w:color w:val="auto"/>
              </w:rPr>
            </w:pPr>
            <w:r>
              <w:rPr>
                <w:rFonts w:ascii="Arial" w:cs="Arial" w:eastAsia="Arial" w:hAnsi="Arial"/>
                <w:sz w:val="13"/>
                <w:szCs w:val="13"/>
                <w:color w:val="auto"/>
              </w:rPr>
              <w:t>5,777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780" w:type="dxa"/>
            <w:vAlign w:val="bottom"/>
          </w:tcPr>
          <w:p>
            <w:pPr>
              <w:jc w:val="right"/>
              <w:ind w:right="54"/>
              <w:spacing w:after="0"/>
              <w:rPr>
                <w:sz w:val="20"/>
                <w:szCs w:val="20"/>
                <w:color w:val="auto"/>
              </w:rPr>
            </w:pPr>
            <w:r>
              <w:rPr>
                <w:rFonts w:ascii="Arial" w:cs="Arial" w:eastAsia="Arial" w:hAnsi="Arial"/>
                <w:sz w:val="13"/>
                <w:szCs w:val="13"/>
                <w:color w:val="auto"/>
              </w:rPr>
              <w:t>—</w:t>
            </w:r>
          </w:p>
        </w:tc>
      </w:tr>
      <w:tr>
        <w:trPr>
          <w:trHeight w:val="28"/>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81"/>
        </w:trPr>
        <w:tc>
          <w:tcPr>
            <w:tcW w:w="35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4"/>
              </w:rPr>
              <w:t>Treasury shares purchased to satisfy tax withholding obligations</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7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(202,916 shares)</w:t>
            </w: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(4,540)</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(4,540)</w:t>
            </w:r>
          </w:p>
        </w:tc>
      </w:tr>
      <w:tr>
        <w:trPr>
          <w:trHeight w:val="181"/>
        </w:trPr>
        <w:tc>
          <w:tcPr>
            <w:tcW w:w="3560" w:type="dxa"/>
            <w:vAlign w:val="bottom"/>
          </w:tcPr>
          <w:p>
            <w:pPr>
              <w:ind w:left="40"/>
              <w:spacing w:after="0"/>
              <w:rPr>
                <w:sz w:val="20"/>
                <w:szCs w:val="20"/>
                <w:color w:val="auto"/>
              </w:rPr>
            </w:pPr>
            <w:r>
              <w:rPr>
                <w:rFonts w:ascii="Arial" w:cs="Arial" w:eastAsia="Arial" w:hAnsi="Arial"/>
                <w:sz w:val="13"/>
                <w:szCs w:val="13"/>
                <w:color w:val="auto"/>
              </w:rPr>
              <w:t>Tax effect of exercised stock options and vesting of deferred</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66"/>
        </w:trPr>
        <w:tc>
          <w:tcPr>
            <w:tcW w:w="3560" w:type="dxa"/>
            <w:vAlign w:val="bottom"/>
          </w:tcPr>
          <w:p>
            <w:pPr>
              <w:ind w:left="40"/>
              <w:spacing w:after="0"/>
              <w:rPr>
                <w:sz w:val="20"/>
                <w:szCs w:val="20"/>
                <w:color w:val="auto"/>
              </w:rPr>
            </w:pPr>
            <w:r>
              <w:rPr>
                <w:rFonts w:ascii="Arial" w:cs="Arial" w:eastAsia="Arial" w:hAnsi="Arial"/>
                <w:sz w:val="13"/>
                <w:szCs w:val="13"/>
                <w:color w:val="auto"/>
              </w:rPr>
              <w:t>shares</w:t>
            </w:r>
          </w:p>
        </w:tc>
        <w:tc>
          <w:tcPr>
            <w:tcW w:w="18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80" w:type="dxa"/>
            <w:vAlign w:val="bottom"/>
          </w:tcPr>
          <w:p>
            <w:pPr>
              <w:jc w:val="right"/>
              <w:ind w:right="55"/>
              <w:spacing w:after="0"/>
              <w:rPr>
                <w:sz w:val="20"/>
                <w:szCs w:val="20"/>
                <w:color w:val="auto"/>
              </w:rPr>
            </w:pPr>
            <w:r>
              <w:rPr>
                <w:rFonts w:ascii="Arial" w:cs="Arial" w:eastAsia="Arial" w:hAnsi="Arial"/>
                <w:sz w:val="13"/>
                <w:szCs w:val="13"/>
                <w:color w:val="auto"/>
              </w:rPr>
              <w:t>3,222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ind w:right="54"/>
              <w:spacing w:after="0"/>
              <w:rPr>
                <w:sz w:val="20"/>
                <w:szCs w:val="20"/>
                <w:color w:val="auto"/>
              </w:rPr>
            </w:pPr>
            <w:r>
              <w:rPr>
                <w:rFonts w:ascii="Arial" w:cs="Arial" w:eastAsia="Arial" w:hAnsi="Arial"/>
                <w:sz w:val="13"/>
                <w:szCs w:val="13"/>
                <w:color w:val="auto"/>
              </w:rPr>
              <w:t>3,222</w:t>
            </w:r>
          </w:p>
        </w:tc>
      </w:tr>
      <w:tr>
        <w:trPr>
          <w:trHeight w:val="28"/>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0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Open market purchase of treasury shares ( 330,000 shares)</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(5,460)</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(5,460)</w:t>
            </w:r>
          </w:p>
        </w:tc>
      </w:tr>
      <w:tr>
        <w:trPr>
          <w:trHeight w:val="192"/>
        </w:trPr>
        <w:tc>
          <w:tcPr>
            <w:tcW w:w="3560" w:type="dxa"/>
            <w:vAlign w:val="bottom"/>
          </w:tcPr>
          <w:p>
            <w:pPr>
              <w:ind w:left="40"/>
              <w:spacing w:after="0"/>
              <w:rPr>
                <w:sz w:val="20"/>
                <w:szCs w:val="20"/>
                <w:color w:val="auto"/>
              </w:rPr>
            </w:pPr>
            <w:r>
              <w:rPr>
                <w:rFonts w:ascii="Arial" w:cs="Arial" w:eastAsia="Arial" w:hAnsi="Arial"/>
                <w:sz w:val="13"/>
                <w:szCs w:val="13"/>
                <w:color w:val="auto"/>
              </w:rPr>
              <w:t>Stock-based compensation expense</w:t>
            </w:r>
          </w:p>
        </w:tc>
        <w:tc>
          <w:tcPr>
            <w:tcW w:w="18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80" w:type="dxa"/>
            <w:vAlign w:val="bottom"/>
          </w:tcPr>
          <w:p>
            <w:pPr>
              <w:jc w:val="right"/>
              <w:ind w:right="55"/>
              <w:spacing w:after="0"/>
              <w:rPr>
                <w:sz w:val="20"/>
                <w:szCs w:val="20"/>
                <w:color w:val="auto"/>
              </w:rPr>
            </w:pPr>
            <w:r>
              <w:rPr>
                <w:rFonts w:ascii="Arial" w:cs="Arial" w:eastAsia="Arial" w:hAnsi="Arial"/>
                <w:sz w:val="13"/>
                <w:szCs w:val="13"/>
                <w:color w:val="auto"/>
              </w:rPr>
              <w:t>5,023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780" w:type="dxa"/>
            <w:vAlign w:val="bottom"/>
          </w:tcPr>
          <w:p>
            <w:pPr>
              <w:jc w:val="right"/>
              <w:ind w:right="54"/>
              <w:spacing w:after="0"/>
              <w:rPr>
                <w:sz w:val="20"/>
                <w:szCs w:val="20"/>
                <w:color w:val="auto"/>
              </w:rPr>
            </w:pPr>
            <w:r>
              <w:rPr>
                <w:rFonts w:ascii="Arial" w:cs="Arial" w:eastAsia="Arial" w:hAnsi="Arial"/>
                <w:sz w:val="13"/>
                <w:szCs w:val="13"/>
                <w:color w:val="auto"/>
              </w:rPr>
              <w:t>5,023</w:t>
            </w:r>
          </w:p>
        </w:tc>
      </w:tr>
      <w:tr>
        <w:trPr>
          <w:trHeight w:val="28"/>
        </w:trPr>
        <w:tc>
          <w:tcPr>
            <w:tcW w:w="3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5"/>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Balances, March 31, 2016</w:t>
            </w:r>
          </w:p>
        </w:tc>
        <w:tc>
          <w:tcPr>
            <w:tcW w:w="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279</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125,655</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214,123</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(22,022)</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(6,987)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3"/>
                <w:szCs w:val="13"/>
                <w:color w:val="auto"/>
              </w:rPr>
              <w:t>(1,176)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3"/>
                <w:szCs w:val="13"/>
                <w:color w:val="auto"/>
              </w:rPr>
              <w:t>309,872</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See accompanying notes.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- 7-</w:t>
      </w:r>
    </w:p>
    <w:p>
      <w:pPr>
        <w:sectPr>
          <w:pgSz w:w="11900" w:h="16838" w:orient="portrait"/>
          <w:cols w:equalWidth="0" w:num="1">
            <w:col w:w="11460"/>
          </w:cols>
          <w:pgMar w:left="220" w:top="305" w:right="219" w:bottom="1440" w:gutter="0" w:footer="0" w:header="0"/>
        </w:sectPr>
      </w:pPr>
    </w:p>
    <w:bookmarkStart w:id="9" w:name="page10"/>
    <w:bookmarkEnd w:id="9"/>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Matrix Service Company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 – Basis of Presentation and Accounting Policies</w:t>
      </w:r>
    </w:p>
    <w:p>
      <w:pPr>
        <w:spacing w:after="0" w:line="140"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condensed consolidated financial statements include the accounts of Matrix Service Company (“Matrix”, “we”, “our”, “us”, “its” or the “Company”) and its subsidiaries, unless otherwise indicated. Intercompany balances and transactions have been eliminated in consolidation.</w:t>
      </w:r>
    </w:p>
    <w:p>
      <w:pPr>
        <w:spacing w:after="0" w:line="104"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generally accepted accounting principles for complete financial statements. The information furnished reflects all adjustments, consisting of normal recurring adjustments, that are, in the opinion of management, necessary for a fair statement of the results of operations, cash flows and financial position for the interim periods presented. The accompanying condensed financial statements should be read in conjunction with the audited financial statements for the year ended June 30, 2016, included in the Company’s Annual Report on Form 10-K for the year then ended. The results of operations for the nine month period ended March 31, 2017 may not necessarily be indicative of the results of operations for the full year ending June 30, 2017.</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Recently Issued Accounting Standards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Accounting Standards Update 2014-09, Revenue from Contracts with Customers (Topic 606)</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On May 28, 2014, the Financial Accounting Standards Board ("FASB") issued Accounting Standards Update ("ASU") No. 2014-09. The standard outlines a single comprehensive model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The ASU also requires entities to disclose both quantitative and qualitative information that enables users of financial statements to understand the nature, amount, timing, and uncertainty of revenue and cash flows arising from contracts with customers. The ASU's disclosure requirements are significantly more comprehensive than those in existing revenue standards. The ASU applies to all contracts with customers except those that are within the scope of other topics in the FASB Accounting Standards Codification ("ASC"). The ASU is effective for annual reporting periods beginning after December 15, 2017, including interim reporting periods within that reporting period. Early adoption is permitted on a limited basis.</w:t>
      </w:r>
    </w:p>
    <w:p>
      <w:pPr>
        <w:spacing w:after="0" w:line="105"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Management is currently evaluating the impact of adopting the ASU on the Company's financial position, results of operations, cash flows and related disclosures. Adoption of this ASU is expected to affect the manner in which the Company determines the unit of account for its projects (i.e., performance obligations). Under existing guidance, the Company typically has multiple units of account for large complex projects. Upon adoption, the Company expects that similar projects may have fewer units of account, possibly just one unit of account in some cases, which will result in a more constant recognition of revenue and profit over the term of the project. The Company will adopt this standard on July 1, 2018 using the modified retrospective method of application, which may result in a cumulative effect adjustment to retained earnings as of the date of adoption.</w:t>
      </w:r>
    </w:p>
    <w:p>
      <w:pPr>
        <w:spacing w:after="0" w:line="102" w:lineRule="exact"/>
        <w:rPr>
          <w:sz w:val="20"/>
          <w:szCs w:val="20"/>
          <w:color w:val="auto"/>
        </w:rPr>
      </w:pPr>
    </w:p>
    <w:p>
      <w:pPr>
        <w:ind w:right="280"/>
        <w:spacing w:after="0" w:line="265" w:lineRule="auto"/>
        <w:rPr>
          <w:sz w:val="20"/>
          <w:szCs w:val="20"/>
          <w:color w:val="auto"/>
        </w:rPr>
      </w:pPr>
      <w:r>
        <w:rPr>
          <w:rFonts w:ascii="Arial" w:cs="Arial" w:eastAsia="Arial" w:hAnsi="Arial"/>
          <w:sz w:val="15"/>
          <w:szCs w:val="15"/>
          <w:i w:val="1"/>
          <w:iCs w:val="1"/>
          <w:color w:val="auto"/>
        </w:rPr>
        <w:t>Accounting Standards Update 2014-15, Presentation of Financial Statements-Going Concern (Subtopic 205-40): Disclosure of Uncertainties about an Entity’s Ability to Continue as a Going Concern</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On August 27, 2014, the FASB issued ASU 2014-15, which provides guidance on determining when and how reporting entities must disclose going-concern uncertainties in their financial statements. The new standard requires management to perform interim and annual assessments of an entity’s ability to continue as a going concern within one year of the date of issuance of the entity’s financial statements. Further, an entity must provide certain disclosures if there is “substantial doubt about the entity’s ability to continue as a going concern.” The FASB believes that requiring management to perform the assessment will enhance the timeliness, clarity, and consistency of related disclosures and improve convergence with international financial reporting standards ("IFRS") (which emphasize management’s responsibility for performing the going-concern assessment). However, the time horizon for the assessment (look-forward period) and the disclosure thresholds under U.S. GAAP and IFRS will continue to differ. The ASU is effective for annual periods ending after December 15, 2016, and interim periods thereafter; early adoption is permitted.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- 8-</w:t>
      </w:r>
    </w:p>
    <w:p>
      <w:pPr>
        <w:sectPr>
          <w:pgSz w:w="11900" w:h="16838" w:orient="portrait"/>
          <w:cols w:equalWidth="0" w:num="1">
            <w:col w:w="11460"/>
          </w:cols>
          <w:pgMar w:left="220" w:top="305" w:right="219" w:bottom="1440" w:gutter="0" w:footer="0" w:header="0"/>
        </w:sectPr>
      </w:pPr>
    </w:p>
    <w:bookmarkStart w:id="10" w:name="page11"/>
    <w:bookmarkEnd w:id="10"/>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Matrix Service Company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The ASU was adopted during the Company's first fiscal quarter ending September 30, 2016. In connection with the adoption of the ASU, the Company now performs an assessment of its ability to continue as a going concern on a quarterly basis. Disclosure regarding the status of the Company's ability to continue as a going concern is required when there are conditions or events that raise substantial doubt about its ability to continue as a going concern within one year after the date that the financial statements are issued.</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Accounting Standards Update 2015-16, Business Combinations (Topic 805): Simplifying the Accounting for Measurement-Period Adjustments</w:t>
      </w:r>
    </w:p>
    <w:p>
      <w:pPr>
        <w:spacing w:after="0" w:line="136"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On September 25, 2015, the FASB issued ASU 2015-16 to simplify the accounting for measurement-period adjustments. The ASU was issued in response to stakeholder feedback that restatements of prior periods to reflect adjustments made to provisional amounts recognized in a business combination increase the cost and complexity of financial reporting but do not significantly improve the usefulness of the information. Under the ASU, an acquirer must recognize adjustments to provisional amounts that are identified during the measurement period in the reporting period in which the adjustment amounts are determined. The ASU also requires acquirers to present separately on the face of the income statement, or disclose in the notes, the portion of the amount recorded in current-period earnings by line item that would have been recorded in previous reporting periods if the adjustment to the provisional amounts had been recognized as of the acquisition date. For public business entities, the ASU is effective for fiscal years beginning after December 15, 2015, including interim periods within those fiscal years. We adopted this standard on July 1, 2016 with no material impact to the Company's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Accounting Standards Update 2016-02, Leases (Topic 842)</w:t>
      </w:r>
    </w:p>
    <w:p>
      <w:pPr>
        <w:spacing w:after="0" w:line="13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On February 25, 2016, the FASB issued ASU 2016-02. The amendments in this update require, among other things, that lessees recognize the following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Lessees and lessors must apply a modified retrospective transition approach for leases existing at, or entered into after, the beginning of the earliest comparative period presented in the financial statements. The ASU is effective for fiscal years beginning after December 15, 2018, including interim periods within those fiscal years. Early adoption is permitted, but we do not plan to do so at this time.</w:t>
      </w:r>
    </w:p>
    <w:p>
      <w:pPr>
        <w:spacing w:after="0" w:line="102"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We are currently evaluating the ASU's expected impact on our financial statements. Note 8 of Item 8. Financial Statements and Supplementary Data in our 2016 Form 10-K provides information about the timing and amount of future operating lease payments, which we believe is indicative of the materiality of adoption of the ASU to our financial statements.</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Accounting Standards Update 2016-09, Stock Compensation (Topic 718): Improvements to Employee Share-Based Payment Accounting</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On March 30, 2016, the FASB issued ASU 2016-09, which simplified several aspects of accounting for stock-based compensation transactions, including the accounting for income taxes and forfeitures and statutory tax withholding requirements. The Company adopted the ASU during its first fiscal quarter ending September 30, 2016. The following is a description of the key provisions of the ASU and their impacts to the Company's financial statements:</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u w:val="single" w:color="auto"/>
          <w:color w:val="auto"/>
        </w:rPr>
        <w:t>Accounting for Income Taxes</w:t>
      </w:r>
      <w:r>
        <w:rPr>
          <w:rFonts w:ascii="Arial" w:cs="Arial" w:eastAsia="Arial" w:hAnsi="Arial"/>
          <w:sz w:val="14"/>
          <w:szCs w:val="14"/>
          <w:color w:val="auto"/>
        </w:rPr>
        <w:t>: The amendments require the Company to recognize excess tax benefits or tax deficiencies in its provision for income taxes in its consolidated statements of income during the period of vesting or exercise of its nonvested deferred share awards and stock options, respectively, for which it expects to receive an income tax deduction. Previously, the Company recognized any excess tax benefits in additional paid-in capital ("APIC") in the balance sheet and any tax deficiencies were recognized as a reduction of APIC to the extent the Company has accumulated excess tax benefits. Any tax deficiencies in excess of accumulated excess tax benefits in APIC were recognized in the provision for income taxes. The amendments also require the Company to only present excess tax benefits and tax deficiencies in the operating section of its statements of cash flows as a component of deferred tax activity. Previously, the Company was required to present such items in both the financing section and operating section of its statements of cash flows. Amendments related to the recognition of excess tax benefits and tax deficiencies in income are required to be applied prospectively, and amendments related to the cash flow statement presentation of excess tax benefits and tax deficiencies may be applied either retrospectively or prospectively.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- 9-</w:t>
      </w:r>
    </w:p>
    <w:p>
      <w:pPr>
        <w:sectPr>
          <w:pgSz w:w="11900" w:h="16838" w:orient="portrait"/>
          <w:cols w:equalWidth="0" w:num="1">
            <w:col w:w="11460"/>
          </w:cols>
          <w:pgMar w:left="220" w:top="129" w:right="219" w:bottom="1440" w:gutter="0" w:footer="0" w:header="0"/>
        </w:sectPr>
      </w:pPr>
    </w:p>
    <w:bookmarkStart w:id="11" w:name="page12"/>
    <w:bookmarkEnd w:id="11"/>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Matrix Service Company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The Company applied the amendments requiring the recognition of excess tax benefits and tax deficiencies in income prospectively. As a result, the Company recognized $0.5 million of excess tax benefits in its provision for income taxes during the nine months ended March 31, 2017, which increased basic and diluted earnings per share by $0.02. No material excess tax benefits or deficiencies were recognized during the three months ended March 31, 2017. Under the prior accounting standard, the Company would have recognized the excess tax benefits in equity as additional paid-in capital. The amendments relating to the presentation of excess tax benefits and tax deficiencies in the statement of cash flows were applied retrospectively. The effect of the retrospective adjustment was to eliminate the presentation of an operating cash outflow and a financing cash inflow for excess tax benefits on exercised stock options and vesting of deferred shares. These eliminations increased net cash provided by operating activities by $3.2 million and decreased net cash provided by financing activities by $3.2 million for the nine months ended March 31, 2016. Net cash flows did not change as a result of the retrospective adjustment.</w:t>
      </w:r>
    </w:p>
    <w:p>
      <w:pPr>
        <w:spacing w:after="0" w:line="104" w:lineRule="exact"/>
        <w:rPr>
          <w:sz w:val="20"/>
          <w:szCs w:val="20"/>
          <w:color w:val="auto"/>
        </w:rPr>
      </w:pPr>
    </w:p>
    <w:p>
      <w:pPr>
        <w:jc w:val="both"/>
        <w:spacing w:after="0" w:line="250" w:lineRule="auto"/>
        <w:rPr>
          <w:sz w:val="20"/>
          <w:szCs w:val="20"/>
          <w:color w:val="auto"/>
        </w:rPr>
      </w:pPr>
      <w:r>
        <w:rPr>
          <w:rFonts w:ascii="Arial" w:cs="Arial" w:eastAsia="Arial" w:hAnsi="Arial"/>
          <w:sz w:val="15"/>
          <w:szCs w:val="15"/>
          <w:u w:val="single" w:color="auto"/>
          <w:color w:val="auto"/>
        </w:rPr>
        <w:t>Accounting for Forfeitures</w:t>
      </w:r>
      <w:r>
        <w:rPr>
          <w:rFonts w:ascii="Arial" w:cs="Arial" w:eastAsia="Arial" w:hAnsi="Arial"/>
          <w:sz w:val="15"/>
          <w:szCs w:val="15"/>
          <w:color w:val="auto"/>
        </w:rPr>
        <w:t>: The amendments in this ASU allow the Company to elect, as a company-wide accounting policy, either to continue to estimate the amount of forfeitures to exclude from compensation expense or to exclude forfeitures from compensation expense as they occur. Upon the adoption of the ASU during the first quarter of fiscal 2017, the Company elected to account for forfeitures as they occur. The Company is required to apply these amendments on a modified retrospective basis with a cumulative adjustment to retained earnings as of the beginning of the fiscal year. The Company recorded a modified retrospective adjustment to reduce the June 30, 2016 retained earnings balance and increase the additional paid-in capital balance by $0.1 million each.</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4"/>
          <w:szCs w:val="14"/>
          <w:u w:val="single" w:color="auto"/>
          <w:color w:val="auto"/>
        </w:rPr>
        <w:t>Statutory Tax Withholding Requirements</w:t>
      </w:r>
      <w:r>
        <w:rPr>
          <w:rFonts w:ascii="Arial" w:cs="Arial" w:eastAsia="Arial" w:hAnsi="Arial"/>
          <w:sz w:val="14"/>
          <w:szCs w:val="14"/>
          <w:color w:val="auto"/>
        </w:rPr>
        <w:t>: Under the prior accounting standard, an entire award must be classified as a liability if the fair value of the shares withheld exceeds the Company's minimum statutory withholding obligation. Under the ASU, the Company is allowed to withhold shares with a fair value up to the amount of tax owed using the maximum statutory tax rate in the employee's applicable jurisdictions. The Company is allowed to determine one maximum rate for all employees in each jurisdiction, rather than a rate for each employee in the jurisdiction. Also, the ASU requires that cash outflows to reacquire shares withheld for taxes to be classified in the financing section of the statement of cash flows.</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Company adopted the ASU during the first quarter of fiscal 2017. Since the Company did not have any awards classified as liabilities due to statutory tax withholding requirements as of December 31, 2016, and since the Company already presented its cash outflows for reacquiring shares withheld for taxes as a financing activity in its statements of cash flows, these amendments did not have any impact on its financial statements upon adoption. The Company does not expect changes to employee withholdings for stock compensation to have a material impact to the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Accounting Standards Update 2016-13, Financial Instruments - Credit Losses (Topic 326): Measurement of Credit Losses on Financial Instruments</w:t>
      </w:r>
    </w:p>
    <w:p>
      <w:pPr>
        <w:spacing w:after="0" w:line="136"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On June 16, 2016, the FASB issued ASU 2016-13, which will change how the Company accounts for its allowance for uncollectible accounts. The amendments in this update require a financial asset (or a group of financial assets) to be presented at the net amount expected to be collected. The income statement will reflect any increases or decreases of expected credit losses that have taken place during the period. The measurement of expected credit losses is based on relevant information about past events, including historical experience, current conditions, and reasonable and supportable forecasts that affect the collectibility of the reported amount.</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Current GAAP delays the recognition of the full amount of credit losses until the loss is probable of occurring. The amendments in this update eliminate the probable initial recognition threshold and, instead, reflect the Company's current estimate of all expected credit losses. In addition, current guidance limits the information the Company may consider in measuring a credit loss to its past events and current conditions. The amendments in this update broaden the information the Company may consider in developing its expected credit loss estimate to include forecasted information.</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amendments in this update are effective for the Company on July 1, 2020 and the Company may early adopt on July 1, 2019. The Company must apply the amendments in this update through a cumulative-effect adjustment to retained earnings as of the beginning of the first reporting period in which the guidance is effective. At this time, the Company does not expect this update to have a material impact to its estimate of the allowance for uncollectible accounts.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- 10-</w:t>
      </w:r>
    </w:p>
    <w:p>
      <w:pPr>
        <w:sectPr>
          <w:pgSz w:w="11900" w:h="16838" w:orient="portrait"/>
          <w:cols w:equalWidth="0" w:num="1">
            <w:col w:w="11460"/>
          </w:cols>
          <w:pgMar w:left="220" w:top="129" w:right="219" w:bottom="1440" w:gutter="0" w:footer="0" w:header="0"/>
        </w:sectPr>
      </w:pPr>
    </w:p>
    <w:bookmarkStart w:id="12" w:name="page13"/>
    <w:bookmarkEnd w:id="12"/>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Matrix Service Company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Accounting Standards Update 2017-04, Intangibles - Goodwill and Other (Topic 350): Simplifying the Test for Goodwill Impairment</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On January 26, 2017, the FASB issued ASU 2017-04, which simplifies the goodwill impairment test by eliminating step two from the procedure. Previously, goodwill was tested for impairment by performing a two-step test. The first step involves determining the fair value of a reporting unit and comparing it to the carrying amount of the reporting unit's net assets. If the fair value of the reporting unit is less than its carrying amount, then the goodwill assigned to that reporting unit is determined to be impaired and step two must then be completed to measure the amount of the impairment. Step two involved measuring the reporting unit's assets and liabilities at fair value following a process similar to determining the fair value of assets acquired and liabilities assumed in a business combination. The net fair value of the assets acquired and liabilities assumed was then compared to the fair value of the reporting unit in order to compute the implied goodwill for the reporting unit. The difference between the carrying amount of the reporting unit's goodwill and the amount of the implied goodwill computed was the amount of the goodwill impairment to be recognized. Under ASU 2017-04, instead of performing step two of the test, the Company will recognize an impairment charge to the extent a reporting unit's fair value is less than the carrying amount of its net assets, as indicated by step one of the test.</w:t>
      </w:r>
    </w:p>
    <w:p>
      <w:pPr>
        <w:spacing w:after="0" w:line="105"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standard must be applied prospectively and must by adopted in fiscal years beginning after December 15, 2019. Early adoption is permitted and the Company is currently evaluating whether to adopt early. The Company's annual goodwill impairment test will be performed as of May 31, 2017.</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2 – Acquisitions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Purchase of Houston Interests, LLC</w:t>
      </w:r>
    </w:p>
    <w:p>
      <w:pPr>
        <w:spacing w:after="0" w:line="13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On December 12, 2016, the Company completed the acquisition of Houston Interests, LLC ("Houston Interests"), a premier global solutions company that provides consulting, engineering, design, construction services and systems integration. Houston Interests brings expertise to the Company in natural gas processing; sulfur recovery, processing and handling; liquid terminals, silos and other bulk storage; process plant design; power generation environmental controls and material handling; industrial power distribution; electrical, instrumentation and controls; marine structures; material handling systems and terminals for cement, sulfur, fertilizer, coal and grain; and process heaters. The business has been included in our Matrix PDM Engineering, Inc. subsidiary, and its operating results have been allocated between the Oil Gas &amp; Chemical and Industrial segments.</w:t>
      </w:r>
    </w:p>
    <w:p>
      <w:pPr>
        <w:spacing w:after="0" w:line="102"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Company purchased all of the equity interests of Houston Interests for $40.8 million in cash, net of working capital adjustments and cash acquired. The consideration paid is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4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paid for equity interest</w:t>
            </w:r>
          </w:p>
        </w:tc>
        <w:tc>
          <w:tcPr>
            <w:tcW w:w="800" w:type="dxa"/>
            <w:vAlign w:val="bottom"/>
            <w:shd w:val="clear" w:color="auto" w:fill="CCEEFF"/>
          </w:tcPr>
          <w:p>
            <w:pPr>
              <w:jc w:val="right"/>
              <w:ind w:right="627"/>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46,000</w:t>
            </w:r>
          </w:p>
        </w:tc>
      </w:tr>
      <w:tr>
        <w:trPr>
          <w:trHeight w:val="198"/>
        </w:trPr>
        <w:tc>
          <w:tcPr>
            <w:tcW w:w="9400" w:type="dxa"/>
            <w:vAlign w:val="bottom"/>
          </w:tcPr>
          <w:p>
            <w:pPr>
              <w:ind w:left="40"/>
              <w:spacing w:after="0"/>
              <w:rPr>
                <w:sz w:val="20"/>
                <w:szCs w:val="20"/>
                <w:color w:val="auto"/>
              </w:rPr>
            </w:pPr>
            <w:r>
              <w:rPr>
                <w:rFonts w:ascii="Arial" w:cs="Arial" w:eastAsia="Arial" w:hAnsi="Arial"/>
                <w:sz w:val="15"/>
                <w:szCs w:val="15"/>
                <w:color w:val="auto"/>
              </w:rPr>
              <w:t>Cash paid for working capital</w:t>
            </w:r>
          </w:p>
        </w:tc>
        <w:tc>
          <w:tcPr>
            <w:tcW w:w="800" w:type="dxa"/>
            <w:vAlign w:val="bottom"/>
          </w:tcPr>
          <w:p>
            <w:pPr>
              <w:spacing w:after="0"/>
              <w:rPr>
                <w:sz w:val="17"/>
                <w:szCs w:val="17"/>
                <w:color w:val="auto"/>
              </w:rPr>
            </w:pPr>
          </w:p>
        </w:tc>
        <w:tc>
          <w:tcPr>
            <w:tcW w:w="1260" w:type="dxa"/>
            <w:vAlign w:val="bottom"/>
          </w:tcPr>
          <w:p>
            <w:pPr>
              <w:jc w:val="right"/>
              <w:ind w:right="47"/>
              <w:spacing w:after="0"/>
              <w:rPr>
                <w:sz w:val="20"/>
                <w:szCs w:val="20"/>
                <w:color w:val="auto"/>
              </w:rPr>
            </w:pPr>
            <w:r>
              <w:rPr>
                <w:rFonts w:ascii="Arial" w:cs="Arial" w:eastAsia="Arial" w:hAnsi="Arial"/>
                <w:sz w:val="15"/>
                <w:szCs w:val="15"/>
                <w:color w:val="auto"/>
              </w:rPr>
              <w:t>5,150</w:t>
            </w:r>
          </w:p>
        </w:tc>
      </w:tr>
      <w:tr>
        <w:trPr>
          <w:trHeight w:val="22"/>
        </w:trPr>
        <w:tc>
          <w:tcPr>
            <w:tcW w:w="9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20"/>
        </w:trPr>
        <w:tc>
          <w:tcPr>
            <w:tcW w:w="9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Less: cash acquired</w:t>
            </w:r>
          </w:p>
        </w:tc>
        <w:tc>
          <w:tcPr>
            <w:tcW w:w="8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(10,331)</w:t>
            </w:r>
          </w:p>
        </w:tc>
      </w:tr>
      <w:tr>
        <w:trPr>
          <w:trHeight w:val="206"/>
        </w:trPr>
        <w:tc>
          <w:tcPr>
            <w:tcW w:w="9400" w:type="dxa"/>
            <w:vAlign w:val="bottom"/>
          </w:tcPr>
          <w:p>
            <w:pPr>
              <w:ind w:left="40"/>
              <w:spacing w:after="0"/>
              <w:rPr>
                <w:sz w:val="20"/>
                <w:szCs w:val="20"/>
                <w:color w:val="auto"/>
              </w:rPr>
            </w:pPr>
            <w:r>
              <w:rPr>
                <w:rFonts w:ascii="Arial" w:cs="Arial" w:eastAsia="Arial" w:hAnsi="Arial"/>
                <w:sz w:val="15"/>
                <w:szCs w:val="15"/>
                <w:color w:val="auto"/>
              </w:rPr>
              <w:t>Net purchase price</w:t>
            </w:r>
          </w:p>
        </w:tc>
        <w:tc>
          <w:tcPr>
            <w:tcW w:w="800" w:type="dxa"/>
            <w:vAlign w:val="bottom"/>
            <w:tcBorders>
              <w:top w:val="single" w:sz="8" w:color="auto"/>
              <w:bottom w:val="single" w:sz="8" w:color="auto"/>
            </w:tcBorders>
          </w:tcPr>
          <w:p>
            <w:pPr>
              <w:jc w:val="right"/>
              <w:ind w:right="627"/>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rPr>
              <w:t>40,819</w:t>
            </w:r>
          </w:p>
        </w:tc>
      </w:tr>
      <w:tr>
        <w:trPr>
          <w:trHeight w:val="20"/>
        </w:trPr>
        <w:tc>
          <w:tcPr>
            <w:tcW w:w="9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Company funded the equity interest portion of the consideration paid from borrowings under the Company's senior secured revolving credit facility (See Note 5). The purchase of working capital was paid with cash on hand.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- 11-</w:t>
      </w:r>
    </w:p>
    <w:p>
      <w:pPr>
        <w:sectPr>
          <w:pgSz w:w="11900" w:h="16838" w:orient="portrait"/>
          <w:cols w:equalWidth="0" w:num="1">
            <w:col w:w="11460"/>
          </w:cols>
          <w:pgMar w:left="220" w:top="129" w:right="2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2"/>
        </w:trPr>
        <w:tc>
          <w:tcPr>
            <w:tcW w:w="1060" w:type="dxa"/>
            <w:vAlign w:val="bottom"/>
            <w:tcBorders>
              <w:bottom w:val="single" w:sz="8" w:color="0000EE"/>
            </w:tcBorders>
          </w:tcPr>
          <w:p>
            <w:pPr>
              <w:spacing w:after="0"/>
              <w:rPr>
                <w:rFonts w:ascii="Arial" w:cs="Arial" w:eastAsia="Arial" w:hAnsi="Arial"/>
                <w:sz w:val="15"/>
                <w:szCs w:val="15"/>
                <w:color w:val="0000EE"/>
                <w:w w:val="87"/>
              </w:rPr>
            </w:pPr>
            <w:hyperlink w:anchor="page2">
              <w:r>
                <w:rPr>
                  <w:rFonts w:ascii="Arial" w:cs="Arial" w:eastAsia="Arial" w:hAnsi="Arial"/>
                  <w:sz w:val="15"/>
                  <w:szCs w:val="15"/>
                  <w:color w:val="0000EE"/>
                  <w:w w:val="87"/>
                </w:rPr>
                <w:t>Table of Contents</w:t>
              </w:r>
            </w:hyperlink>
          </w:p>
        </w:tc>
        <w:tc>
          <w:tcPr>
            <w:tcW w:w="8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873"/>
        </w:trPr>
        <w:tc>
          <w:tcPr>
            <w:tcW w:w="9400" w:type="dxa"/>
            <w:vAlign w:val="bottom"/>
            <w:gridSpan w:val="2"/>
          </w:tcPr>
          <w:p>
            <w:pPr>
              <w:spacing w:after="0"/>
              <w:rPr>
                <w:sz w:val="20"/>
                <w:szCs w:val="20"/>
                <w:color w:val="auto"/>
              </w:rPr>
            </w:pPr>
            <w:r>
              <w:rPr>
                <w:rFonts w:ascii="Arial" w:cs="Arial" w:eastAsia="Arial" w:hAnsi="Arial"/>
                <w:sz w:val="15"/>
                <w:szCs w:val="15"/>
                <w:color w:val="auto"/>
                <w:w w:val="99"/>
              </w:rPr>
              <w:t>The net purchase price was allocated to the major categories of assets and liabilities based on their estimated fair value at the acquisition date.</w:t>
            </w: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09"/>
        </w:trPr>
        <w:tc>
          <w:tcPr>
            <w:tcW w:w="9400" w:type="dxa"/>
            <w:vAlign w:val="bottom"/>
            <w:gridSpan w:val="2"/>
          </w:tcPr>
          <w:p>
            <w:pPr>
              <w:spacing w:after="0"/>
              <w:rPr>
                <w:sz w:val="20"/>
                <w:szCs w:val="20"/>
                <w:color w:val="auto"/>
              </w:rPr>
            </w:pPr>
            <w:r>
              <w:rPr>
                <w:rFonts w:ascii="Arial" w:cs="Arial" w:eastAsia="Arial" w:hAnsi="Arial"/>
                <w:sz w:val="15"/>
                <w:szCs w:val="15"/>
                <w:color w:val="auto"/>
              </w:rPr>
              <w:t>The following table summarizes the preliminary net purchase price allocation (in thousands):</w:t>
            </w: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0"/>
        </w:trPr>
        <w:tc>
          <w:tcPr>
            <w:tcW w:w="1060" w:type="dxa"/>
            <w:vAlign w:val="bottom"/>
          </w:tcPr>
          <w:p>
            <w:pPr>
              <w:spacing w:after="0"/>
              <w:rPr>
                <w:sz w:val="9"/>
                <w:szCs w:val="9"/>
                <w:color w:val="auto"/>
              </w:rPr>
            </w:pPr>
          </w:p>
        </w:tc>
        <w:tc>
          <w:tcPr>
            <w:tcW w:w="8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00"/>
        </w:trPr>
        <w:tc>
          <w:tcPr>
            <w:tcW w:w="9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Current assets</w:t>
            </w:r>
          </w:p>
        </w:tc>
        <w:tc>
          <w:tcPr>
            <w:tcW w:w="820" w:type="dxa"/>
            <w:vAlign w:val="bottom"/>
            <w:tcBorders>
              <w:bottom w:val="single" w:sz="8" w:color="CCEEFF"/>
            </w:tcBorders>
            <w:shd w:val="clear" w:color="auto" w:fill="CCEEFF"/>
          </w:tcPr>
          <w:p>
            <w:pPr>
              <w:jc w:val="right"/>
              <w:ind w:right="647"/>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21,804</w:t>
            </w:r>
          </w:p>
        </w:tc>
      </w:tr>
      <w:tr>
        <w:trPr>
          <w:trHeight w:val="198"/>
        </w:trPr>
        <w:tc>
          <w:tcPr>
            <w:tcW w:w="9400" w:type="dxa"/>
            <w:vAlign w:val="bottom"/>
            <w:gridSpan w:val="2"/>
          </w:tcPr>
          <w:p>
            <w:pPr>
              <w:ind w:left="40"/>
              <w:spacing w:after="0"/>
              <w:rPr>
                <w:sz w:val="20"/>
                <w:szCs w:val="20"/>
                <w:color w:val="auto"/>
              </w:rPr>
            </w:pPr>
            <w:r>
              <w:rPr>
                <w:rFonts w:ascii="Arial" w:cs="Arial" w:eastAsia="Arial" w:hAnsi="Arial"/>
                <w:sz w:val="15"/>
                <w:szCs w:val="15"/>
                <w:color w:val="auto"/>
              </w:rPr>
              <w:t>Property, plant and equipment</w:t>
            </w:r>
          </w:p>
        </w:tc>
        <w:tc>
          <w:tcPr>
            <w:tcW w:w="820" w:type="dxa"/>
            <w:vAlign w:val="bottom"/>
          </w:tcPr>
          <w:p>
            <w:pPr>
              <w:spacing w:after="0"/>
              <w:rPr>
                <w:sz w:val="17"/>
                <w:szCs w:val="17"/>
                <w:color w:val="auto"/>
              </w:rPr>
            </w:pPr>
          </w:p>
        </w:tc>
        <w:tc>
          <w:tcPr>
            <w:tcW w:w="1240" w:type="dxa"/>
            <w:vAlign w:val="bottom"/>
          </w:tcPr>
          <w:p>
            <w:pPr>
              <w:jc w:val="right"/>
              <w:ind w:right="47"/>
              <w:spacing w:after="0"/>
              <w:rPr>
                <w:sz w:val="20"/>
                <w:szCs w:val="20"/>
                <w:color w:val="auto"/>
              </w:rPr>
            </w:pPr>
            <w:r>
              <w:rPr>
                <w:rFonts w:ascii="Arial" w:cs="Arial" w:eastAsia="Arial" w:hAnsi="Arial"/>
                <w:sz w:val="15"/>
                <w:szCs w:val="15"/>
                <w:color w:val="auto"/>
              </w:rPr>
              <w:t>942</w:t>
            </w:r>
          </w:p>
        </w:tc>
      </w:tr>
      <w:tr>
        <w:trPr>
          <w:trHeight w:val="22"/>
        </w:trPr>
        <w:tc>
          <w:tcPr>
            <w:tcW w:w="10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0"/>
        </w:trPr>
        <w:tc>
          <w:tcPr>
            <w:tcW w:w="9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Goodwill</w:t>
            </w:r>
          </w:p>
        </w:tc>
        <w:tc>
          <w:tcPr>
            <w:tcW w:w="8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35,048</w:t>
            </w:r>
          </w:p>
        </w:tc>
      </w:tr>
      <w:tr>
        <w:trPr>
          <w:trHeight w:val="198"/>
        </w:trPr>
        <w:tc>
          <w:tcPr>
            <w:tcW w:w="9400" w:type="dxa"/>
            <w:vAlign w:val="bottom"/>
            <w:gridSpan w:val="2"/>
          </w:tcPr>
          <w:p>
            <w:pPr>
              <w:ind w:left="40"/>
              <w:spacing w:after="0"/>
              <w:rPr>
                <w:sz w:val="20"/>
                <w:szCs w:val="20"/>
                <w:color w:val="auto"/>
              </w:rPr>
            </w:pPr>
            <w:r>
              <w:rPr>
                <w:rFonts w:ascii="Arial" w:cs="Arial" w:eastAsia="Arial" w:hAnsi="Arial"/>
                <w:sz w:val="15"/>
                <w:szCs w:val="15"/>
                <w:color w:val="auto"/>
              </w:rPr>
              <w:t>Other intangible assets</w:t>
            </w:r>
          </w:p>
        </w:tc>
        <w:tc>
          <w:tcPr>
            <w:tcW w:w="820" w:type="dxa"/>
            <w:vAlign w:val="bottom"/>
          </w:tcPr>
          <w:p>
            <w:pPr>
              <w:spacing w:after="0"/>
              <w:rPr>
                <w:sz w:val="17"/>
                <w:szCs w:val="17"/>
                <w:color w:val="auto"/>
              </w:rPr>
            </w:pPr>
          </w:p>
        </w:tc>
        <w:tc>
          <w:tcPr>
            <w:tcW w:w="1240" w:type="dxa"/>
            <w:vAlign w:val="bottom"/>
          </w:tcPr>
          <w:p>
            <w:pPr>
              <w:jc w:val="right"/>
              <w:ind w:right="47"/>
              <w:spacing w:after="0"/>
              <w:rPr>
                <w:sz w:val="20"/>
                <w:szCs w:val="20"/>
                <w:color w:val="auto"/>
              </w:rPr>
            </w:pPr>
            <w:r>
              <w:rPr>
                <w:rFonts w:ascii="Arial" w:cs="Arial" w:eastAsia="Arial" w:hAnsi="Arial"/>
                <w:sz w:val="15"/>
                <w:szCs w:val="15"/>
                <w:color w:val="auto"/>
              </w:rPr>
              <w:t>10,220</w:t>
            </w:r>
          </w:p>
        </w:tc>
      </w:tr>
      <w:tr>
        <w:trPr>
          <w:trHeight w:val="22"/>
        </w:trPr>
        <w:tc>
          <w:tcPr>
            <w:tcW w:w="1060" w:type="dxa"/>
            <w:vAlign w:val="bottom"/>
            <w:tcBorders>
              <w:bottom w:val="single" w:sz="8" w:color="CCEEFF"/>
            </w:tcBorders>
          </w:tcPr>
          <w:p>
            <w:pPr>
              <w:spacing w:after="0" w:line="20" w:lineRule="exact"/>
              <w:rPr>
                <w:sz w:val="1"/>
                <w:szCs w:val="1"/>
                <w:color w:val="auto"/>
              </w:rPr>
            </w:pPr>
          </w:p>
        </w:tc>
        <w:tc>
          <w:tcPr>
            <w:tcW w:w="83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1"/>
        </w:trPr>
        <w:tc>
          <w:tcPr>
            <w:tcW w:w="9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Total assets acquired</w:t>
            </w:r>
          </w:p>
        </w:tc>
        <w:tc>
          <w:tcPr>
            <w:tcW w:w="8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68,014</w:t>
            </w:r>
          </w:p>
        </w:tc>
      </w:tr>
      <w:tr>
        <w:trPr>
          <w:trHeight w:val="198"/>
        </w:trPr>
        <w:tc>
          <w:tcPr>
            <w:tcW w:w="9400" w:type="dxa"/>
            <w:vAlign w:val="bottom"/>
            <w:gridSpan w:val="2"/>
          </w:tcPr>
          <w:p>
            <w:pPr>
              <w:ind w:left="40"/>
              <w:spacing w:after="0"/>
              <w:rPr>
                <w:sz w:val="20"/>
                <w:szCs w:val="20"/>
                <w:color w:val="auto"/>
              </w:rPr>
            </w:pPr>
            <w:r>
              <w:rPr>
                <w:rFonts w:ascii="Arial" w:cs="Arial" w:eastAsia="Arial" w:hAnsi="Arial"/>
                <w:sz w:val="15"/>
                <w:szCs w:val="15"/>
                <w:color w:val="auto"/>
              </w:rPr>
              <w:t>Current liabilities</w:t>
            </w:r>
          </w:p>
        </w:tc>
        <w:tc>
          <w:tcPr>
            <w:tcW w:w="820" w:type="dxa"/>
            <w:vAlign w:val="bottom"/>
          </w:tcPr>
          <w:p>
            <w:pPr>
              <w:spacing w:after="0"/>
              <w:rPr>
                <w:sz w:val="17"/>
                <w:szCs w:val="17"/>
                <w:color w:val="auto"/>
              </w:rPr>
            </w:pPr>
          </w:p>
        </w:tc>
        <w:tc>
          <w:tcPr>
            <w:tcW w:w="1240" w:type="dxa"/>
            <w:vAlign w:val="bottom"/>
          </w:tcPr>
          <w:p>
            <w:pPr>
              <w:jc w:val="right"/>
              <w:ind w:right="47"/>
              <w:spacing w:after="0"/>
              <w:rPr>
                <w:sz w:val="20"/>
                <w:szCs w:val="20"/>
                <w:color w:val="auto"/>
              </w:rPr>
            </w:pPr>
            <w:r>
              <w:rPr>
                <w:rFonts w:ascii="Arial" w:cs="Arial" w:eastAsia="Arial" w:hAnsi="Arial"/>
                <w:sz w:val="15"/>
                <w:szCs w:val="15"/>
                <w:color w:val="auto"/>
              </w:rPr>
              <w:t>16,674</w:t>
            </w:r>
          </w:p>
        </w:tc>
      </w:tr>
      <w:tr>
        <w:trPr>
          <w:trHeight w:val="22"/>
        </w:trPr>
        <w:tc>
          <w:tcPr>
            <w:tcW w:w="10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20"/>
        </w:trPr>
        <w:tc>
          <w:tcPr>
            <w:tcW w:w="9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Other liabilities</w:t>
            </w:r>
          </w:p>
        </w:tc>
        <w:tc>
          <w:tcPr>
            <w:tcW w:w="8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190</w:t>
            </w:r>
          </w:p>
        </w:tc>
      </w:tr>
      <w:tr>
        <w:trPr>
          <w:trHeight w:val="189"/>
        </w:trPr>
        <w:tc>
          <w:tcPr>
            <w:tcW w:w="9400" w:type="dxa"/>
            <w:vAlign w:val="bottom"/>
            <w:gridSpan w:val="2"/>
          </w:tcPr>
          <w:p>
            <w:pPr>
              <w:ind w:left="40"/>
              <w:spacing w:after="0"/>
              <w:rPr>
                <w:sz w:val="20"/>
                <w:szCs w:val="20"/>
                <w:color w:val="auto"/>
              </w:rPr>
            </w:pPr>
            <w:r>
              <w:rPr>
                <w:rFonts w:ascii="Arial" w:cs="Arial" w:eastAsia="Arial" w:hAnsi="Arial"/>
                <w:sz w:val="15"/>
                <w:szCs w:val="15"/>
                <w:color w:val="auto"/>
              </w:rPr>
              <w:t>Net assets acquired</w:t>
            </w:r>
          </w:p>
        </w:tc>
        <w:tc>
          <w:tcPr>
            <w:tcW w:w="8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51,150</w:t>
            </w:r>
          </w:p>
        </w:tc>
      </w:tr>
      <w:tr>
        <w:trPr>
          <w:trHeight w:val="22"/>
        </w:trPr>
        <w:tc>
          <w:tcPr>
            <w:tcW w:w="10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20"/>
        </w:trPr>
        <w:tc>
          <w:tcPr>
            <w:tcW w:w="9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Cash</w:t>
            </w:r>
          </w:p>
        </w:tc>
        <w:tc>
          <w:tcPr>
            <w:tcW w:w="8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10,331</w:t>
            </w:r>
          </w:p>
        </w:tc>
      </w:tr>
      <w:tr>
        <w:trPr>
          <w:trHeight w:val="206"/>
        </w:trPr>
        <w:tc>
          <w:tcPr>
            <w:tcW w:w="9400" w:type="dxa"/>
            <w:vAlign w:val="bottom"/>
            <w:gridSpan w:val="2"/>
          </w:tcPr>
          <w:p>
            <w:pPr>
              <w:ind w:left="40"/>
              <w:spacing w:after="0"/>
              <w:rPr>
                <w:sz w:val="20"/>
                <w:szCs w:val="20"/>
                <w:color w:val="auto"/>
              </w:rPr>
            </w:pPr>
            <w:r>
              <w:rPr>
                <w:rFonts w:ascii="Arial" w:cs="Arial" w:eastAsia="Arial" w:hAnsi="Arial"/>
                <w:sz w:val="15"/>
                <w:szCs w:val="15"/>
                <w:color w:val="auto"/>
              </w:rPr>
              <w:t>Net purchase price</w:t>
            </w:r>
          </w:p>
        </w:tc>
        <w:tc>
          <w:tcPr>
            <w:tcW w:w="820" w:type="dxa"/>
            <w:vAlign w:val="bottom"/>
            <w:tcBorders>
              <w:top w:val="single" w:sz="8" w:color="auto"/>
              <w:bottom w:val="single" w:sz="8" w:color="auto"/>
            </w:tcBorders>
          </w:tcPr>
          <w:p>
            <w:pPr>
              <w:jc w:val="right"/>
              <w:ind w:right="647"/>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rPr>
              <w:t>40,819</w:t>
            </w:r>
          </w:p>
        </w:tc>
      </w:tr>
      <w:tr>
        <w:trPr>
          <w:trHeight w:val="20"/>
        </w:trPr>
        <w:tc>
          <w:tcPr>
            <w:tcW w:w="10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goodwill recognized from the acquisition is primarily attributable to the technical expertise of the acquired workforce and the complementary nature of Houston Interests' operations, which the Company believes will enable the combined entity to expand its service offerings and enter new markets. All of the goodwill recognized is deductible for income tax purposes. The fair value of the net assets acquired is preliminary pending the final valuation of those assets. As a result, goodwill is also preliminary since it has been recorded as the excess of the purchase price over the estimated fair value of the net assets acquired.</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Company has agreed to pay the previous owners up to $2.6 million for any unused portion of acquired warranty obligations outstanding as of June 30, 2017. In addition, the sellers have agreed to reimburse the Company for any warranty costs incurred in connection with the acquired warranties in excess of $2.6 million. All acquired warranties will expire by June 30, 2017. Any amounts paid to or received from the seller will be accounted for as a working capital adjustment, which will be reflected as a change to the net purchase price. No payments have been made to the seller for any unused portion of acquired warranty obligations as of March 31, 2017.</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Company incurred $0.1 million and $0.5 million of expenses related to closing the acquisition during the three and nine months ended March 31, 2017, which were included within selling, general and administrative expenses in the consolidated statements of income. During the three and nine months ended March 31, 2017, the acquired business contributed revenues of $14.1 million and $16.4 million, respectively, and operating losses of $0.1 million and $0.4 million, respectively.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- 12-</w:t>
      </w:r>
    </w:p>
    <w:p>
      <w:pPr>
        <w:sectPr>
          <w:pgSz w:w="11900" w:h="16838" w:orient="portrait"/>
          <w:cols w:equalWidth="0" w:num="1">
            <w:col w:w="11460"/>
          </w:cols>
          <w:pgMar w:left="220" w:top="287" w:right="219" w:bottom="1440" w:gutter="0" w:footer="0" w:header="0"/>
        </w:sectPr>
      </w:pPr>
    </w:p>
    <w:bookmarkStart w:id="14" w:name="page15"/>
    <w:bookmarkEnd w:id="14"/>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unaudited financial information in the table below summarizes the combined results of operations of Matrix Service Company and Houston Interests for the three and nine months ended March 31, 2017 and 2016, on a pro forma basis, as though the companies had been combined as of July 1, 2015. The pro forma financial information presented in the table below is for informational purposes only and is not indicative of the results of operations that would have been achieved if the acquisition had taken place at July 1, 2015 nor should it be taken as indicative of future consolidated results of operations.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5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3"/>
          </w:tcPr>
          <w:p>
            <w:pPr>
              <w:jc w:val="right"/>
              <w:ind w:right="829"/>
              <w:spacing w:after="0"/>
              <w:rPr>
                <w:sz w:val="20"/>
                <w:szCs w:val="20"/>
                <w:color w:val="auto"/>
              </w:rPr>
            </w:pPr>
            <w:r>
              <w:rPr>
                <w:rFonts w:ascii="Arial" w:cs="Arial" w:eastAsia="Arial" w:hAnsi="Arial"/>
                <w:sz w:val="12"/>
                <w:szCs w:val="12"/>
                <w:b w:val="1"/>
                <w:bCs w:val="1"/>
                <w:color w:val="auto"/>
              </w:rPr>
              <w:t>Three Months Ended</w:t>
            </w:r>
          </w:p>
        </w:tc>
        <w:tc>
          <w:tcPr>
            <w:tcW w:w="26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3"/>
          </w:tcPr>
          <w:p>
            <w:pPr>
              <w:jc w:val="right"/>
              <w:ind w:right="889"/>
              <w:spacing w:after="0"/>
              <w:rPr>
                <w:sz w:val="20"/>
                <w:szCs w:val="20"/>
                <w:color w:val="auto"/>
              </w:rPr>
            </w:pPr>
            <w:r>
              <w:rPr>
                <w:rFonts w:ascii="Arial" w:cs="Arial" w:eastAsia="Arial" w:hAnsi="Arial"/>
                <w:sz w:val="12"/>
                <w:szCs w:val="12"/>
                <w:b w:val="1"/>
                <w:bCs w:val="1"/>
                <w:color w:val="auto"/>
              </w:rPr>
              <w:t>Nine Months Ended</w:t>
            </w:r>
          </w:p>
        </w:tc>
      </w:tr>
      <w:tr>
        <w:trPr>
          <w:trHeight w:val="200"/>
        </w:trPr>
        <w:tc>
          <w:tcPr>
            <w:tcW w:w="55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71"/>
              <w:spacing w:after="0"/>
              <w:rPr>
                <w:sz w:val="20"/>
                <w:szCs w:val="20"/>
                <w:color w:val="auto"/>
              </w:rPr>
            </w:pPr>
            <w:r>
              <w:rPr>
                <w:rFonts w:ascii="Arial" w:cs="Arial" w:eastAsia="Arial" w:hAnsi="Arial"/>
                <w:sz w:val="12"/>
                <w:szCs w:val="12"/>
                <w:b w:val="1"/>
                <w:bCs w:val="1"/>
                <w:color w:val="auto"/>
              </w:rPr>
              <w:t>March 31, 2017</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29"/>
              <w:spacing w:after="0"/>
              <w:rPr>
                <w:sz w:val="20"/>
                <w:szCs w:val="20"/>
                <w:color w:val="auto"/>
              </w:rPr>
            </w:pPr>
            <w:r>
              <w:rPr>
                <w:rFonts w:ascii="Arial" w:cs="Arial" w:eastAsia="Arial" w:hAnsi="Arial"/>
                <w:sz w:val="12"/>
                <w:szCs w:val="12"/>
                <w:b w:val="1"/>
                <w:bCs w:val="1"/>
                <w:color w:val="auto"/>
              </w:rPr>
              <w:t>March 31, 2016</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31"/>
              <w:spacing w:after="0"/>
              <w:rPr>
                <w:sz w:val="20"/>
                <w:szCs w:val="20"/>
                <w:color w:val="auto"/>
              </w:rPr>
            </w:pPr>
            <w:r>
              <w:rPr>
                <w:rFonts w:ascii="Arial" w:cs="Arial" w:eastAsia="Arial" w:hAnsi="Arial"/>
                <w:sz w:val="12"/>
                <w:szCs w:val="12"/>
                <w:b w:val="1"/>
                <w:bCs w:val="1"/>
                <w:color w:val="auto"/>
              </w:rPr>
              <w:t>March 31, 2017</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69"/>
              <w:spacing w:after="0"/>
              <w:rPr>
                <w:sz w:val="20"/>
                <w:szCs w:val="20"/>
                <w:color w:val="auto"/>
              </w:rPr>
            </w:pPr>
            <w:r>
              <w:rPr>
                <w:rFonts w:ascii="Arial" w:cs="Arial" w:eastAsia="Arial" w:hAnsi="Arial"/>
                <w:sz w:val="12"/>
                <w:szCs w:val="12"/>
                <w:b w:val="1"/>
                <w:bCs w:val="1"/>
                <w:color w:val="auto"/>
              </w:rPr>
              <w:t>March 31, 2016</w:t>
            </w:r>
          </w:p>
        </w:tc>
      </w:tr>
      <w:tr>
        <w:trPr>
          <w:trHeight w:val="194"/>
        </w:trPr>
        <w:tc>
          <w:tcPr>
            <w:tcW w:w="5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00" w:type="dxa"/>
            <w:vAlign w:val="bottom"/>
            <w:gridSpan w:val="3"/>
          </w:tcPr>
          <w:p>
            <w:pPr>
              <w:jc w:val="right"/>
              <w:ind w:right="291"/>
              <w:spacing w:after="0"/>
              <w:rPr>
                <w:sz w:val="20"/>
                <w:szCs w:val="20"/>
                <w:color w:val="auto"/>
              </w:rPr>
            </w:pPr>
            <w:r>
              <w:rPr>
                <w:rFonts w:ascii="Arial" w:cs="Arial" w:eastAsia="Arial" w:hAnsi="Arial"/>
                <w:sz w:val="15"/>
                <w:szCs w:val="15"/>
                <w:color w:val="auto"/>
                <w:w w:val="93"/>
              </w:rPr>
              <w:t>(In thousands, except per share data)</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2"/>
        </w:trPr>
        <w:tc>
          <w:tcPr>
            <w:tcW w:w="5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Revenues</w:t>
            </w: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5"/>
                <w:szCs w:val="15"/>
                <w:color w:val="auto"/>
              </w:rPr>
              <w:t>251,237</w:t>
            </w:r>
          </w:p>
        </w:tc>
        <w:tc>
          <w:tcPr>
            <w:tcW w:w="2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334,228</w:t>
            </w:r>
          </w:p>
        </w:tc>
        <w:tc>
          <w:tcPr>
            <w:tcW w:w="2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941,536</w:t>
            </w:r>
          </w:p>
        </w:tc>
        <w:tc>
          <w:tcPr>
            <w:tcW w:w="2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1,047,246</w:t>
            </w:r>
          </w:p>
        </w:tc>
      </w:tr>
      <w:tr>
        <w:trPr>
          <w:trHeight w:val="198"/>
        </w:trPr>
        <w:tc>
          <w:tcPr>
            <w:tcW w:w="5500" w:type="dxa"/>
            <w:vAlign w:val="bottom"/>
          </w:tcPr>
          <w:p>
            <w:pPr>
              <w:ind w:left="40"/>
              <w:spacing w:after="0"/>
              <w:rPr>
                <w:sz w:val="20"/>
                <w:szCs w:val="20"/>
                <w:color w:val="auto"/>
              </w:rPr>
            </w:pPr>
            <w:r>
              <w:rPr>
                <w:rFonts w:ascii="Arial" w:cs="Arial" w:eastAsia="Arial" w:hAnsi="Arial"/>
                <w:sz w:val="15"/>
                <w:szCs w:val="15"/>
                <w:color w:val="auto"/>
              </w:rPr>
              <w:t>Net income (loss) attributable to Matrix Service Company</w:t>
            </w: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(13,202)</w:t>
            </w:r>
          </w:p>
        </w:tc>
        <w:tc>
          <w:tcPr>
            <w:tcW w:w="24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4,113</w:t>
            </w:r>
          </w:p>
        </w:tc>
        <w:tc>
          <w:tcPr>
            <w:tcW w:w="26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5,231</w:t>
            </w:r>
          </w:p>
        </w:tc>
        <w:tc>
          <w:tcPr>
            <w:tcW w:w="26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49"/>
              <w:spacing w:after="0"/>
              <w:rPr>
                <w:sz w:val="20"/>
                <w:szCs w:val="20"/>
                <w:color w:val="auto"/>
              </w:rPr>
            </w:pPr>
            <w:r>
              <w:rPr>
                <w:rFonts w:ascii="Arial" w:cs="Arial" w:eastAsia="Arial" w:hAnsi="Arial"/>
                <w:sz w:val="15"/>
                <w:szCs w:val="15"/>
                <w:color w:val="auto"/>
              </w:rPr>
              <w:t>22,623</w:t>
            </w:r>
          </w:p>
        </w:tc>
      </w:tr>
      <w:tr>
        <w:trPr>
          <w:trHeight w:val="22"/>
        </w:trPr>
        <w:tc>
          <w:tcPr>
            <w:tcW w:w="5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Basic earnings (loss) per common share</w:t>
            </w: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(0.50)</w:t>
            </w:r>
          </w:p>
        </w:tc>
        <w:tc>
          <w:tcPr>
            <w:tcW w:w="2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0.15</w:t>
            </w:r>
          </w:p>
        </w:tc>
        <w:tc>
          <w:tcPr>
            <w:tcW w:w="2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0.20</w:t>
            </w:r>
          </w:p>
        </w:tc>
        <w:tc>
          <w:tcPr>
            <w:tcW w:w="2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0.85</w:t>
            </w:r>
          </w:p>
        </w:tc>
      </w:tr>
      <w:tr>
        <w:trPr>
          <w:trHeight w:val="198"/>
        </w:trPr>
        <w:tc>
          <w:tcPr>
            <w:tcW w:w="5500" w:type="dxa"/>
            <w:vAlign w:val="bottom"/>
          </w:tcPr>
          <w:p>
            <w:pPr>
              <w:ind w:left="40"/>
              <w:spacing w:after="0"/>
              <w:rPr>
                <w:sz w:val="20"/>
                <w:szCs w:val="20"/>
                <w:color w:val="auto"/>
              </w:rPr>
            </w:pPr>
            <w:r>
              <w:rPr>
                <w:rFonts w:ascii="Arial" w:cs="Arial" w:eastAsia="Arial" w:hAnsi="Arial"/>
                <w:sz w:val="15"/>
                <w:szCs w:val="15"/>
                <w:color w:val="auto"/>
              </w:rPr>
              <w:t>Diluted earnings (loss) per common share</w:t>
            </w: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(0.50)</w:t>
            </w:r>
          </w:p>
        </w:tc>
        <w:tc>
          <w:tcPr>
            <w:tcW w:w="24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0.15</w:t>
            </w:r>
          </w:p>
        </w:tc>
        <w:tc>
          <w:tcPr>
            <w:tcW w:w="26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0.19</w:t>
            </w:r>
          </w:p>
        </w:tc>
        <w:tc>
          <w:tcPr>
            <w:tcW w:w="26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49"/>
              <w:spacing w:after="0"/>
              <w:rPr>
                <w:sz w:val="20"/>
                <w:szCs w:val="20"/>
                <w:color w:val="auto"/>
              </w:rPr>
            </w:pPr>
            <w:r>
              <w:rPr>
                <w:rFonts w:ascii="Arial" w:cs="Arial" w:eastAsia="Arial" w:hAnsi="Arial"/>
                <w:sz w:val="15"/>
                <w:szCs w:val="15"/>
                <w:color w:val="auto"/>
              </w:rPr>
              <w:t>0.83</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The pro forma financial information presented in the table above includes the following adjustments to the combined entities' historical financial statements:</w:t>
      </w:r>
    </w:p>
    <w:p>
      <w:pPr>
        <w:spacing w:after="0" w:line="136" w:lineRule="exact"/>
        <w:rPr>
          <w:sz w:val="20"/>
          <w:szCs w:val="20"/>
          <w:color w:val="auto"/>
        </w:rPr>
      </w:pPr>
    </w:p>
    <w:p>
      <w:pPr>
        <w:jc w:val="both"/>
        <w:ind w:left="540" w:hanging="267"/>
        <w:spacing w:after="0" w:line="275" w:lineRule="auto"/>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combined entities recorded approximately $0.4 million and $3.4 million of acquisition and integration expenses during the three and nine months ended March 31, 2017, respectively, which were transferred in the pro forma earnings to the nine months ended March 31, 2016 in order to report them as if they were incurred on July 1, 2015. Pro forma earnings were adjusted to include integration expenses that would have been recognized had the acquisition occurred on July 1, 2015 of $0.4 million and $1.1 million during the three and nine months ended March 31, 2017, respectively, and $0.3 million and $0.8 million during the three and nine months ended March 31, 2016, respectively.</w:t>
      </w:r>
    </w:p>
    <w:p>
      <w:pPr>
        <w:spacing w:after="0" w:line="99" w:lineRule="exact"/>
        <w:rPr>
          <w:rFonts w:ascii="Arial" w:cs="Arial" w:eastAsia="Arial" w:hAnsi="Arial"/>
          <w:sz w:val="14"/>
          <w:szCs w:val="14"/>
          <w:color w:val="auto"/>
        </w:rPr>
      </w:pPr>
    </w:p>
    <w:p>
      <w:pPr>
        <w:jc w:val="both"/>
        <w:ind w:left="540" w:hanging="267"/>
        <w:spacing w:after="0" w:line="313" w:lineRule="auto"/>
        <w:tabs>
          <w:tab w:leader="none" w:pos="54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Interest expense for the combined entities was increased by $0.7 million during the nine months ended March 31, 2017 and by $0.4 million and $1.0 million during the three and nine months ended March 31, 2016, respectively. The increase was attributable to the assumption that the Company's borrowings of $46.0 million used to fund a portion of the net purchase price had been outstanding as of July 1, 2015. This increase was partially offset by the assumption that Houston Interests' former debt was extinguished as of July 1, 2015.</w:t>
      </w:r>
    </w:p>
    <w:p>
      <w:pPr>
        <w:spacing w:after="0" w:line="76" w:lineRule="exact"/>
        <w:rPr>
          <w:rFonts w:ascii="Arial" w:cs="Arial" w:eastAsia="Arial" w:hAnsi="Arial"/>
          <w:sz w:val="13"/>
          <w:szCs w:val="13"/>
          <w:color w:val="auto"/>
        </w:rPr>
      </w:pPr>
    </w:p>
    <w:p>
      <w:pPr>
        <w:jc w:val="both"/>
        <w:ind w:left="540" w:hanging="267"/>
        <w:spacing w:after="0" w:line="282" w:lineRule="auto"/>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Depreciation and intangible asset amortization expense for the combined entities was reduced by $0.6 million and $0.8 million during the three and nine months ended March 31, 2017, respectively, and was increased by $0.5 million and $1.4 million during the three and nine months ended March 31, 2016, respectively. These adjustments are primarily due to the recognition of amortizable intangible assets as part of the acquisition and the effect of fair value adjustments to acquired property, plant and equipment.</w:t>
      </w:r>
    </w:p>
    <w:p>
      <w:pPr>
        <w:spacing w:after="0" w:line="93" w:lineRule="exact"/>
        <w:rPr>
          <w:rFonts w:ascii="Arial" w:cs="Arial" w:eastAsia="Arial" w:hAnsi="Arial"/>
          <w:sz w:val="14"/>
          <w:szCs w:val="14"/>
          <w:color w:val="auto"/>
        </w:rPr>
      </w:pPr>
    </w:p>
    <w:p>
      <w:pPr>
        <w:jc w:val="both"/>
        <w:ind w:left="540" w:hanging="267"/>
        <w:spacing w:after="0" w:line="255" w:lineRule="auto"/>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Pro forma earnings were adjusted to include additional income tax expense of $4.3 million during the nine months ended March 31, 2017. Income tax expense was reduced by $0.6 million during the three months ended March 31, 2016 and increased by $1.8 million during the nine months ended March 31, 2016. Houston Interests was previously an exempt entity and income taxes were not assessed in its historical financial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Purchase of Baillie Tank Equipment, Ltd.</w:t>
      </w:r>
    </w:p>
    <w:p>
      <w:pPr>
        <w:spacing w:after="0" w:line="136"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On February 1, 2016, the Company completed the acquisition of all outstanding stock of Baillie Tank Equipment, Ltd. (“BTE”), an internationally-based company with nearly 20 years of experience in the design and manufacture of products for use on aboveground storage tanks. Founded in 1998, BTE is a provider of tank products including geodesic domes, aluminum internal floating roofs, floating suction and skimmer systems, roof drain systems, and seals. BTE is headquartered in Sydney, Australia with a manufacturing facility in Seoul, South Korea. The Company acquired BTE to expand its service offerings of certain technical solutions for aboveground storage tanks. The business is now known as Matrix Applied Technologies, and its operating results are included in the Storage Solutions segment.</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Company purchased BTE with cash on-hand for a net purchase price of $13.0 million. The Company paid $15.4 million when including the subsequent repayment of long-term debt acquired and the settlement of certain other liabilities acquired, and excluding the cash acquired and certain amounts owed to the former owners for working capital adjustments. The net purchase price was allocated to the major categories of assets and liabilities based on their estimated fair value at the acquisition date.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- 13-</w:t>
      </w:r>
    </w:p>
    <w:p>
      <w:pPr>
        <w:sectPr>
          <w:pgSz w:w="11900" w:h="16838" w:orient="portrait"/>
          <w:cols w:equalWidth="0" w:num="1">
            <w:col w:w="11460"/>
          </w:cols>
          <w:pgMar w:left="220" w:top="305" w:right="2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2"/>
        </w:trPr>
        <w:tc>
          <w:tcPr>
            <w:tcW w:w="1060" w:type="dxa"/>
            <w:vAlign w:val="bottom"/>
            <w:tcBorders>
              <w:bottom w:val="single" w:sz="8" w:color="0000EE"/>
            </w:tcBorders>
          </w:tcPr>
          <w:p>
            <w:pPr>
              <w:spacing w:after="0"/>
              <w:rPr>
                <w:rFonts w:ascii="Arial" w:cs="Arial" w:eastAsia="Arial" w:hAnsi="Arial"/>
                <w:sz w:val="15"/>
                <w:szCs w:val="15"/>
                <w:color w:val="0000EE"/>
                <w:w w:val="87"/>
              </w:rPr>
            </w:pPr>
            <w:hyperlink w:anchor="page2">
              <w:r>
                <w:rPr>
                  <w:rFonts w:ascii="Arial" w:cs="Arial" w:eastAsia="Arial" w:hAnsi="Arial"/>
                  <w:sz w:val="15"/>
                  <w:szCs w:val="15"/>
                  <w:color w:val="0000EE"/>
                  <w:w w:val="87"/>
                </w:rPr>
                <w:t>Table of Contents</w:t>
              </w:r>
            </w:hyperlink>
          </w:p>
        </w:tc>
        <w:tc>
          <w:tcPr>
            <w:tcW w:w="8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873"/>
        </w:trPr>
        <w:tc>
          <w:tcPr>
            <w:tcW w:w="9400" w:type="dxa"/>
            <w:vAlign w:val="bottom"/>
            <w:gridSpan w:val="2"/>
          </w:tcPr>
          <w:p>
            <w:pPr>
              <w:spacing w:after="0"/>
              <w:rPr>
                <w:sz w:val="20"/>
                <w:szCs w:val="20"/>
                <w:color w:val="auto"/>
              </w:rPr>
            </w:pPr>
            <w:r>
              <w:rPr>
                <w:rFonts w:ascii="Arial" w:cs="Arial" w:eastAsia="Arial" w:hAnsi="Arial"/>
                <w:sz w:val="15"/>
                <w:szCs w:val="15"/>
                <w:color w:val="auto"/>
              </w:rPr>
              <w:t>The following table summarizes the final purchase price allocation (in thousands):</w:t>
            </w: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0"/>
        </w:trPr>
        <w:tc>
          <w:tcPr>
            <w:tcW w:w="1060" w:type="dxa"/>
            <w:vAlign w:val="bottom"/>
          </w:tcPr>
          <w:p>
            <w:pPr>
              <w:spacing w:after="0"/>
              <w:rPr>
                <w:sz w:val="9"/>
                <w:szCs w:val="9"/>
                <w:color w:val="auto"/>
              </w:rPr>
            </w:pPr>
          </w:p>
        </w:tc>
        <w:tc>
          <w:tcPr>
            <w:tcW w:w="8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00"/>
        </w:trPr>
        <w:tc>
          <w:tcPr>
            <w:tcW w:w="9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Current assets</w:t>
            </w:r>
          </w:p>
        </w:tc>
        <w:tc>
          <w:tcPr>
            <w:tcW w:w="820" w:type="dxa"/>
            <w:vAlign w:val="bottom"/>
            <w:tcBorders>
              <w:bottom w:val="single" w:sz="8" w:color="CCEEFF"/>
            </w:tcBorders>
            <w:shd w:val="clear" w:color="auto" w:fill="CCEEFF"/>
          </w:tcPr>
          <w:p>
            <w:pPr>
              <w:jc w:val="right"/>
              <w:ind w:right="647"/>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5,574</w:t>
            </w:r>
          </w:p>
        </w:tc>
      </w:tr>
      <w:tr>
        <w:trPr>
          <w:trHeight w:val="198"/>
        </w:trPr>
        <w:tc>
          <w:tcPr>
            <w:tcW w:w="9400" w:type="dxa"/>
            <w:vAlign w:val="bottom"/>
            <w:gridSpan w:val="2"/>
          </w:tcPr>
          <w:p>
            <w:pPr>
              <w:ind w:left="40"/>
              <w:spacing w:after="0"/>
              <w:rPr>
                <w:sz w:val="20"/>
                <w:szCs w:val="20"/>
                <w:color w:val="auto"/>
              </w:rPr>
            </w:pPr>
            <w:r>
              <w:rPr>
                <w:rFonts w:ascii="Arial" w:cs="Arial" w:eastAsia="Arial" w:hAnsi="Arial"/>
                <w:sz w:val="15"/>
                <w:szCs w:val="15"/>
                <w:color w:val="auto"/>
              </w:rPr>
              <w:t>Property, plant and equipment</w:t>
            </w:r>
          </w:p>
        </w:tc>
        <w:tc>
          <w:tcPr>
            <w:tcW w:w="820" w:type="dxa"/>
            <w:vAlign w:val="bottom"/>
          </w:tcPr>
          <w:p>
            <w:pPr>
              <w:spacing w:after="0"/>
              <w:rPr>
                <w:sz w:val="17"/>
                <w:szCs w:val="17"/>
                <w:color w:val="auto"/>
              </w:rPr>
            </w:pPr>
          </w:p>
        </w:tc>
        <w:tc>
          <w:tcPr>
            <w:tcW w:w="1240" w:type="dxa"/>
            <w:vAlign w:val="bottom"/>
          </w:tcPr>
          <w:p>
            <w:pPr>
              <w:jc w:val="right"/>
              <w:ind w:right="47"/>
              <w:spacing w:after="0"/>
              <w:rPr>
                <w:sz w:val="20"/>
                <w:szCs w:val="20"/>
                <w:color w:val="auto"/>
              </w:rPr>
            </w:pPr>
            <w:r>
              <w:rPr>
                <w:rFonts w:ascii="Arial" w:cs="Arial" w:eastAsia="Arial" w:hAnsi="Arial"/>
                <w:sz w:val="15"/>
                <w:szCs w:val="15"/>
                <w:color w:val="auto"/>
              </w:rPr>
              <w:t>4,347</w:t>
            </w:r>
          </w:p>
        </w:tc>
      </w:tr>
      <w:tr>
        <w:trPr>
          <w:trHeight w:val="22"/>
        </w:trPr>
        <w:tc>
          <w:tcPr>
            <w:tcW w:w="10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0"/>
        </w:trPr>
        <w:tc>
          <w:tcPr>
            <w:tcW w:w="9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Goodwill</w:t>
            </w:r>
          </w:p>
        </w:tc>
        <w:tc>
          <w:tcPr>
            <w:tcW w:w="8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7,030</w:t>
            </w:r>
          </w:p>
        </w:tc>
      </w:tr>
      <w:tr>
        <w:trPr>
          <w:trHeight w:val="198"/>
        </w:trPr>
        <w:tc>
          <w:tcPr>
            <w:tcW w:w="9400" w:type="dxa"/>
            <w:vAlign w:val="bottom"/>
            <w:gridSpan w:val="2"/>
          </w:tcPr>
          <w:p>
            <w:pPr>
              <w:ind w:left="40"/>
              <w:spacing w:after="0"/>
              <w:rPr>
                <w:sz w:val="20"/>
                <w:szCs w:val="20"/>
                <w:color w:val="auto"/>
              </w:rPr>
            </w:pPr>
            <w:r>
              <w:rPr>
                <w:rFonts w:ascii="Arial" w:cs="Arial" w:eastAsia="Arial" w:hAnsi="Arial"/>
                <w:sz w:val="15"/>
                <w:szCs w:val="15"/>
                <w:color w:val="auto"/>
              </w:rPr>
              <w:t>Other intangible assets</w:t>
            </w:r>
          </w:p>
        </w:tc>
        <w:tc>
          <w:tcPr>
            <w:tcW w:w="820" w:type="dxa"/>
            <w:vAlign w:val="bottom"/>
          </w:tcPr>
          <w:p>
            <w:pPr>
              <w:spacing w:after="0"/>
              <w:rPr>
                <w:sz w:val="17"/>
                <w:szCs w:val="17"/>
                <w:color w:val="auto"/>
              </w:rPr>
            </w:pPr>
          </w:p>
        </w:tc>
        <w:tc>
          <w:tcPr>
            <w:tcW w:w="1240" w:type="dxa"/>
            <w:vAlign w:val="bottom"/>
          </w:tcPr>
          <w:p>
            <w:pPr>
              <w:jc w:val="right"/>
              <w:ind w:right="47"/>
              <w:spacing w:after="0"/>
              <w:rPr>
                <w:sz w:val="20"/>
                <w:szCs w:val="20"/>
                <w:color w:val="auto"/>
              </w:rPr>
            </w:pPr>
            <w:r>
              <w:rPr>
                <w:rFonts w:ascii="Arial" w:cs="Arial" w:eastAsia="Arial" w:hAnsi="Arial"/>
                <w:sz w:val="15"/>
                <w:szCs w:val="15"/>
                <w:color w:val="auto"/>
              </w:rPr>
              <w:t>720</w:t>
            </w:r>
          </w:p>
        </w:tc>
      </w:tr>
      <w:tr>
        <w:trPr>
          <w:trHeight w:val="22"/>
        </w:trPr>
        <w:tc>
          <w:tcPr>
            <w:tcW w:w="10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20"/>
        </w:trPr>
        <w:tc>
          <w:tcPr>
            <w:tcW w:w="9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Other assets</w:t>
            </w:r>
          </w:p>
        </w:tc>
        <w:tc>
          <w:tcPr>
            <w:tcW w:w="8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233</w:t>
            </w:r>
          </w:p>
        </w:tc>
      </w:tr>
      <w:tr>
        <w:trPr>
          <w:trHeight w:val="189"/>
        </w:trPr>
        <w:tc>
          <w:tcPr>
            <w:tcW w:w="9400" w:type="dxa"/>
            <w:vAlign w:val="bottom"/>
            <w:gridSpan w:val="2"/>
          </w:tcPr>
          <w:p>
            <w:pPr>
              <w:ind w:left="40"/>
              <w:spacing w:after="0"/>
              <w:rPr>
                <w:sz w:val="20"/>
                <w:szCs w:val="20"/>
                <w:color w:val="auto"/>
              </w:rPr>
            </w:pPr>
            <w:r>
              <w:rPr>
                <w:rFonts w:ascii="Arial" w:cs="Arial" w:eastAsia="Arial" w:hAnsi="Arial"/>
                <w:sz w:val="15"/>
                <w:szCs w:val="15"/>
                <w:color w:val="auto"/>
              </w:rPr>
              <w:t>Total assets acquired</w:t>
            </w:r>
          </w:p>
        </w:tc>
        <w:tc>
          <w:tcPr>
            <w:tcW w:w="8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17,904</w:t>
            </w:r>
          </w:p>
        </w:tc>
      </w:tr>
      <w:tr>
        <w:trPr>
          <w:trHeight w:val="22"/>
        </w:trPr>
        <w:tc>
          <w:tcPr>
            <w:tcW w:w="10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0"/>
        </w:trPr>
        <w:tc>
          <w:tcPr>
            <w:tcW w:w="9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Current liabilities</w:t>
            </w:r>
          </w:p>
        </w:tc>
        <w:tc>
          <w:tcPr>
            <w:tcW w:w="8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1,669</w:t>
            </w:r>
          </w:p>
        </w:tc>
      </w:tr>
      <w:tr>
        <w:trPr>
          <w:trHeight w:val="198"/>
        </w:trPr>
        <w:tc>
          <w:tcPr>
            <w:tcW w:w="9400" w:type="dxa"/>
            <w:vAlign w:val="bottom"/>
            <w:gridSpan w:val="2"/>
          </w:tcPr>
          <w:p>
            <w:pPr>
              <w:ind w:left="40"/>
              <w:spacing w:after="0"/>
              <w:rPr>
                <w:sz w:val="20"/>
                <w:szCs w:val="20"/>
                <w:color w:val="auto"/>
              </w:rPr>
            </w:pPr>
            <w:r>
              <w:rPr>
                <w:rFonts w:ascii="Arial" w:cs="Arial" w:eastAsia="Arial" w:hAnsi="Arial"/>
                <w:sz w:val="15"/>
                <w:szCs w:val="15"/>
                <w:color w:val="auto"/>
              </w:rPr>
              <w:t>Deferred income taxes</w:t>
            </w:r>
          </w:p>
        </w:tc>
        <w:tc>
          <w:tcPr>
            <w:tcW w:w="820" w:type="dxa"/>
            <w:vAlign w:val="bottom"/>
          </w:tcPr>
          <w:p>
            <w:pPr>
              <w:spacing w:after="0"/>
              <w:rPr>
                <w:sz w:val="17"/>
                <w:szCs w:val="17"/>
                <w:color w:val="auto"/>
              </w:rPr>
            </w:pPr>
          </w:p>
        </w:tc>
        <w:tc>
          <w:tcPr>
            <w:tcW w:w="1240" w:type="dxa"/>
            <w:vAlign w:val="bottom"/>
          </w:tcPr>
          <w:p>
            <w:pPr>
              <w:jc w:val="right"/>
              <w:ind w:right="47"/>
              <w:spacing w:after="0"/>
              <w:rPr>
                <w:sz w:val="20"/>
                <w:szCs w:val="20"/>
                <w:color w:val="auto"/>
              </w:rPr>
            </w:pPr>
            <w:r>
              <w:rPr>
                <w:rFonts w:ascii="Arial" w:cs="Arial" w:eastAsia="Arial" w:hAnsi="Arial"/>
                <w:sz w:val="15"/>
                <w:szCs w:val="15"/>
                <w:color w:val="auto"/>
              </w:rPr>
              <w:t>329</w:t>
            </w:r>
          </w:p>
        </w:tc>
      </w:tr>
      <w:tr>
        <w:trPr>
          <w:trHeight w:val="22"/>
        </w:trPr>
        <w:tc>
          <w:tcPr>
            <w:tcW w:w="10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0"/>
        </w:trPr>
        <w:tc>
          <w:tcPr>
            <w:tcW w:w="9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Long-term debt</w:t>
            </w:r>
          </w:p>
        </w:tc>
        <w:tc>
          <w:tcPr>
            <w:tcW w:w="8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1,858</w:t>
            </w:r>
          </w:p>
        </w:tc>
      </w:tr>
      <w:tr>
        <w:trPr>
          <w:trHeight w:val="198"/>
        </w:trPr>
        <w:tc>
          <w:tcPr>
            <w:tcW w:w="9400" w:type="dxa"/>
            <w:vAlign w:val="bottom"/>
            <w:gridSpan w:val="2"/>
          </w:tcPr>
          <w:p>
            <w:pPr>
              <w:ind w:left="40"/>
              <w:spacing w:after="0"/>
              <w:rPr>
                <w:sz w:val="20"/>
                <w:szCs w:val="20"/>
                <w:color w:val="auto"/>
              </w:rPr>
            </w:pPr>
            <w:r>
              <w:rPr>
                <w:rFonts w:ascii="Arial" w:cs="Arial" w:eastAsia="Arial" w:hAnsi="Arial"/>
                <w:sz w:val="15"/>
                <w:szCs w:val="15"/>
                <w:color w:val="auto"/>
              </w:rPr>
              <w:t>Other liabilities</w:t>
            </w:r>
          </w:p>
        </w:tc>
        <w:tc>
          <w:tcPr>
            <w:tcW w:w="820" w:type="dxa"/>
            <w:vAlign w:val="bottom"/>
          </w:tcPr>
          <w:p>
            <w:pPr>
              <w:spacing w:after="0"/>
              <w:rPr>
                <w:sz w:val="17"/>
                <w:szCs w:val="17"/>
                <w:color w:val="auto"/>
              </w:rPr>
            </w:pPr>
          </w:p>
        </w:tc>
        <w:tc>
          <w:tcPr>
            <w:tcW w:w="1240" w:type="dxa"/>
            <w:vAlign w:val="bottom"/>
          </w:tcPr>
          <w:p>
            <w:pPr>
              <w:jc w:val="right"/>
              <w:ind w:right="47"/>
              <w:spacing w:after="0"/>
              <w:rPr>
                <w:sz w:val="20"/>
                <w:szCs w:val="20"/>
                <w:color w:val="auto"/>
              </w:rPr>
            </w:pPr>
            <w:r>
              <w:rPr>
                <w:rFonts w:ascii="Arial" w:cs="Arial" w:eastAsia="Arial" w:hAnsi="Arial"/>
                <w:sz w:val="15"/>
                <w:szCs w:val="15"/>
                <w:color w:val="auto"/>
              </w:rPr>
              <w:t>407</w:t>
            </w:r>
          </w:p>
        </w:tc>
      </w:tr>
      <w:tr>
        <w:trPr>
          <w:trHeight w:val="22"/>
        </w:trPr>
        <w:tc>
          <w:tcPr>
            <w:tcW w:w="1060" w:type="dxa"/>
            <w:vAlign w:val="bottom"/>
            <w:tcBorders>
              <w:bottom w:val="single" w:sz="8" w:color="CCEEFF"/>
            </w:tcBorders>
          </w:tcPr>
          <w:p>
            <w:pPr>
              <w:spacing w:after="0" w:line="20" w:lineRule="exact"/>
              <w:rPr>
                <w:sz w:val="1"/>
                <w:szCs w:val="1"/>
                <w:color w:val="auto"/>
              </w:rPr>
            </w:pPr>
          </w:p>
        </w:tc>
        <w:tc>
          <w:tcPr>
            <w:tcW w:w="83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1"/>
        </w:trPr>
        <w:tc>
          <w:tcPr>
            <w:tcW w:w="9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Net assets acquired</w:t>
            </w:r>
          </w:p>
        </w:tc>
        <w:tc>
          <w:tcPr>
            <w:tcW w:w="8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13,641</w:t>
            </w:r>
          </w:p>
        </w:tc>
      </w:tr>
      <w:tr>
        <w:trPr>
          <w:trHeight w:val="198"/>
        </w:trPr>
        <w:tc>
          <w:tcPr>
            <w:tcW w:w="9400" w:type="dxa"/>
            <w:vAlign w:val="bottom"/>
            <w:gridSpan w:val="2"/>
          </w:tcPr>
          <w:p>
            <w:pPr>
              <w:ind w:left="40"/>
              <w:spacing w:after="0"/>
              <w:rPr>
                <w:sz w:val="20"/>
                <w:szCs w:val="20"/>
                <w:color w:val="auto"/>
              </w:rPr>
            </w:pPr>
            <w:r>
              <w:rPr>
                <w:rFonts w:ascii="Arial" w:cs="Arial" w:eastAsia="Arial" w:hAnsi="Arial"/>
                <w:sz w:val="15"/>
                <w:szCs w:val="15"/>
                <w:color w:val="auto"/>
              </w:rPr>
              <w:t>Cash acquired</w:t>
            </w:r>
          </w:p>
        </w:tc>
        <w:tc>
          <w:tcPr>
            <w:tcW w:w="820" w:type="dxa"/>
            <w:vAlign w:val="bottom"/>
          </w:tcPr>
          <w:p>
            <w:pPr>
              <w:spacing w:after="0"/>
              <w:rPr>
                <w:sz w:val="17"/>
                <w:szCs w:val="17"/>
                <w:color w:val="auto"/>
              </w:rPr>
            </w:pPr>
          </w:p>
        </w:tc>
        <w:tc>
          <w:tcPr>
            <w:tcW w:w="1240" w:type="dxa"/>
            <w:vAlign w:val="bottom"/>
          </w:tcPr>
          <w:p>
            <w:pPr>
              <w:jc w:val="right"/>
              <w:ind w:right="47"/>
              <w:spacing w:after="0"/>
              <w:rPr>
                <w:sz w:val="20"/>
                <w:szCs w:val="20"/>
                <w:color w:val="auto"/>
              </w:rPr>
            </w:pPr>
            <w:r>
              <w:rPr>
                <w:rFonts w:ascii="Arial" w:cs="Arial" w:eastAsia="Arial" w:hAnsi="Arial"/>
                <w:sz w:val="15"/>
                <w:szCs w:val="15"/>
                <w:color w:val="auto"/>
              </w:rPr>
              <w:t>592</w:t>
            </w:r>
          </w:p>
        </w:tc>
      </w:tr>
      <w:tr>
        <w:trPr>
          <w:trHeight w:val="22"/>
        </w:trPr>
        <w:tc>
          <w:tcPr>
            <w:tcW w:w="1060" w:type="dxa"/>
            <w:vAlign w:val="bottom"/>
            <w:tcBorders>
              <w:bottom w:val="single" w:sz="8" w:color="CCEEFF"/>
            </w:tcBorders>
          </w:tcPr>
          <w:p>
            <w:pPr>
              <w:spacing w:after="0" w:line="20" w:lineRule="exact"/>
              <w:rPr>
                <w:sz w:val="1"/>
                <w:szCs w:val="1"/>
                <w:color w:val="auto"/>
              </w:rPr>
            </w:pPr>
          </w:p>
        </w:tc>
        <w:tc>
          <w:tcPr>
            <w:tcW w:w="83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06"/>
        </w:trPr>
        <w:tc>
          <w:tcPr>
            <w:tcW w:w="9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Net purchase price</w:t>
            </w:r>
          </w:p>
        </w:tc>
        <w:tc>
          <w:tcPr>
            <w:tcW w:w="820" w:type="dxa"/>
            <w:vAlign w:val="bottom"/>
            <w:tcBorders>
              <w:bottom w:val="single" w:sz="8" w:color="auto"/>
            </w:tcBorders>
            <w:shd w:val="clear" w:color="auto" w:fill="CCEEFF"/>
          </w:tcPr>
          <w:p>
            <w:pPr>
              <w:jc w:val="right"/>
              <w:ind w:right="647"/>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13,049</w:t>
            </w:r>
          </w:p>
        </w:tc>
      </w:tr>
      <w:tr>
        <w:trPr>
          <w:trHeight w:val="20"/>
        </w:trPr>
        <w:tc>
          <w:tcPr>
            <w:tcW w:w="10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goodwill recognized from the acquisition is attributable to the synergies of combining our operations and the technical expertise of the acquired workforce. None of the goodwill recognized is deductible for income tax purposes.</w:t>
      </w:r>
    </w:p>
    <w:p>
      <w:pPr>
        <w:spacing w:after="0" w:line="104"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The Company incurred $0.8 million and $0.9 million of expenses related to the acquisition during the three and nine months ended March 31, 2016, which were included within selling, general and administrative expenses in the consolidated statements of income. The acquired business contributed revenues of $3.0 million and $5.8 million during the three and nine months ended March 31, 2017, respectively, and contributed break-even operating income during the three months ended March 31, 2017 and $0.3 million during the nine months ended March 31, 2017. The acquired business contributed revenues of $3.5 million and operating income of $0.7 million for the period February 1, 2016 to March 31, 2016.</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3 – Uncompleted Contracts</w:t>
      </w:r>
    </w:p>
    <w:p>
      <w:pPr>
        <w:spacing w:after="0" w:line="140"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Contract terms of the Company’s construction contracts generally provide for progress billings based on project milestones. The excess of costs incurred and estimated earnings over amounts billed on uncompleted contracts is reported as a current asset. The excess of amounts billed over costs incurred and estimated earnings recognized on uncompleted contracts is reported as a current liability. Gross and net amounts on uncompleted contracts are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ind w:left="160"/>
              <w:spacing w:after="0"/>
              <w:rPr>
                <w:sz w:val="20"/>
                <w:szCs w:val="20"/>
                <w:color w:val="auto"/>
              </w:rPr>
            </w:pPr>
            <w:r>
              <w:rPr>
                <w:rFonts w:ascii="Arial" w:cs="Arial" w:eastAsia="Arial" w:hAnsi="Arial"/>
                <w:sz w:val="12"/>
                <w:szCs w:val="12"/>
                <w:b w:val="1"/>
                <w:bCs w:val="1"/>
                <w:color w:val="auto"/>
              </w:rPr>
              <w:t>March 31,</w:t>
            </w:r>
          </w:p>
        </w:tc>
        <w:tc>
          <w:tcPr>
            <w:tcW w:w="360" w:type="dxa"/>
            <w:vAlign w:val="bottom"/>
          </w:tcPr>
          <w:p>
            <w:pPr>
              <w:spacing w:after="0"/>
              <w:rPr>
                <w:sz w:val="12"/>
                <w:szCs w:val="12"/>
                <w:color w:val="auto"/>
              </w:rPr>
            </w:pPr>
          </w:p>
        </w:tc>
        <w:tc>
          <w:tcPr>
            <w:tcW w:w="1000" w:type="dxa"/>
            <w:vAlign w:val="bottom"/>
          </w:tcPr>
          <w:p>
            <w:pPr>
              <w:jc w:val="right"/>
              <w:ind w:right="410"/>
              <w:spacing w:after="0"/>
              <w:rPr>
                <w:sz w:val="20"/>
                <w:szCs w:val="20"/>
                <w:color w:val="auto"/>
              </w:rPr>
            </w:pPr>
            <w:r>
              <w:rPr>
                <w:rFonts w:ascii="Arial" w:cs="Arial" w:eastAsia="Arial" w:hAnsi="Arial"/>
                <w:sz w:val="12"/>
                <w:szCs w:val="12"/>
                <w:b w:val="1"/>
                <w:bCs w:val="1"/>
                <w:color w:val="auto"/>
              </w:rPr>
              <w:t>June 30,</w:t>
            </w:r>
          </w:p>
        </w:tc>
        <w:tc>
          <w:tcPr>
            <w:tcW w:w="0" w:type="dxa"/>
            <w:vAlign w:val="bottom"/>
          </w:tcPr>
          <w:p>
            <w:pPr>
              <w:spacing w:after="0"/>
              <w:rPr>
                <w:sz w:val="1"/>
                <w:szCs w:val="1"/>
                <w:color w:val="auto"/>
              </w:rPr>
            </w:pPr>
          </w:p>
        </w:tc>
      </w:tr>
      <w:tr>
        <w:trPr>
          <w:trHeight w:val="156"/>
        </w:trPr>
        <w:tc>
          <w:tcPr>
            <w:tcW w:w="86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2"/>
                <w:szCs w:val="12"/>
                <w:b w:val="1"/>
                <w:bCs w:val="1"/>
                <w:color w:val="auto"/>
              </w:rPr>
              <w:t>2016</w:t>
            </w:r>
          </w:p>
        </w:tc>
        <w:tc>
          <w:tcPr>
            <w:tcW w:w="0" w:type="dxa"/>
            <w:vAlign w:val="bottom"/>
          </w:tcPr>
          <w:p>
            <w:pPr>
              <w:spacing w:after="0"/>
              <w:rPr>
                <w:sz w:val="1"/>
                <w:szCs w:val="1"/>
                <w:color w:val="auto"/>
              </w:rPr>
            </w:pPr>
          </w:p>
        </w:tc>
      </w:tr>
      <w:tr>
        <w:trPr>
          <w:trHeight w:val="156"/>
        </w:trPr>
        <w:tc>
          <w:tcPr>
            <w:tcW w:w="8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3"/>
          </w:tcPr>
          <w:p>
            <w:pPr>
              <w:jc w:val="right"/>
              <w:ind w:right="7"/>
              <w:spacing w:after="0"/>
              <w:rPr>
                <w:sz w:val="20"/>
                <w:szCs w:val="20"/>
                <w:color w:val="auto"/>
              </w:rPr>
            </w:pPr>
            <w:r>
              <w:rPr>
                <w:rFonts w:ascii="Arial" w:cs="Arial" w:eastAsia="Arial" w:hAnsi="Arial"/>
                <w:sz w:val="12"/>
                <w:szCs w:val="12"/>
                <w:color w:val="auto"/>
              </w:rPr>
              <w:t>(in thousands)</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8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Costs incurred and estimated earnings recognized on uncompleted contracts</w:t>
            </w:r>
          </w:p>
        </w:tc>
        <w:tc>
          <w:tcPr>
            <w:tcW w:w="2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5"/>
                <w:szCs w:val="15"/>
                <w:color w:val="auto"/>
              </w:rPr>
              <w:t>1,266,388</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7"/>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1,875,014</w:t>
            </w:r>
          </w:p>
        </w:tc>
        <w:tc>
          <w:tcPr>
            <w:tcW w:w="0" w:type="dxa"/>
            <w:vAlign w:val="bottom"/>
          </w:tcPr>
          <w:p>
            <w:pPr>
              <w:spacing w:after="0"/>
              <w:rPr>
                <w:sz w:val="1"/>
                <w:szCs w:val="1"/>
                <w:color w:val="auto"/>
              </w:rPr>
            </w:pPr>
          </w:p>
        </w:tc>
      </w:tr>
      <w:tr>
        <w:trPr>
          <w:trHeight w:val="198"/>
        </w:trPr>
        <w:tc>
          <w:tcPr>
            <w:tcW w:w="8600" w:type="dxa"/>
            <w:vAlign w:val="bottom"/>
          </w:tcPr>
          <w:p>
            <w:pPr>
              <w:ind w:left="40"/>
              <w:spacing w:after="0"/>
              <w:rPr>
                <w:sz w:val="20"/>
                <w:szCs w:val="20"/>
                <w:color w:val="auto"/>
              </w:rPr>
            </w:pPr>
            <w:r>
              <w:rPr>
                <w:rFonts w:ascii="Arial" w:cs="Arial" w:eastAsia="Arial" w:hAnsi="Arial"/>
                <w:sz w:val="15"/>
                <w:szCs w:val="15"/>
                <w:color w:val="auto"/>
              </w:rPr>
              <w:t>Billings on uncompleted contracts</w:t>
            </w:r>
          </w:p>
        </w:tc>
        <w:tc>
          <w:tcPr>
            <w:tcW w:w="260" w:type="dxa"/>
            <w:vAlign w:val="bottom"/>
          </w:tcPr>
          <w:p>
            <w:pPr>
              <w:spacing w:after="0"/>
              <w:rPr>
                <w:sz w:val="17"/>
                <w:szCs w:val="17"/>
                <w:color w:val="auto"/>
              </w:rPr>
            </w:pPr>
          </w:p>
        </w:tc>
        <w:tc>
          <w:tcPr>
            <w:tcW w:w="1140" w:type="dxa"/>
            <w:vAlign w:val="bottom"/>
          </w:tcPr>
          <w:p>
            <w:pPr>
              <w:jc w:val="right"/>
              <w:ind w:right="51"/>
              <w:spacing w:after="0"/>
              <w:rPr>
                <w:sz w:val="20"/>
                <w:szCs w:val="20"/>
                <w:color w:val="auto"/>
              </w:rPr>
            </w:pPr>
            <w:r>
              <w:rPr>
                <w:rFonts w:ascii="Arial" w:cs="Arial" w:eastAsia="Arial" w:hAnsi="Arial"/>
                <w:sz w:val="15"/>
                <w:szCs w:val="15"/>
                <w:color w:val="auto"/>
              </w:rPr>
              <w:t>1,271,826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ind w:right="50"/>
              <w:spacing w:after="0"/>
              <w:rPr>
                <w:sz w:val="20"/>
                <w:szCs w:val="20"/>
                <w:color w:val="auto"/>
              </w:rPr>
            </w:pPr>
            <w:r>
              <w:rPr>
                <w:rFonts w:ascii="Arial" w:cs="Arial" w:eastAsia="Arial" w:hAnsi="Arial"/>
                <w:sz w:val="15"/>
                <w:szCs w:val="15"/>
                <w:color w:val="auto"/>
              </w:rPr>
              <w:t>1,829,340</w:t>
            </w:r>
          </w:p>
        </w:tc>
        <w:tc>
          <w:tcPr>
            <w:tcW w:w="0" w:type="dxa"/>
            <w:vAlign w:val="bottom"/>
          </w:tcPr>
          <w:p>
            <w:pPr>
              <w:spacing w:after="0"/>
              <w:rPr>
                <w:sz w:val="1"/>
                <w:szCs w:val="1"/>
                <w:color w:val="auto"/>
              </w:rPr>
            </w:pPr>
          </w:p>
        </w:tc>
      </w:tr>
      <w:tr>
        <w:trPr>
          <w:trHeight w:val="22"/>
        </w:trPr>
        <w:tc>
          <w:tcPr>
            <w:tcW w:w="8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5"/>
                <w:szCs w:val="15"/>
                <w:color w:val="auto"/>
              </w:rPr>
              <w:t>(5,438)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7"/>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45,674</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5"/>
                <w:szCs w:val="15"/>
                <w:color w:val="auto"/>
              </w:rPr>
              <w:t>Shown in balance sheet as: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6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8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Costs and estimated earnings in excess of billings on uncompleted contracts</w:t>
            </w:r>
          </w:p>
        </w:tc>
        <w:tc>
          <w:tcPr>
            <w:tcW w:w="2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5"/>
                <w:szCs w:val="15"/>
                <w:color w:val="auto"/>
              </w:rPr>
              <w:t>69,986</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7"/>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104,001</w:t>
            </w:r>
          </w:p>
        </w:tc>
        <w:tc>
          <w:tcPr>
            <w:tcW w:w="0" w:type="dxa"/>
            <w:vAlign w:val="bottom"/>
          </w:tcPr>
          <w:p>
            <w:pPr>
              <w:spacing w:after="0"/>
              <w:rPr>
                <w:sz w:val="1"/>
                <w:szCs w:val="1"/>
                <w:color w:val="auto"/>
              </w:rPr>
            </w:pPr>
          </w:p>
        </w:tc>
      </w:tr>
      <w:tr>
        <w:trPr>
          <w:trHeight w:val="198"/>
        </w:trPr>
        <w:tc>
          <w:tcPr>
            <w:tcW w:w="8600" w:type="dxa"/>
            <w:vAlign w:val="bottom"/>
          </w:tcPr>
          <w:p>
            <w:pPr>
              <w:ind w:left="40"/>
              <w:spacing w:after="0"/>
              <w:rPr>
                <w:sz w:val="20"/>
                <w:szCs w:val="20"/>
                <w:color w:val="auto"/>
              </w:rPr>
            </w:pPr>
            <w:r>
              <w:rPr>
                <w:rFonts w:ascii="Arial" w:cs="Arial" w:eastAsia="Arial" w:hAnsi="Arial"/>
                <w:sz w:val="15"/>
                <w:szCs w:val="15"/>
                <w:color w:val="auto"/>
              </w:rPr>
              <w:t>Billings on uncompleted contracts in excess of costs and estimated earnings</w:t>
            </w:r>
          </w:p>
        </w:tc>
        <w:tc>
          <w:tcPr>
            <w:tcW w:w="260" w:type="dxa"/>
            <w:vAlign w:val="bottom"/>
          </w:tcPr>
          <w:p>
            <w:pPr>
              <w:spacing w:after="0"/>
              <w:rPr>
                <w:sz w:val="17"/>
                <w:szCs w:val="17"/>
                <w:color w:val="auto"/>
              </w:rPr>
            </w:pPr>
          </w:p>
        </w:tc>
        <w:tc>
          <w:tcPr>
            <w:tcW w:w="1140" w:type="dxa"/>
            <w:vAlign w:val="bottom"/>
          </w:tcPr>
          <w:p>
            <w:pPr>
              <w:jc w:val="right"/>
              <w:ind w:right="51"/>
              <w:spacing w:after="0"/>
              <w:rPr>
                <w:sz w:val="20"/>
                <w:szCs w:val="20"/>
                <w:color w:val="auto"/>
              </w:rPr>
            </w:pPr>
            <w:r>
              <w:rPr>
                <w:rFonts w:ascii="Arial" w:cs="Arial" w:eastAsia="Arial" w:hAnsi="Arial"/>
                <w:sz w:val="15"/>
                <w:szCs w:val="15"/>
                <w:color w:val="auto"/>
              </w:rPr>
              <w:t>75,424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ind w:right="50"/>
              <w:spacing w:after="0"/>
              <w:rPr>
                <w:sz w:val="20"/>
                <w:szCs w:val="20"/>
                <w:color w:val="auto"/>
              </w:rPr>
            </w:pPr>
            <w:r>
              <w:rPr>
                <w:rFonts w:ascii="Arial" w:cs="Arial" w:eastAsia="Arial" w:hAnsi="Arial"/>
                <w:sz w:val="15"/>
                <w:szCs w:val="15"/>
                <w:color w:val="auto"/>
              </w:rPr>
              <w:t>58,327</w:t>
            </w:r>
          </w:p>
        </w:tc>
        <w:tc>
          <w:tcPr>
            <w:tcW w:w="0" w:type="dxa"/>
            <w:vAlign w:val="bottom"/>
          </w:tcPr>
          <w:p>
            <w:pPr>
              <w:spacing w:after="0"/>
              <w:rPr>
                <w:sz w:val="1"/>
                <w:szCs w:val="1"/>
                <w:color w:val="auto"/>
              </w:rPr>
            </w:pPr>
          </w:p>
        </w:tc>
      </w:tr>
      <w:tr>
        <w:trPr>
          <w:trHeight w:val="22"/>
        </w:trPr>
        <w:tc>
          <w:tcPr>
            <w:tcW w:w="8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5"/>
                <w:szCs w:val="15"/>
                <w:color w:val="auto"/>
              </w:rPr>
              <w:t>(5,438)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7"/>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45,674</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Progress billings in accounts receivable at March 31, 2017 and June 30, 2016 included retentions to be collected within one year of $55.0 million and $29.7 million, respectively. Contract retentions collectible beyond one year are included in other assets in the condensed consolidated balance sheet and totaled $0.3 million as of June 30, 2016. There were no retentions collectible beyond one year as of March 31, 2017.</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- 14-</w:t>
      </w:r>
    </w:p>
    <w:p>
      <w:pPr>
        <w:sectPr>
          <w:pgSz w:w="11900" w:h="16838" w:orient="portrait"/>
          <w:cols w:equalWidth="0" w:num="1">
            <w:col w:w="11460"/>
          </w:cols>
          <w:pgMar w:left="220" w:top="287" w:right="219" w:bottom="1440" w:gutter="0" w:footer="0" w:header="0"/>
        </w:sectPr>
      </w:pPr>
    </w:p>
    <w:bookmarkStart w:id="16" w:name="page17"/>
    <w:bookmarkEnd w:id="16"/>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Matrix Service Company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Other</w:t>
      </w:r>
    </w:p>
    <w:p>
      <w:pPr>
        <w:spacing w:after="0" w:line="136"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Our results were negatively impacted by an increased cost estimate related to a large project in the Electrical Infrastructure segment, which resulted in a decrease in gross profit. The financial impact of the project was a gross profit (loss) of ($18.9) million and ($13.7) million for the three and nine months ended March 31, 2017, respectively. The profit on future revenue related to this project will be recognized based on the current project forecast, which is at a greatly reduced gross profit margin. The change in cost estimate resulted from a deterioration in the financial forecast of the project during the third quarter and was caused by various factors that have delayed schedule progress and reduced productivity. The adjustment in the current period represents the Company’s estimate, based on the information currently available, of the impact of the increased forecasted cost to complete the project. The current forecast includes estimates for the expected outcome regarding reimbursement from the customer of additional costs incurred and expected to be incurred, as well as the receipt of schedule based incentive revenue currently included in the contract.</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Work on the project continues to progress; however, critical work remains, which is at risk from continued impacts to project costs and schedule. Therefore, it is possible that future changes in contract estimates, including those related to project costs, project timeline, receipt of schedule based incentive revenue, and the estimated recovery of additional costs, could occur and have a material positive or negative impact to our results of operations and financial position in subsequent accounting periods.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4 – Intangible Assets Including Goodwill</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Goodwill</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color w:val="auto"/>
        </w:rPr>
        <w:t>The changes in the carrying value of goodwill by segment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9"/>
              </w:rPr>
              <w:t>Electrical</w:t>
            </w:r>
          </w:p>
        </w:tc>
        <w:tc>
          <w:tcPr>
            <w:tcW w:w="240" w:type="dxa"/>
            <w:vAlign w:val="bottom"/>
          </w:tcPr>
          <w:p>
            <w:pPr>
              <w:spacing w:after="0"/>
              <w:rPr>
                <w:sz w:val="12"/>
                <w:szCs w:val="12"/>
                <w:color w:val="auto"/>
              </w:rPr>
            </w:pP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Oil Gas &amp;</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4"/>
              </w:rPr>
              <w:t>Storage</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56"/>
        </w:trPr>
        <w:tc>
          <w:tcPr>
            <w:tcW w:w="47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2"/>
                <w:szCs w:val="12"/>
                <w:b w:val="1"/>
                <w:bCs w:val="1"/>
                <w:color w:val="auto"/>
                <w:w w:val="92"/>
              </w:rPr>
              <w:t>Infrastructure</w:t>
            </w: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ind w:left="160"/>
              <w:spacing w:after="0"/>
              <w:rPr>
                <w:sz w:val="20"/>
                <w:szCs w:val="20"/>
                <w:color w:val="auto"/>
              </w:rPr>
            </w:pPr>
            <w:r>
              <w:rPr>
                <w:rFonts w:ascii="Arial" w:cs="Arial" w:eastAsia="Arial" w:hAnsi="Arial"/>
                <w:sz w:val="12"/>
                <w:szCs w:val="12"/>
                <w:b w:val="1"/>
                <w:bCs w:val="1"/>
                <w:color w:val="auto"/>
              </w:rPr>
              <w:t>Chemical</w:t>
            </w: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2"/>
                <w:szCs w:val="12"/>
                <w:b w:val="1"/>
                <w:bCs w:val="1"/>
                <w:color w:val="auto"/>
                <w:w w:val="84"/>
              </w:rPr>
              <w:t>Solutions</w:t>
            </w: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ind w:left="140"/>
              <w:spacing w:after="0"/>
              <w:rPr>
                <w:sz w:val="20"/>
                <w:szCs w:val="20"/>
                <w:color w:val="auto"/>
              </w:rPr>
            </w:pPr>
            <w:r>
              <w:rPr>
                <w:rFonts w:ascii="Arial" w:cs="Arial" w:eastAsia="Arial" w:hAnsi="Arial"/>
                <w:sz w:val="12"/>
                <w:szCs w:val="12"/>
                <w:b w:val="1"/>
                <w:bCs w:val="1"/>
                <w:color w:val="auto"/>
              </w:rPr>
              <w:t>Industrial</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29"/>
              <w:spacing w:after="0"/>
              <w:rPr>
                <w:sz w:val="20"/>
                <w:szCs w:val="20"/>
                <w:color w:val="auto"/>
              </w:rPr>
            </w:pPr>
            <w:r>
              <w:rPr>
                <w:rFonts w:ascii="Arial" w:cs="Arial" w:eastAsia="Arial" w:hAnsi="Arial"/>
                <w:sz w:val="12"/>
                <w:szCs w:val="12"/>
                <w:b w:val="1"/>
                <w:bCs w:val="1"/>
                <w:color w:val="auto"/>
              </w:rPr>
              <w:t>Total</w:t>
            </w:r>
          </w:p>
        </w:tc>
      </w:tr>
      <w:tr>
        <w:trPr>
          <w:trHeight w:val="156"/>
        </w:trPr>
        <w:tc>
          <w:tcPr>
            <w:tcW w:w="4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color w:val="auto"/>
              </w:rPr>
              <w:t>(In thousands)</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05"/>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Net balance at June 30, 2016</w:t>
            </w:r>
          </w:p>
        </w:tc>
        <w:tc>
          <w:tcPr>
            <w:tcW w:w="2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5"/>
                <w:szCs w:val="15"/>
                <w:color w:val="auto"/>
              </w:rPr>
              <w:t>42,170</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5"/>
                <w:szCs w:val="15"/>
                <w:color w:val="auto"/>
              </w:rPr>
              <w:t>14,008</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5"/>
                <w:szCs w:val="15"/>
                <w:color w:val="auto"/>
              </w:rPr>
              <w:t>16,681</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5,434</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78,293</w:t>
            </w:r>
          </w:p>
        </w:tc>
      </w:tr>
      <w:tr>
        <w:trPr>
          <w:trHeight w:val="198"/>
        </w:trPr>
        <w:tc>
          <w:tcPr>
            <w:tcW w:w="4700" w:type="dxa"/>
            <w:vAlign w:val="bottom"/>
          </w:tcPr>
          <w:p>
            <w:pPr>
              <w:ind w:left="40"/>
              <w:spacing w:after="0"/>
              <w:rPr>
                <w:sz w:val="20"/>
                <w:szCs w:val="20"/>
                <w:color w:val="auto"/>
              </w:rPr>
            </w:pPr>
            <w:r>
              <w:rPr>
                <w:rFonts w:ascii="Arial" w:cs="Arial" w:eastAsia="Arial" w:hAnsi="Arial"/>
                <w:sz w:val="15"/>
                <w:szCs w:val="15"/>
                <w:color w:val="auto"/>
              </w:rPr>
              <w:t>Purchase of Houston Interests (Note 2)</w:t>
            </w:r>
          </w:p>
        </w:tc>
        <w:tc>
          <w:tcPr>
            <w:tcW w:w="20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40" w:type="dxa"/>
            <w:vAlign w:val="bottom"/>
          </w:tcPr>
          <w:p>
            <w:pPr>
              <w:jc w:val="right"/>
              <w:ind w:right="51"/>
              <w:spacing w:after="0"/>
              <w:rPr>
                <w:sz w:val="20"/>
                <w:szCs w:val="20"/>
                <w:color w:val="auto"/>
              </w:rPr>
            </w:pPr>
            <w:r>
              <w:rPr>
                <w:rFonts w:ascii="Arial" w:cs="Arial" w:eastAsia="Arial" w:hAnsi="Arial"/>
                <w:sz w:val="15"/>
                <w:szCs w:val="15"/>
                <w:color w:val="auto"/>
              </w:rPr>
              <w:t>28,739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00" w:type="dxa"/>
            <w:vAlign w:val="bottom"/>
          </w:tcPr>
          <w:p>
            <w:pPr>
              <w:jc w:val="right"/>
              <w:ind w:right="29"/>
              <w:spacing w:after="0"/>
              <w:rPr>
                <w:sz w:val="20"/>
                <w:szCs w:val="20"/>
                <w:color w:val="auto"/>
              </w:rPr>
            </w:pPr>
            <w:r>
              <w:rPr>
                <w:rFonts w:ascii="Arial" w:cs="Arial" w:eastAsia="Arial" w:hAnsi="Arial"/>
                <w:sz w:val="15"/>
                <w:szCs w:val="15"/>
                <w:color w:val="auto"/>
              </w:rPr>
              <w:t>6,309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49"/>
              <w:spacing w:after="0"/>
              <w:rPr>
                <w:sz w:val="20"/>
                <w:szCs w:val="20"/>
                <w:color w:val="auto"/>
              </w:rPr>
            </w:pPr>
            <w:r>
              <w:rPr>
                <w:rFonts w:ascii="Arial" w:cs="Arial" w:eastAsia="Arial" w:hAnsi="Arial"/>
                <w:sz w:val="15"/>
                <w:szCs w:val="15"/>
                <w:color w:val="auto"/>
              </w:rPr>
              <w:t>35,048</w:t>
            </w:r>
          </w:p>
        </w:tc>
      </w:tr>
      <w:tr>
        <w:trPr>
          <w:trHeight w:val="22"/>
        </w:trPr>
        <w:tc>
          <w:tcPr>
            <w:tcW w:w="4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0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Purchase price adjustment for BTE (Note 2)</w:t>
            </w: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5"/>
                <w:szCs w:val="15"/>
                <w:color w:val="auto"/>
              </w:rPr>
              <w:t>88</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88</w:t>
            </w:r>
          </w:p>
        </w:tc>
      </w:tr>
      <w:tr>
        <w:trPr>
          <w:trHeight w:val="198"/>
        </w:trPr>
        <w:tc>
          <w:tcPr>
            <w:tcW w:w="4700" w:type="dxa"/>
            <w:vAlign w:val="bottom"/>
          </w:tcPr>
          <w:p>
            <w:pPr>
              <w:ind w:left="40"/>
              <w:spacing w:after="0"/>
              <w:rPr>
                <w:sz w:val="20"/>
                <w:szCs w:val="20"/>
                <w:color w:val="auto"/>
              </w:rPr>
            </w:pPr>
            <w:r>
              <w:rPr>
                <w:rFonts w:ascii="Arial" w:cs="Arial" w:eastAsia="Arial" w:hAnsi="Arial"/>
                <w:sz w:val="15"/>
                <w:szCs w:val="15"/>
                <w:color w:val="auto"/>
              </w:rPr>
              <w:t>Translation adjustment (1)</w:t>
            </w:r>
          </w:p>
        </w:tc>
        <w:tc>
          <w:tcPr>
            <w:tcW w:w="200" w:type="dxa"/>
            <w:vAlign w:val="bottom"/>
          </w:tcPr>
          <w:p>
            <w:pPr>
              <w:spacing w:after="0"/>
              <w:rPr>
                <w:sz w:val="17"/>
                <w:szCs w:val="17"/>
                <w:color w:val="auto"/>
              </w:rPr>
            </w:pPr>
          </w:p>
        </w:tc>
        <w:tc>
          <w:tcPr>
            <w:tcW w:w="1080" w:type="dxa"/>
            <w:vAlign w:val="bottom"/>
          </w:tcPr>
          <w:p>
            <w:pPr>
              <w:jc w:val="right"/>
              <w:ind w:right="11"/>
              <w:spacing w:after="0"/>
              <w:rPr>
                <w:sz w:val="20"/>
                <w:szCs w:val="20"/>
                <w:color w:val="auto"/>
              </w:rPr>
            </w:pPr>
            <w:r>
              <w:rPr>
                <w:rFonts w:ascii="Arial" w:cs="Arial" w:eastAsia="Arial" w:hAnsi="Arial"/>
                <w:sz w:val="15"/>
                <w:szCs w:val="15"/>
                <w:color w:val="auto"/>
              </w:rPr>
              <w:t>(175)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(247)</w:t>
            </w: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Net balance at March 31, 2017</w:t>
            </w:r>
          </w:p>
        </w:tc>
        <w:tc>
          <w:tcPr>
            <w:tcW w:w="2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5"/>
                <w:szCs w:val="15"/>
                <w:color w:val="auto"/>
              </w:rPr>
              <w:t>41,995</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5"/>
                <w:szCs w:val="15"/>
                <w:color w:val="auto"/>
              </w:rPr>
              <w:t>42,747</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5"/>
                <w:szCs w:val="15"/>
                <w:color w:val="auto"/>
              </w:rPr>
              <w:t>16,730</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rPr>
              <w:t>11,710</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rPr>
              <w:t>113,182</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left="440" w:hanging="255"/>
        <w:spacing w:after="0" w:line="265" w:lineRule="auto"/>
        <w:tabs>
          <w:tab w:leader="none" w:pos="44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translation adjustments relate to the periodic translation of Canadian Dollar and South Korean Won denominated goodwill recorded as a part of prior acquisitions in Canada and South Korea, in which the local currency was determined to be the functional currency.</w:t>
      </w:r>
    </w:p>
    <w:p>
      <w:pPr>
        <w:spacing w:after="0" w:line="148"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goodwill allocation attributable to the purchase of Houston Interests is preliminary. The Company is currently evaluating the long-term value by segment and the allocation may be adjusted upon completion of the evaluation, which is expected to occur in the fourth fiscal quarter.</w:t>
      </w:r>
    </w:p>
    <w:p>
      <w:pPr>
        <w:spacing w:after="0" w:line="148" w:lineRule="exact"/>
        <w:rPr>
          <w:sz w:val="20"/>
          <w:szCs w:val="20"/>
          <w:color w:val="auto"/>
        </w:rPr>
      </w:pPr>
    </w:p>
    <w:p>
      <w:pPr>
        <w:jc w:val="both"/>
        <w:spacing w:after="0" w:line="293" w:lineRule="auto"/>
        <w:rPr>
          <w:sz w:val="20"/>
          <w:szCs w:val="20"/>
          <w:color w:val="auto"/>
        </w:rPr>
      </w:pPr>
      <w:r>
        <w:rPr>
          <w:rFonts w:ascii="Arial" w:cs="Arial" w:eastAsia="Arial" w:hAnsi="Arial"/>
          <w:sz w:val="13"/>
          <w:szCs w:val="13"/>
          <w:color w:val="auto"/>
        </w:rPr>
        <w:t>The Company performed its annual goodwill impairment test as of May 31, 2016, which did not indicate the existence of an impairment at that time. While the fiscal year-to-date financial performance of our Electrical Infrastructure, Oil Gas &amp; Chemical and Industrial segments are disappointing and have not met our expectations, the Company does not consider these results to be a triggering event requiring the performance of an interim goodwill impairment test. We believe the financial performance of our Oil Gas &amp; Chemical and Industrial segments is attributable to a cyclical, rather than structural, slowdown in the business and the financial performance of our Electrical Infrastructure segment is attributable to issues relating to one major project (as discussed in Note 3 - Uncompleted Contracts). The Company continues to consider these segments as core to its business and believes current operating results are not indicative of future performance. The Company will continue to monitor its operating results for indicators of impairment and perform additional tests as necessary. The Company's fiscal 2017 annual impairment test will be performed as of May 31, 2017, which could result in an impairment to goodwill depending on the Company’s finalized forecast for fiscal 2018 and other market conditions.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- 15-</w:t>
      </w:r>
    </w:p>
    <w:p>
      <w:pPr>
        <w:sectPr>
          <w:pgSz w:w="11900" w:h="16838" w:orient="portrait"/>
          <w:cols w:equalWidth="0" w:num="1">
            <w:col w:w="11460"/>
          </w:cols>
          <w:pgMar w:left="220" w:top="129" w:right="219" w:bottom="1440" w:gutter="0" w:footer="0" w:header="0"/>
        </w:sectPr>
      </w:pPr>
    </w:p>
    <w:bookmarkStart w:id="17" w:name="page18"/>
    <w:bookmarkEnd w:id="17"/>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Matrix Service Company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Other Intangible Assets</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color w:val="auto"/>
        </w:rPr>
        <w:t>Information on the carrying value of other intangible assets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2"/>
                <w:szCs w:val="12"/>
                <w:b w:val="1"/>
                <w:bCs w:val="1"/>
                <w:color w:val="auto"/>
                <w:w w:val="92"/>
              </w:rPr>
              <w:t>At March 31, 2017</w:t>
            </w: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r>
      <w:tr>
        <w:trPr>
          <w:trHeight w:val="122"/>
        </w:trPr>
        <w:tc>
          <w:tcPr>
            <w:tcW w:w="51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tcPr>
          <w:p>
            <w:pPr>
              <w:jc w:val="center"/>
              <w:ind w:right="360"/>
              <w:spacing w:after="0" w:line="122" w:lineRule="exact"/>
              <w:rPr>
                <w:sz w:val="20"/>
                <w:szCs w:val="20"/>
                <w:color w:val="auto"/>
              </w:rPr>
            </w:pPr>
            <w:r>
              <w:rPr>
                <w:rFonts w:ascii="Arial" w:cs="Arial" w:eastAsia="Arial" w:hAnsi="Arial"/>
                <w:sz w:val="12"/>
                <w:szCs w:val="12"/>
                <w:b w:val="1"/>
                <w:bCs w:val="1"/>
                <w:color w:val="auto"/>
                <w:w w:val="89"/>
              </w:rPr>
              <w:t>Gross Carrying</w:t>
            </w:r>
          </w:p>
        </w:tc>
        <w:tc>
          <w:tcPr>
            <w:tcW w:w="180" w:type="dxa"/>
            <w:vAlign w:val="bottom"/>
          </w:tcPr>
          <w:p>
            <w:pPr>
              <w:spacing w:after="0"/>
              <w:rPr>
                <w:sz w:val="10"/>
                <w:szCs w:val="10"/>
                <w:color w:val="auto"/>
              </w:rPr>
            </w:pPr>
          </w:p>
        </w:tc>
        <w:tc>
          <w:tcPr>
            <w:tcW w:w="1400" w:type="dxa"/>
            <w:vAlign w:val="bottom"/>
            <w:gridSpan w:val="2"/>
          </w:tcPr>
          <w:p>
            <w:pPr>
              <w:jc w:val="center"/>
              <w:ind w:right="300"/>
              <w:spacing w:after="0" w:line="122" w:lineRule="exact"/>
              <w:rPr>
                <w:sz w:val="20"/>
                <w:szCs w:val="20"/>
                <w:color w:val="auto"/>
              </w:rPr>
            </w:pPr>
            <w:r>
              <w:rPr>
                <w:rFonts w:ascii="Arial" w:cs="Arial" w:eastAsia="Arial" w:hAnsi="Arial"/>
                <w:sz w:val="12"/>
                <w:szCs w:val="12"/>
                <w:b w:val="1"/>
                <w:bCs w:val="1"/>
                <w:color w:val="auto"/>
                <w:w w:val="87"/>
              </w:rPr>
              <w:t>Accumulated</w:t>
            </w:r>
          </w:p>
        </w:tc>
        <w:tc>
          <w:tcPr>
            <w:tcW w:w="260" w:type="dxa"/>
            <w:vAlign w:val="bottom"/>
          </w:tcPr>
          <w:p>
            <w:pPr>
              <w:spacing w:after="0"/>
              <w:rPr>
                <w:sz w:val="10"/>
                <w:szCs w:val="10"/>
                <w:color w:val="auto"/>
              </w:rPr>
            </w:pPr>
          </w:p>
        </w:tc>
        <w:tc>
          <w:tcPr>
            <w:tcW w:w="1220" w:type="dxa"/>
            <w:vAlign w:val="bottom"/>
          </w:tcPr>
          <w:p>
            <w:pPr>
              <w:jc w:val="center"/>
              <w:ind w:right="191"/>
              <w:spacing w:after="0" w:line="122" w:lineRule="exact"/>
              <w:rPr>
                <w:sz w:val="20"/>
                <w:szCs w:val="20"/>
                <w:color w:val="auto"/>
              </w:rPr>
            </w:pPr>
            <w:r>
              <w:rPr>
                <w:rFonts w:ascii="Arial" w:cs="Arial" w:eastAsia="Arial" w:hAnsi="Arial"/>
                <w:sz w:val="12"/>
                <w:szCs w:val="12"/>
                <w:b w:val="1"/>
                <w:bCs w:val="1"/>
                <w:color w:val="auto"/>
                <w:w w:val="94"/>
              </w:rPr>
              <w:t>Net Carrying</w:t>
            </w:r>
          </w:p>
        </w:tc>
      </w:tr>
      <w:tr>
        <w:trPr>
          <w:trHeight w:val="156"/>
        </w:trPr>
        <w:tc>
          <w:tcPr>
            <w:tcW w:w="5160" w:type="dxa"/>
            <w:vAlign w:val="bottom"/>
          </w:tcPr>
          <w:p>
            <w:pPr>
              <w:spacing w:after="0"/>
              <w:rPr>
                <w:sz w:val="13"/>
                <w:szCs w:val="13"/>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Useful Life</w:t>
            </w: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2"/>
                <w:szCs w:val="12"/>
                <w:b w:val="1"/>
                <w:bCs w:val="1"/>
                <w:color w:val="auto"/>
                <w:w w:val="88"/>
              </w:rPr>
              <w:t>Amount</w:t>
            </w: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2"/>
                <w:szCs w:val="12"/>
                <w:b w:val="1"/>
                <w:bCs w:val="1"/>
                <w:color w:val="auto"/>
                <w:w w:val="92"/>
              </w:rPr>
              <w:t>Amortization</w:t>
            </w: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191"/>
              <w:spacing w:after="0"/>
              <w:rPr>
                <w:sz w:val="20"/>
                <w:szCs w:val="20"/>
                <w:color w:val="auto"/>
              </w:rPr>
            </w:pPr>
            <w:r>
              <w:rPr>
                <w:rFonts w:ascii="Arial" w:cs="Arial" w:eastAsia="Arial" w:hAnsi="Arial"/>
                <w:sz w:val="12"/>
                <w:szCs w:val="12"/>
                <w:b w:val="1"/>
                <w:bCs w:val="1"/>
                <w:color w:val="auto"/>
                <w:w w:val="88"/>
              </w:rPr>
              <w:t>Amount</w:t>
            </w:r>
          </w:p>
        </w:tc>
      </w:tr>
      <w:tr>
        <w:trPr>
          <w:trHeight w:val="200"/>
        </w:trPr>
        <w:tc>
          <w:tcPr>
            <w:tcW w:w="516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(Years)</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(In thousands)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Intellectual property</w:t>
            </w:r>
          </w:p>
        </w:tc>
        <w:tc>
          <w:tcPr>
            <w:tcW w:w="1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87"/>
              </w:rPr>
              <w:t>9 to 15</w:t>
            </w: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5"/>
                <w:szCs w:val="15"/>
                <w:color w:val="auto"/>
              </w:rPr>
              <w:t>2,579</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(1,380)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5"/>
                <w:szCs w:val="15"/>
                <w:color w:val="auto"/>
              </w:rPr>
              <w:t>1,199</w:t>
            </w:r>
          </w:p>
        </w:tc>
      </w:tr>
      <w:tr>
        <w:trPr>
          <w:trHeight w:val="198"/>
        </w:trPr>
        <w:tc>
          <w:tcPr>
            <w:tcW w:w="5160" w:type="dxa"/>
            <w:vAlign w:val="bottom"/>
          </w:tcPr>
          <w:p>
            <w:pPr>
              <w:ind w:left="40"/>
              <w:spacing w:after="0"/>
              <w:rPr>
                <w:sz w:val="20"/>
                <w:szCs w:val="20"/>
                <w:color w:val="auto"/>
              </w:rPr>
            </w:pPr>
            <w:r>
              <w:rPr>
                <w:rFonts w:ascii="Arial" w:cs="Arial" w:eastAsia="Arial" w:hAnsi="Arial"/>
                <w:sz w:val="15"/>
                <w:szCs w:val="15"/>
                <w:color w:val="auto"/>
              </w:rPr>
              <w:t>Customer-based</w:t>
            </w:r>
          </w:p>
        </w:tc>
        <w:tc>
          <w:tcPr>
            <w:tcW w:w="1620" w:type="dxa"/>
            <w:vAlign w:val="bottom"/>
            <w:gridSpan w:val="2"/>
          </w:tcPr>
          <w:p>
            <w:pPr>
              <w:jc w:val="center"/>
              <w:ind w:right="100"/>
              <w:spacing w:after="0"/>
              <w:rPr>
                <w:sz w:val="20"/>
                <w:szCs w:val="20"/>
                <w:color w:val="auto"/>
              </w:rPr>
            </w:pPr>
            <w:r>
              <w:rPr>
                <w:rFonts w:ascii="Arial" w:cs="Arial" w:eastAsia="Arial" w:hAnsi="Arial"/>
                <w:sz w:val="15"/>
                <w:szCs w:val="15"/>
                <w:color w:val="auto"/>
                <w:w w:val="87"/>
              </w:rPr>
              <w:t>1 to 15</w:t>
            </w:r>
          </w:p>
        </w:tc>
        <w:tc>
          <w:tcPr>
            <w:tcW w:w="240" w:type="dxa"/>
            <w:vAlign w:val="bottom"/>
          </w:tcPr>
          <w:p>
            <w:pPr>
              <w:spacing w:after="0"/>
              <w:rPr>
                <w:sz w:val="17"/>
                <w:szCs w:val="17"/>
                <w:color w:val="auto"/>
              </w:rPr>
            </w:pPr>
          </w:p>
        </w:tc>
        <w:tc>
          <w:tcPr>
            <w:tcW w:w="1260" w:type="dxa"/>
            <w:vAlign w:val="bottom"/>
          </w:tcPr>
          <w:p>
            <w:pPr>
              <w:jc w:val="right"/>
              <w:ind w:right="31"/>
              <w:spacing w:after="0"/>
              <w:rPr>
                <w:sz w:val="20"/>
                <w:szCs w:val="20"/>
                <w:color w:val="auto"/>
              </w:rPr>
            </w:pPr>
            <w:r>
              <w:rPr>
                <w:rFonts w:ascii="Arial" w:cs="Arial" w:eastAsia="Arial" w:hAnsi="Arial"/>
                <w:sz w:val="15"/>
                <w:szCs w:val="15"/>
                <w:color w:val="auto"/>
              </w:rPr>
              <w:t>38,094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(12,209)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51"/>
              <w:spacing w:after="0"/>
              <w:rPr>
                <w:sz w:val="20"/>
                <w:szCs w:val="20"/>
                <w:color w:val="auto"/>
              </w:rPr>
            </w:pPr>
            <w:r>
              <w:rPr>
                <w:rFonts w:ascii="Arial" w:cs="Arial" w:eastAsia="Arial" w:hAnsi="Arial"/>
                <w:sz w:val="15"/>
                <w:szCs w:val="15"/>
                <w:color w:val="auto"/>
              </w:rPr>
              <w:t>25,885</w:t>
            </w:r>
          </w:p>
        </w:tc>
      </w:tr>
      <w:tr>
        <w:trPr>
          <w:trHeight w:val="22"/>
        </w:trPr>
        <w:tc>
          <w:tcPr>
            <w:tcW w:w="5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0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Non-compete agreements</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0"/>
              </w:rPr>
              <w:t>4 to 5</w:t>
            </w: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5"/>
                <w:szCs w:val="15"/>
                <w:color w:val="auto"/>
              </w:rPr>
              <w:t>1,453</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(1,245)</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5"/>
                <w:szCs w:val="15"/>
                <w:color w:val="auto"/>
              </w:rPr>
              <w:t>208</w:t>
            </w:r>
          </w:p>
        </w:tc>
      </w:tr>
      <w:tr>
        <w:trPr>
          <w:trHeight w:val="198"/>
        </w:trPr>
        <w:tc>
          <w:tcPr>
            <w:tcW w:w="5160" w:type="dxa"/>
            <w:vAlign w:val="bottom"/>
          </w:tcPr>
          <w:p>
            <w:pPr>
              <w:ind w:left="40"/>
              <w:spacing w:after="0"/>
              <w:rPr>
                <w:sz w:val="20"/>
                <w:szCs w:val="20"/>
                <w:color w:val="auto"/>
              </w:rPr>
            </w:pPr>
            <w:r>
              <w:rPr>
                <w:rFonts w:ascii="Arial" w:cs="Arial" w:eastAsia="Arial" w:hAnsi="Arial"/>
                <w:sz w:val="15"/>
                <w:szCs w:val="15"/>
                <w:color w:val="auto"/>
              </w:rPr>
              <w:t>Trade names</w:t>
            </w:r>
          </w:p>
        </w:tc>
        <w:tc>
          <w:tcPr>
            <w:tcW w:w="1620" w:type="dxa"/>
            <w:vAlign w:val="bottom"/>
            <w:gridSpan w:val="2"/>
          </w:tcPr>
          <w:p>
            <w:pPr>
              <w:jc w:val="center"/>
              <w:ind w:right="120"/>
              <w:spacing w:after="0"/>
              <w:rPr>
                <w:sz w:val="20"/>
                <w:szCs w:val="20"/>
                <w:color w:val="auto"/>
              </w:rPr>
            </w:pPr>
            <w:r>
              <w:rPr>
                <w:rFonts w:ascii="Arial" w:cs="Arial" w:eastAsia="Arial" w:hAnsi="Arial"/>
                <w:sz w:val="15"/>
                <w:szCs w:val="15"/>
                <w:color w:val="auto"/>
                <w:w w:val="90"/>
              </w:rPr>
              <w:t>1 to 3</w:t>
            </w:r>
          </w:p>
        </w:tc>
        <w:tc>
          <w:tcPr>
            <w:tcW w:w="240" w:type="dxa"/>
            <w:vAlign w:val="bottom"/>
          </w:tcPr>
          <w:p>
            <w:pPr>
              <w:spacing w:after="0"/>
              <w:rPr>
                <w:sz w:val="17"/>
                <w:szCs w:val="17"/>
                <w:color w:val="auto"/>
              </w:rPr>
            </w:pPr>
          </w:p>
        </w:tc>
        <w:tc>
          <w:tcPr>
            <w:tcW w:w="1260" w:type="dxa"/>
            <w:vAlign w:val="bottom"/>
          </w:tcPr>
          <w:p>
            <w:pPr>
              <w:jc w:val="right"/>
              <w:ind w:right="31"/>
              <w:spacing w:after="0"/>
              <w:rPr>
                <w:sz w:val="20"/>
                <w:szCs w:val="20"/>
                <w:color w:val="auto"/>
              </w:rPr>
            </w:pPr>
            <w:r>
              <w:rPr>
                <w:rFonts w:ascii="Arial" w:cs="Arial" w:eastAsia="Arial" w:hAnsi="Arial"/>
                <w:sz w:val="15"/>
                <w:szCs w:val="15"/>
                <w:color w:val="auto"/>
              </w:rPr>
              <w:t>1,795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(1,306)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51"/>
              <w:spacing w:after="0"/>
              <w:rPr>
                <w:sz w:val="20"/>
                <w:szCs w:val="20"/>
                <w:color w:val="auto"/>
              </w:rPr>
            </w:pPr>
            <w:r>
              <w:rPr>
                <w:rFonts w:ascii="Arial" w:cs="Arial" w:eastAsia="Arial" w:hAnsi="Arial"/>
                <w:sz w:val="15"/>
                <w:szCs w:val="15"/>
                <w:color w:val="auto"/>
              </w:rPr>
              <w:t>489</w:t>
            </w:r>
          </w:p>
        </w:tc>
      </w:tr>
      <w:tr>
        <w:trPr>
          <w:trHeight w:val="22"/>
        </w:trPr>
        <w:tc>
          <w:tcPr>
            <w:tcW w:w="51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Total amortizing intangible assets</w:t>
            </w:r>
          </w:p>
        </w:tc>
        <w:tc>
          <w:tcPr>
            <w:tcW w:w="15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5"/>
                <w:szCs w:val="15"/>
                <w:color w:val="auto"/>
              </w:rPr>
              <w:t>43,921</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(16,140)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5"/>
                <w:szCs w:val="15"/>
                <w:color w:val="auto"/>
              </w:rPr>
              <w:t>27,781</w:t>
            </w:r>
          </w:p>
        </w:tc>
      </w:tr>
      <w:tr>
        <w:trPr>
          <w:trHeight w:val="20"/>
        </w:trPr>
        <w:tc>
          <w:tcPr>
            <w:tcW w:w="5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36"/>
        </w:trPr>
        <w:tc>
          <w:tcPr>
            <w:tcW w:w="5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2"/>
                <w:szCs w:val="12"/>
                <w:b w:val="1"/>
                <w:bCs w:val="1"/>
                <w:color w:val="auto"/>
                <w:w w:val="89"/>
              </w:rPr>
              <w:t>At June 30, 2016</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22"/>
        </w:trPr>
        <w:tc>
          <w:tcPr>
            <w:tcW w:w="51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tcPr>
          <w:p>
            <w:pPr>
              <w:jc w:val="center"/>
              <w:ind w:right="360"/>
              <w:spacing w:after="0" w:line="122" w:lineRule="exact"/>
              <w:rPr>
                <w:sz w:val="20"/>
                <w:szCs w:val="20"/>
                <w:color w:val="auto"/>
              </w:rPr>
            </w:pPr>
            <w:r>
              <w:rPr>
                <w:rFonts w:ascii="Arial" w:cs="Arial" w:eastAsia="Arial" w:hAnsi="Arial"/>
                <w:sz w:val="12"/>
                <w:szCs w:val="12"/>
                <w:b w:val="1"/>
                <w:bCs w:val="1"/>
                <w:color w:val="auto"/>
                <w:w w:val="89"/>
              </w:rPr>
              <w:t>Gross Carrying</w:t>
            </w:r>
          </w:p>
        </w:tc>
        <w:tc>
          <w:tcPr>
            <w:tcW w:w="180" w:type="dxa"/>
            <w:vAlign w:val="bottom"/>
          </w:tcPr>
          <w:p>
            <w:pPr>
              <w:spacing w:after="0"/>
              <w:rPr>
                <w:sz w:val="10"/>
                <w:szCs w:val="10"/>
                <w:color w:val="auto"/>
              </w:rPr>
            </w:pPr>
          </w:p>
        </w:tc>
        <w:tc>
          <w:tcPr>
            <w:tcW w:w="1400" w:type="dxa"/>
            <w:vAlign w:val="bottom"/>
            <w:gridSpan w:val="2"/>
          </w:tcPr>
          <w:p>
            <w:pPr>
              <w:jc w:val="center"/>
              <w:ind w:right="300"/>
              <w:spacing w:after="0" w:line="122" w:lineRule="exact"/>
              <w:rPr>
                <w:sz w:val="20"/>
                <w:szCs w:val="20"/>
                <w:color w:val="auto"/>
              </w:rPr>
            </w:pPr>
            <w:r>
              <w:rPr>
                <w:rFonts w:ascii="Arial" w:cs="Arial" w:eastAsia="Arial" w:hAnsi="Arial"/>
                <w:sz w:val="12"/>
                <w:szCs w:val="12"/>
                <w:b w:val="1"/>
                <w:bCs w:val="1"/>
                <w:color w:val="auto"/>
                <w:w w:val="87"/>
              </w:rPr>
              <w:t>Accumulated</w:t>
            </w:r>
          </w:p>
        </w:tc>
        <w:tc>
          <w:tcPr>
            <w:tcW w:w="260" w:type="dxa"/>
            <w:vAlign w:val="bottom"/>
          </w:tcPr>
          <w:p>
            <w:pPr>
              <w:spacing w:after="0"/>
              <w:rPr>
                <w:sz w:val="10"/>
                <w:szCs w:val="10"/>
                <w:color w:val="auto"/>
              </w:rPr>
            </w:pPr>
          </w:p>
        </w:tc>
        <w:tc>
          <w:tcPr>
            <w:tcW w:w="1220" w:type="dxa"/>
            <w:vAlign w:val="bottom"/>
          </w:tcPr>
          <w:p>
            <w:pPr>
              <w:jc w:val="center"/>
              <w:ind w:right="191"/>
              <w:spacing w:after="0" w:line="122" w:lineRule="exact"/>
              <w:rPr>
                <w:sz w:val="20"/>
                <w:szCs w:val="20"/>
                <w:color w:val="auto"/>
              </w:rPr>
            </w:pPr>
            <w:r>
              <w:rPr>
                <w:rFonts w:ascii="Arial" w:cs="Arial" w:eastAsia="Arial" w:hAnsi="Arial"/>
                <w:sz w:val="12"/>
                <w:szCs w:val="12"/>
                <w:b w:val="1"/>
                <w:bCs w:val="1"/>
                <w:color w:val="auto"/>
                <w:w w:val="94"/>
              </w:rPr>
              <w:t>Net Carrying</w:t>
            </w:r>
          </w:p>
        </w:tc>
      </w:tr>
      <w:tr>
        <w:trPr>
          <w:trHeight w:val="156"/>
        </w:trPr>
        <w:tc>
          <w:tcPr>
            <w:tcW w:w="5160" w:type="dxa"/>
            <w:vAlign w:val="bottom"/>
          </w:tcPr>
          <w:p>
            <w:pPr>
              <w:spacing w:after="0"/>
              <w:rPr>
                <w:sz w:val="13"/>
                <w:szCs w:val="13"/>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Useful Life</w:t>
            </w: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2"/>
                <w:szCs w:val="12"/>
                <w:b w:val="1"/>
                <w:bCs w:val="1"/>
                <w:color w:val="auto"/>
                <w:w w:val="88"/>
              </w:rPr>
              <w:t>Amount</w:t>
            </w: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2"/>
                <w:szCs w:val="12"/>
                <w:b w:val="1"/>
                <w:bCs w:val="1"/>
                <w:color w:val="auto"/>
                <w:w w:val="92"/>
              </w:rPr>
              <w:t>Amortization</w:t>
            </w: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191"/>
              <w:spacing w:after="0"/>
              <w:rPr>
                <w:sz w:val="20"/>
                <w:szCs w:val="20"/>
                <w:color w:val="auto"/>
              </w:rPr>
            </w:pPr>
            <w:r>
              <w:rPr>
                <w:rFonts w:ascii="Arial" w:cs="Arial" w:eastAsia="Arial" w:hAnsi="Arial"/>
                <w:sz w:val="12"/>
                <w:szCs w:val="12"/>
                <w:b w:val="1"/>
                <w:bCs w:val="1"/>
                <w:color w:val="auto"/>
                <w:w w:val="88"/>
              </w:rPr>
              <w:t>Amount</w:t>
            </w:r>
          </w:p>
        </w:tc>
      </w:tr>
      <w:tr>
        <w:trPr>
          <w:trHeight w:val="200"/>
        </w:trPr>
        <w:tc>
          <w:tcPr>
            <w:tcW w:w="516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(Years)</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(In thousands)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Intellectual property</w:t>
            </w:r>
          </w:p>
        </w:tc>
        <w:tc>
          <w:tcPr>
            <w:tcW w:w="1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87"/>
              </w:rPr>
              <w:t>9 to 15</w:t>
            </w: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5"/>
                <w:szCs w:val="15"/>
                <w:color w:val="auto"/>
              </w:rPr>
              <w:t>2,579</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(1,246)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5"/>
                <w:szCs w:val="15"/>
                <w:color w:val="auto"/>
              </w:rPr>
              <w:t>1,333</w:t>
            </w:r>
          </w:p>
        </w:tc>
      </w:tr>
      <w:tr>
        <w:trPr>
          <w:trHeight w:val="198"/>
        </w:trPr>
        <w:tc>
          <w:tcPr>
            <w:tcW w:w="5160" w:type="dxa"/>
            <w:vAlign w:val="bottom"/>
          </w:tcPr>
          <w:p>
            <w:pPr>
              <w:ind w:left="40"/>
              <w:spacing w:after="0"/>
              <w:rPr>
                <w:sz w:val="20"/>
                <w:szCs w:val="20"/>
                <w:color w:val="auto"/>
              </w:rPr>
            </w:pPr>
            <w:r>
              <w:rPr>
                <w:rFonts w:ascii="Arial" w:cs="Arial" w:eastAsia="Arial" w:hAnsi="Arial"/>
                <w:sz w:val="15"/>
                <w:szCs w:val="15"/>
                <w:color w:val="auto"/>
              </w:rPr>
              <w:t>Customer-based</w:t>
            </w:r>
          </w:p>
        </w:tc>
        <w:tc>
          <w:tcPr>
            <w:tcW w:w="1620" w:type="dxa"/>
            <w:vAlign w:val="bottom"/>
            <w:gridSpan w:val="2"/>
          </w:tcPr>
          <w:p>
            <w:pPr>
              <w:jc w:val="center"/>
              <w:ind w:right="100"/>
              <w:spacing w:after="0"/>
              <w:rPr>
                <w:sz w:val="20"/>
                <w:szCs w:val="20"/>
                <w:color w:val="auto"/>
              </w:rPr>
            </w:pPr>
            <w:r>
              <w:rPr>
                <w:rFonts w:ascii="Arial" w:cs="Arial" w:eastAsia="Arial" w:hAnsi="Arial"/>
                <w:sz w:val="15"/>
                <w:szCs w:val="15"/>
                <w:color w:val="auto"/>
                <w:w w:val="88"/>
              </w:rPr>
              <w:t>1.5 to 15</w:t>
            </w:r>
          </w:p>
        </w:tc>
        <w:tc>
          <w:tcPr>
            <w:tcW w:w="240" w:type="dxa"/>
            <w:vAlign w:val="bottom"/>
          </w:tcPr>
          <w:p>
            <w:pPr>
              <w:spacing w:after="0"/>
              <w:rPr>
                <w:sz w:val="17"/>
                <w:szCs w:val="17"/>
                <w:color w:val="auto"/>
              </w:rPr>
            </w:pPr>
          </w:p>
        </w:tc>
        <w:tc>
          <w:tcPr>
            <w:tcW w:w="1260" w:type="dxa"/>
            <w:vAlign w:val="bottom"/>
          </w:tcPr>
          <w:p>
            <w:pPr>
              <w:jc w:val="right"/>
              <w:ind w:right="31"/>
              <w:spacing w:after="0"/>
              <w:rPr>
                <w:sz w:val="20"/>
                <w:szCs w:val="20"/>
                <w:color w:val="auto"/>
              </w:rPr>
            </w:pPr>
            <w:r>
              <w:rPr>
                <w:rFonts w:ascii="Arial" w:cs="Arial" w:eastAsia="Arial" w:hAnsi="Arial"/>
                <w:sz w:val="15"/>
                <w:szCs w:val="15"/>
                <w:color w:val="auto"/>
              </w:rPr>
              <w:t>28,179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(9,655)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51"/>
              <w:spacing w:after="0"/>
              <w:rPr>
                <w:sz w:val="20"/>
                <w:szCs w:val="20"/>
                <w:color w:val="auto"/>
              </w:rPr>
            </w:pPr>
            <w:r>
              <w:rPr>
                <w:rFonts w:ascii="Arial" w:cs="Arial" w:eastAsia="Arial" w:hAnsi="Arial"/>
                <w:sz w:val="15"/>
                <w:szCs w:val="15"/>
                <w:color w:val="auto"/>
              </w:rPr>
              <w:t>18,524</w:t>
            </w:r>
          </w:p>
        </w:tc>
      </w:tr>
      <w:tr>
        <w:trPr>
          <w:trHeight w:val="22"/>
        </w:trPr>
        <w:tc>
          <w:tcPr>
            <w:tcW w:w="51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0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Non-compete agreements</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0"/>
              </w:rPr>
              <w:t>4 to 5</w:t>
            </w: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5"/>
                <w:szCs w:val="15"/>
                <w:color w:val="auto"/>
              </w:rPr>
              <w:t>1,453</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(1,102)</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5"/>
                <w:szCs w:val="15"/>
                <w:color w:val="auto"/>
              </w:rPr>
              <w:t>351</w:t>
            </w:r>
          </w:p>
        </w:tc>
      </w:tr>
      <w:tr>
        <w:trPr>
          <w:trHeight w:val="198"/>
        </w:trPr>
        <w:tc>
          <w:tcPr>
            <w:tcW w:w="5160" w:type="dxa"/>
            <w:vAlign w:val="bottom"/>
          </w:tcPr>
          <w:p>
            <w:pPr>
              <w:ind w:left="40"/>
              <w:spacing w:after="0"/>
              <w:rPr>
                <w:sz w:val="20"/>
                <w:szCs w:val="20"/>
                <w:color w:val="auto"/>
              </w:rPr>
            </w:pPr>
            <w:r>
              <w:rPr>
                <w:rFonts w:ascii="Arial" w:cs="Arial" w:eastAsia="Arial" w:hAnsi="Arial"/>
                <w:sz w:val="15"/>
                <w:szCs w:val="15"/>
                <w:color w:val="auto"/>
              </w:rPr>
              <w:t>Trade names</w:t>
            </w:r>
          </w:p>
        </w:tc>
        <w:tc>
          <w:tcPr>
            <w:tcW w:w="1620" w:type="dxa"/>
            <w:vAlign w:val="bottom"/>
            <w:gridSpan w:val="2"/>
          </w:tcPr>
          <w:p>
            <w:pPr>
              <w:jc w:val="center"/>
              <w:ind w:right="120"/>
              <w:spacing w:after="0"/>
              <w:rPr>
                <w:sz w:val="20"/>
                <w:szCs w:val="20"/>
                <w:color w:val="auto"/>
              </w:rPr>
            </w:pPr>
            <w:r>
              <w:rPr>
                <w:rFonts w:ascii="Arial" w:cs="Arial" w:eastAsia="Arial" w:hAnsi="Arial"/>
                <w:sz w:val="15"/>
                <w:szCs w:val="15"/>
                <w:color w:val="auto"/>
                <w:w w:val="90"/>
              </w:rPr>
              <w:t>3 to 5</w:t>
            </w:r>
          </w:p>
        </w:tc>
        <w:tc>
          <w:tcPr>
            <w:tcW w:w="240" w:type="dxa"/>
            <w:vAlign w:val="bottom"/>
          </w:tcPr>
          <w:p>
            <w:pPr>
              <w:spacing w:after="0"/>
              <w:rPr>
                <w:sz w:val="17"/>
                <w:szCs w:val="17"/>
                <w:color w:val="auto"/>
              </w:rPr>
            </w:pPr>
          </w:p>
        </w:tc>
        <w:tc>
          <w:tcPr>
            <w:tcW w:w="1260" w:type="dxa"/>
            <w:vAlign w:val="bottom"/>
          </w:tcPr>
          <w:p>
            <w:pPr>
              <w:jc w:val="right"/>
              <w:ind w:right="31"/>
              <w:spacing w:after="0"/>
              <w:rPr>
                <w:sz w:val="20"/>
                <w:szCs w:val="20"/>
                <w:color w:val="auto"/>
              </w:rPr>
            </w:pPr>
            <w:r>
              <w:rPr>
                <w:rFonts w:ascii="Arial" w:cs="Arial" w:eastAsia="Arial" w:hAnsi="Arial"/>
                <w:sz w:val="15"/>
                <w:szCs w:val="15"/>
                <w:color w:val="auto"/>
              </w:rPr>
              <w:t>1,615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(824)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51"/>
              <w:spacing w:after="0"/>
              <w:rPr>
                <w:sz w:val="20"/>
                <w:szCs w:val="20"/>
                <w:color w:val="auto"/>
              </w:rPr>
            </w:pPr>
            <w:r>
              <w:rPr>
                <w:rFonts w:ascii="Arial" w:cs="Arial" w:eastAsia="Arial" w:hAnsi="Arial"/>
                <w:sz w:val="15"/>
                <w:szCs w:val="15"/>
                <w:color w:val="auto"/>
              </w:rPr>
              <w:t>791</w:t>
            </w:r>
          </w:p>
        </w:tc>
      </w:tr>
      <w:tr>
        <w:trPr>
          <w:trHeight w:val="22"/>
        </w:trPr>
        <w:tc>
          <w:tcPr>
            <w:tcW w:w="51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Total amortizing intangible assets</w:t>
            </w:r>
          </w:p>
        </w:tc>
        <w:tc>
          <w:tcPr>
            <w:tcW w:w="15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5"/>
                <w:szCs w:val="15"/>
                <w:color w:val="auto"/>
              </w:rPr>
              <w:t>33,826</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(12,827)</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5"/>
                <w:szCs w:val="15"/>
                <w:color w:val="auto"/>
              </w:rPr>
              <w:t>20,999</w:t>
            </w:r>
          </w:p>
        </w:tc>
      </w:tr>
      <w:tr>
        <w:trPr>
          <w:trHeight w:val="20"/>
        </w:trPr>
        <w:tc>
          <w:tcPr>
            <w:tcW w:w="5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auto"/>
        </w:rPr>
        <w:t>The increase in the gross carrying amount of other intangible assets at March 31, 2017 compared to June 30, 2016 is primarily due to the December 12, 2016 acquisition of Houston Interests (See</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Note 2). The specifically identifiable intangible assets recognized in the Houston Interests acquisition consist of:</w:t>
      </w:r>
    </w:p>
    <w:p>
      <w:pPr>
        <w:spacing w:after="0" w:line="126" w:lineRule="exact"/>
        <w:rPr>
          <w:sz w:val="20"/>
          <w:szCs w:val="20"/>
          <w:color w:val="auto"/>
        </w:rPr>
      </w:pPr>
    </w:p>
    <w:p>
      <w:pPr>
        <w:ind w:left="540" w:hanging="267"/>
        <w:spacing w:after="0"/>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customer-based intangibles with a fair value of $10.0 million and useful life of between 1 and 9 years; and</w:t>
      </w:r>
    </w:p>
    <w:p>
      <w:pPr>
        <w:spacing w:after="0" w:line="136" w:lineRule="exact"/>
        <w:rPr>
          <w:rFonts w:ascii="Arial" w:cs="Arial" w:eastAsia="Arial" w:hAnsi="Arial"/>
          <w:sz w:val="15"/>
          <w:szCs w:val="15"/>
          <w:color w:val="auto"/>
        </w:rPr>
      </w:pPr>
    </w:p>
    <w:p>
      <w:pPr>
        <w:ind w:left="540" w:hanging="267"/>
        <w:spacing w:after="0"/>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trade name with a fair value of $0.2 million and useful life of 1 year.</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Amortization expense totaled $1.6 million and $3.4 million during the three and nine months ended March 31, 2017, respectively, and $1.0 million and $2.6 million during the three and nine months ended March 31, 2016, respectively. The Company recognized $0.7 million and $0.9 million of amortization expense during the three and nine months ended March 31, 2017 for intangible assets recorded as part of the Houston Interests acquisition.</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We estimate that the remaining amortization expense related to March 31, 2017 amortizing intangible assets will be as follows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780" w:type="dxa"/>
            <w:vAlign w:val="bottom"/>
          </w:tcPr>
          <w:p>
            <w:pPr>
              <w:ind w:left="40"/>
              <w:spacing w:after="0"/>
              <w:rPr>
                <w:sz w:val="20"/>
                <w:szCs w:val="20"/>
                <w:color w:val="auto"/>
              </w:rPr>
            </w:pPr>
            <w:r>
              <w:rPr>
                <w:rFonts w:ascii="Arial" w:cs="Arial" w:eastAsia="Arial" w:hAnsi="Arial"/>
                <w:sz w:val="15"/>
                <w:szCs w:val="15"/>
                <w:b w:val="1"/>
                <w:bCs w:val="1"/>
                <w:color w:val="auto"/>
              </w:rPr>
              <w:t>Period ending:</w:t>
            </w:r>
          </w:p>
        </w:tc>
        <w:tc>
          <w:tcPr>
            <w:tcW w:w="4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7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Remainder of Fiscal 2017</w:t>
            </w:r>
          </w:p>
        </w:tc>
        <w:tc>
          <w:tcPr>
            <w:tcW w:w="5500" w:type="dxa"/>
            <w:vAlign w:val="bottom"/>
            <w:tcBorders>
              <w:bottom w:val="single" w:sz="8" w:color="CCEEFF"/>
            </w:tcBorders>
            <w:gridSpan w:val="2"/>
            <w:shd w:val="clear" w:color="auto" w:fill="CCEEFF"/>
          </w:tcPr>
          <w:p>
            <w:pPr>
              <w:jc w:val="right"/>
              <w:ind w:right="587"/>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1,543</w:t>
            </w:r>
          </w:p>
        </w:tc>
        <w:tc>
          <w:tcPr>
            <w:tcW w:w="0" w:type="dxa"/>
            <w:vAlign w:val="bottom"/>
          </w:tcPr>
          <w:p>
            <w:pPr>
              <w:spacing w:after="0"/>
              <w:rPr>
                <w:sz w:val="1"/>
                <w:szCs w:val="1"/>
                <w:color w:val="auto"/>
              </w:rPr>
            </w:pPr>
          </w:p>
        </w:tc>
      </w:tr>
      <w:tr>
        <w:trPr>
          <w:trHeight w:val="198"/>
        </w:trPr>
        <w:tc>
          <w:tcPr>
            <w:tcW w:w="4780" w:type="dxa"/>
            <w:vAlign w:val="bottom"/>
          </w:tcPr>
          <w:p>
            <w:pPr>
              <w:ind w:left="40"/>
              <w:spacing w:after="0"/>
              <w:rPr>
                <w:sz w:val="20"/>
                <w:szCs w:val="20"/>
                <w:color w:val="auto"/>
              </w:rPr>
            </w:pPr>
            <w:r>
              <w:rPr>
                <w:rFonts w:ascii="Arial" w:cs="Arial" w:eastAsia="Arial" w:hAnsi="Arial"/>
                <w:sz w:val="15"/>
                <w:szCs w:val="15"/>
                <w:color w:val="auto"/>
              </w:rPr>
              <w:t>Fiscal 2018</w:t>
            </w:r>
          </w:p>
        </w:tc>
        <w:tc>
          <w:tcPr>
            <w:tcW w:w="4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Pr>
          <w:p>
            <w:pPr>
              <w:jc w:val="right"/>
              <w:ind w:right="47"/>
              <w:spacing w:after="0"/>
              <w:rPr>
                <w:sz w:val="20"/>
                <w:szCs w:val="20"/>
                <w:color w:val="auto"/>
              </w:rPr>
            </w:pPr>
            <w:r>
              <w:rPr>
                <w:rFonts w:ascii="Arial" w:cs="Arial" w:eastAsia="Arial" w:hAnsi="Arial"/>
                <w:sz w:val="15"/>
                <w:szCs w:val="15"/>
                <w:color w:val="auto"/>
              </w:rPr>
              <w:t>4,728</w:t>
            </w:r>
          </w:p>
        </w:tc>
        <w:tc>
          <w:tcPr>
            <w:tcW w:w="0" w:type="dxa"/>
            <w:vAlign w:val="bottom"/>
          </w:tcPr>
          <w:p>
            <w:pPr>
              <w:spacing w:after="0"/>
              <w:rPr>
                <w:sz w:val="1"/>
                <w:szCs w:val="1"/>
                <w:color w:val="auto"/>
              </w:rPr>
            </w:pPr>
          </w:p>
        </w:tc>
      </w:tr>
      <w:tr>
        <w:trPr>
          <w:trHeight w:val="22"/>
        </w:trPr>
        <w:tc>
          <w:tcPr>
            <w:tcW w:w="47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Fiscal 2019</w:t>
            </w:r>
          </w:p>
        </w:tc>
        <w:tc>
          <w:tcPr>
            <w:tcW w:w="47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3,487</w:t>
            </w:r>
          </w:p>
        </w:tc>
        <w:tc>
          <w:tcPr>
            <w:tcW w:w="0" w:type="dxa"/>
            <w:vAlign w:val="bottom"/>
          </w:tcPr>
          <w:p>
            <w:pPr>
              <w:spacing w:after="0"/>
              <w:rPr>
                <w:sz w:val="1"/>
                <w:szCs w:val="1"/>
                <w:color w:val="auto"/>
              </w:rPr>
            </w:pPr>
          </w:p>
        </w:tc>
      </w:tr>
      <w:tr>
        <w:trPr>
          <w:trHeight w:val="198"/>
        </w:trPr>
        <w:tc>
          <w:tcPr>
            <w:tcW w:w="4780" w:type="dxa"/>
            <w:vAlign w:val="bottom"/>
          </w:tcPr>
          <w:p>
            <w:pPr>
              <w:ind w:left="40"/>
              <w:spacing w:after="0"/>
              <w:rPr>
                <w:sz w:val="20"/>
                <w:szCs w:val="20"/>
                <w:color w:val="auto"/>
              </w:rPr>
            </w:pPr>
            <w:r>
              <w:rPr>
                <w:rFonts w:ascii="Arial" w:cs="Arial" w:eastAsia="Arial" w:hAnsi="Arial"/>
                <w:sz w:val="15"/>
                <w:szCs w:val="15"/>
                <w:color w:val="auto"/>
              </w:rPr>
              <w:t>Fiscal 2020</w:t>
            </w:r>
          </w:p>
        </w:tc>
        <w:tc>
          <w:tcPr>
            <w:tcW w:w="4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Pr>
          <w:p>
            <w:pPr>
              <w:jc w:val="right"/>
              <w:ind w:right="47"/>
              <w:spacing w:after="0"/>
              <w:rPr>
                <w:sz w:val="20"/>
                <w:szCs w:val="20"/>
                <w:color w:val="auto"/>
              </w:rPr>
            </w:pPr>
            <w:r>
              <w:rPr>
                <w:rFonts w:ascii="Arial" w:cs="Arial" w:eastAsia="Arial" w:hAnsi="Arial"/>
                <w:sz w:val="15"/>
                <w:szCs w:val="15"/>
                <w:color w:val="auto"/>
              </w:rPr>
              <w:t>3,477</w:t>
            </w:r>
          </w:p>
        </w:tc>
        <w:tc>
          <w:tcPr>
            <w:tcW w:w="0" w:type="dxa"/>
            <w:vAlign w:val="bottom"/>
          </w:tcPr>
          <w:p>
            <w:pPr>
              <w:spacing w:after="0"/>
              <w:rPr>
                <w:sz w:val="1"/>
                <w:szCs w:val="1"/>
                <w:color w:val="auto"/>
              </w:rPr>
            </w:pPr>
          </w:p>
        </w:tc>
      </w:tr>
      <w:tr>
        <w:trPr>
          <w:trHeight w:val="22"/>
        </w:trPr>
        <w:tc>
          <w:tcPr>
            <w:tcW w:w="47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Fiscal 2021</w:t>
            </w:r>
          </w:p>
        </w:tc>
        <w:tc>
          <w:tcPr>
            <w:tcW w:w="47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3,459</w:t>
            </w:r>
          </w:p>
        </w:tc>
        <w:tc>
          <w:tcPr>
            <w:tcW w:w="0" w:type="dxa"/>
            <w:vAlign w:val="bottom"/>
          </w:tcPr>
          <w:p>
            <w:pPr>
              <w:spacing w:after="0"/>
              <w:rPr>
                <w:sz w:val="1"/>
                <w:szCs w:val="1"/>
                <w:color w:val="auto"/>
              </w:rPr>
            </w:pPr>
          </w:p>
        </w:tc>
      </w:tr>
      <w:tr>
        <w:trPr>
          <w:trHeight w:val="198"/>
        </w:trPr>
        <w:tc>
          <w:tcPr>
            <w:tcW w:w="4780" w:type="dxa"/>
            <w:vAlign w:val="bottom"/>
          </w:tcPr>
          <w:p>
            <w:pPr>
              <w:ind w:left="40"/>
              <w:spacing w:after="0"/>
              <w:rPr>
                <w:sz w:val="20"/>
                <w:szCs w:val="20"/>
                <w:color w:val="auto"/>
              </w:rPr>
            </w:pPr>
            <w:r>
              <w:rPr>
                <w:rFonts w:ascii="Arial" w:cs="Arial" w:eastAsia="Arial" w:hAnsi="Arial"/>
                <w:sz w:val="15"/>
                <w:szCs w:val="15"/>
                <w:color w:val="auto"/>
              </w:rPr>
              <w:t>Fiscal 2022</w:t>
            </w:r>
          </w:p>
        </w:tc>
        <w:tc>
          <w:tcPr>
            <w:tcW w:w="4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Pr>
          <w:p>
            <w:pPr>
              <w:jc w:val="right"/>
              <w:ind w:right="47"/>
              <w:spacing w:after="0"/>
              <w:rPr>
                <w:sz w:val="20"/>
                <w:szCs w:val="20"/>
                <w:color w:val="auto"/>
              </w:rPr>
            </w:pPr>
            <w:r>
              <w:rPr>
                <w:rFonts w:ascii="Arial" w:cs="Arial" w:eastAsia="Arial" w:hAnsi="Arial"/>
                <w:sz w:val="15"/>
                <w:szCs w:val="15"/>
                <w:color w:val="auto"/>
              </w:rPr>
              <w:t>2,616</w:t>
            </w:r>
          </w:p>
        </w:tc>
        <w:tc>
          <w:tcPr>
            <w:tcW w:w="0" w:type="dxa"/>
            <w:vAlign w:val="bottom"/>
          </w:tcPr>
          <w:p>
            <w:pPr>
              <w:spacing w:after="0"/>
              <w:rPr>
                <w:sz w:val="1"/>
                <w:szCs w:val="1"/>
                <w:color w:val="auto"/>
              </w:rPr>
            </w:pPr>
          </w:p>
        </w:tc>
      </w:tr>
      <w:tr>
        <w:trPr>
          <w:trHeight w:val="22"/>
        </w:trPr>
        <w:tc>
          <w:tcPr>
            <w:tcW w:w="47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Thereafter</w:t>
            </w:r>
          </w:p>
        </w:tc>
        <w:tc>
          <w:tcPr>
            <w:tcW w:w="47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8,471</w:t>
            </w:r>
          </w:p>
        </w:tc>
        <w:tc>
          <w:tcPr>
            <w:tcW w:w="0" w:type="dxa"/>
            <w:vAlign w:val="bottom"/>
          </w:tcPr>
          <w:p>
            <w:pPr>
              <w:spacing w:after="0"/>
              <w:rPr>
                <w:sz w:val="1"/>
                <w:szCs w:val="1"/>
                <w:color w:val="auto"/>
              </w:rPr>
            </w:pPr>
          </w:p>
        </w:tc>
      </w:tr>
      <w:tr>
        <w:trPr>
          <w:trHeight w:val="202"/>
        </w:trPr>
        <w:tc>
          <w:tcPr>
            <w:tcW w:w="4780" w:type="dxa"/>
            <w:vAlign w:val="bottom"/>
          </w:tcPr>
          <w:p>
            <w:pPr>
              <w:ind w:left="40"/>
              <w:spacing w:after="0"/>
              <w:rPr>
                <w:sz w:val="20"/>
                <w:szCs w:val="20"/>
                <w:color w:val="auto"/>
              </w:rPr>
            </w:pPr>
            <w:r>
              <w:rPr>
                <w:rFonts w:ascii="Arial" w:cs="Arial" w:eastAsia="Arial" w:hAnsi="Arial"/>
                <w:sz w:val="15"/>
                <w:szCs w:val="15"/>
                <w:color w:val="auto"/>
              </w:rPr>
              <w:t>Total estimated remaining amortization expense at March 31, 2017</w:t>
            </w:r>
          </w:p>
        </w:tc>
        <w:tc>
          <w:tcPr>
            <w:tcW w:w="474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587"/>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rPr>
              <w:t>27,781</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4740" w:type="dxa"/>
            <w:vAlign w:val="bottom"/>
            <w:vMerge w:val="restart"/>
          </w:tcPr>
          <w:p>
            <w:pPr>
              <w:jc w:val="right"/>
              <w:ind w:right="3567"/>
              <w:spacing w:after="0"/>
              <w:rPr>
                <w:sz w:val="20"/>
                <w:szCs w:val="20"/>
                <w:color w:val="auto"/>
              </w:rPr>
            </w:pPr>
            <w:r>
              <w:rPr>
                <w:rFonts w:ascii="Arial" w:cs="Arial" w:eastAsia="Arial" w:hAnsi="Arial"/>
                <w:sz w:val="15"/>
                <w:szCs w:val="15"/>
                <w:color w:val="auto"/>
              </w:rPr>
              <w:t>- 16-</w:t>
            </w:r>
          </w:p>
        </w:tc>
        <w:tc>
          <w:tcPr>
            <w:tcW w:w="7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78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9" w:right="219" w:bottom="1440" w:gutter="0" w:footer="0" w:header="0"/>
        </w:sectPr>
      </w:pPr>
    </w:p>
    <w:bookmarkStart w:id="18" w:name="page19"/>
    <w:bookmarkEnd w:id="18"/>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Matrix Service Company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5 – Debt</w:t>
      </w:r>
    </w:p>
    <w:p>
      <w:pPr>
        <w:spacing w:after="0" w:line="140" w:lineRule="exact"/>
        <w:rPr>
          <w:sz w:val="20"/>
          <w:szCs w:val="20"/>
          <w:color w:val="auto"/>
        </w:rPr>
      </w:pPr>
    </w:p>
    <w:p>
      <w:pPr>
        <w:jc w:val="both"/>
        <w:spacing w:after="0" w:line="313" w:lineRule="auto"/>
        <w:rPr>
          <w:sz w:val="20"/>
          <w:szCs w:val="20"/>
          <w:color w:val="auto"/>
        </w:rPr>
      </w:pPr>
      <w:r>
        <w:rPr>
          <w:rFonts w:ascii="Arial" w:cs="Arial" w:eastAsia="Arial" w:hAnsi="Arial"/>
          <w:sz w:val="13"/>
          <w:szCs w:val="13"/>
          <w:color w:val="auto"/>
        </w:rPr>
        <w:t>On February 8, 2017, the Company entered into the Fourth Amended and Restated Credit Agreement (the "Credit Agreement"), by and among the Company and certain foreign subsidiaries, as Borrowers, various subsidiaries of the Company, as Guarantors, JPMorgan Chase Bank, N.A., as Administrative Agent, Sole Lead Arranger and Sole Bookrunner, and the other Lenders party thereto, which replaced the Third Amended and Restated Credit Agreement dated as of November 7, 2011, as previously amended (the "Prior Credit Agreement").</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Credit Agreement provides for a five-year senior secured revolving credit facility of $300.0 million that expires February 8, 2022, which replaces the $250.0 million senior secured revolving credit facility under the Prior Credit Agreement. The new credit facility may be used for working capital, acquisitions, capital expenditures, issuances of letters of credit and other lawful purposes.</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color w:val="auto"/>
        </w:rPr>
        <w:t>The Credit Agreement includes the following covenants and borrowing limitations:</w:t>
      </w:r>
    </w:p>
    <w:p>
      <w:pPr>
        <w:spacing w:after="0" w:line="136" w:lineRule="exact"/>
        <w:rPr>
          <w:sz w:val="20"/>
          <w:szCs w:val="20"/>
          <w:color w:val="auto"/>
        </w:rPr>
      </w:pPr>
    </w:p>
    <w:p>
      <w:pPr>
        <w:ind w:left="1060" w:hanging="391"/>
        <w:spacing w:after="0"/>
        <w:tabs>
          <w:tab w:leader="none" w:pos="1060" w:val="left"/>
        </w:tabs>
        <w:numPr>
          <w:ilvl w:val="0"/>
          <w:numId w:val="6"/>
        </w:numPr>
        <w:rPr>
          <w:rFonts w:ascii="Arial" w:cs="Arial" w:eastAsia="Arial" w:hAnsi="Arial"/>
          <w:sz w:val="15"/>
          <w:szCs w:val="15"/>
          <w:color w:val="auto"/>
        </w:rPr>
      </w:pPr>
      <w:r>
        <w:rPr>
          <w:rFonts w:ascii="Arial" w:cs="Arial" w:eastAsia="Arial" w:hAnsi="Arial"/>
          <w:sz w:val="15"/>
          <w:szCs w:val="15"/>
          <w:color w:val="auto"/>
        </w:rPr>
        <w:t>A Leverage Ratio, determined as of the end of each fiscal quarter, may not exceed 3.00 to 1.00.</w:t>
      </w:r>
    </w:p>
    <w:p>
      <w:pPr>
        <w:spacing w:after="0" w:line="136" w:lineRule="exact"/>
        <w:rPr>
          <w:rFonts w:ascii="Arial" w:cs="Arial" w:eastAsia="Arial" w:hAnsi="Arial"/>
          <w:sz w:val="15"/>
          <w:szCs w:val="15"/>
          <w:color w:val="auto"/>
        </w:rPr>
      </w:pPr>
    </w:p>
    <w:p>
      <w:pPr>
        <w:ind w:left="1060" w:right="60" w:hanging="391"/>
        <w:spacing w:after="0" w:line="265" w:lineRule="auto"/>
        <w:tabs>
          <w:tab w:leader="none" w:pos="1060" w:val="left"/>
        </w:tabs>
        <w:numPr>
          <w:ilvl w:val="0"/>
          <w:numId w:val="6"/>
        </w:numPr>
        <w:rPr>
          <w:rFonts w:ascii="Arial" w:cs="Arial" w:eastAsia="Arial" w:hAnsi="Arial"/>
          <w:sz w:val="15"/>
          <w:szCs w:val="15"/>
          <w:color w:val="auto"/>
        </w:rPr>
      </w:pPr>
      <w:r>
        <w:rPr>
          <w:rFonts w:ascii="Arial" w:cs="Arial" w:eastAsia="Arial" w:hAnsi="Arial"/>
          <w:sz w:val="15"/>
          <w:szCs w:val="15"/>
          <w:color w:val="auto"/>
        </w:rPr>
        <w:t>As with the Prior Credit Agreement, we are required to maintain a Fixed Charge Coverage Ratio, determined as of the end of each fiscal quarter, greater than or equal to 1.25 to 1.00.</w:t>
      </w:r>
    </w:p>
    <w:p>
      <w:pPr>
        <w:spacing w:after="0" w:line="104" w:lineRule="exact"/>
        <w:rPr>
          <w:rFonts w:ascii="Arial" w:cs="Arial" w:eastAsia="Arial" w:hAnsi="Arial"/>
          <w:sz w:val="15"/>
          <w:szCs w:val="15"/>
          <w:color w:val="auto"/>
        </w:rPr>
      </w:pPr>
    </w:p>
    <w:p>
      <w:pPr>
        <w:ind w:left="1060" w:right="500" w:hanging="391"/>
        <w:spacing w:after="0" w:line="265" w:lineRule="auto"/>
        <w:tabs>
          <w:tab w:leader="none" w:pos="1060" w:val="left"/>
        </w:tabs>
        <w:numPr>
          <w:ilvl w:val="0"/>
          <w:numId w:val="6"/>
        </w:numPr>
        <w:rPr>
          <w:rFonts w:ascii="Arial" w:cs="Arial" w:eastAsia="Arial" w:hAnsi="Arial"/>
          <w:sz w:val="15"/>
          <w:szCs w:val="15"/>
          <w:color w:val="auto"/>
        </w:rPr>
      </w:pPr>
      <w:r>
        <w:rPr>
          <w:rFonts w:ascii="Arial" w:cs="Arial" w:eastAsia="Arial" w:hAnsi="Arial"/>
          <w:sz w:val="15"/>
          <w:szCs w:val="15"/>
          <w:color w:val="auto"/>
        </w:rPr>
        <w:t>Asset dispositions (other than dispositions in which all of the net cash proceeds therefrom are reinvested into the Company and dispositions of inventory and obsolete or unneeded equipment in the ordinary course of business) are limited to $20.0 million per 12-month period.</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3"/>
          <w:szCs w:val="13"/>
          <w:color w:val="auto"/>
        </w:rPr>
        <w:t>The new credit facility includes a sub-facility for revolving loans denominated in Australian Dollars, Canadian Dollars, Euros and Pounds Sterling in an aggregate amount not to exceed the U.S.</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5"/>
          <w:szCs w:val="15"/>
          <w:color w:val="auto"/>
        </w:rPr>
        <w:t>Dollar equivalent of $75.0 million and a $200.0 million sublimit for letters of credit.</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5"/>
          <w:szCs w:val="15"/>
          <w:color w:val="auto"/>
        </w:rPr>
        <w:t>Each revolving borrowing under the Credit Agreement will bear interest at a rate per annum equal to:</w:t>
      </w:r>
    </w:p>
    <w:p>
      <w:pPr>
        <w:spacing w:after="0" w:line="136" w:lineRule="exact"/>
        <w:rPr>
          <w:sz w:val="20"/>
          <w:szCs w:val="20"/>
          <w:color w:val="auto"/>
        </w:rPr>
      </w:pPr>
    </w:p>
    <w:p>
      <w:pPr>
        <w:ind w:left="1060" w:hanging="391"/>
        <w:spacing w:after="0"/>
        <w:tabs>
          <w:tab w:leader="none" w:pos="106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ABR or the Adjusted LIBO Rate, in the case of revolving loans denominated in U.S. Dollars;</w:t>
      </w:r>
    </w:p>
    <w:p>
      <w:pPr>
        <w:spacing w:after="0" w:line="136" w:lineRule="exact"/>
        <w:rPr>
          <w:rFonts w:ascii="Arial" w:cs="Arial" w:eastAsia="Arial" w:hAnsi="Arial"/>
          <w:sz w:val="15"/>
          <w:szCs w:val="15"/>
          <w:color w:val="auto"/>
        </w:rPr>
      </w:pPr>
    </w:p>
    <w:p>
      <w:pPr>
        <w:ind w:left="1060" w:hanging="391"/>
        <w:spacing w:after="0"/>
        <w:tabs>
          <w:tab w:leader="none" w:pos="106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Canadian Prime Rate or the CDOR rate, in the case of revolving loans denominated in Canadian Dollars;</w:t>
      </w:r>
    </w:p>
    <w:p>
      <w:pPr>
        <w:spacing w:after="0" w:line="136" w:lineRule="exact"/>
        <w:rPr>
          <w:rFonts w:ascii="Arial" w:cs="Arial" w:eastAsia="Arial" w:hAnsi="Arial"/>
          <w:sz w:val="15"/>
          <w:szCs w:val="15"/>
          <w:color w:val="auto"/>
        </w:rPr>
      </w:pPr>
    </w:p>
    <w:p>
      <w:pPr>
        <w:ind w:left="1060" w:hanging="391"/>
        <w:spacing w:after="0"/>
        <w:tabs>
          <w:tab w:leader="none" w:pos="106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Adjusted LIBO Rate, in the case of revolving loans denominated in Pounds Sterling or Australian Dollars;</w:t>
      </w:r>
    </w:p>
    <w:p>
      <w:pPr>
        <w:spacing w:after="0" w:line="136" w:lineRule="exact"/>
        <w:rPr>
          <w:rFonts w:ascii="Arial" w:cs="Arial" w:eastAsia="Arial" w:hAnsi="Arial"/>
          <w:sz w:val="15"/>
          <w:szCs w:val="15"/>
          <w:color w:val="auto"/>
        </w:rPr>
      </w:pPr>
    </w:p>
    <w:p>
      <w:pPr>
        <w:ind w:left="1060" w:hanging="391"/>
        <w:spacing w:after="0"/>
        <w:tabs>
          <w:tab w:leader="none" w:pos="106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EURIBO Rate, in the case of revolving loans denominated in Euros,</w:t>
      </w:r>
    </w:p>
    <w:p>
      <w:pPr>
        <w:spacing w:after="0" w:line="180" w:lineRule="exact"/>
        <w:rPr>
          <w:sz w:val="20"/>
          <w:szCs w:val="20"/>
          <w:color w:val="auto"/>
        </w:rPr>
      </w:pPr>
    </w:p>
    <w:p>
      <w:pPr>
        <w:jc w:val="both"/>
        <w:spacing w:after="0" w:line="343" w:lineRule="auto"/>
        <w:rPr>
          <w:sz w:val="20"/>
          <w:szCs w:val="20"/>
          <w:color w:val="auto"/>
        </w:rPr>
      </w:pPr>
      <w:r>
        <w:rPr>
          <w:rFonts w:ascii="Arial" w:cs="Arial" w:eastAsia="Arial" w:hAnsi="Arial"/>
          <w:sz w:val="13"/>
          <w:szCs w:val="13"/>
          <w:color w:val="auto"/>
        </w:rPr>
        <w:t>in each case, plus the Applicable Margin, which is based on the Company's Leverage Ratio. The Applicable Margin on ABR loans ranges between 0.625% and 1.625%. The Applicable Margin for Adjusted LIBO, EURIBO and CDOR loans ranges between 1.625% and 2.625% and the Applicable Margin for Canadian Prime Rate loans ranges between 2.125% and 3.125%.</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The unused credit facility fee is between 0.25% and 0.45% based on the Leverage Ratio.</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Credit Agreement includes a Senior Leverage Ratio covenant, which provides that Consolidated Funded Indebtedness, as of the end of any fiscal quarter, may not exceed 3.0 times Consolidated EBITDA, as defined in the Credit Agreement, over the previous four quarters. For the four quarters ended March 31, 2017, Consolidated EBITDA was $55.4 million. Consolidated Funded Indebtedness at March 31, 2017 was $51.7 million.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- 17-</w:t>
      </w:r>
    </w:p>
    <w:p>
      <w:pPr>
        <w:sectPr>
          <w:pgSz w:w="11900" w:h="16838" w:orient="portrait"/>
          <w:cols w:equalWidth="0" w:num="1">
            <w:col w:w="11460"/>
          </w:cols>
          <w:pgMar w:left="220" w:top="129" w:right="219" w:bottom="1440" w:gutter="0" w:footer="0" w:header="0"/>
        </w:sectPr>
      </w:pPr>
    </w:p>
    <w:bookmarkStart w:id="19" w:name="page20"/>
    <w:bookmarkEnd w:id="19"/>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Matrix Service Company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auto"/>
        </w:rPr>
        <w:t>Availability under the senior revolving credit facility at March 31, 2017 was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2"/>
          </w:tcPr>
          <w:p>
            <w:pPr>
              <w:ind w:left="220"/>
              <w:spacing w:after="0"/>
              <w:rPr>
                <w:sz w:val="20"/>
                <w:szCs w:val="20"/>
                <w:color w:val="auto"/>
              </w:rPr>
            </w:pPr>
            <w:r>
              <w:rPr>
                <w:rFonts w:ascii="Arial" w:cs="Arial" w:eastAsia="Arial" w:hAnsi="Arial"/>
                <w:sz w:val="12"/>
                <w:szCs w:val="12"/>
                <w:b w:val="1"/>
                <w:bCs w:val="1"/>
                <w:color w:val="auto"/>
              </w:rPr>
              <w:t>March 31,</w:t>
            </w:r>
          </w:p>
        </w:tc>
        <w:tc>
          <w:tcPr>
            <w:tcW w:w="420" w:type="dxa"/>
            <w:vAlign w:val="bottom"/>
          </w:tcPr>
          <w:p>
            <w:pPr>
              <w:spacing w:after="0"/>
              <w:rPr>
                <w:sz w:val="12"/>
                <w:szCs w:val="12"/>
                <w:color w:val="auto"/>
              </w:rPr>
            </w:pPr>
          </w:p>
        </w:tc>
        <w:tc>
          <w:tcPr>
            <w:tcW w:w="1160" w:type="dxa"/>
            <w:vAlign w:val="bottom"/>
          </w:tcPr>
          <w:p>
            <w:pPr>
              <w:jc w:val="right"/>
              <w:ind w:right="530"/>
              <w:spacing w:after="0"/>
              <w:rPr>
                <w:sz w:val="20"/>
                <w:szCs w:val="20"/>
                <w:color w:val="auto"/>
              </w:rPr>
            </w:pPr>
            <w:r>
              <w:rPr>
                <w:rFonts w:ascii="Arial" w:cs="Arial" w:eastAsia="Arial" w:hAnsi="Arial"/>
                <w:sz w:val="12"/>
                <w:szCs w:val="12"/>
                <w:b w:val="1"/>
                <w:bCs w:val="1"/>
                <w:color w:val="auto"/>
              </w:rPr>
              <w:t>June 30,</w:t>
            </w:r>
          </w:p>
        </w:tc>
      </w:tr>
      <w:tr>
        <w:trPr>
          <w:trHeight w:val="156"/>
        </w:trPr>
        <w:tc>
          <w:tcPr>
            <w:tcW w:w="81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10"/>
              <w:spacing w:after="0"/>
              <w:rPr>
                <w:sz w:val="20"/>
                <w:szCs w:val="20"/>
                <w:color w:val="auto"/>
              </w:rPr>
            </w:pPr>
            <w:r>
              <w:rPr>
                <w:rFonts w:ascii="Arial" w:cs="Arial" w:eastAsia="Arial" w:hAnsi="Arial"/>
                <w:sz w:val="12"/>
                <w:szCs w:val="12"/>
                <w:b w:val="1"/>
                <w:bCs w:val="1"/>
                <w:color w:val="auto"/>
              </w:rPr>
              <w:t>2016</w:t>
            </w:r>
          </w:p>
        </w:tc>
      </w:tr>
      <w:tr>
        <w:trPr>
          <w:trHeight w:val="156"/>
        </w:trPr>
        <w:tc>
          <w:tcPr>
            <w:tcW w:w="8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40" w:type="dxa"/>
            <w:vAlign w:val="bottom"/>
            <w:gridSpan w:val="3"/>
          </w:tcPr>
          <w:p>
            <w:pPr>
              <w:jc w:val="right"/>
              <w:ind w:right="87"/>
              <w:spacing w:after="0"/>
              <w:rPr>
                <w:sz w:val="20"/>
                <w:szCs w:val="20"/>
                <w:color w:val="auto"/>
              </w:rPr>
            </w:pPr>
            <w:r>
              <w:rPr>
                <w:rFonts w:ascii="Arial" w:cs="Arial" w:eastAsia="Arial" w:hAnsi="Arial"/>
                <w:sz w:val="12"/>
                <w:szCs w:val="12"/>
                <w:color w:val="auto"/>
              </w:rPr>
              <w:t>(In thousands)</w:t>
            </w:r>
          </w:p>
        </w:tc>
        <w:tc>
          <w:tcPr>
            <w:tcW w:w="1160" w:type="dxa"/>
            <w:vAlign w:val="bottom"/>
          </w:tcPr>
          <w:p>
            <w:pPr>
              <w:spacing w:after="0"/>
              <w:rPr>
                <w:sz w:val="13"/>
                <w:szCs w:val="13"/>
                <w:color w:val="auto"/>
              </w:rPr>
            </w:pPr>
          </w:p>
        </w:tc>
      </w:tr>
      <w:tr>
        <w:trPr>
          <w:trHeight w:val="205"/>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Senior revolving credit facility</w:t>
            </w:r>
          </w:p>
        </w:tc>
        <w:tc>
          <w:tcPr>
            <w:tcW w:w="320" w:type="dxa"/>
            <w:vAlign w:val="bottom"/>
            <w:tcBorders>
              <w:bottom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5"/>
                <w:szCs w:val="15"/>
                <w:color w:val="auto"/>
              </w:rPr>
              <w:t>300,000</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200,000</w:t>
            </w:r>
          </w:p>
        </w:tc>
      </w:tr>
      <w:tr>
        <w:trPr>
          <w:trHeight w:val="198"/>
        </w:trPr>
        <w:tc>
          <w:tcPr>
            <w:tcW w:w="8140" w:type="dxa"/>
            <w:vAlign w:val="bottom"/>
          </w:tcPr>
          <w:p>
            <w:pPr>
              <w:ind w:left="40"/>
              <w:spacing w:after="0"/>
              <w:rPr>
                <w:sz w:val="20"/>
                <w:szCs w:val="20"/>
                <w:color w:val="auto"/>
              </w:rPr>
            </w:pPr>
            <w:r>
              <w:rPr>
                <w:rFonts w:ascii="Arial" w:cs="Arial" w:eastAsia="Arial" w:hAnsi="Arial"/>
                <w:sz w:val="15"/>
                <w:szCs w:val="15"/>
                <w:color w:val="auto"/>
              </w:rPr>
              <w:t>Capacity constraint due to the Senior Leverage Ratio</w:t>
            </w:r>
          </w:p>
        </w:tc>
        <w:tc>
          <w:tcPr>
            <w:tcW w:w="320" w:type="dxa"/>
            <w:vAlign w:val="bottom"/>
          </w:tcPr>
          <w:p>
            <w:pPr>
              <w:spacing w:after="0"/>
              <w:rPr>
                <w:sz w:val="17"/>
                <w:szCs w:val="17"/>
                <w:color w:val="auto"/>
              </w:rPr>
            </w:pPr>
          </w:p>
        </w:tc>
        <w:tc>
          <w:tcPr>
            <w:tcW w:w="1300" w:type="dxa"/>
            <w:vAlign w:val="bottom"/>
          </w:tcPr>
          <w:p>
            <w:pPr>
              <w:jc w:val="right"/>
              <w:ind w:right="51"/>
              <w:spacing w:after="0"/>
              <w:rPr>
                <w:sz w:val="20"/>
                <w:szCs w:val="20"/>
                <w:color w:val="auto"/>
              </w:rPr>
            </w:pPr>
            <w:r>
              <w:rPr>
                <w:rFonts w:ascii="Arial" w:cs="Arial" w:eastAsia="Arial" w:hAnsi="Arial"/>
                <w:sz w:val="15"/>
                <w:szCs w:val="15"/>
                <w:color w:val="auto"/>
              </w:rPr>
              <w:t>133,713</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ind w:right="50"/>
              <w:spacing w:after="0"/>
              <w:rPr>
                <w:sz w:val="20"/>
                <w:szCs w:val="20"/>
                <w:color w:val="auto"/>
              </w:rPr>
            </w:pPr>
            <w:r>
              <w:rPr>
                <w:rFonts w:ascii="Arial" w:cs="Arial" w:eastAsia="Arial" w:hAnsi="Arial"/>
                <w:sz w:val="15"/>
                <w:szCs w:val="15"/>
                <w:color w:val="auto"/>
              </w:rPr>
              <w:t>20,138</w:t>
            </w:r>
          </w:p>
        </w:tc>
      </w:tr>
      <w:tr>
        <w:trPr>
          <w:trHeight w:val="22"/>
        </w:trPr>
        <w:tc>
          <w:tcPr>
            <w:tcW w:w="8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1"/>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Capacity under the credit facility</w:t>
            </w:r>
          </w:p>
        </w:tc>
        <w:tc>
          <w:tcPr>
            <w:tcW w:w="3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5"/>
                <w:szCs w:val="15"/>
                <w:color w:val="auto"/>
              </w:rPr>
              <w:t>166,287</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179,862</w:t>
            </w:r>
          </w:p>
        </w:tc>
      </w:tr>
      <w:tr>
        <w:trPr>
          <w:trHeight w:val="198"/>
        </w:trPr>
        <w:tc>
          <w:tcPr>
            <w:tcW w:w="8140" w:type="dxa"/>
            <w:vAlign w:val="bottom"/>
          </w:tcPr>
          <w:p>
            <w:pPr>
              <w:ind w:left="40"/>
              <w:spacing w:after="0"/>
              <w:rPr>
                <w:sz w:val="20"/>
                <w:szCs w:val="20"/>
                <w:color w:val="auto"/>
              </w:rPr>
            </w:pPr>
            <w:r>
              <w:rPr>
                <w:rFonts w:ascii="Arial" w:cs="Arial" w:eastAsia="Arial" w:hAnsi="Arial"/>
                <w:sz w:val="15"/>
                <w:szCs w:val="15"/>
                <w:color w:val="auto"/>
              </w:rPr>
              <w:t>Borrowings outstanding</w:t>
            </w:r>
          </w:p>
        </w:tc>
        <w:tc>
          <w:tcPr>
            <w:tcW w:w="320" w:type="dxa"/>
            <w:vAlign w:val="bottom"/>
          </w:tcPr>
          <w:p>
            <w:pPr>
              <w:spacing w:after="0"/>
              <w:rPr>
                <w:sz w:val="17"/>
                <w:szCs w:val="17"/>
                <w:color w:val="auto"/>
              </w:rPr>
            </w:pPr>
          </w:p>
        </w:tc>
        <w:tc>
          <w:tcPr>
            <w:tcW w:w="1300" w:type="dxa"/>
            <w:vAlign w:val="bottom"/>
          </w:tcPr>
          <w:p>
            <w:pPr>
              <w:jc w:val="right"/>
              <w:ind w:right="51"/>
              <w:spacing w:after="0"/>
              <w:rPr>
                <w:sz w:val="20"/>
                <w:szCs w:val="20"/>
                <w:color w:val="auto"/>
              </w:rPr>
            </w:pPr>
            <w:r>
              <w:rPr>
                <w:rFonts w:ascii="Arial" w:cs="Arial" w:eastAsia="Arial" w:hAnsi="Arial"/>
                <w:sz w:val="15"/>
                <w:szCs w:val="15"/>
                <w:color w:val="auto"/>
              </w:rPr>
              <w:t>44,139</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ind w:right="50"/>
              <w:spacing w:after="0"/>
              <w:rPr>
                <w:sz w:val="20"/>
                <w:szCs w:val="20"/>
                <w:color w:val="auto"/>
              </w:rPr>
            </w:pPr>
            <w:r>
              <w:rPr>
                <w:rFonts w:ascii="Arial" w:cs="Arial" w:eastAsia="Arial" w:hAnsi="Arial"/>
                <w:sz w:val="15"/>
                <w:szCs w:val="15"/>
                <w:color w:val="auto"/>
              </w:rPr>
              <w:t>—</w:t>
            </w:r>
          </w:p>
        </w:tc>
      </w:tr>
      <w:tr>
        <w:trPr>
          <w:trHeight w:val="22"/>
        </w:trPr>
        <w:tc>
          <w:tcPr>
            <w:tcW w:w="8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20"/>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Letters of credit</w:t>
            </w:r>
          </w:p>
        </w:tc>
        <w:tc>
          <w:tcPr>
            <w:tcW w:w="3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5"/>
                <w:szCs w:val="15"/>
                <w:color w:val="auto"/>
              </w:rPr>
              <w:t>15,378</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20,755</w:t>
            </w:r>
          </w:p>
        </w:tc>
      </w:tr>
      <w:tr>
        <w:trPr>
          <w:trHeight w:val="206"/>
        </w:trPr>
        <w:tc>
          <w:tcPr>
            <w:tcW w:w="8140" w:type="dxa"/>
            <w:vAlign w:val="bottom"/>
          </w:tcPr>
          <w:p>
            <w:pPr>
              <w:ind w:left="40"/>
              <w:spacing w:after="0"/>
              <w:rPr>
                <w:sz w:val="20"/>
                <w:szCs w:val="20"/>
                <w:color w:val="auto"/>
              </w:rPr>
            </w:pPr>
            <w:r>
              <w:rPr>
                <w:rFonts w:ascii="Arial" w:cs="Arial" w:eastAsia="Arial" w:hAnsi="Arial"/>
                <w:sz w:val="15"/>
                <w:szCs w:val="15"/>
                <w:color w:val="auto"/>
              </w:rPr>
              <w:t>Availability under the senior revolving credit facility</w:t>
            </w:r>
          </w:p>
        </w:tc>
        <w:tc>
          <w:tcPr>
            <w:tcW w:w="32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5"/>
                <w:szCs w:val="15"/>
                <w:color w:val="auto"/>
              </w:rPr>
              <w:t>106,770</w:t>
            </w:r>
          </w:p>
        </w:tc>
        <w:tc>
          <w:tcPr>
            <w:tcW w:w="12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5"/>
                <w:szCs w:val="15"/>
                <w:color w:val="auto"/>
              </w:rPr>
              <w:t>159,107</w:t>
            </w:r>
          </w:p>
        </w:tc>
      </w:tr>
      <w:tr>
        <w:trPr>
          <w:trHeight w:val="20"/>
        </w:trPr>
        <w:tc>
          <w:tcPr>
            <w:tcW w:w="8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Outstanding borrowings at March 31, 2017 under our Credit Agreement were primarily used to fund the acquisition of Houston Interests (See Note 2) and working capital needs in our Canadian business due to the timing of collections and disbursements on the previously announced Electrical Infrastructure project.</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color w:val="auto"/>
        </w:rPr>
        <w:t>At March 31, 2017, the Company was in compliance with all affirmative, negative, and financial covenants under the Credit Agreement.</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6 – Income Taxes</w:t>
      </w:r>
    </w:p>
    <w:p>
      <w:pPr>
        <w:spacing w:after="0" w:line="140" w:lineRule="exact"/>
        <w:rPr>
          <w:sz w:val="20"/>
          <w:szCs w:val="20"/>
          <w:color w:val="auto"/>
        </w:rPr>
      </w:pPr>
    </w:p>
    <w:p>
      <w:pPr>
        <w:jc w:val="both"/>
        <w:spacing w:after="0" w:line="298" w:lineRule="auto"/>
        <w:rPr>
          <w:sz w:val="20"/>
          <w:szCs w:val="20"/>
          <w:color w:val="auto"/>
        </w:rPr>
      </w:pPr>
      <w:r>
        <w:rPr>
          <w:rFonts w:ascii="Arial" w:cs="Arial" w:eastAsia="Arial" w:hAnsi="Arial"/>
          <w:sz w:val="13"/>
          <w:szCs w:val="13"/>
          <w:color w:val="auto"/>
        </w:rPr>
        <w:t>We use the asset and liability approach for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based on our judgments and estimates are established when necessary to reduce deferred tax assets to the amount expected to be realized in future operating results. Company management believes that realization of deferred tax assets in excess of the valuation allowance is more likely than not. Our estimates are based on facts and circumstances in existence as well as interpretations of existing tax regulations and laws applied to the facts and circumstances.</w:t>
      </w:r>
    </w:p>
    <w:p>
      <w:pPr>
        <w:spacing w:after="0" w:line="152" w:lineRule="exact"/>
        <w:rPr>
          <w:sz w:val="20"/>
          <w:szCs w:val="20"/>
          <w:color w:val="auto"/>
        </w:rPr>
      </w:pPr>
    </w:p>
    <w:p>
      <w:pPr>
        <w:jc w:val="both"/>
        <w:spacing w:after="0" w:line="343" w:lineRule="auto"/>
        <w:rPr>
          <w:sz w:val="20"/>
          <w:szCs w:val="20"/>
          <w:color w:val="auto"/>
        </w:rPr>
      </w:pPr>
      <w:r>
        <w:rPr>
          <w:rFonts w:ascii="Arial" w:cs="Arial" w:eastAsia="Arial" w:hAnsi="Arial"/>
          <w:sz w:val="13"/>
          <w:szCs w:val="13"/>
          <w:color w:val="auto"/>
        </w:rPr>
        <w:t>The Company provides for income taxes regardless of whether it has received a tax assessment. Taxes are provided when it is considered probable that additional taxes will be due in excess of amounts included in the tax return. The Company regularly reviews exposure to additional income taxes due, and as further information is known or events occur, adjustments may be recorded.</w:t>
      </w:r>
    </w:p>
    <w:p>
      <w:pPr>
        <w:spacing w:after="0" w:line="58"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Our effective tax rate for the three and nine months ended March 31, 2017 was 38.7% and 933.6%, respectively, compared to 41.4% and 35.6% in the same periods a year earlier. The Company recorded discrete benefits of $0.3 million and $0.9 million during the three and nine months ended March 31, 2017, respectively, and recorded $0.1 million and $1.3 million of discrete benefits during the three and nine months ended March 31, 2016, respectively. The fiscal 2017 discrete benefits primarily relate to the application of ASU 2016-09 (See Note 1), adjustments to state net operating loss carryforwards, a reduction in the blended state income tax rate and an increase in actual tax credits over estimated tax credits for fiscal 2016. These benefits were partially offset by a valuation allowance on deferred tax assets related to foreign tax credit carryforwards and stock compensation expense. The fiscal 2016 tax rate was positively impacted by a discrete item related to the retroactive application of the R&amp;D tax credit and a foreign currency item related to our Canadian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7 – Commitments and Contingencies</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Insurance Reserves</w:t>
      </w:r>
    </w:p>
    <w:p>
      <w:pPr>
        <w:spacing w:after="0" w:line="70"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Company maintains insurance coverage for various aspects of its operations. However, exposure to potential losses is retained through the use of deductibles, self-insured retentions and coverage limits.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- 18-</w:t>
      </w:r>
    </w:p>
    <w:p>
      <w:pPr>
        <w:sectPr>
          <w:pgSz w:w="11900" w:h="16838" w:orient="portrait"/>
          <w:cols w:equalWidth="0" w:num="1">
            <w:col w:w="11460"/>
          </w:cols>
          <w:pgMar w:left="220" w:top="129" w:right="219" w:bottom="1440" w:gutter="0" w:footer="0" w:header="0"/>
        </w:sectPr>
      </w:pPr>
    </w:p>
    <w:bookmarkStart w:id="20" w:name="page21"/>
    <w:bookmarkEnd w:id="20"/>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Matrix Service Company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Typically our contracts require us to indemnify our customers for injury, damage or loss arising from the performance of our services and provide warranties for materials and workmanship. The Company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Matrix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or as required by the subcontract.</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There can be no assurance that our insurance and the additional insurance coverage provided by our subcontractors will fully protect us against a valid claim or loss under the contracts with our customers.</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Unapproved Change Orders and Claims</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Costs and estimated earnings in excess of billings on uncompleted contracts included revenues for unapproved change orders and claims of $18.1 million at March 31, 2017 and $10.3 million at June 30, 2016. Generally, collection of amounts related to unapproved change orders and claims is expected within twelve months. However, since customers may not pay these amounts until final resolution of related claims, collection of these amounts may extend beyond one year.</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Other</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Company and its subsidiaries are participants in various legal actions. It is the opinion of management that none of the known legal actions will have a material impact on the Company’s financial position, results of operations or liquidity.</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8 – Earnings per Common Share</w:t>
      </w:r>
    </w:p>
    <w:p>
      <w:pPr>
        <w:spacing w:after="0" w:line="140"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Basic earnings per share (“Basic EPS”) is calculated based on the weighted average shares outstanding during the period. Diluted earnings per share (“Diluted EPS”) includes the dilutive effect of stock options and nonvested deferred shares.</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color w:val="auto"/>
        </w:rPr>
        <w:t>The computation of basic and diluted earnings per share is as follows: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55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4"/>
          </w:tcPr>
          <w:p>
            <w:pPr>
              <w:jc w:val="right"/>
              <w:ind w:right="831"/>
              <w:spacing w:after="0"/>
              <w:rPr>
                <w:sz w:val="20"/>
                <w:szCs w:val="20"/>
                <w:color w:val="auto"/>
              </w:rPr>
            </w:pPr>
            <w:r>
              <w:rPr>
                <w:rFonts w:ascii="Arial" w:cs="Arial" w:eastAsia="Arial" w:hAnsi="Arial"/>
                <w:sz w:val="12"/>
                <w:szCs w:val="12"/>
                <w:b w:val="1"/>
                <w:bCs w:val="1"/>
                <w:color w:val="auto"/>
              </w:rPr>
              <w:t>Three Months Ended</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4"/>
          </w:tcPr>
          <w:p>
            <w:pPr>
              <w:jc w:val="right"/>
              <w:ind w:right="829"/>
              <w:spacing w:after="0"/>
              <w:rPr>
                <w:sz w:val="20"/>
                <w:szCs w:val="20"/>
                <w:color w:val="auto"/>
              </w:rPr>
            </w:pPr>
            <w:r>
              <w:rPr>
                <w:rFonts w:ascii="Arial" w:cs="Arial" w:eastAsia="Arial" w:hAnsi="Arial"/>
                <w:sz w:val="12"/>
                <w:szCs w:val="12"/>
                <w:b w:val="1"/>
                <w:bCs w:val="1"/>
                <w:color w:val="auto"/>
              </w:rPr>
              <w:t>Nine Months Ended</w:t>
            </w:r>
          </w:p>
        </w:tc>
      </w:tr>
      <w:tr>
        <w:trPr>
          <w:trHeight w:val="122"/>
        </w:trPr>
        <w:tc>
          <w:tcPr>
            <w:tcW w:w="5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gridSpan w:val="2"/>
          </w:tcPr>
          <w:p>
            <w:pPr>
              <w:ind w:left="160"/>
              <w:spacing w:after="0" w:line="122" w:lineRule="exact"/>
              <w:rPr>
                <w:sz w:val="20"/>
                <w:szCs w:val="20"/>
                <w:color w:val="auto"/>
              </w:rPr>
            </w:pPr>
            <w:r>
              <w:rPr>
                <w:rFonts w:ascii="Arial" w:cs="Arial" w:eastAsia="Arial" w:hAnsi="Arial"/>
                <w:sz w:val="12"/>
                <w:szCs w:val="12"/>
                <w:b w:val="1"/>
                <w:bCs w:val="1"/>
                <w:color w:val="auto"/>
              </w:rPr>
              <w:t>March 31,</w:t>
            </w:r>
          </w:p>
        </w:tc>
        <w:tc>
          <w:tcPr>
            <w:tcW w:w="260" w:type="dxa"/>
            <w:vAlign w:val="bottom"/>
          </w:tcPr>
          <w:p>
            <w:pPr>
              <w:spacing w:after="0"/>
              <w:rPr>
                <w:sz w:val="10"/>
                <w:szCs w:val="10"/>
                <w:color w:val="auto"/>
              </w:rPr>
            </w:pPr>
          </w:p>
        </w:tc>
        <w:tc>
          <w:tcPr>
            <w:tcW w:w="1220" w:type="dxa"/>
            <w:vAlign w:val="bottom"/>
            <w:gridSpan w:val="2"/>
          </w:tcPr>
          <w:p>
            <w:pPr>
              <w:ind w:left="160"/>
              <w:spacing w:after="0" w:line="122" w:lineRule="exact"/>
              <w:rPr>
                <w:sz w:val="20"/>
                <w:szCs w:val="20"/>
                <w:color w:val="auto"/>
              </w:rPr>
            </w:pPr>
            <w:r>
              <w:rPr>
                <w:rFonts w:ascii="Arial" w:cs="Arial" w:eastAsia="Arial" w:hAnsi="Arial"/>
                <w:sz w:val="12"/>
                <w:szCs w:val="12"/>
                <w:b w:val="1"/>
                <w:bCs w:val="1"/>
                <w:color w:val="auto"/>
              </w:rPr>
              <w:t>March 31,</w:t>
            </w:r>
          </w:p>
        </w:tc>
        <w:tc>
          <w:tcPr>
            <w:tcW w:w="260" w:type="dxa"/>
            <w:vAlign w:val="bottom"/>
          </w:tcPr>
          <w:p>
            <w:pPr>
              <w:spacing w:after="0"/>
              <w:rPr>
                <w:sz w:val="10"/>
                <w:szCs w:val="10"/>
                <w:color w:val="auto"/>
              </w:rPr>
            </w:pPr>
          </w:p>
        </w:tc>
        <w:tc>
          <w:tcPr>
            <w:tcW w:w="1220" w:type="dxa"/>
            <w:vAlign w:val="bottom"/>
            <w:gridSpan w:val="2"/>
          </w:tcPr>
          <w:p>
            <w:pPr>
              <w:ind w:left="140"/>
              <w:spacing w:after="0" w:line="122" w:lineRule="exact"/>
              <w:rPr>
                <w:sz w:val="20"/>
                <w:szCs w:val="20"/>
                <w:color w:val="auto"/>
              </w:rPr>
            </w:pPr>
            <w:r>
              <w:rPr>
                <w:rFonts w:ascii="Arial" w:cs="Arial" w:eastAsia="Arial" w:hAnsi="Arial"/>
                <w:sz w:val="12"/>
                <w:szCs w:val="12"/>
                <w:b w:val="1"/>
                <w:bCs w:val="1"/>
                <w:color w:val="auto"/>
              </w:rPr>
              <w:t>March 31,</w:t>
            </w:r>
          </w:p>
        </w:tc>
        <w:tc>
          <w:tcPr>
            <w:tcW w:w="240" w:type="dxa"/>
            <w:vAlign w:val="bottom"/>
          </w:tcPr>
          <w:p>
            <w:pPr>
              <w:spacing w:after="0"/>
              <w:rPr>
                <w:sz w:val="10"/>
                <w:szCs w:val="10"/>
                <w:color w:val="auto"/>
              </w:rPr>
            </w:pPr>
          </w:p>
        </w:tc>
        <w:tc>
          <w:tcPr>
            <w:tcW w:w="1100" w:type="dxa"/>
            <w:vAlign w:val="bottom"/>
          </w:tcPr>
          <w:p>
            <w:pPr>
              <w:jc w:val="right"/>
              <w:ind w:right="369"/>
              <w:spacing w:after="0" w:line="122" w:lineRule="exact"/>
              <w:rPr>
                <w:sz w:val="20"/>
                <w:szCs w:val="20"/>
                <w:color w:val="auto"/>
              </w:rPr>
            </w:pPr>
            <w:r>
              <w:rPr>
                <w:rFonts w:ascii="Arial" w:cs="Arial" w:eastAsia="Arial" w:hAnsi="Arial"/>
                <w:sz w:val="12"/>
                <w:szCs w:val="12"/>
                <w:b w:val="1"/>
                <w:bCs w:val="1"/>
                <w:color w:val="auto"/>
              </w:rPr>
              <w:t>March 31,</w:t>
            </w:r>
          </w:p>
        </w:tc>
      </w:tr>
      <w:tr>
        <w:trPr>
          <w:trHeight w:val="156"/>
        </w:trPr>
        <w:tc>
          <w:tcPr>
            <w:tcW w:w="55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2"/>
                <w:szCs w:val="12"/>
                <w:b w:val="1"/>
                <w:bCs w:val="1"/>
                <w:color w:val="auto"/>
              </w:rPr>
              <w:t>2016</w:t>
            </w: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89"/>
              <w:spacing w:after="0"/>
              <w:rPr>
                <w:sz w:val="20"/>
                <w:szCs w:val="20"/>
                <w:color w:val="auto"/>
              </w:rPr>
            </w:pPr>
            <w:r>
              <w:rPr>
                <w:rFonts w:ascii="Arial" w:cs="Arial" w:eastAsia="Arial" w:hAnsi="Arial"/>
                <w:sz w:val="12"/>
                <w:szCs w:val="12"/>
                <w:b w:val="1"/>
                <w:bCs w:val="1"/>
                <w:color w:val="auto"/>
              </w:rPr>
              <w:t>2016</w:t>
            </w:r>
          </w:p>
        </w:tc>
      </w:tr>
      <w:tr>
        <w:trPr>
          <w:trHeight w:val="143"/>
        </w:trPr>
        <w:tc>
          <w:tcPr>
            <w:tcW w:w="5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00" w:type="dxa"/>
            <w:vAlign w:val="bottom"/>
            <w:gridSpan w:val="5"/>
          </w:tcPr>
          <w:p>
            <w:pPr>
              <w:ind w:left="400"/>
              <w:spacing w:after="0"/>
              <w:rPr>
                <w:sz w:val="20"/>
                <w:szCs w:val="20"/>
                <w:color w:val="auto"/>
              </w:rPr>
            </w:pPr>
            <w:r>
              <w:rPr>
                <w:rFonts w:ascii="Arial" w:cs="Arial" w:eastAsia="Arial" w:hAnsi="Arial"/>
                <w:sz w:val="10"/>
                <w:szCs w:val="10"/>
                <w:color w:val="auto"/>
              </w:rPr>
              <w:t>(In thousands, except per share data)</w:t>
            </w: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07"/>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Basic EPS:</w:t>
            </w: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55"/>
        </w:trPr>
        <w:tc>
          <w:tcPr>
            <w:tcW w:w="55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Net income (loss) attributable to Matrix Service Company</w:t>
            </w:r>
          </w:p>
        </w:tc>
        <w:tc>
          <w:tcPr>
            <w:tcW w:w="26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5"/>
                <w:szCs w:val="15"/>
                <w:color w:val="auto"/>
              </w:rPr>
              <w:t>(13,821)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5"/>
                <w:szCs w:val="15"/>
                <w:color w:val="auto"/>
              </w:rPr>
              <w:t>4,357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5"/>
                <w:szCs w:val="15"/>
                <w:color w:val="auto"/>
              </w:rPr>
              <w:t>771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29"/>
              <w:spacing w:after="0"/>
              <w:rPr>
                <w:sz w:val="20"/>
                <w:szCs w:val="20"/>
                <w:color w:val="auto"/>
              </w:rPr>
            </w:pPr>
            <w:r>
              <w:rPr>
                <w:rFonts w:ascii="Arial" w:cs="Arial" w:eastAsia="Arial" w:hAnsi="Arial"/>
                <w:sz w:val="15"/>
                <w:szCs w:val="15"/>
                <w:color w:val="auto"/>
              </w:rPr>
              <w:t>19,729</w:t>
            </w:r>
          </w:p>
        </w:tc>
      </w:tr>
      <w:tr>
        <w:trPr>
          <w:trHeight w:val="19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Weighted average shares outstanding</w:t>
            </w: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5"/>
                <w:szCs w:val="15"/>
                <w:color w:val="auto"/>
              </w:rPr>
              <w:t>26,594</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5"/>
                <w:szCs w:val="15"/>
                <w:color w:val="auto"/>
              </w:rPr>
              <w:t>26,758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5"/>
                <w:szCs w:val="15"/>
                <w:color w:val="auto"/>
              </w:rPr>
              <w:t>26,511</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rPr>
              <w:t>26,651</w:t>
            </w:r>
          </w:p>
        </w:tc>
      </w:tr>
      <w:tr>
        <w:trPr>
          <w:trHeight w:val="20"/>
        </w:trPr>
        <w:tc>
          <w:tcPr>
            <w:tcW w:w="5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4"/>
        </w:trPr>
        <w:tc>
          <w:tcPr>
            <w:tcW w:w="55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Basic earnings (loss) per share</w:t>
            </w:r>
          </w:p>
        </w:tc>
        <w:tc>
          <w:tcPr>
            <w:tcW w:w="26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5"/>
                <w:szCs w:val="15"/>
                <w:color w:val="auto"/>
              </w:rPr>
              <w:t>(0.52)</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5"/>
                <w:szCs w:val="15"/>
                <w:color w:val="auto"/>
              </w:rPr>
              <w:t>0.16</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5"/>
                <w:szCs w:val="15"/>
                <w:color w:val="auto"/>
              </w:rPr>
              <w:t>0.03</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29"/>
              <w:spacing w:after="0"/>
              <w:rPr>
                <w:sz w:val="20"/>
                <w:szCs w:val="20"/>
                <w:color w:val="auto"/>
              </w:rPr>
            </w:pPr>
            <w:r>
              <w:rPr>
                <w:rFonts w:ascii="Arial" w:cs="Arial" w:eastAsia="Arial" w:hAnsi="Arial"/>
                <w:sz w:val="15"/>
                <w:szCs w:val="15"/>
                <w:color w:val="auto"/>
              </w:rPr>
              <w:t>0.74</w:t>
            </w:r>
          </w:p>
        </w:tc>
      </w:tr>
      <w:tr>
        <w:trPr>
          <w:trHeight w:val="179"/>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Diluted EPS:</w:t>
            </w:r>
          </w:p>
        </w:tc>
        <w:tc>
          <w:tcPr>
            <w:tcW w:w="2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98"/>
        </w:trPr>
        <w:tc>
          <w:tcPr>
            <w:tcW w:w="5580" w:type="dxa"/>
            <w:vAlign w:val="bottom"/>
          </w:tcPr>
          <w:p>
            <w:pPr>
              <w:spacing w:after="0"/>
              <w:rPr>
                <w:sz w:val="20"/>
                <w:szCs w:val="20"/>
                <w:color w:val="auto"/>
              </w:rPr>
            </w:pPr>
            <w:r>
              <w:rPr>
                <w:rFonts w:ascii="Arial" w:cs="Arial" w:eastAsia="Arial" w:hAnsi="Arial"/>
                <w:sz w:val="15"/>
                <w:szCs w:val="15"/>
                <w:color w:val="auto"/>
              </w:rPr>
              <w:t>Weighted average shares outstanding – basic</w:t>
            </w:r>
          </w:p>
        </w:tc>
        <w:tc>
          <w:tcPr>
            <w:tcW w:w="260" w:type="dxa"/>
            <w:vAlign w:val="bottom"/>
          </w:tcPr>
          <w:p>
            <w:pPr>
              <w:spacing w:after="0"/>
              <w:rPr>
                <w:sz w:val="17"/>
                <w:szCs w:val="17"/>
                <w:color w:val="auto"/>
              </w:rPr>
            </w:pPr>
          </w:p>
        </w:tc>
        <w:tc>
          <w:tcPr>
            <w:tcW w:w="1140" w:type="dxa"/>
            <w:vAlign w:val="bottom"/>
          </w:tcPr>
          <w:p>
            <w:pPr>
              <w:jc w:val="right"/>
              <w:ind w:right="51"/>
              <w:spacing w:after="0"/>
              <w:rPr>
                <w:sz w:val="20"/>
                <w:szCs w:val="20"/>
                <w:color w:val="auto"/>
              </w:rPr>
            </w:pPr>
            <w:r>
              <w:rPr>
                <w:rFonts w:ascii="Arial" w:cs="Arial" w:eastAsia="Arial" w:hAnsi="Arial"/>
                <w:sz w:val="15"/>
                <w:szCs w:val="15"/>
                <w:color w:val="auto"/>
              </w:rPr>
              <w:t>26,594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51"/>
              <w:spacing w:after="0"/>
              <w:rPr>
                <w:sz w:val="20"/>
                <w:szCs w:val="20"/>
                <w:color w:val="auto"/>
              </w:rPr>
            </w:pPr>
            <w:r>
              <w:rPr>
                <w:rFonts w:ascii="Arial" w:cs="Arial" w:eastAsia="Arial" w:hAnsi="Arial"/>
                <w:sz w:val="15"/>
                <w:szCs w:val="15"/>
                <w:color w:val="auto"/>
              </w:rPr>
              <w:t>26,758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51"/>
              <w:spacing w:after="0"/>
              <w:rPr>
                <w:sz w:val="20"/>
                <w:szCs w:val="20"/>
                <w:color w:val="auto"/>
              </w:rPr>
            </w:pPr>
            <w:r>
              <w:rPr>
                <w:rFonts w:ascii="Arial" w:cs="Arial" w:eastAsia="Arial" w:hAnsi="Arial"/>
                <w:sz w:val="15"/>
                <w:szCs w:val="15"/>
                <w:color w:val="auto"/>
              </w:rPr>
              <w:t>26,511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29"/>
              <w:spacing w:after="0"/>
              <w:rPr>
                <w:sz w:val="20"/>
                <w:szCs w:val="20"/>
                <w:color w:val="auto"/>
              </w:rPr>
            </w:pPr>
            <w:r>
              <w:rPr>
                <w:rFonts w:ascii="Arial" w:cs="Arial" w:eastAsia="Arial" w:hAnsi="Arial"/>
                <w:sz w:val="15"/>
                <w:szCs w:val="15"/>
                <w:color w:val="auto"/>
              </w:rPr>
              <w:t>26,651</w:t>
            </w:r>
          </w:p>
        </w:tc>
      </w:tr>
      <w:tr>
        <w:trPr>
          <w:trHeight w:val="22"/>
        </w:trPr>
        <w:tc>
          <w:tcPr>
            <w:tcW w:w="5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0"/>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Dilutive stock options</w:t>
            </w:r>
          </w:p>
        </w:tc>
        <w:tc>
          <w:tcPr>
            <w:tcW w:w="2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5"/>
                <w:szCs w:val="15"/>
                <w:color w:val="auto"/>
              </w:rPr>
              <w:t>57</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5"/>
                <w:szCs w:val="15"/>
                <w:color w:val="auto"/>
              </w:rPr>
              <w:t>51</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73</w:t>
            </w:r>
          </w:p>
        </w:tc>
      </w:tr>
      <w:tr>
        <w:trPr>
          <w:trHeight w:val="198"/>
        </w:trPr>
        <w:tc>
          <w:tcPr>
            <w:tcW w:w="5580" w:type="dxa"/>
            <w:vAlign w:val="bottom"/>
          </w:tcPr>
          <w:p>
            <w:pPr>
              <w:spacing w:after="0"/>
              <w:rPr>
                <w:sz w:val="20"/>
                <w:szCs w:val="20"/>
                <w:color w:val="auto"/>
              </w:rPr>
            </w:pPr>
            <w:r>
              <w:rPr>
                <w:rFonts w:ascii="Arial" w:cs="Arial" w:eastAsia="Arial" w:hAnsi="Arial"/>
                <w:sz w:val="15"/>
                <w:szCs w:val="15"/>
                <w:color w:val="auto"/>
              </w:rPr>
              <w:t>Dilutive nonvested deferred shares</w:t>
            </w:r>
          </w:p>
        </w:tc>
        <w:tc>
          <w:tcPr>
            <w:tcW w:w="26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120" w:type="dxa"/>
            <w:vAlign w:val="bottom"/>
          </w:tcPr>
          <w:p>
            <w:pPr>
              <w:jc w:val="right"/>
              <w:ind w:right="51"/>
              <w:spacing w:after="0"/>
              <w:rPr>
                <w:sz w:val="20"/>
                <w:szCs w:val="20"/>
                <w:color w:val="auto"/>
              </w:rPr>
            </w:pPr>
            <w:r>
              <w:rPr>
                <w:rFonts w:ascii="Arial" w:cs="Arial" w:eastAsia="Arial" w:hAnsi="Arial"/>
                <w:sz w:val="15"/>
                <w:szCs w:val="15"/>
                <w:color w:val="auto"/>
              </w:rPr>
              <w:t>239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51"/>
              <w:spacing w:after="0"/>
              <w:rPr>
                <w:sz w:val="20"/>
                <w:szCs w:val="20"/>
                <w:color w:val="auto"/>
              </w:rPr>
            </w:pPr>
            <w:r>
              <w:rPr>
                <w:rFonts w:ascii="Arial" w:cs="Arial" w:eastAsia="Arial" w:hAnsi="Arial"/>
                <w:sz w:val="15"/>
                <w:szCs w:val="15"/>
                <w:color w:val="auto"/>
              </w:rPr>
              <w:t>276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29"/>
              <w:spacing w:after="0"/>
              <w:rPr>
                <w:sz w:val="20"/>
                <w:szCs w:val="20"/>
                <w:color w:val="auto"/>
              </w:rPr>
            </w:pPr>
            <w:r>
              <w:rPr>
                <w:rFonts w:ascii="Arial" w:cs="Arial" w:eastAsia="Arial" w:hAnsi="Arial"/>
                <w:sz w:val="15"/>
                <w:szCs w:val="15"/>
                <w:color w:val="auto"/>
              </w:rPr>
              <w:t>467</w:t>
            </w:r>
          </w:p>
        </w:tc>
      </w:tr>
      <w:tr>
        <w:trPr>
          <w:trHeight w:val="22"/>
        </w:trPr>
        <w:tc>
          <w:tcPr>
            <w:tcW w:w="5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6"/>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Diluted weighted average shares</w:t>
            </w:r>
          </w:p>
        </w:tc>
        <w:tc>
          <w:tcPr>
            <w:tcW w:w="2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5"/>
                <w:szCs w:val="15"/>
                <w:color w:val="auto"/>
              </w:rPr>
              <w:t>26,594</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5"/>
                <w:szCs w:val="15"/>
                <w:color w:val="auto"/>
              </w:rPr>
              <w:t>27,054</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5"/>
                <w:szCs w:val="15"/>
                <w:color w:val="auto"/>
              </w:rPr>
              <w:t>26,838</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rPr>
              <w:t>27,191</w:t>
            </w:r>
          </w:p>
        </w:tc>
      </w:tr>
      <w:tr>
        <w:trPr>
          <w:trHeight w:val="20"/>
        </w:trPr>
        <w:tc>
          <w:tcPr>
            <w:tcW w:w="5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4"/>
        </w:trPr>
        <w:tc>
          <w:tcPr>
            <w:tcW w:w="5580" w:type="dxa"/>
            <w:vAlign w:val="bottom"/>
          </w:tcPr>
          <w:p>
            <w:pPr>
              <w:spacing w:after="0"/>
              <w:rPr>
                <w:sz w:val="20"/>
                <w:szCs w:val="20"/>
                <w:color w:val="auto"/>
              </w:rPr>
            </w:pPr>
            <w:r>
              <w:rPr>
                <w:rFonts w:ascii="Arial" w:cs="Arial" w:eastAsia="Arial" w:hAnsi="Arial"/>
                <w:sz w:val="15"/>
                <w:szCs w:val="15"/>
                <w:color w:val="auto"/>
              </w:rPr>
              <w:t>Diluted earnings (loss) per share</w:t>
            </w:r>
          </w:p>
        </w:tc>
        <w:tc>
          <w:tcPr>
            <w:tcW w:w="26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5"/>
                <w:szCs w:val="15"/>
                <w:color w:val="auto"/>
              </w:rPr>
              <w:t>(0.52)</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5"/>
                <w:szCs w:val="15"/>
                <w:color w:val="auto"/>
              </w:rPr>
              <w:t>0.16</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5"/>
                <w:szCs w:val="15"/>
                <w:color w:val="auto"/>
              </w:rPr>
              <w:t>0.03</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29"/>
              <w:spacing w:after="0"/>
              <w:rPr>
                <w:sz w:val="20"/>
                <w:szCs w:val="20"/>
                <w:color w:val="auto"/>
              </w:rPr>
            </w:pPr>
            <w:r>
              <w:rPr>
                <w:rFonts w:ascii="Arial" w:cs="Arial" w:eastAsia="Arial" w:hAnsi="Arial"/>
                <w:sz w:val="15"/>
                <w:szCs w:val="15"/>
                <w:color w:val="auto"/>
              </w:rPr>
              <w:t>0.73</w:t>
            </w:r>
          </w:p>
        </w:tc>
      </w:tr>
      <w:tr>
        <w:trPr>
          <w:trHeight w:val="20"/>
        </w:trPr>
        <w:tc>
          <w:tcPr>
            <w:tcW w:w="5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securities are considered antidilutive and have been excluded from the calculation of Diluted EPS: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620" w:type="dxa"/>
            <w:vAlign w:val="bottom"/>
          </w:tcPr>
          <w:p>
            <w:pPr>
              <w:spacing w:after="0"/>
              <w:rPr>
                <w:sz w:val="13"/>
                <w:szCs w:val="13"/>
                <w:color w:val="auto"/>
              </w:rPr>
            </w:pPr>
          </w:p>
        </w:tc>
        <w:tc>
          <w:tcPr>
            <w:tcW w:w="2500" w:type="dxa"/>
            <w:vAlign w:val="bottom"/>
            <w:tcBorders>
              <w:bottom w:val="single" w:sz="8" w:color="auto"/>
            </w:tcBorders>
            <w:gridSpan w:val="2"/>
          </w:tcPr>
          <w:p>
            <w:pPr>
              <w:jc w:val="right"/>
              <w:ind w:right="434"/>
              <w:spacing w:after="0"/>
              <w:rPr>
                <w:sz w:val="20"/>
                <w:szCs w:val="20"/>
                <w:color w:val="auto"/>
              </w:rPr>
            </w:pPr>
            <w:r>
              <w:rPr>
                <w:rFonts w:ascii="Arial" w:cs="Arial" w:eastAsia="Arial" w:hAnsi="Arial"/>
                <w:sz w:val="12"/>
                <w:szCs w:val="12"/>
                <w:b w:val="1"/>
                <w:bCs w:val="1"/>
                <w:color w:val="auto"/>
              </w:rPr>
              <w:t>Three Months Ended</w:t>
            </w:r>
          </w:p>
        </w:tc>
        <w:tc>
          <w:tcPr>
            <w:tcW w:w="3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2"/>
          </w:tcPr>
          <w:p>
            <w:pPr>
              <w:jc w:val="right"/>
              <w:ind w:right="834"/>
              <w:spacing w:after="0"/>
              <w:rPr>
                <w:sz w:val="20"/>
                <w:szCs w:val="20"/>
                <w:color w:val="auto"/>
              </w:rPr>
            </w:pPr>
            <w:r>
              <w:rPr>
                <w:rFonts w:ascii="Arial" w:cs="Arial" w:eastAsia="Arial" w:hAnsi="Arial"/>
                <w:sz w:val="12"/>
                <w:szCs w:val="12"/>
                <w:b w:val="1"/>
                <w:bCs w:val="1"/>
                <w:color w:val="auto"/>
              </w:rPr>
              <w:t>Nine Months Ended</w:t>
            </w:r>
          </w:p>
        </w:tc>
      </w:tr>
      <w:tr>
        <w:trPr>
          <w:trHeight w:val="122"/>
        </w:trPr>
        <w:tc>
          <w:tcPr>
            <w:tcW w:w="5620" w:type="dxa"/>
            <w:vAlign w:val="bottom"/>
          </w:tcPr>
          <w:p>
            <w:pPr>
              <w:spacing w:after="0"/>
              <w:rPr>
                <w:sz w:val="10"/>
                <w:szCs w:val="10"/>
                <w:color w:val="auto"/>
              </w:rPr>
            </w:pPr>
          </w:p>
        </w:tc>
        <w:tc>
          <w:tcPr>
            <w:tcW w:w="1000" w:type="dxa"/>
            <w:vAlign w:val="bottom"/>
          </w:tcPr>
          <w:p>
            <w:pPr>
              <w:jc w:val="center"/>
              <w:ind w:left="321"/>
              <w:spacing w:after="0" w:line="122" w:lineRule="exact"/>
              <w:rPr>
                <w:sz w:val="20"/>
                <w:szCs w:val="20"/>
                <w:color w:val="auto"/>
              </w:rPr>
            </w:pPr>
            <w:r>
              <w:rPr>
                <w:rFonts w:ascii="Arial" w:cs="Arial" w:eastAsia="Arial" w:hAnsi="Arial"/>
                <w:sz w:val="12"/>
                <w:szCs w:val="12"/>
                <w:b w:val="1"/>
                <w:bCs w:val="1"/>
                <w:color w:val="auto"/>
                <w:w w:val="90"/>
              </w:rPr>
              <w:t>March 31,</w:t>
            </w:r>
          </w:p>
        </w:tc>
        <w:tc>
          <w:tcPr>
            <w:tcW w:w="150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March 31,</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jc w:val="right"/>
              <w:ind w:right="575"/>
              <w:spacing w:after="0" w:line="122" w:lineRule="exact"/>
              <w:rPr>
                <w:sz w:val="20"/>
                <w:szCs w:val="20"/>
                <w:color w:val="auto"/>
              </w:rPr>
            </w:pPr>
            <w:r>
              <w:rPr>
                <w:rFonts w:ascii="Arial" w:cs="Arial" w:eastAsia="Arial" w:hAnsi="Arial"/>
                <w:sz w:val="12"/>
                <w:szCs w:val="12"/>
                <w:b w:val="1"/>
                <w:bCs w:val="1"/>
                <w:color w:val="auto"/>
              </w:rPr>
              <w:t>March 31,</w:t>
            </w:r>
          </w:p>
        </w:tc>
        <w:tc>
          <w:tcPr>
            <w:tcW w:w="1280" w:type="dxa"/>
            <w:vAlign w:val="bottom"/>
          </w:tcPr>
          <w:p>
            <w:pPr>
              <w:jc w:val="right"/>
              <w:ind w:right="374"/>
              <w:spacing w:after="0" w:line="122" w:lineRule="exact"/>
              <w:rPr>
                <w:sz w:val="20"/>
                <w:szCs w:val="20"/>
                <w:color w:val="auto"/>
              </w:rPr>
            </w:pPr>
            <w:r>
              <w:rPr>
                <w:rFonts w:ascii="Arial" w:cs="Arial" w:eastAsia="Arial" w:hAnsi="Arial"/>
                <w:sz w:val="12"/>
                <w:szCs w:val="12"/>
                <w:b w:val="1"/>
                <w:bCs w:val="1"/>
                <w:color w:val="auto"/>
              </w:rPr>
              <w:t>March 31,</w:t>
            </w:r>
          </w:p>
        </w:tc>
      </w:tr>
      <w:tr>
        <w:trPr>
          <w:trHeight w:val="156"/>
        </w:trPr>
        <w:tc>
          <w:tcPr>
            <w:tcW w:w="6620" w:type="dxa"/>
            <w:vAlign w:val="bottom"/>
            <w:gridSpan w:val="2"/>
          </w:tcPr>
          <w:p>
            <w:pPr>
              <w:jc w:val="right"/>
              <w:ind w:right="121"/>
              <w:spacing w:after="0"/>
              <w:rPr>
                <w:sz w:val="20"/>
                <w:szCs w:val="20"/>
                <w:color w:val="auto"/>
              </w:rPr>
            </w:pPr>
            <w:r>
              <w:rPr>
                <w:rFonts w:ascii="Arial" w:cs="Arial" w:eastAsia="Arial" w:hAnsi="Arial"/>
                <w:sz w:val="12"/>
                <w:szCs w:val="12"/>
                <w:b w:val="1"/>
                <w:bCs w:val="1"/>
                <w:color w:val="auto"/>
              </w:rPr>
              <w:t>2017</w:t>
            </w:r>
          </w:p>
        </w:tc>
        <w:tc>
          <w:tcPr>
            <w:tcW w:w="1500" w:type="dxa"/>
            <w:vAlign w:val="bottom"/>
          </w:tcPr>
          <w:p>
            <w:pPr>
              <w:jc w:val="right"/>
              <w:ind w:right="114"/>
              <w:spacing w:after="0"/>
              <w:rPr>
                <w:sz w:val="20"/>
                <w:szCs w:val="20"/>
                <w:color w:val="auto"/>
              </w:rPr>
            </w:pPr>
            <w:r>
              <w:rPr>
                <w:rFonts w:ascii="Arial" w:cs="Arial" w:eastAsia="Arial" w:hAnsi="Arial"/>
                <w:sz w:val="12"/>
                <w:szCs w:val="12"/>
                <w:b w:val="1"/>
                <w:bCs w:val="1"/>
                <w:color w:val="auto"/>
              </w:rPr>
              <w:t>2016</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ind w:right="695"/>
              <w:spacing w:after="0"/>
              <w:rPr>
                <w:sz w:val="20"/>
                <w:szCs w:val="20"/>
                <w:color w:val="auto"/>
              </w:rPr>
            </w:pPr>
            <w:r>
              <w:rPr>
                <w:rFonts w:ascii="Arial" w:cs="Arial" w:eastAsia="Arial" w:hAnsi="Arial"/>
                <w:sz w:val="12"/>
                <w:szCs w:val="12"/>
                <w:b w:val="1"/>
                <w:bCs w:val="1"/>
                <w:color w:val="auto"/>
              </w:rPr>
              <w:t>2017</w:t>
            </w:r>
          </w:p>
        </w:tc>
        <w:tc>
          <w:tcPr>
            <w:tcW w:w="1280" w:type="dxa"/>
            <w:vAlign w:val="bottom"/>
          </w:tcPr>
          <w:p>
            <w:pPr>
              <w:jc w:val="right"/>
              <w:ind w:right="494"/>
              <w:spacing w:after="0"/>
              <w:rPr>
                <w:sz w:val="20"/>
                <w:szCs w:val="20"/>
                <w:color w:val="auto"/>
              </w:rPr>
            </w:pPr>
            <w:r>
              <w:rPr>
                <w:rFonts w:ascii="Arial" w:cs="Arial" w:eastAsia="Arial" w:hAnsi="Arial"/>
                <w:sz w:val="12"/>
                <w:szCs w:val="12"/>
                <w:b w:val="1"/>
                <w:bCs w:val="1"/>
                <w:color w:val="auto"/>
              </w:rPr>
              <w:t>2016</w:t>
            </w:r>
          </w:p>
        </w:tc>
      </w:tr>
      <w:tr>
        <w:trPr>
          <w:trHeight w:val="156"/>
        </w:trPr>
        <w:tc>
          <w:tcPr>
            <w:tcW w:w="56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3"/>
          </w:tcPr>
          <w:p>
            <w:pPr>
              <w:ind w:left="100"/>
              <w:spacing w:after="0"/>
              <w:rPr>
                <w:sz w:val="20"/>
                <w:szCs w:val="20"/>
                <w:color w:val="auto"/>
              </w:rPr>
            </w:pPr>
            <w:r>
              <w:rPr>
                <w:rFonts w:ascii="Arial" w:cs="Arial" w:eastAsia="Arial" w:hAnsi="Arial"/>
                <w:sz w:val="12"/>
                <w:szCs w:val="12"/>
                <w:color w:val="auto"/>
                <w:w w:val="93"/>
              </w:rPr>
              <w:t>(In thousands)</w:t>
            </w:r>
          </w:p>
        </w:tc>
        <w:tc>
          <w:tcPr>
            <w:tcW w:w="12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r>
      <w:tr>
        <w:trPr>
          <w:trHeight w:val="205"/>
        </w:trPr>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Stock options</w:t>
            </w:r>
          </w:p>
        </w:tc>
        <w:tc>
          <w:tcPr>
            <w:tcW w:w="1500" w:type="dxa"/>
            <w:vAlign w:val="bottom"/>
            <w:tcBorders>
              <w:bottom w:val="single" w:sz="8" w:color="CCEEFF"/>
            </w:tcBorders>
            <w:shd w:val="clear" w:color="auto" w:fill="CCEEFF"/>
          </w:tcPr>
          <w:p>
            <w:pPr>
              <w:jc w:val="right"/>
              <w:ind w:right="1154"/>
              <w:spacing w:after="0"/>
              <w:rPr>
                <w:sz w:val="20"/>
                <w:szCs w:val="20"/>
                <w:color w:val="auto"/>
              </w:rPr>
            </w:pPr>
            <w:r>
              <w:rPr>
                <w:rFonts w:ascii="Arial" w:cs="Arial" w:eastAsia="Arial" w:hAnsi="Arial"/>
                <w:sz w:val="15"/>
                <w:szCs w:val="15"/>
                <w:color w:val="auto"/>
              </w:rPr>
              <w:t>46</w:t>
            </w:r>
          </w:p>
        </w:tc>
        <w:tc>
          <w:tcPr>
            <w:tcW w:w="84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5"/>
                <w:szCs w:val="15"/>
                <w:color w:val="auto"/>
              </w:rPr>
              <w:t>—</w:t>
            </w:r>
          </w:p>
        </w:tc>
      </w:tr>
      <w:tr>
        <w:trPr>
          <w:trHeight w:val="198"/>
        </w:trPr>
        <w:tc>
          <w:tcPr>
            <w:tcW w:w="6620" w:type="dxa"/>
            <w:vAlign w:val="bottom"/>
            <w:gridSpan w:val="2"/>
          </w:tcPr>
          <w:p>
            <w:pPr>
              <w:ind w:left="40"/>
              <w:spacing w:after="0"/>
              <w:rPr>
                <w:sz w:val="20"/>
                <w:szCs w:val="20"/>
                <w:color w:val="auto"/>
              </w:rPr>
            </w:pPr>
            <w:r>
              <w:rPr>
                <w:rFonts w:ascii="Arial" w:cs="Arial" w:eastAsia="Arial" w:hAnsi="Arial"/>
                <w:sz w:val="15"/>
                <w:szCs w:val="15"/>
                <w:color w:val="auto"/>
              </w:rPr>
              <w:t>Nonvested deferred shares</w:t>
            </w:r>
          </w:p>
        </w:tc>
        <w:tc>
          <w:tcPr>
            <w:tcW w:w="1500" w:type="dxa"/>
            <w:vAlign w:val="bottom"/>
          </w:tcPr>
          <w:p>
            <w:pPr>
              <w:jc w:val="right"/>
              <w:ind w:right="1154"/>
              <w:spacing w:after="0"/>
              <w:rPr>
                <w:sz w:val="20"/>
                <w:szCs w:val="20"/>
                <w:color w:val="auto"/>
              </w:rPr>
            </w:pPr>
            <w:r>
              <w:rPr>
                <w:rFonts w:ascii="Arial" w:cs="Arial" w:eastAsia="Arial" w:hAnsi="Arial"/>
                <w:sz w:val="15"/>
                <w:szCs w:val="15"/>
                <w:color w:val="auto"/>
              </w:rPr>
              <w:t>533</w:t>
            </w:r>
          </w:p>
        </w:tc>
        <w:tc>
          <w:tcPr>
            <w:tcW w:w="380" w:type="dxa"/>
            <w:vAlign w:val="bottom"/>
          </w:tcPr>
          <w:p>
            <w:pPr>
              <w:jc w:val="right"/>
              <w:ind w:right="31"/>
              <w:spacing w:after="0"/>
              <w:rPr>
                <w:sz w:val="20"/>
                <w:szCs w:val="20"/>
                <w:color w:val="auto"/>
              </w:rPr>
            </w:pPr>
            <w:r>
              <w:rPr>
                <w:rFonts w:ascii="Arial" w:cs="Arial" w:eastAsia="Arial" w:hAnsi="Arial"/>
                <w:sz w:val="15"/>
                <w:szCs w:val="15"/>
                <w:color w:val="auto"/>
              </w:rPr>
              <w:t>269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ind w:right="235"/>
              <w:spacing w:after="0"/>
              <w:rPr>
                <w:sz w:val="20"/>
                <w:szCs w:val="20"/>
                <w:color w:val="auto"/>
              </w:rPr>
            </w:pPr>
            <w:r>
              <w:rPr>
                <w:rFonts w:ascii="Arial" w:cs="Arial" w:eastAsia="Arial" w:hAnsi="Arial"/>
                <w:sz w:val="15"/>
                <w:szCs w:val="15"/>
                <w:color w:val="auto"/>
              </w:rPr>
              <w:t>173</w:t>
            </w:r>
          </w:p>
        </w:tc>
        <w:tc>
          <w:tcPr>
            <w:tcW w:w="1280" w:type="dxa"/>
            <w:vAlign w:val="bottom"/>
          </w:tcPr>
          <w:p>
            <w:pPr>
              <w:jc w:val="right"/>
              <w:ind w:right="54"/>
              <w:spacing w:after="0"/>
              <w:rPr>
                <w:sz w:val="20"/>
                <w:szCs w:val="20"/>
                <w:color w:val="auto"/>
              </w:rPr>
            </w:pPr>
            <w:r>
              <w:rPr>
                <w:rFonts w:ascii="Arial" w:cs="Arial" w:eastAsia="Arial" w:hAnsi="Arial"/>
                <w:sz w:val="15"/>
                <w:szCs w:val="15"/>
                <w:color w:val="auto"/>
              </w:rPr>
              <w:t>113</w:t>
            </w:r>
          </w:p>
        </w:tc>
      </w:tr>
      <w:tr>
        <w:trPr>
          <w:trHeight w:val="397"/>
        </w:trPr>
        <w:tc>
          <w:tcPr>
            <w:tcW w:w="6620" w:type="dxa"/>
            <w:vAlign w:val="bottom"/>
            <w:gridSpan w:val="2"/>
          </w:tcPr>
          <w:p>
            <w:pPr>
              <w:jc w:val="right"/>
              <w:ind w:right="681"/>
              <w:spacing w:after="0"/>
              <w:rPr>
                <w:sz w:val="20"/>
                <w:szCs w:val="20"/>
                <w:color w:val="auto"/>
              </w:rPr>
            </w:pPr>
            <w:r>
              <w:rPr>
                <w:rFonts w:ascii="Arial" w:cs="Arial" w:eastAsia="Arial" w:hAnsi="Arial"/>
                <w:sz w:val="15"/>
                <w:szCs w:val="15"/>
                <w:color w:val="auto"/>
              </w:rPr>
              <w:t>- 19-</w:t>
            </w: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60"/>
          </w:cols>
          <w:pgMar w:left="220" w:top="129" w:right="219" w:bottom="1440" w:gutter="0" w:footer="0" w:header="0"/>
        </w:sectPr>
      </w:pPr>
    </w:p>
    <w:bookmarkStart w:id="21" w:name="page22"/>
    <w:bookmarkEnd w:id="21"/>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Matrix Service Company</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9 – Segment Information</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We operate our business through four reportable segments: Electrical Infrastructure, Oil Gas &amp; Chemical, Storage Solutions, and Industrial.</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Electrical Infrastructure segment primarily encompasses construction and maintenance services to a variety of power generation facilities, such as combined cycle plants, natural gas fired power stations, and renewable energy installations. We also provide high voltage services to investor owned utilities, including construction of new substations, upgrades of existing substations, short-run transmission line installations, distribution upgrades and maintenance, and storm restoration services.</w:t>
      </w:r>
    </w:p>
    <w:p>
      <w:pPr>
        <w:spacing w:after="0" w:line="112"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The Oil Gas &amp; Chemical segment includes turnaround activities, plant maintenance, engineering and construction in the downstream and midstream petroleum industries. Our customers in these industries are engaged in refining crude oil and processing, fractionating, and marketing of natural gas and natural gas liquids. Another key offering is industrial cleaning services, which include hydroblasting, hydroexcavating, chemical cleaning and vacuum services. We also perform work in the petrochemical and upstream petroleum markets.</w:t>
      </w:r>
    </w:p>
    <w:p>
      <w:pPr>
        <w:spacing w:after="0" w:line="94"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The Storage Solutions segment includes new construction of crude and refined products aboveground storage tanks (“ASTs”), as well as planned and emergency maintenance services. The Storage Solutions segment also includes balance of plant work in storage terminals and tank farms. Also included in the Storage Solutions segment is work related to specialty storage tanks, including liquefied natural gas (“LNG”), liquid nitrogen/liquid oxygen (“LIN/LOX”), liquid petroleum (“LPG”) tanks and other specialty vessels, including spheres. Finally, we offer AST products, including geodesic domes, aluminum internal floating roofs, floating suction and skimmer systems, roof drain systems and floating roof seals.</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Industrial segment primarily includes construction and maintenance work in the iron and steel, mining and minerals, and agricultural industries. Our work in the mining and minerals industry is primarily for customers engaged in the extraction of copper. Our work in the agricultural industry includes the engineering and design of grain silos, docks and handling systems; the design of control system automation and materials handling for the food industry; and engineering, construction, process design and balance of plant work for fertilizer production facilities. We also perform work in bulk material handling, thermal vacuum chambers, and other industrial markets.</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Company evaluates performance and allocates resources based on operating income. The accounting policies of the reportable segments are the same as those described in the Summary of Significant Accounting Policies footnote included in the Company’s Annual Report on Form 10-K for the year ended June 30, 2016. Intersegment sales and transfers are recorded at cost; therefore, no intersegment profit or loss is recognized.</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Segment assets consist primarily of cash and cash equivalents, accounts receivable, costs and estimated earnings in excess of billings on uncompleted contracts, property, plant and equipment, goodwill and other intangible assets.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- 20-</w:t>
      </w:r>
    </w:p>
    <w:p>
      <w:pPr>
        <w:sectPr>
          <w:pgSz w:w="11900" w:h="16838" w:orient="portrait"/>
          <w:cols w:equalWidth="0" w:num="1">
            <w:col w:w="11460"/>
          </w:cols>
          <w:pgMar w:left="220" w:top="129" w:right="219" w:bottom="1440" w:gutter="0" w:footer="0" w:header="0"/>
        </w:sectPr>
      </w:pPr>
    </w:p>
    <w:bookmarkStart w:id="22" w:name="page23"/>
    <w:bookmarkEnd w:id="22"/>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Matrix Service Company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Results of Operations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0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4"/>
          </w:tcPr>
          <w:p>
            <w:pPr>
              <w:jc w:val="right"/>
              <w:ind w:right="828"/>
              <w:spacing w:after="0"/>
              <w:rPr>
                <w:sz w:val="20"/>
                <w:szCs w:val="20"/>
                <w:color w:val="auto"/>
              </w:rPr>
            </w:pPr>
            <w:r>
              <w:rPr>
                <w:rFonts w:ascii="Arial" w:cs="Arial" w:eastAsia="Arial" w:hAnsi="Arial"/>
                <w:sz w:val="12"/>
                <w:szCs w:val="12"/>
                <w:b w:val="1"/>
                <w:bCs w:val="1"/>
                <w:color w:val="auto"/>
              </w:rPr>
              <w:t>Three Months Ended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4"/>
          </w:tcPr>
          <w:p>
            <w:pPr>
              <w:jc w:val="right"/>
              <w:ind w:right="828"/>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22"/>
        </w:trPr>
        <w:tc>
          <w:tcPr>
            <w:tcW w:w="40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gridSpan w:val="2"/>
          </w:tcPr>
          <w:p>
            <w:pPr>
              <w:ind w:left="100"/>
              <w:spacing w:after="0" w:line="122" w:lineRule="exact"/>
              <w:rPr>
                <w:sz w:val="20"/>
                <w:szCs w:val="20"/>
                <w:color w:val="auto"/>
              </w:rPr>
            </w:pPr>
            <w:r>
              <w:rPr>
                <w:rFonts w:ascii="Arial" w:cs="Arial" w:eastAsia="Arial" w:hAnsi="Arial"/>
                <w:sz w:val="12"/>
                <w:szCs w:val="12"/>
                <w:b w:val="1"/>
                <w:bCs w:val="1"/>
                <w:color w:val="auto"/>
              </w:rPr>
              <w:t>March 31,</w:t>
            </w:r>
          </w:p>
        </w:tc>
        <w:tc>
          <w:tcPr>
            <w:tcW w:w="260" w:type="dxa"/>
            <w:vAlign w:val="bottom"/>
          </w:tcPr>
          <w:p>
            <w:pPr>
              <w:spacing w:after="0"/>
              <w:rPr>
                <w:sz w:val="10"/>
                <w:szCs w:val="10"/>
                <w:color w:val="auto"/>
              </w:rPr>
            </w:pPr>
          </w:p>
        </w:tc>
        <w:tc>
          <w:tcPr>
            <w:tcW w:w="1120" w:type="dxa"/>
            <w:vAlign w:val="bottom"/>
          </w:tcPr>
          <w:p>
            <w:pPr>
              <w:jc w:val="right"/>
              <w:ind w:right="368"/>
              <w:spacing w:after="0" w:line="122" w:lineRule="exact"/>
              <w:rPr>
                <w:sz w:val="20"/>
                <w:szCs w:val="20"/>
                <w:color w:val="auto"/>
              </w:rPr>
            </w:pPr>
            <w:r>
              <w:rPr>
                <w:rFonts w:ascii="Arial" w:cs="Arial" w:eastAsia="Arial" w:hAnsi="Arial"/>
                <w:sz w:val="12"/>
                <w:szCs w:val="12"/>
                <w:b w:val="1"/>
                <w:bCs w:val="1"/>
                <w:color w:val="auto"/>
              </w:rPr>
              <w:t>March 31,</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gridSpan w:val="2"/>
          </w:tcPr>
          <w:p>
            <w:pPr>
              <w:jc w:val="center"/>
              <w:ind w:right="380"/>
              <w:spacing w:after="0" w:line="122" w:lineRule="exact"/>
              <w:rPr>
                <w:sz w:val="20"/>
                <w:szCs w:val="20"/>
                <w:color w:val="auto"/>
              </w:rPr>
            </w:pPr>
            <w:r>
              <w:rPr>
                <w:rFonts w:ascii="Arial" w:cs="Arial" w:eastAsia="Arial" w:hAnsi="Arial"/>
                <w:sz w:val="12"/>
                <w:szCs w:val="12"/>
                <w:b w:val="1"/>
                <w:bCs w:val="1"/>
                <w:color w:val="auto"/>
                <w:w w:val="93"/>
              </w:rPr>
              <w:t>March 31,</w:t>
            </w:r>
          </w:p>
        </w:tc>
        <w:tc>
          <w:tcPr>
            <w:tcW w:w="260" w:type="dxa"/>
            <w:vAlign w:val="bottom"/>
          </w:tcPr>
          <w:p>
            <w:pPr>
              <w:spacing w:after="0"/>
              <w:rPr>
                <w:sz w:val="10"/>
                <w:szCs w:val="10"/>
                <w:color w:val="auto"/>
              </w:rPr>
            </w:pPr>
          </w:p>
        </w:tc>
        <w:tc>
          <w:tcPr>
            <w:tcW w:w="1100" w:type="dxa"/>
            <w:vAlign w:val="bottom"/>
          </w:tcPr>
          <w:p>
            <w:pPr>
              <w:jc w:val="center"/>
              <w:ind w:right="208"/>
              <w:spacing w:after="0" w:line="122" w:lineRule="exact"/>
              <w:rPr>
                <w:sz w:val="20"/>
                <w:szCs w:val="20"/>
                <w:color w:val="auto"/>
              </w:rPr>
            </w:pPr>
            <w:r>
              <w:rPr>
                <w:rFonts w:ascii="Arial" w:cs="Arial" w:eastAsia="Arial" w:hAnsi="Arial"/>
                <w:sz w:val="12"/>
                <w:szCs w:val="12"/>
                <w:b w:val="1"/>
                <w:bCs w:val="1"/>
                <w:color w:val="auto"/>
                <w:w w:val="90"/>
              </w:rPr>
              <w:t>March 31,</w:t>
            </w:r>
          </w:p>
        </w:tc>
        <w:tc>
          <w:tcPr>
            <w:tcW w:w="0" w:type="dxa"/>
            <w:vAlign w:val="bottom"/>
          </w:tcPr>
          <w:p>
            <w:pPr>
              <w:spacing w:after="0"/>
              <w:rPr>
                <w:sz w:val="1"/>
                <w:szCs w:val="1"/>
                <w:color w:val="auto"/>
              </w:rPr>
            </w:pPr>
          </w:p>
        </w:tc>
      </w:tr>
      <w:tr>
        <w:trPr>
          <w:trHeight w:val="156"/>
        </w:trPr>
        <w:tc>
          <w:tcPr>
            <w:tcW w:w="4000" w:type="dxa"/>
            <w:vAlign w:val="bottom"/>
            <w:tcBorders>
              <w:bottom w:val="single" w:sz="8" w:color="CCEEFF"/>
            </w:tcBorders>
          </w:tcPr>
          <w:p>
            <w:pPr>
              <w:spacing w:after="0"/>
              <w:rPr>
                <w:sz w:val="13"/>
                <w:szCs w:val="13"/>
                <w:color w:val="auto"/>
              </w:rPr>
            </w:pPr>
          </w:p>
        </w:tc>
        <w:tc>
          <w:tcPr>
            <w:tcW w:w="16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08"/>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2"/>
                <w:szCs w:val="12"/>
                <w:b w:val="1"/>
                <w:bCs w:val="1"/>
                <w:color w:val="auto"/>
              </w:rPr>
              <w:t>2016</w:t>
            </w:r>
          </w:p>
        </w:tc>
        <w:tc>
          <w:tcPr>
            <w:tcW w:w="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69"/>
              <w:spacing w:after="0"/>
              <w:rPr>
                <w:sz w:val="20"/>
                <w:szCs w:val="20"/>
                <w:color w:val="auto"/>
              </w:rPr>
            </w:pPr>
            <w:r>
              <w:rPr>
                <w:rFonts w:ascii="Arial" w:cs="Arial" w:eastAsia="Arial" w:hAnsi="Arial"/>
                <w:sz w:val="12"/>
                <w:szCs w:val="12"/>
                <w:b w:val="1"/>
                <w:bCs w:val="1"/>
                <w:color w:val="auto"/>
                <w:w w:val="89"/>
              </w:rPr>
              <w:t>2017</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88"/>
              <w:spacing w:after="0"/>
              <w:rPr>
                <w:sz w:val="20"/>
                <w:szCs w:val="20"/>
                <w:color w:val="auto"/>
              </w:rPr>
            </w:pPr>
            <w:r>
              <w:rPr>
                <w:rFonts w:ascii="Arial" w:cs="Arial" w:eastAsia="Arial" w:hAnsi="Arial"/>
                <w:sz w:val="12"/>
                <w:szCs w:val="12"/>
                <w:b w:val="1"/>
                <w:bCs w:val="1"/>
                <w:color w:val="auto"/>
                <w:w w:val="89"/>
              </w:rPr>
              <w:t>2016</w:t>
            </w:r>
          </w:p>
        </w:tc>
        <w:tc>
          <w:tcPr>
            <w:tcW w:w="0" w:type="dxa"/>
            <w:vAlign w:val="bottom"/>
          </w:tcPr>
          <w:p>
            <w:pPr>
              <w:spacing w:after="0"/>
              <w:rPr>
                <w:sz w:val="1"/>
                <w:szCs w:val="1"/>
                <w:color w:val="auto"/>
              </w:rPr>
            </w:pPr>
          </w:p>
        </w:tc>
      </w:tr>
      <w:tr>
        <w:trPr>
          <w:trHeight w:val="19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Gross revenues</w:t>
            </w:r>
          </w:p>
        </w:tc>
        <w:tc>
          <w:tcPr>
            <w:tcW w:w="16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00" w:type="dxa"/>
            <w:vAlign w:val="bottom"/>
          </w:tcPr>
          <w:p>
            <w:pPr>
              <w:ind w:left="40"/>
              <w:spacing w:after="0"/>
              <w:rPr>
                <w:sz w:val="20"/>
                <w:szCs w:val="20"/>
                <w:color w:val="auto"/>
              </w:rPr>
            </w:pPr>
            <w:r>
              <w:rPr>
                <w:rFonts w:ascii="Arial" w:cs="Arial" w:eastAsia="Arial" w:hAnsi="Arial"/>
                <w:sz w:val="15"/>
                <w:szCs w:val="15"/>
                <w:color w:val="auto"/>
              </w:rPr>
              <w:t>Electrical Infrastructure</w:t>
            </w:r>
          </w:p>
        </w:tc>
        <w:tc>
          <w:tcPr>
            <w:tcW w:w="1960" w:type="dxa"/>
            <w:vAlign w:val="bottom"/>
            <w:gridSpan w:val="2"/>
          </w:tcPr>
          <w:p>
            <w:pPr>
              <w:jc w:val="right"/>
              <w:ind w:right="167"/>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8"/>
              <w:spacing w:after="0"/>
              <w:rPr>
                <w:sz w:val="20"/>
                <w:szCs w:val="20"/>
                <w:color w:val="auto"/>
              </w:rPr>
            </w:pPr>
            <w:r>
              <w:rPr>
                <w:rFonts w:ascii="Arial" w:cs="Arial" w:eastAsia="Arial" w:hAnsi="Arial"/>
                <w:sz w:val="15"/>
                <w:szCs w:val="15"/>
                <w:color w:val="auto"/>
              </w:rPr>
              <w:t>82,032</w:t>
            </w:r>
          </w:p>
        </w:tc>
        <w:tc>
          <w:tcPr>
            <w:tcW w:w="120" w:type="dxa"/>
            <w:vAlign w:val="bottom"/>
          </w:tcPr>
          <w:p>
            <w:pPr>
              <w:spacing w:after="0"/>
              <w:rPr>
                <w:sz w:val="17"/>
                <w:szCs w:val="17"/>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8"/>
              <w:spacing w:after="0"/>
              <w:rPr>
                <w:sz w:val="20"/>
                <w:szCs w:val="20"/>
                <w:color w:val="auto"/>
              </w:rPr>
            </w:pPr>
            <w:r>
              <w:rPr>
                <w:rFonts w:ascii="Arial" w:cs="Arial" w:eastAsia="Arial" w:hAnsi="Arial"/>
                <w:sz w:val="15"/>
                <w:szCs w:val="15"/>
                <w:color w:val="auto"/>
              </w:rPr>
              <w:t>94,414</w:t>
            </w:r>
          </w:p>
        </w:tc>
        <w:tc>
          <w:tcPr>
            <w:tcW w:w="360" w:type="dxa"/>
            <w:vAlign w:val="bottom"/>
            <w:gridSpan w:val="3"/>
          </w:tcPr>
          <w:p>
            <w:pPr>
              <w:jc w:val="right"/>
              <w:ind w:right="67"/>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49"/>
              <w:spacing w:after="0"/>
              <w:rPr>
                <w:sz w:val="20"/>
                <w:szCs w:val="20"/>
                <w:color w:val="auto"/>
              </w:rPr>
            </w:pPr>
            <w:r>
              <w:rPr>
                <w:rFonts w:ascii="Arial" w:cs="Arial" w:eastAsia="Arial" w:hAnsi="Arial"/>
                <w:sz w:val="15"/>
                <w:szCs w:val="15"/>
                <w:color w:val="auto"/>
              </w:rPr>
              <w:t>273,215</w:t>
            </w:r>
          </w:p>
        </w:tc>
        <w:tc>
          <w:tcPr>
            <w:tcW w:w="100" w:type="dxa"/>
            <w:vAlign w:val="bottom"/>
          </w:tcPr>
          <w:p>
            <w:pPr>
              <w:spacing w:after="0"/>
              <w:rPr>
                <w:sz w:val="17"/>
                <w:szCs w:val="17"/>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48"/>
              <w:spacing w:after="0"/>
              <w:rPr>
                <w:sz w:val="20"/>
                <w:szCs w:val="20"/>
                <w:color w:val="auto"/>
              </w:rPr>
            </w:pPr>
            <w:r>
              <w:rPr>
                <w:rFonts w:ascii="Arial" w:cs="Arial" w:eastAsia="Arial" w:hAnsi="Arial"/>
                <w:sz w:val="15"/>
                <w:szCs w:val="15"/>
                <w:color w:val="auto"/>
              </w:rPr>
              <w:t>251,437</w:t>
            </w:r>
          </w:p>
        </w:tc>
        <w:tc>
          <w:tcPr>
            <w:tcW w:w="0" w:type="dxa"/>
            <w:vAlign w:val="bottom"/>
          </w:tcPr>
          <w:p>
            <w:pPr>
              <w:spacing w:after="0"/>
              <w:rPr>
                <w:sz w:val="1"/>
                <w:szCs w:val="1"/>
                <w:color w:val="auto"/>
              </w:rPr>
            </w:pPr>
          </w:p>
        </w:tc>
      </w:tr>
      <w:tr>
        <w:trPr>
          <w:trHeight w:val="22"/>
        </w:trPr>
        <w:tc>
          <w:tcPr>
            <w:tcW w:w="40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Oil Gas &amp; Chemical</w:t>
            </w:r>
          </w:p>
        </w:tc>
        <w:tc>
          <w:tcPr>
            <w:tcW w:w="16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69,295</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56,251</w:t>
            </w: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164,036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188,682</w:t>
            </w:r>
          </w:p>
        </w:tc>
        <w:tc>
          <w:tcPr>
            <w:tcW w:w="0" w:type="dxa"/>
            <w:vAlign w:val="bottom"/>
          </w:tcPr>
          <w:p>
            <w:pPr>
              <w:spacing w:after="0"/>
              <w:rPr>
                <w:sz w:val="1"/>
                <w:szCs w:val="1"/>
                <w:color w:val="auto"/>
              </w:rPr>
            </w:pPr>
          </w:p>
        </w:tc>
      </w:tr>
      <w:tr>
        <w:trPr>
          <w:trHeight w:val="198"/>
        </w:trPr>
        <w:tc>
          <w:tcPr>
            <w:tcW w:w="4000" w:type="dxa"/>
            <w:vAlign w:val="bottom"/>
          </w:tcPr>
          <w:p>
            <w:pPr>
              <w:ind w:left="40"/>
              <w:spacing w:after="0"/>
              <w:rPr>
                <w:sz w:val="20"/>
                <w:szCs w:val="20"/>
                <w:color w:val="auto"/>
              </w:rPr>
            </w:pPr>
            <w:r>
              <w:rPr>
                <w:rFonts w:ascii="Arial" w:cs="Arial" w:eastAsia="Arial" w:hAnsi="Arial"/>
                <w:sz w:val="15"/>
                <w:szCs w:val="15"/>
                <w:color w:val="auto"/>
              </w:rPr>
              <w:t>Storage Solutions</w:t>
            </w:r>
          </w:p>
        </w:tc>
        <w:tc>
          <w:tcPr>
            <w:tcW w:w="1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8"/>
              <w:spacing w:after="0"/>
              <w:rPr>
                <w:sz w:val="20"/>
                <w:szCs w:val="20"/>
                <w:color w:val="auto"/>
              </w:rPr>
            </w:pPr>
            <w:r>
              <w:rPr>
                <w:rFonts w:ascii="Arial" w:cs="Arial" w:eastAsia="Arial" w:hAnsi="Arial"/>
                <w:sz w:val="15"/>
                <w:szCs w:val="15"/>
                <w:color w:val="auto"/>
              </w:rPr>
              <w:t>74,431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5"/>
                <w:szCs w:val="15"/>
                <w:color w:val="auto"/>
              </w:rPr>
              <w:t>132,857</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9"/>
              <w:spacing w:after="0"/>
              <w:rPr>
                <w:sz w:val="20"/>
                <w:szCs w:val="20"/>
                <w:color w:val="auto"/>
              </w:rPr>
            </w:pPr>
            <w:r>
              <w:rPr>
                <w:rFonts w:ascii="Arial" w:cs="Arial" w:eastAsia="Arial" w:hAnsi="Arial"/>
                <w:sz w:val="15"/>
                <w:szCs w:val="15"/>
                <w:color w:val="auto"/>
              </w:rPr>
              <w:t>403,008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5"/>
                <w:szCs w:val="15"/>
                <w:color w:val="auto"/>
              </w:rPr>
              <w:t>400,074</w:t>
            </w:r>
          </w:p>
        </w:tc>
        <w:tc>
          <w:tcPr>
            <w:tcW w:w="0" w:type="dxa"/>
            <w:vAlign w:val="bottom"/>
          </w:tcPr>
          <w:p>
            <w:pPr>
              <w:spacing w:after="0"/>
              <w:rPr>
                <w:sz w:val="1"/>
                <w:szCs w:val="1"/>
                <w:color w:val="auto"/>
              </w:rPr>
            </w:pPr>
          </w:p>
        </w:tc>
      </w:tr>
      <w:tr>
        <w:trPr>
          <w:trHeight w:val="22"/>
        </w:trPr>
        <w:tc>
          <w:tcPr>
            <w:tcW w:w="40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Industrial</w:t>
            </w:r>
          </w:p>
        </w:tc>
        <w:tc>
          <w:tcPr>
            <w:tcW w:w="16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26,501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26,650</w:t>
            </w: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74,254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116,375</w:t>
            </w:r>
          </w:p>
        </w:tc>
        <w:tc>
          <w:tcPr>
            <w:tcW w:w="0" w:type="dxa"/>
            <w:vAlign w:val="bottom"/>
          </w:tcPr>
          <w:p>
            <w:pPr>
              <w:spacing w:after="0"/>
              <w:rPr>
                <w:sz w:val="1"/>
                <w:szCs w:val="1"/>
                <w:color w:val="auto"/>
              </w:rPr>
            </w:pPr>
          </w:p>
        </w:tc>
      </w:tr>
      <w:tr>
        <w:trPr>
          <w:trHeight w:val="246"/>
        </w:trPr>
        <w:tc>
          <w:tcPr>
            <w:tcW w:w="400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Total gross revenues</w:t>
            </w:r>
          </w:p>
        </w:tc>
        <w:tc>
          <w:tcPr>
            <w:tcW w:w="16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color w:val="auto"/>
              </w:rPr>
              <w:t>252,259</w:t>
            </w: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color w:val="auto"/>
              </w:rPr>
              <w:t>310,172</w:t>
            </w:r>
          </w:p>
        </w:tc>
        <w:tc>
          <w:tcPr>
            <w:tcW w:w="120" w:type="dxa"/>
            <w:vAlign w:val="bottom"/>
            <w:tcBorders>
              <w:bottom w:val="single" w:sz="8" w:color="CCEEFF"/>
            </w:tcBorders>
            <w:gridSpan w:val="2"/>
          </w:tcPr>
          <w:p>
            <w:pPr>
              <w:spacing w:after="0"/>
              <w:rPr>
                <w:sz w:val="21"/>
                <w:szCs w:val="21"/>
                <w:color w:val="auto"/>
              </w:rPr>
            </w:pPr>
          </w:p>
        </w:tc>
        <w:tc>
          <w:tcPr>
            <w:tcW w:w="24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5"/>
                <w:szCs w:val="15"/>
                <w:color w:val="auto"/>
              </w:rPr>
              <w:t>914,513</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color w:val="auto"/>
              </w:rPr>
              <w:t>956,568</w:t>
            </w:r>
          </w:p>
        </w:tc>
        <w:tc>
          <w:tcPr>
            <w:tcW w:w="0" w:type="dxa"/>
            <w:vAlign w:val="bottom"/>
          </w:tcPr>
          <w:p>
            <w:pPr>
              <w:spacing w:after="0"/>
              <w:rPr>
                <w:sz w:val="1"/>
                <w:szCs w:val="1"/>
                <w:color w:val="auto"/>
              </w:rPr>
            </w:pPr>
          </w:p>
        </w:tc>
      </w:tr>
      <w:tr>
        <w:trPr>
          <w:trHeight w:val="17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Less: Inter-segment revenues</w:t>
            </w:r>
          </w:p>
        </w:tc>
        <w:tc>
          <w:tcPr>
            <w:tcW w:w="16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00" w:type="dxa"/>
            <w:vAlign w:val="bottom"/>
          </w:tcPr>
          <w:p>
            <w:pPr>
              <w:ind w:left="40"/>
              <w:spacing w:after="0"/>
              <w:rPr>
                <w:sz w:val="20"/>
                <w:szCs w:val="20"/>
                <w:color w:val="auto"/>
              </w:rPr>
            </w:pPr>
            <w:r>
              <w:rPr>
                <w:rFonts w:ascii="Arial" w:cs="Arial" w:eastAsia="Arial" w:hAnsi="Arial"/>
                <w:sz w:val="15"/>
                <w:szCs w:val="15"/>
                <w:color w:val="auto"/>
              </w:rPr>
              <w:t>Oil Gas &amp; Chemical</w:t>
            </w:r>
          </w:p>
        </w:tc>
        <w:tc>
          <w:tcPr>
            <w:tcW w:w="1960" w:type="dxa"/>
            <w:vAlign w:val="bottom"/>
            <w:gridSpan w:val="2"/>
          </w:tcPr>
          <w:p>
            <w:pPr>
              <w:jc w:val="right"/>
              <w:ind w:right="167"/>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8"/>
              <w:spacing w:after="0"/>
              <w:rPr>
                <w:sz w:val="20"/>
                <w:szCs w:val="20"/>
                <w:color w:val="auto"/>
              </w:rPr>
            </w:pPr>
            <w:r>
              <w:rPr>
                <w:rFonts w:ascii="Arial" w:cs="Arial" w:eastAsia="Arial" w:hAnsi="Arial"/>
                <w:sz w:val="15"/>
                <w:szCs w:val="15"/>
                <w:color w:val="auto"/>
              </w:rPr>
              <w:t>407</w:t>
            </w:r>
          </w:p>
        </w:tc>
        <w:tc>
          <w:tcPr>
            <w:tcW w:w="120" w:type="dxa"/>
            <w:vAlign w:val="bottom"/>
          </w:tcPr>
          <w:p>
            <w:pPr>
              <w:spacing w:after="0"/>
              <w:rPr>
                <w:sz w:val="17"/>
                <w:szCs w:val="17"/>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8"/>
              <w:spacing w:after="0"/>
              <w:rPr>
                <w:sz w:val="20"/>
                <w:szCs w:val="20"/>
                <w:color w:val="auto"/>
              </w:rPr>
            </w:pPr>
            <w:r>
              <w:rPr>
                <w:rFonts w:ascii="Arial" w:cs="Arial" w:eastAsia="Arial" w:hAnsi="Arial"/>
                <w:sz w:val="15"/>
                <w:szCs w:val="15"/>
                <w:color w:val="auto"/>
              </w:rPr>
              <w:t>522</w:t>
            </w:r>
          </w:p>
        </w:tc>
        <w:tc>
          <w:tcPr>
            <w:tcW w:w="360" w:type="dxa"/>
            <w:vAlign w:val="bottom"/>
            <w:gridSpan w:val="3"/>
          </w:tcPr>
          <w:p>
            <w:pPr>
              <w:jc w:val="right"/>
              <w:ind w:right="67"/>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49"/>
              <w:spacing w:after="0"/>
              <w:rPr>
                <w:sz w:val="20"/>
                <w:szCs w:val="20"/>
                <w:color w:val="auto"/>
              </w:rPr>
            </w:pPr>
            <w:r>
              <w:rPr>
                <w:rFonts w:ascii="Arial" w:cs="Arial" w:eastAsia="Arial" w:hAnsi="Arial"/>
                <w:sz w:val="15"/>
                <w:szCs w:val="15"/>
                <w:color w:val="auto"/>
              </w:rPr>
              <w:t>6,892</w:t>
            </w:r>
          </w:p>
        </w:tc>
        <w:tc>
          <w:tcPr>
            <w:tcW w:w="100" w:type="dxa"/>
            <w:vAlign w:val="bottom"/>
          </w:tcPr>
          <w:p>
            <w:pPr>
              <w:spacing w:after="0"/>
              <w:rPr>
                <w:sz w:val="17"/>
                <w:szCs w:val="17"/>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48"/>
              <w:spacing w:after="0"/>
              <w:rPr>
                <w:sz w:val="20"/>
                <w:szCs w:val="20"/>
                <w:color w:val="auto"/>
              </w:rPr>
            </w:pPr>
            <w:r>
              <w:rPr>
                <w:rFonts w:ascii="Arial" w:cs="Arial" w:eastAsia="Arial" w:hAnsi="Arial"/>
                <w:sz w:val="15"/>
                <w:szCs w:val="15"/>
                <w:color w:val="auto"/>
              </w:rPr>
              <w:t>3,102</w:t>
            </w:r>
          </w:p>
        </w:tc>
        <w:tc>
          <w:tcPr>
            <w:tcW w:w="0" w:type="dxa"/>
            <w:vAlign w:val="bottom"/>
          </w:tcPr>
          <w:p>
            <w:pPr>
              <w:spacing w:after="0"/>
              <w:rPr>
                <w:sz w:val="1"/>
                <w:szCs w:val="1"/>
                <w:color w:val="auto"/>
              </w:rPr>
            </w:pPr>
          </w:p>
        </w:tc>
      </w:tr>
      <w:tr>
        <w:trPr>
          <w:trHeight w:val="22"/>
        </w:trPr>
        <w:tc>
          <w:tcPr>
            <w:tcW w:w="40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Storage Solutions</w:t>
            </w:r>
          </w:p>
        </w:tc>
        <w:tc>
          <w:tcPr>
            <w:tcW w:w="16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379</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228</w:t>
            </w: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677</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1,040</w:t>
            </w:r>
          </w:p>
        </w:tc>
        <w:tc>
          <w:tcPr>
            <w:tcW w:w="0" w:type="dxa"/>
            <w:vAlign w:val="bottom"/>
          </w:tcPr>
          <w:p>
            <w:pPr>
              <w:spacing w:after="0"/>
              <w:rPr>
                <w:sz w:val="1"/>
                <w:szCs w:val="1"/>
                <w:color w:val="auto"/>
              </w:rPr>
            </w:pPr>
          </w:p>
        </w:tc>
      </w:tr>
      <w:tr>
        <w:trPr>
          <w:trHeight w:val="198"/>
        </w:trPr>
        <w:tc>
          <w:tcPr>
            <w:tcW w:w="4000" w:type="dxa"/>
            <w:vAlign w:val="bottom"/>
          </w:tcPr>
          <w:p>
            <w:pPr>
              <w:ind w:left="40"/>
              <w:spacing w:after="0"/>
              <w:rPr>
                <w:sz w:val="20"/>
                <w:szCs w:val="20"/>
                <w:color w:val="auto"/>
              </w:rPr>
            </w:pPr>
            <w:r>
              <w:rPr>
                <w:rFonts w:ascii="Arial" w:cs="Arial" w:eastAsia="Arial" w:hAnsi="Arial"/>
                <w:sz w:val="15"/>
                <w:szCs w:val="15"/>
                <w:color w:val="auto"/>
              </w:rPr>
              <w:t>Industrial</w:t>
            </w:r>
          </w:p>
        </w:tc>
        <w:tc>
          <w:tcPr>
            <w:tcW w:w="1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8"/>
              <w:spacing w:after="0"/>
              <w:rPr>
                <w:sz w:val="20"/>
                <w:szCs w:val="20"/>
                <w:color w:val="auto"/>
              </w:rPr>
            </w:pPr>
            <w:r>
              <w:rPr>
                <w:rFonts w:ascii="Arial" w:cs="Arial" w:eastAsia="Arial" w:hAnsi="Arial"/>
                <w:sz w:val="15"/>
                <w:szCs w:val="15"/>
                <w:color w:val="auto"/>
              </w:rPr>
              <w:t>236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9"/>
              <w:spacing w:after="0"/>
              <w:rPr>
                <w:sz w:val="20"/>
                <w:szCs w:val="20"/>
                <w:color w:val="auto"/>
              </w:rPr>
            </w:pPr>
            <w:r>
              <w:rPr>
                <w:rFonts w:ascii="Arial" w:cs="Arial" w:eastAsia="Arial" w:hAnsi="Arial"/>
                <w:sz w:val="15"/>
                <w:szCs w:val="15"/>
                <w:color w:val="auto"/>
              </w:rPr>
              <w:t>1,271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5"/>
                <w:szCs w:val="15"/>
                <w:color w:val="auto"/>
              </w:rPr>
              <w:t>144</w:t>
            </w:r>
          </w:p>
        </w:tc>
        <w:tc>
          <w:tcPr>
            <w:tcW w:w="0" w:type="dxa"/>
            <w:vAlign w:val="bottom"/>
          </w:tcPr>
          <w:p>
            <w:pPr>
              <w:spacing w:after="0"/>
              <w:rPr>
                <w:sz w:val="1"/>
                <w:szCs w:val="1"/>
                <w:color w:val="auto"/>
              </w:rPr>
            </w:pPr>
          </w:p>
        </w:tc>
      </w:tr>
      <w:tr>
        <w:trPr>
          <w:trHeight w:val="22"/>
        </w:trPr>
        <w:tc>
          <w:tcPr>
            <w:tcW w:w="40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40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inter-segment revenues</w:t>
            </w:r>
          </w:p>
        </w:tc>
        <w:tc>
          <w:tcPr>
            <w:tcW w:w="1960" w:type="dxa"/>
            <w:vAlign w:val="bottom"/>
            <w:gridSpan w:val="2"/>
            <w:shd w:val="clear" w:color="auto" w:fill="CCEEFF"/>
          </w:tcPr>
          <w:p>
            <w:pPr>
              <w:jc w:val="right"/>
              <w:ind w:right="167"/>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1,022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750</w:t>
            </w:r>
          </w:p>
        </w:tc>
        <w:tc>
          <w:tcPr>
            <w:tcW w:w="360" w:type="dxa"/>
            <w:vAlign w:val="bottom"/>
            <w:gridSpan w:val="3"/>
            <w:shd w:val="clear" w:color="auto" w:fill="CCEEFF"/>
          </w:tcPr>
          <w:p>
            <w:pPr>
              <w:jc w:val="right"/>
              <w:ind w:right="67"/>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8,840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4,286</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5"/>
                <w:szCs w:val="15"/>
                <w:b w:val="1"/>
                <w:bCs w:val="1"/>
                <w:color w:val="auto"/>
              </w:rPr>
              <w:t>Consolidated revenues</w:t>
            </w:r>
          </w:p>
        </w:tc>
        <w:tc>
          <w:tcPr>
            <w:tcW w:w="1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00" w:type="dxa"/>
            <w:vAlign w:val="bottom"/>
            <w:vMerge w:val="continue"/>
          </w:tcPr>
          <w:p>
            <w:pPr>
              <w:spacing w:after="0"/>
              <w:rPr>
                <w:sz w:val="15"/>
                <w:szCs w:val="15"/>
                <w:color w:val="auto"/>
              </w:rPr>
            </w:pPr>
          </w:p>
        </w:tc>
        <w:tc>
          <w:tcPr>
            <w:tcW w:w="1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0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Electrical Infrastructure</w:t>
            </w:r>
          </w:p>
        </w:tc>
        <w:tc>
          <w:tcPr>
            <w:tcW w:w="1960" w:type="dxa"/>
            <w:vAlign w:val="bottom"/>
            <w:tcBorders>
              <w:bottom w:val="single" w:sz="8" w:color="CCEEFF"/>
            </w:tcBorders>
            <w:gridSpan w:val="2"/>
            <w:shd w:val="clear" w:color="auto" w:fill="CCEEFF"/>
          </w:tcPr>
          <w:p>
            <w:pPr>
              <w:jc w:val="right"/>
              <w:ind w:right="167"/>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82,032</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94,414</w:t>
            </w:r>
          </w:p>
        </w:tc>
        <w:tc>
          <w:tcPr>
            <w:tcW w:w="360" w:type="dxa"/>
            <w:vAlign w:val="bottom"/>
            <w:tcBorders>
              <w:bottom w:val="single" w:sz="8" w:color="CCEEFF"/>
            </w:tcBorders>
            <w:gridSpan w:val="3"/>
            <w:shd w:val="clear" w:color="auto" w:fill="CCEEFF"/>
          </w:tcPr>
          <w:p>
            <w:pPr>
              <w:jc w:val="right"/>
              <w:ind w:right="67"/>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273,215</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251,437</w:t>
            </w:r>
          </w:p>
        </w:tc>
        <w:tc>
          <w:tcPr>
            <w:tcW w:w="0" w:type="dxa"/>
            <w:vAlign w:val="bottom"/>
          </w:tcPr>
          <w:p>
            <w:pPr>
              <w:spacing w:after="0"/>
              <w:rPr>
                <w:sz w:val="1"/>
                <w:szCs w:val="1"/>
                <w:color w:val="auto"/>
              </w:rPr>
            </w:pPr>
          </w:p>
        </w:tc>
      </w:tr>
      <w:tr>
        <w:trPr>
          <w:trHeight w:val="198"/>
        </w:trPr>
        <w:tc>
          <w:tcPr>
            <w:tcW w:w="4000" w:type="dxa"/>
            <w:vAlign w:val="bottom"/>
          </w:tcPr>
          <w:p>
            <w:pPr>
              <w:ind w:left="40"/>
              <w:spacing w:after="0"/>
              <w:rPr>
                <w:sz w:val="20"/>
                <w:szCs w:val="20"/>
                <w:color w:val="auto"/>
              </w:rPr>
            </w:pPr>
            <w:r>
              <w:rPr>
                <w:rFonts w:ascii="Arial" w:cs="Arial" w:eastAsia="Arial" w:hAnsi="Arial"/>
                <w:sz w:val="15"/>
                <w:szCs w:val="15"/>
                <w:color w:val="auto"/>
              </w:rPr>
              <w:t>Oil Gas &amp; Chemical</w:t>
            </w:r>
          </w:p>
        </w:tc>
        <w:tc>
          <w:tcPr>
            <w:tcW w:w="1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8"/>
              <w:spacing w:after="0"/>
              <w:rPr>
                <w:sz w:val="20"/>
                <w:szCs w:val="20"/>
                <w:color w:val="auto"/>
              </w:rPr>
            </w:pPr>
            <w:r>
              <w:rPr>
                <w:rFonts w:ascii="Arial" w:cs="Arial" w:eastAsia="Arial" w:hAnsi="Arial"/>
                <w:sz w:val="15"/>
                <w:szCs w:val="15"/>
                <w:color w:val="auto"/>
              </w:rPr>
              <w:t>68,888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5"/>
                <w:szCs w:val="15"/>
                <w:color w:val="auto"/>
              </w:rPr>
              <w:t>55,729</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9"/>
              <w:spacing w:after="0"/>
              <w:rPr>
                <w:sz w:val="20"/>
                <w:szCs w:val="20"/>
                <w:color w:val="auto"/>
              </w:rPr>
            </w:pPr>
            <w:r>
              <w:rPr>
                <w:rFonts w:ascii="Arial" w:cs="Arial" w:eastAsia="Arial" w:hAnsi="Arial"/>
                <w:sz w:val="15"/>
                <w:szCs w:val="15"/>
                <w:color w:val="auto"/>
              </w:rPr>
              <w:t>157,144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5"/>
                <w:szCs w:val="15"/>
                <w:color w:val="auto"/>
              </w:rPr>
              <w:t>185,580</w:t>
            </w:r>
          </w:p>
        </w:tc>
        <w:tc>
          <w:tcPr>
            <w:tcW w:w="0" w:type="dxa"/>
            <w:vAlign w:val="bottom"/>
          </w:tcPr>
          <w:p>
            <w:pPr>
              <w:spacing w:after="0"/>
              <w:rPr>
                <w:sz w:val="1"/>
                <w:szCs w:val="1"/>
                <w:color w:val="auto"/>
              </w:rPr>
            </w:pPr>
          </w:p>
        </w:tc>
      </w:tr>
      <w:tr>
        <w:trPr>
          <w:trHeight w:val="22"/>
        </w:trPr>
        <w:tc>
          <w:tcPr>
            <w:tcW w:w="40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Storage Solutions</w:t>
            </w:r>
          </w:p>
        </w:tc>
        <w:tc>
          <w:tcPr>
            <w:tcW w:w="16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74,052</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132,629</w:t>
            </w: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402,331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399,034</w:t>
            </w:r>
          </w:p>
        </w:tc>
        <w:tc>
          <w:tcPr>
            <w:tcW w:w="0" w:type="dxa"/>
            <w:vAlign w:val="bottom"/>
          </w:tcPr>
          <w:p>
            <w:pPr>
              <w:spacing w:after="0"/>
              <w:rPr>
                <w:sz w:val="1"/>
                <w:szCs w:val="1"/>
                <w:color w:val="auto"/>
              </w:rPr>
            </w:pPr>
          </w:p>
        </w:tc>
      </w:tr>
      <w:tr>
        <w:trPr>
          <w:trHeight w:val="198"/>
        </w:trPr>
        <w:tc>
          <w:tcPr>
            <w:tcW w:w="4000" w:type="dxa"/>
            <w:vAlign w:val="bottom"/>
          </w:tcPr>
          <w:p>
            <w:pPr>
              <w:ind w:left="40"/>
              <w:spacing w:after="0"/>
              <w:rPr>
                <w:sz w:val="20"/>
                <w:szCs w:val="20"/>
                <w:color w:val="auto"/>
              </w:rPr>
            </w:pPr>
            <w:r>
              <w:rPr>
                <w:rFonts w:ascii="Arial" w:cs="Arial" w:eastAsia="Arial" w:hAnsi="Arial"/>
                <w:sz w:val="15"/>
                <w:szCs w:val="15"/>
                <w:color w:val="auto"/>
              </w:rPr>
              <w:t>Industrial</w:t>
            </w:r>
          </w:p>
        </w:tc>
        <w:tc>
          <w:tcPr>
            <w:tcW w:w="1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8"/>
              <w:spacing w:after="0"/>
              <w:rPr>
                <w:sz w:val="20"/>
                <w:szCs w:val="20"/>
                <w:color w:val="auto"/>
              </w:rPr>
            </w:pPr>
            <w:r>
              <w:rPr>
                <w:rFonts w:ascii="Arial" w:cs="Arial" w:eastAsia="Arial" w:hAnsi="Arial"/>
                <w:sz w:val="15"/>
                <w:szCs w:val="15"/>
                <w:color w:val="auto"/>
              </w:rPr>
              <w:t>26,265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5"/>
                <w:szCs w:val="15"/>
                <w:color w:val="auto"/>
              </w:rPr>
              <w:t>26,650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9"/>
              <w:spacing w:after="0"/>
              <w:rPr>
                <w:sz w:val="20"/>
                <w:szCs w:val="20"/>
                <w:color w:val="auto"/>
              </w:rPr>
            </w:pPr>
            <w:r>
              <w:rPr>
                <w:rFonts w:ascii="Arial" w:cs="Arial" w:eastAsia="Arial" w:hAnsi="Arial"/>
                <w:sz w:val="15"/>
                <w:szCs w:val="15"/>
                <w:color w:val="auto"/>
              </w:rPr>
              <w:t>72,983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5"/>
                <w:szCs w:val="15"/>
                <w:color w:val="auto"/>
              </w:rPr>
              <w:t>116,231</w:t>
            </w:r>
          </w:p>
        </w:tc>
        <w:tc>
          <w:tcPr>
            <w:tcW w:w="0" w:type="dxa"/>
            <w:vAlign w:val="bottom"/>
          </w:tcPr>
          <w:p>
            <w:pPr>
              <w:spacing w:after="0"/>
              <w:rPr>
                <w:sz w:val="1"/>
                <w:szCs w:val="1"/>
                <w:color w:val="auto"/>
              </w:rPr>
            </w:pPr>
          </w:p>
        </w:tc>
      </w:tr>
      <w:tr>
        <w:trPr>
          <w:trHeight w:val="22"/>
        </w:trPr>
        <w:tc>
          <w:tcPr>
            <w:tcW w:w="40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40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consolidated revenues</w:t>
            </w:r>
          </w:p>
        </w:tc>
        <w:tc>
          <w:tcPr>
            <w:tcW w:w="1960" w:type="dxa"/>
            <w:vAlign w:val="bottom"/>
            <w:gridSpan w:val="2"/>
            <w:shd w:val="clear" w:color="auto" w:fill="CCEEFF"/>
          </w:tcPr>
          <w:p>
            <w:pPr>
              <w:jc w:val="right"/>
              <w:ind w:right="167"/>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251,237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309,422</w:t>
            </w:r>
          </w:p>
        </w:tc>
        <w:tc>
          <w:tcPr>
            <w:tcW w:w="360" w:type="dxa"/>
            <w:vAlign w:val="bottom"/>
            <w:gridSpan w:val="3"/>
            <w:shd w:val="clear" w:color="auto" w:fill="CCEEFF"/>
          </w:tcPr>
          <w:p>
            <w:pPr>
              <w:jc w:val="right"/>
              <w:ind w:right="67"/>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905,673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952,282</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5"/>
                <w:szCs w:val="15"/>
                <w:b w:val="1"/>
                <w:bCs w:val="1"/>
                <w:color w:val="auto"/>
              </w:rPr>
              <w:t>Gross profit (loss)</w:t>
            </w:r>
          </w:p>
        </w:tc>
        <w:tc>
          <w:tcPr>
            <w:tcW w:w="1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00" w:type="dxa"/>
            <w:vAlign w:val="bottom"/>
            <w:vMerge w:val="continue"/>
          </w:tcPr>
          <w:p>
            <w:pPr>
              <w:spacing w:after="0"/>
              <w:rPr>
                <w:sz w:val="15"/>
                <w:szCs w:val="15"/>
                <w:color w:val="auto"/>
              </w:rPr>
            </w:pPr>
          </w:p>
        </w:tc>
        <w:tc>
          <w:tcPr>
            <w:tcW w:w="1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0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Electrical Infrastructure</w:t>
            </w:r>
          </w:p>
        </w:tc>
        <w:tc>
          <w:tcPr>
            <w:tcW w:w="1960" w:type="dxa"/>
            <w:vAlign w:val="bottom"/>
            <w:tcBorders>
              <w:bottom w:val="single" w:sz="8" w:color="CCEEFF"/>
            </w:tcBorders>
            <w:gridSpan w:val="2"/>
            <w:shd w:val="clear" w:color="auto" w:fill="CCEEFF"/>
          </w:tcPr>
          <w:p>
            <w:pPr>
              <w:jc w:val="right"/>
              <w:ind w:right="167"/>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color w:val="auto"/>
              </w:rPr>
              <w:t>(13,371)</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10,407</w:t>
            </w:r>
          </w:p>
        </w:tc>
        <w:tc>
          <w:tcPr>
            <w:tcW w:w="360" w:type="dxa"/>
            <w:vAlign w:val="bottom"/>
            <w:tcBorders>
              <w:bottom w:val="single" w:sz="8" w:color="CCEEFF"/>
            </w:tcBorders>
            <w:gridSpan w:val="3"/>
            <w:shd w:val="clear" w:color="auto" w:fill="CCEEFF"/>
          </w:tcPr>
          <w:p>
            <w:pPr>
              <w:jc w:val="right"/>
              <w:ind w:right="67"/>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(896)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19,136</w:t>
            </w:r>
          </w:p>
        </w:tc>
        <w:tc>
          <w:tcPr>
            <w:tcW w:w="0" w:type="dxa"/>
            <w:vAlign w:val="bottom"/>
          </w:tcPr>
          <w:p>
            <w:pPr>
              <w:spacing w:after="0"/>
              <w:rPr>
                <w:sz w:val="1"/>
                <w:szCs w:val="1"/>
                <w:color w:val="auto"/>
              </w:rPr>
            </w:pPr>
          </w:p>
        </w:tc>
      </w:tr>
      <w:tr>
        <w:trPr>
          <w:trHeight w:val="198"/>
        </w:trPr>
        <w:tc>
          <w:tcPr>
            <w:tcW w:w="4000" w:type="dxa"/>
            <w:vAlign w:val="bottom"/>
          </w:tcPr>
          <w:p>
            <w:pPr>
              <w:ind w:left="40"/>
              <w:spacing w:after="0"/>
              <w:rPr>
                <w:sz w:val="20"/>
                <w:szCs w:val="20"/>
                <w:color w:val="auto"/>
              </w:rPr>
            </w:pPr>
            <w:r>
              <w:rPr>
                <w:rFonts w:ascii="Arial" w:cs="Arial" w:eastAsia="Arial" w:hAnsi="Arial"/>
                <w:sz w:val="15"/>
                <w:szCs w:val="15"/>
                <w:color w:val="auto"/>
              </w:rPr>
              <w:t>Oil Gas &amp; Chemical</w:t>
            </w:r>
          </w:p>
        </w:tc>
        <w:tc>
          <w:tcPr>
            <w:tcW w:w="1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8"/>
              <w:spacing w:after="0"/>
              <w:rPr>
                <w:sz w:val="20"/>
                <w:szCs w:val="20"/>
                <w:color w:val="auto"/>
              </w:rPr>
            </w:pPr>
            <w:r>
              <w:rPr>
                <w:rFonts w:ascii="Arial" w:cs="Arial" w:eastAsia="Arial" w:hAnsi="Arial"/>
                <w:sz w:val="15"/>
                <w:szCs w:val="15"/>
                <w:color w:val="auto"/>
              </w:rPr>
              <w:t>4,333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5"/>
                <w:szCs w:val="15"/>
                <w:color w:val="auto"/>
              </w:rPr>
              <w:t>2,616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9"/>
              <w:spacing w:after="0"/>
              <w:rPr>
                <w:sz w:val="20"/>
                <w:szCs w:val="20"/>
                <w:color w:val="auto"/>
              </w:rPr>
            </w:pPr>
            <w:r>
              <w:rPr>
                <w:rFonts w:ascii="Arial" w:cs="Arial" w:eastAsia="Arial" w:hAnsi="Arial"/>
                <w:sz w:val="15"/>
                <w:szCs w:val="15"/>
                <w:color w:val="auto"/>
              </w:rPr>
              <w:t>6,765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5"/>
                <w:szCs w:val="15"/>
                <w:color w:val="auto"/>
              </w:rPr>
              <w:t>14,270</w:t>
            </w:r>
          </w:p>
        </w:tc>
        <w:tc>
          <w:tcPr>
            <w:tcW w:w="0" w:type="dxa"/>
            <w:vAlign w:val="bottom"/>
          </w:tcPr>
          <w:p>
            <w:pPr>
              <w:spacing w:after="0"/>
              <w:rPr>
                <w:sz w:val="1"/>
                <w:szCs w:val="1"/>
                <w:color w:val="auto"/>
              </w:rPr>
            </w:pPr>
          </w:p>
        </w:tc>
      </w:tr>
      <w:tr>
        <w:trPr>
          <w:trHeight w:val="22"/>
        </w:trPr>
        <w:tc>
          <w:tcPr>
            <w:tcW w:w="40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Storage Solutions</w:t>
            </w:r>
          </w:p>
        </w:tc>
        <w:tc>
          <w:tcPr>
            <w:tcW w:w="16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5,456</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15,108</w:t>
            </w: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48,980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49,766</w:t>
            </w:r>
          </w:p>
        </w:tc>
        <w:tc>
          <w:tcPr>
            <w:tcW w:w="0" w:type="dxa"/>
            <w:vAlign w:val="bottom"/>
          </w:tcPr>
          <w:p>
            <w:pPr>
              <w:spacing w:after="0"/>
              <w:rPr>
                <w:sz w:val="1"/>
                <w:szCs w:val="1"/>
                <w:color w:val="auto"/>
              </w:rPr>
            </w:pPr>
          </w:p>
        </w:tc>
      </w:tr>
      <w:tr>
        <w:trPr>
          <w:trHeight w:val="198"/>
        </w:trPr>
        <w:tc>
          <w:tcPr>
            <w:tcW w:w="4000" w:type="dxa"/>
            <w:vAlign w:val="bottom"/>
          </w:tcPr>
          <w:p>
            <w:pPr>
              <w:ind w:left="40"/>
              <w:spacing w:after="0"/>
              <w:rPr>
                <w:sz w:val="20"/>
                <w:szCs w:val="20"/>
                <w:color w:val="auto"/>
              </w:rPr>
            </w:pPr>
            <w:r>
              <w:rPr>
                <w:rFonts w:ascii="Arial" w:cs="Arial" w:eastAsia="Arial" w:hAnsi="Arial"/>
                <w:sz w:val="15"/>
                <w:szCs w:val="15"/>
                <w:color w:val="auto"/>
              </w:rPr>
              <w:t>Industrial</w:t>
            </w:r>
          </w:p>
        </w:tc>
        <w:tc>
          <w:tcPr>
            <w:tcW w:w="1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8"/>
              <w:spacing w:after="0"/>
              <w:rPr>
                <w:sz w:val="20"/>
                <w:szCs w:val="20"/>
                <w:color w:val="auto"/>
              </w:rPr>
            </w:pPr>
            <w:r>
              <w:rPr>
                <w:rFonts w:ascii="Arial" w:cs="Arial" w:eastAsia="Arial" w:hAnsi="Arial"/>
                <w:sz w:val="15"/>
                <w:szCs w:val="15"/>
                <w:color w:val="auto"/>
              </w:rPr>
              <w:t>968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(828)</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9"/>
              <w:spacing w:after="0"/>
              <w:rPr>
                <w:sz w:val="20"/>
                <w:szCs w:val="20"/>
                <w:color w:val="auto"/>
              </w:rPr>
            </w:pPr>
            <w:r>
              <w:rPr>
                <w:rFonts w:ascii="Arial" w:cs="Arial" w:eastAsia="Arial" w:hAnsi="Arial"/>
                <w:sz w:val="15"/>
                <w:szCs w:val="15"/>
                <w:color w:val="auto"/>
              </w:rPr>
              <w:t>3,027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5"/>
                <w:szCs w:val="15"/>
                <w:color w:val="auto"/>
              </w:rPr>
              <w:t>8,720</w:t>
            </w:r>
          </w:p>
        </w:tc>
        <w:tc>
          <w:tcPr>
            <w:tcW w:w="0" w:type="dxa"/>
            <w:vAlign w:val="bottom"/>
          </w:tcPr>
          <w:p>
            <w:pPr>
              <w:spacing w:after="0"/>
              <w:rPr>
                <w:sz w:val="1"/>
                <w:szCs w:val="1"/>
                <w:color w:val="auto"/>
              </w:rPr>
            </w:pPr>
          </w:p>
        </w:tc>
      </w:tr>
      <w:tr>
        <w:trPr>
          <w:trHeight w:val="22"/>
        </w:trPr>
        <w:tc>
          <w:tcPr>
            <w:tcW w:w="40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40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gross profit (loss)</w:t>
            </w:r>
          </w:p>
        </w:tc>
        <w:tc>
          <w:tcPr>
            <w:tcW w:w="1960" w:type="dxa"/>
            <w:vAlign w:val="bottom"/>
            <w:gridSpan w:val="2"/>
            <w:shd w:val="clear" w:color="auto" w:fill="CCEEFF"/>
          </w:tcPr>
          <w:p>
            <w:pPr>
              <w:jc w:val="right"/>
              <w:ind w:right="167"/>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(2,614)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27,303</w:t>
            </w:r>
          </w:p>
        </w:tc>
        <w:tc>
          <w:tcPr>
            <w:tcW w:w="360" w:type="dxa"/>
            <w:vAlign w:val="bottom"/>
            <w:gridSpan w:val="3"/>
            <w:shd w:val="clear" w:color="auto" w:fill="CCEEFF"/>
          </w:tcPr>
          <w:p>
            <w:pPr>
              <w:jc w:val="right"/>
              <w:ind w:right="67"/>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57,876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91,892</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5"/>
                <w:szCs w:val="15"/>
                <w:b w:val="1"/>
                <w:bCs w:val="1"/>
                <w:color w:val="auto"/>
              </w:rPr>
              <w:t>Operating income (loss)</w:t>
            </w:r>
          </w:p>
        </w:tc>
        <w:tc>
          <w:tcPr>
            <w:tcW w:w="1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00" w:type="dxa"/>
            <w:vAlign w:val="bottom"/>
            <w:vMerge w:val="continue"/>
          </w:tcPr>
          <w:p>
            <w:pPr>
              <w:spacing w:after="0"/>
              <w:rPr>
                <w:sz w:val="15"/>
                <w:szCs w:val="15"/>
                <w:color w:val="auto"/>
              </w:rPr>
            </w:pPr>
          </w:p>
        </w:tc>
        <w:tc>
          <w:tcPr>
            <w:tcW w:w="1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0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Electrical Infrastructure</w:t>
            </w:r>
          </w:p>
        </w:tc>
        <w:tc>
          <w:tcPr>
            <w:tcW w:w="1960" w:type="dxa"/>
            <w:vAlign w:val="bottom"/>
            <w:tcBorders>
              <w:bottom w:val="single" w:sz="8" w:color="CCEEFF"/>
            </w:tcBorders>
            <w:gridSpan w:val="2"/>
            <w:shd w:val="clear" w:color="auto" w:fill="CCEEFF"/>
          </w:tcPr>
          <w:p>
            <w:pPr>
              <w:jc w:val="right"/>
              <w:ind w:right="167"/>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color w:val="auto"/>
              </w:rPr>
              <w:t>(16,306)</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4,948</w:t>
            </w:r>
          </w:p>
        </w:tc>
        <w:tc>
          <w:tcPr>
            <w:tcW w:w="360" w:type="dxa"/>
            <w:vAlign w:val="bottom"/>
            <w:tcBorders>
              <w:bottom w:val="single" w:sz="8" w:color="CCEEFF"/>
            </w:tcBorders>
            <w:gridSpan w:val="3"/>
            <w:shd w:val="clear" w:color="auto" w:fill="CCEEFF"/>
          </w:tcPr>
          <w:p>
            <w:pPr>
              <w:jc w:val="right"/>
              <w:ind w:right="67"/>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(13,085)</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5,425</w:t>
            </w:r>
          </w:p>
        </w:tc>
        <w:tc>
          <w:tcPr>
            <w:tcW w:w="0" w:type="dxa"/>
            <w:vAlign w:val="bottom"/>
          </w:tcPr>
          <w:p>
            <w:pPr>
              <w:spacing w:after="0"/>
              <w:rPr>
                <w:sz w:val="1"/>
                <w:szCs w:val="1"/>
                <w:color w:val="auto"/>
              </w:rPr>
            </w:pPr>
          </w:p>
        </w:tc>
      </w:tr>
      <w:tr>
        <w:trPr>
          <w:trHeight w:val="198"/>
        </w:trPr>
        <w:tc>
          <w:tcPr>
            <w:tcW w:w="4000" w:type="dxa"/>
            <w:vAlign w:val="bottom"/>
          </w:tcPr>
          <w:p>
            <w:pPr>
              <w:ind w:left="40"/>
              <w:spacing w:after="0"/>
              <w:rPr>
                <w:sz w:val="20"/>
                <w:szCs w:val="20"/>
                <w:color w:val="auto"/>
              </w:rPr>
            </w:pPr>
            <w:r>
              <w:rPr>
                <w:rFonts w:ascii="Arial" w:cs="Arial" w:eastAsia="Arial" w:hAnsi="Arial"/>
                <w:sz w:val="15"/>
                <w:szCs w:val="15"/>
                <w:color w:val="auto"/>
              </w:rPr>
              <w:t>Oil Gas &amp; Chemical</w:t>
            </w:r>
          </w:p>
        </w:tc>
        <w:tc>
          <w:tcPr>
            <w:tcW w:w="1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5"/>
                <w:szCs w:val="15"/>
                <w:color w:val="auto"/>
              </w:rPr>
              <w:t>(2,199)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(1,964)</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(7,054)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(3,577)</w:t>
            </w:r>
          </w:p>
        </w:tc>
        <w:tc>
          <w:tcPr>
            <w:tcW w:w="0" w:type="dxa"/>
            <w:vAlign w:val="bottom"/>
          </w:tcPr>
          <w:p>
            <w:pPr>
              <w:spacing w:after="0"/>
              <w:rPr>
                <w:sz w:val="1"/>
                <w:szCs w:val="1"/>
                <w:color w:val="auto"/>
              </w:rPr>
            </w:pPr>
          </w:p>
        </w:tc>
      </w:tr>
      <w:tr>
        <w:trPr>
          <w:trHeight w:val="22"/>
        </w:trPr>
        <w:tc>
          <w:tcPr>
            <w:tcW w:w="40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Storage Solutions</w:t>
            </w:r>
          </w:p>
        </w:tc>
        <w:tc>
          <w:tcPr>
            <w:tcW w:w="16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color w:val="auto"/>
              </w:rPr>
              <w:t>(1,552)</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6,382</w:t>
            </w: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23,463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24,305</w:t>
            </w:r>
          </w:p>
        </w:tc>
        <w:tc>
          <w:tcPr>
            <w:tcW w:w="0" w:type="dxa"/>
            <w:vAlign w:val="bottom"/>
          </w:tcPr>
          <w:p>
            <w:pPr>
              <w:spacing w:after="0"/>
              <w:rPr>
                <w:sz w:val="1"/>
                <w:szCs w:val="1"/>
                <w:color w:val="auto"/>
              </w:rPr>
            </w:pPr>
          </w:p>
        </w:tc>
      </w:tr>
      <w:tr>
        <w:trPr>
          <w:trHeight w:val="198"/>
        </w:trPr>
        <w:tc>
          <w:tcPr>
            <w:tcW w:w="4000" w:type="dxa"/>
            <w:vAlign w:val="bottom"/>
          </w:tcPr>
          <w:p>
            <w:pPr>
              <w:ind w:left="40"/>
              <w:spacing w:after="0"/>
              <w:rPr>
                <w:sz w:val="20"/>
                <w:szCs w:val="20"/>
                <w:color w:val="auto"/>
              </w:rPr>
            </w:pPr>
            <w:r>
              <w:rPr>
                <w:rFonts w:ascii="Arial" w:cs="Arial" w:eastAsia="Arial" w:hAnsi="Arial"/>
                <w:sz w:val="15"/>
                <w:szCs w:val="15"/>
                <w:color w:val="auto"/>
              </w:rPr>
              <w:t>Industrial</w:t>
            </w:r>
          </w:p>
        </w:tc>
        <w:tc>
          <w:tcPr>
            <w:tcW w:w="1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5"/>
                <w:szCs w:val="15"/>
                <w:color w:val="auto"/>
              </w:rPr>
              <w:t>(1,153)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(3,019)</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(1,996)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5"/>
                <w:szCs w:val="15"/>
                <w:color w:val="auto"/>
              </w:rPr>
              <w:t>230</w:t>
            </w:r>
          </w:p>
        </w:tc>
        <w:tc>
          <w:tcPr>
            <w:tcW w:w="0" w:type="dxa"/>
            <w:vAlign w:val="bottom"/>
          </w:tcPr>
          <w:p>
            <w:pPr>
              <w:spacing w:after="0"/>
              <w:rPr>
                <w:sz w:val="1"/>
                <w:szCs w:val="1"/>
                <w:color w:val="auto"/>
              </w:rPr>
            </w:pPr>
          </w:p>
        </w:tc>
      </w:tr>
      <w:tr>
        <w:trPr>
          <w:trHeight w:val="22"/>
        </w:trPr>
        <w:tc>
          <w:tcPr>
            <w:tcW w:w="40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40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operating income (loss)</w:t>
            </w:r>
          </w:p>
        </w:tc>
        <w:tc>
          <w:tcPr>
            <w:tcW w:w="1960" w:type="dxa"/>
            <w:vAlign w:val="bottom"/>
            <w:gridSpan w:val="2"/>
            <w:shd w:val="clear" w:color="auto" w:fill="CCEEFF"/>
          </w:tcPr>
          <w:p>
            <w:pPr>
              <w:jc w:val="right"/>
              <w:ind w:right="167"/>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(21,210)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6,347</w:t>
            </w:r>
          </w:p>
        </w:tc>
        <w:tc>
          <w:tcPr>
            <w:tcW w:w="360" w:type="dxa"/>
            <w:vAlign w:val="bottom"/>
            <w:gridSpan w:val="3"/>
            <w:shd w:val="clear" w:color="auto" w:fill="CCEEFF"/>
          </w:tcPr>
          <w:p>
            <w:pPr>
              <w:jc w:val="right"/>
              <w:ind w:right="67"/>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1,328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26,383</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Total assets by segment were as follows:</w:t>
            </w:r>
          </w:p>
        </w:tc>
        <w:tc>
          <w:tcPr>
            <w:tcW w:w="1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400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3"/>
              </w:rPr>
              <w:t>March 31,</w:t>
            </w:r>
          </w:p>
        </w:tc>
        <w:tc>
          <w:tcPr>
            <w:tcW w:w="260" w:type="dxa"/>
            <w:vAlign w:val="bottom"/>
          </w:tcPr>
          <w:p>
            <w:pPr>
              <w:spacing w:after="0"/>
              <w:rPr>
                <w:sz w:val="20"/>
                <w:szCs w:val="20"/>
                <w:color w:val="auto"/>
              </w:rPr>
            </w:pPr>
          </w:p>
        </w:tc>
        <w:tc>
          <w:tcPr>
            <w:tcW w:w="1100" w:type="dxa"/>
            <w:vAlign w:val="bottom"/>
          </w:tcPr>
          <w:p>
            <w:pPr>
              <w:jc w:val="center"/>
              <w:ind w:right="208"/>
              <w:spacing w:after="0"/>
              <w:rPr>
                <w:sz w:val="20"/>
                <w:szCs w:val="20"/>
                <w:color w:val="auto"/>
              </w:rPr>
            </w:pPr>
            <w:r>
              <w:rPr>
                <w:rFonts w:ascii="Arial" w:cs="Arial" w:eastAsia="Arial" w:hAnsi="Arial"/>
                <w:sz w:val="12"/>
                <w:szCs w:val="12"/>
                <w:b w:val="1"/>
                <w:bCs w:val="1"/>
                <w:color w:val="auto"/>
                <w:w w:val="87"/>
              </w:rPr>
              <w:t>June 30,</w:t>
            </w:r>
          </w:p>
        </w:tc>
        <w:tc>
          <w:tcPr>
            <w:tcW w:w="0" w:type="dxa"/>
            <w:vAlign w:val="bottom"/>
          </w:tcPr>
          <w:p>
            <w:pPr>
              <w:spacing w:after="0"/>
              <w:rPr>
                <w:sz w:val="1"/>
                <w:szCs w:val="1"/>
                <w:color w:val="auto"/>
              </w:rPr>
            </w:pPr>
          </w:p>
        </w:tc>
      </w:tr>
      <w:tr>
        <w:trPr>
          <w:trHeight w:val="156"/>
        </w:trPr>
        <w:tc>
          <w:tcPr>
            <w:tcW w:w="4000" w:type="dxa"/>
            <w:vAlign w:val="bottom"/>
            <w:tcBorders>
              <w:bottom w:val="single" w:sz="8" w:color="CCEEFF"/>
            </w:tcBorders>
          </w:tcPr>
          <w:p>
            <w:pPr>
              <w:spacing w:after="0"/>
              <w:rPr>
                <w:sz w:val="13"/>
                <w:szCs w:val="13"/>
                <w:color w:val="auto"/>
              </w:rPr>
            </w:pPr>
          </w:p>
        </w:tc>
        <w:tc>
          <w:tcPr>
            <w:tcW w:w="162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0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209"/>
              <w:spacing w:after="0"/>
              <w:rPr>
                <w:sz w:val="20"/>
                <w:szCs w:val="20"/>
                <w:color w:val="auto"/>
              </w:rPr>
            </w:pPr>
            <w:r>
              <w:rPr>
                <w:rFonts w:ascii="Arial" w:cs="Arial" w:eastAsia="Arial" w:hAnsi="Arial"/>
                <w:sz w:val="12"/>
                <w:szCs w:val="12"/>
                <w:b w:val="1"/>
                <w:bCs w:val="1"/>
                <w:color w:val="auto"/>
                <w:w w:val="89"/>
              </w:rPr>
              <w:t>2017</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88"/>
              <w:spacing w:after="0"/>
              <w:rPr>
                <w:sz w:val="20"/>
                <w:szCs w:val="20"/>
                <w:color w:val="auto"/>
              </w:rPr>
            </w:pPr>
            <w:r>
              <w:rPr>
                <w:rFonts w:ascii="Arial" w:cs="Arial" w:eastAsia="Arial" w:hAnsi="Arial"/>
                <w:sz w:val="12"/>
                <w:szCs w:val="12"/>
                <w:b w:val="1"/>
                <w:bCs w:val="1"/>
                <w:color w:val="auto"/>
                <w:w w:val="89"/>
              </w:rPr>
              <w:t>2016</w:t>
            </w:r>
          </w:p>
        </w:tc>
        <w:tc>
          <w:tcPr>
            <w:tcW w:w="0" w:type="dxa"/>
            <w:vAlign w:val="bottom"/>
          </w:tcPr>
          <w:p>
            <w:pPr>
              <w:spacing w:after="0"/>
              <w:rPr>
                <w:sz w:val="1"/>
                <w:szCs w:val="1"/>
                <w:color w:val="auto"/>
              </w:rPr>
            </w:pPr>
          </w:p>
        </w:tc>
      </w:tr>
      <w:tr>
        <w:trPr>
          <w:trHeight w:val="19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Electrical Infrastructure</w:t>
            </w:r>
          </w:p>
        </w:tc>
        <w:tc>
          <w:tcPr>
            <w:tcW w:w="16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3"/>
            <w:shd w:val="clear" w:color="auto" w:fill="CCEEFF"/>
          </w:tcPr>
          <w:p>
            <w:pPr>
              <w:jc w:val="right"/>
              <w:ind w:right="107"/>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167,280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135,298</w:t>
            </w:r>
          </w:p>
        </w:tc>
        <w:tc>
          <w:tcPr>
            <w:tcW w:w="0" w:type="dxa"/>
            <w:vAlign w:val="bottom"/>
          </w:tcPr>
          <w:p>
            <w:pPr>
              <w:spacing w:after="0"/>
              <w:rPr>
                <w:sz w:val="1"/>
                <w:szCs w:val="1"/>
                <w:color w:val="auto"/>
              </w:rPr>
            </w:pPr>
          </w:p>
        </w:tc>
      </w:tr>
      <w:tr>
        <w:trPr>
          <w:trHeight w:val="198"/>
        </w:trPr>
        <w:tc>
          <w:tcPr>
            <w:tcW w:w="4000" w:type="dxa"/>
            <w:vAlign w:val="bottom"/>
          </w:tcPr>
          <w:p>
            <w:pPr>
              <w:ind w:left="40"/>
              <w:spacing w:after="0"/>
              <w:rPr>
                <w:sz w:val="20"/>
                <w:szCs w:val="20"/>
                <w:color w:val="auto"/>
              </w:rPr>
            </w:pPr>
            <w:r>
              <w:rPr>
                <w:rFonts w:ascii="Arial" w:cs="Arial" w:eastAsia="Arial" w:hAnsi="Arial"/>
                <w:sz w:val="15"/>
                <w:szCs w:val="15"/>
                <w:color w:val="auto"/>
              </w:rPr>
              <w:t>Oil Gas &amp; Chemical</w:t>
            </w:r>
          </w:p>
        </w:tc>
        <w:tc>
          <w:tcPr>
            <w:tcW w:w="1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9"/>
              <w:spacing w:after="0"/>
              <w:rPr>
                <w:sz w:val="20"/>
                <w:szCs w:val="20"/>
                <w:color w:val="auto"/>
              </w:rPr>
            </w:pPr>
            <w:r>
              <w:rPr>
                <w:rFonts w:ascii="Arial" w:cs="Arial" w:eastAsia="Arial" w:hAnsi="Arial"/>
                <w:sz w:val="15"/>
                <w:szCs w:val="15"/>
                <w:color w:val="auto"/>
              </w:rPr>
              <w:t>142,551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5"/>
                <w:szCs w:val="15"/>
                <w:color w:val="auto"/>
              </w:rPr>
              <w:t>91,350</w:t>
            </w:r>
          </w:p>
        </w:tc>
        <w:tc>
          <w:tcPr>
            <w:tcW w:w="0" w:type="dxa"/>
            <w:vAlign w:val="bottom"/>
          </w:tcPr>
          <w:p>
            <w:pPr>
              <w:spacing w:after="0"/>
              <w:rPr>
                <w:sz w:val="1"/>
                <w:szCs w:val="1"/>
                <w:color w:val="auto"/>
              </w:rPr>
            </w:pPr>
          </w:p>
        </w:tc>
      </w:tr>
      <w:tr>
        <w:trPr>
          <w:trHeight w:val="22"/>
        </w:trPr>
        <w:tc>
          <w:tcPr>
            <w:tcW w:w="40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Storage Solutions</w:t>
            </w:r>
          </w:p>
        </w:tc>
        <w:tc>
          <w:tcPr>
            <w:tcW w:w="16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169,829</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201,875</w:t>
            </w:r>
          </w:p>
        </w:tc>
        <w:tc>
          <w:tcPr>
            <w:tcW w:w="0" w:type="dxa"/>
            <w:vAlign w:val="bottom"/>
          </w:tcPr>
          <w:p>
            <w:pPr>
              <w:spacing w:after="0"/>
              <w:rPr>
                <w:sz w:val="1"/>
                <w:szCs w:val="1"/>
                <w:color w:val="auto"/>
              </w:rPr>
            </w:pPr>
          </w:p>
        </w:tc>
      </w:tr>
      <w:tr>
        <w:trPr>
          <w:trHeight w:val="198"/>
        </w:trPr>
        <w:tc>
          <w:tcPr>
            <w:tcW w:w="4000" w:type="dxa"/>
            <w:vAlign w:val="bottom"/>
          </w:tcPr>
          <w:p>
            <w:pPr>
              <w:ind w:left="40"/>
              <w:spacing w:after="0"/>
              <w:rPr>
                <w:sz w:val="20"/>
                <w:szCs w:val="20"/>
                <w:color w:val="auto"/>
              </w:rPr>
            </w:pPr>
            <w:r>
              <w:rPr>
                <w:rFonts w:ascii="Arial" w:cs="Arial" w:eastAsia="Arial" w:hAnsi="Arial"/>
                <w:sz w:val="15"/>
                <w:szCs w:val="15"/>
                <w:color w:val="auto"/>
              </w:rPr>
              <w:t>Industrial</w:t>
            </w:r>
          </w:p>
        </w:tc>
        <w:tc>
          <w:tcPr>
            <w:tcW w:w="1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9"/>
              <w:spacing w:after="0"/>
              <w:rPr>
                <w:sz w:val="20"/>
                <w:szCs w:val="20"/>
                <w:color w:val="auto"/>
              </w:rPr>
            </w:pPr>
            <w:r>
              <w:rPr>
                <w:rFonts w:ascii="Arial" w:cs="Arial" w:eastAsia="Arial" w:hAnsi="Arial"/>
                <w:sz w:val="15"/>
                <w:szCs w:val="15"/>
                <w:color w:val="auto"/>
              </w:rPr>
              <w:t>45,623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5"/>
                <w:szCs w:val="15"/>
                <w:color w:val="auto"/>
              </w:rPr>
              <w:t>67,569</w:t>
            </w:r>
          </w:p>
        </w:tc>
        <w:tc>
          <w:tcPr>
            <w:tcW w:w="0" w:type="dxa"/>
            <w:vAlign w:val="bottom"/>
          </w:tcPr>
          <w:p>
            <w:pPr>
              <w:spacing w:after="0"/>
              <w:rPr>
                <w:sz w:val="1"/>
                <w:szCs w:val="1"/>
                <w:color w:val="auto"/>
              </w:rPr>
            </w:pPr>
          </w:p>
        </w:tc>
      </w:tr>
      <w:tr>
        <w:trPr>
          <w:trHeight w:val="22"/>
        </w:trPr>
        <w:tc>
          <w:tcPr>
            <w:tcW w:w="40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Unallocated assets</w:t>
            </w:r>
          </w:p>
        </w:tc>
        <w:tc>
          <w:tcPr>
            <w:tcW w:w="16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54,985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68,875</w:t>
            </w:r>
          </w:p>
        </w:tc>
        <w:tc>
          <w:tcPr>
            <w:tcW w:w="0" w:type="dxa"/>
            <w:vAlign w:val="bottom"/>
          </w:tcPr>
          <w:p>
            <w:pPr>
              <w:spacing w:after="0"/>
              <w:rPr>
                <w:sz w:val="1"/>
                <w:szCs w:val="1"/>
                <w:color w:val="auto"/>
              </w:rPr>
            </w:pPr>
          </w:p>
        </w:tc>
      </w:tr>
      <w:tr>
        <w:trPr>
          <w:trHeight w:val="202"/>
        </w:trPr>
        <w:tc>
          <w:tcPr>
            <w:tcW w:w="4000" w:type="dxa"/>
            <w:vAlign w:val="bottom"/>
          </w:tcPr>
          <w:p>
            <w:pPr>
              <w:ind w:left="320"/>
              <w:spacing w:after="0"/>
              <w:rPr>
                <w:sz w:val="20"/>
                <w:szCs w:val="20"/>
                <w:color w:val="auto"/>
              </w:rPr>
            </w:pPr>
            <w:r>
              <w:rPr>
                <w:rFonts w:ascii="Arial" w:cs="Arial" w:eastAsia="Arial" w:hAnsi="Arial"/>
                <w:sz w:val="15"/>
                <w:szCs w:val="15"/>
                <w:color w:val="auto"/>
              </w:rPr>
              <w:t>Total segment assets</w:t>
            </w:r>
          </w:p>
        </w:tc>
        <w:tc>
          <w:tcPr>
            <w:tcW w:w="1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gridSpan w:val="2"/>
          </w:tcPr>
          <w:p>
            <w:pPr>
              <w:jc w:val="right"/>
              <w:ind w:right="107"/>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5"/>
                <w:szCs w:val="15"/>
                <w:color w:val="auto"/>
              </w:rPr>
              <w:t>580,268</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color w:val="auto"/>
              </w:rPr>
              <w:t>564,967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960" w:type="dxa"/>
            <w:vAlign w:val="bottom"/>
            <w:gridSpan w:val="2"/>
            <w:vMerge w:val="restart"/>
          </w:tcPr>
          <w:p>
            <w:pPr>
              <w:jc w:val="right"/>
              <w:ind w:right="7"/>
              <w:spacing w:after="0"/>
              <w:rPr>
                <w:sz w:val="20"/>
                <w:szCs w:val="20"/>
                <w:color w:val="auto"/>
              </w:rPr>
            </w:pPr>
            <w:r>
              <w:rPr>
                <w:rFonts w:ascii="Arial" w:cs="Arial" w:eastAsia="Arial" w:hAnsi="Arial"/>
                <w:sz w:val="15"/>
                <w:szCs w:val="15"/>
                <w:color w:val="auto"/>
              </w:rPr>
              <w:t>- 21-</w:t>
            </w: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000" w:type="dxa"/>
            <w:vAlign w:val="bottom"/>
          </w:tcPr>
          <w:p>
            <w:pPr>
              <w:spacing w:after="0"/>
              <w:rPr>
                <w:sz w:val="24"/>
                <w:szCs w:val="24"/>
                <w:color w:val="auto"/>
              </w:rPr>
            </w:pPr>
          </w:p>
        </w:tc>
        <w:tc>
          <w:tcPr>
            <w:tcW w:w="196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9" w:right="219" w:bottom="1440" w:gutter="0" w:footer="0" w:header="0"/>
        </w:sectPr>
      </w:pPr>
    </w:p>
    <w:bookmarkStart w:id="23" w:name="page24"/>
    <w:bookmarkEnd w:id="23"/>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 Management’s Discussion and Analysis of Financial Condition and Results of Operations</w:t>
      </w:r>
    </w:p>
    <w:p>
      <w:pPr>
        <w:spacing w:after="0" w:line="3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ESTIMATES</w:t>
      </w:r>
    </w:p>
    <w:p>
      <w:pPr>
        <w:spacing w:after="0" w:line="140"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There have been no material changes in our critical accounting policies from those reported in our fiscal 2016 Annual Report on Form 10-K filed with the SEC. For more information on our critical accounting policies, see Part II, Item 7 of our fiscal 2016 Annual Report on Form 10-K. The following section provides certain information with respect to our critical accounting estimates as of the close of our most recent quarterly period.</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Under percentage of completion accounting for fixed-priced contracts, contract revenues and earnings are recognized ratably over the contract term based on the proportion of actual costs incurred to total estimated costs. Our results were negatively impacted by an increased cost estimate related to a large project in the Electrical Infrastructure segment, which resulted in a decrease in gross profit. The financial impact of the project was a gross profit (loss) of ($18.9) million and ($13.7) million for the three and nine months ended March 31, 2017, respectively. The profit on future revenue related to this project will be recognized based on the current project forecast, which is at a greatly reduced gross profit margin. The change in cost estimate resulted from a deterioration in the financial forecast of the project during the third quarter and was caused by various factors that have delayed schedule progress and reduced productivity. The adjustment in the current period represents the Company’s estimate, based on the information currently available, of the impact of the increased forecasted cost to complete the project. The current forecast includes estimates for the expected outcome regarding reimbursement from the customer of additional costs incurred and expected to be incurred, as well as the receipt of schedule based incentive revenue currently included in the contract.</w:t>
      </w:r>
    </w:p>
    <w:p>
      <w:pPr>
        <w:spacing w:after="0" w:line="105"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Work on the project continues to progress; however, critical work remains, which is at risk from continued impacts to project costs and schedule. Therefore, it is possible that future changes in contract estimates, including those related to project costs, project timeline, receipt of schedule based incentive revenue, and the estimated recovery of additional costs, could occur and have a material positive or negative impact to our results of operations and financial position in subsequent accounting periods.</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Goodwill</w:t>
      </w:r>
    </w:p>
    <w:p>
      <w:pPr>
        <w:spacing w:after="0" w:line="136"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We performed our annual impairment test in the fourth quarter of fiscal 2016 to determine whether an impairment existed and to determine the amount of headroom. We define "headroom" as the percentage difference between the fair value of a reporting unit and its carrying value. The amount of headroom varies by reporting unit. Approximately 54% of our goodwill balance at May 31, 2016 was attributable to one reporting unit. This unit had headroom of 158%. The remaining goodwill was attributable to six reporting units, with headroom of between 17% and 488%. Our significant assumptions, including revenue growth rates, gross margins, discount rate, interest expense and other factors may change in light of changes in the economic and competitive environment in which we operate.</w:t>
      </w:r>
    </w:p>
    <w:p>
      <w:pPr>
        <w:spacing w:after="0" w:line="160" w:lineRule="exact"/>
        <w:rPr>
          <w:sz w:val="20"/>
          <w:szCs w:val="20"/>
          <w:color w:val="auto"/>
        </w:rPr>
      </w:pPr>
    </w:p>
    <w:p>
      <w:pPr>
        <w:jc w:val="both"/>
        <w:spacing w:after="0" w:line="293" w:lineRule="auto"/>
        <w:rPr>
          <w:sz w:val="20"/>
          <w:szCs w:val="20"/>
          <w:color w:val="auto"/>
        </w:rPr>
      </w:pPr>
      <w:r>
        <w:rPr>
          <w:rFonts w:ascii="Arial" w:cs="Arial" w:eastAsia="Arial" w:hAnsi="Arial"/>
          <w:sz w:val="13"/>
          <w:szCs w:val="13"/>
          <w:color w:val="auto"/>
        </w:rPr>
        <w:t>The Company performed its annual goodwill impairment test as of May 31, 2016, which did not indicate the existence of an impairment at that time. While the fiscal year-to-date financial performance of our Electrical Infrastructure, Oil Gas &amp; Chemical and Industrial segments are disappointing and have not met our expectations, the Company does not consider these results to be a triggering event requiring the performance of an interim goodwill impairment test. We believe the financial performance of our Oil Gas &amp; Chemical and Industrial segments is attributable to a cyclical, rather than structural, slowdown in the business and the financial performance of our Electrical Infrastructure segment is attributable to issues relating to one major project (as discussed in Note 3 - Uncompleted Contracts). The Company continues to consider these segments as core to its business and believes current operating results are not indicative of future performance. The Company will continue to monitor its operating results for indicators of impairment and perform additional tests as necessary. The Company's fiscal 2017 annual impairment test will be performed as of May 31, 2017, which could result in an impairment to goodwill depending on the Company’s finalized forecast for fiscal 2018 and other market conditions.</w:t>
      </w:r>
    </w:p>
    <w:p>
      <w:pPr>
        <w:spacing w:after="0" w:line="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Intangible Assets</w:t>
      </w:r>
    </w:p>
    <w:p>
      <w:pPr>
        <w:spacing w:after="0" w:line="13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Intangible assets that have finite useful lives are amortized by the straight-line method over their useful lives ranging from 1 to 15 years. The Company evaluates intangible assets with finite lives for impairment whenever events or circumstances indicate that the carrying value may not be recoverable. The Company did not observe any events or circumstances during the three months ended March 31, 2017 that would indicate that the carrying value of its intangible assets may not be recoverable. The Company's evaluation included values assigned to customer relationships in the iron and steel industry that, while improving, is still experiencing short to medium term weakness. If the Company's view of this market adversely changes or if other factors develop which change our view of the value of these relationships, the Company will reevaluate this conclusion.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- 22-</w:t>
      </w:r>
    </w:p>
    <w:p>
      <w:pPr>
        <w:sectPr>
          <w:pgSz w:w="11900" w:h="16838" w:orient="portrait"/>
          <w:cols w:equalWidth="0" w:num="1">
            <w:col w:w="11460"/>
          </w:cols>
          <w:pgMar w:left="220" w:top="305" w:right="219" w:bottom="1440" w:gutter="0" w:footer="0" w:header="0"/>
        </w:sectPr>
      </w:pPr>
    </w:p>
    <w:bookmarkStart w:id="24" w:name="page25"/>
    <w:bookmarkEnd w:id="24"/>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Unapproved Change Orders and Claims</w:t>
      </w:r>
    </w:p>
    <w:p>
      <w:pPr>
        <w:spacing w:after="0" w:line="136"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Costs and estimated earnings in excess of billings on uncompleted contracts included revenues for unapproved change orders and claims of $18.1 million at March 31, 2017 and $10.3 million at June 30, 2016. The amounts ultimately realized may be significantly different than the recorded amounts resulting in a material adjustment to future earnings.</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Insurance Reserves</w:t>
      </w:r>
    </w:p>
    <w:p>
      <w:pPr>
        <w:spacing w:after="0" w:line="136"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We maintain insurance coverage for various aspects of our operations. However, we retain exposure to potential losses through the use of deductibles, self-insured retentions and coverage limits. We establish reserves for claims using a combination of actuarially determined estimates and management judgments on a case-by-case basis and update our evaluations as further information becomes known. Judgments and assumptions, including the assumed losses for claims incurred but not reported, are inherent in our reserve accruals; as a result, changes in assumptions or claims experience could result in changes to these estimates in the future. If actual results of claim settlements are different than the amounts estimated, we may be exposed to gains and losses that could be significant.</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Recently Issued Accounting Standards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Accounting Standards Update 2014-09, Revenue from Contracts with Customers (Topic 606)</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On May 28, 2014, the Financial Accounting Standards Board ("FASB") issued Accounting Standards Update ("ASU") No. 2014-09. The standard outlines a single comprehensive model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The ASU also requires entities to disclose both quantitative and qualitative information that enables users of financial statements to understand the nature, amount, timing, and uncertainty of revenue and cash flows arising from contracts with customers. The ASU's disclosure requirements are significantly more comprehensive than those in existing revenue standards. The ASU applies to all contracts with customers except those that are within the scope of other topics in the FASB Accounting Standards Codification ("ASC"). The ASU is effective for annual reporting periods beginning after December 15, 2017, including interim reporting periods within that reporting period. Early adoption is permitted on a limited basis.</w:t>
      </w:r>
    </w:p>
    <w:p>
      <w:pPr>
        <w:spacing w:after="0" w:line="105"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Management is currently evaluating the impact of adopting the ASU on the Company's financial position, results of operations, cash flows and related disclosures. Adoption of this ASU is expected to affect the manner in which the Company determines the unit of account for its projects (i.e., performance obligations). Under existing guidance, the Company typically has multiple units of account for large complex projects. Upon adoption, the Company expects that similar projects may have fewer units of account, possibly just one unit of account in some cases, which will result in a more constant recognition of revenue and profit over the term of the project. The Company will adopt this standard on July 1, 2018 using the modified retrospective method of application, which may result in a cumulative effect adjustment to retained earnings as of the date of adoption.</w:t>
      </w:r>
    </w:p>
    <w:p>
      <w:pPr>
        <w:spacing w:after="0" w:line="102" w:lineRule="exact"/>
        <w:rPr>
          <w:sz w:val="20"/>
          <w:szCs w:val="20"/>
          <w:color w:val="auto"/>
        </w:rPr>
      </w:pPr>
    </w:p>
    <w:p>
      <w:pPr>
        <w:ind w:right="280"/>
        <w:spacing w:after="0" w:line="265" w:lineRule="auto"/>
        <w:rPr>
          <w:sz w:val="20"/>
          <w:szCs w:val="20"/>
          <w:color w:val="auto"/>
        </w:rPr>
      </w:pPr>
      <w:r>
        <w:rPr>
          <w:rFonts w:ascii="Arial" w:cs="Arial" w:eastAsia="Arial" w:hAnsi="Arial"/>
          <w:sz w:val="15"/>
          <w:szCs w:val="15"/>
          <w:i w:val="1"/>
          <w:iCs w:val="1"/>
          <w:color w:val="auto"/>
        </w:rPr>
        <w:t>Accounting Standards Update 2014-15, Presentation of Financial Statements-Going Concern (Subtopic 205-40): Disclosure of Uncertainties about an Entity’s Ability to Continue as a Going Concern</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On August 27, 2014, the FASB issued ASU 2014-15, which provides guidance on determining when and how reporting entities must disclose going-concern uncertainties in their financial statements. The new standard requires management to perform interim and annual assessments of an entity’s ability to continue as a going concern within one year of the date of issuance of the entity’s financial statements. Further, an entity must provide certain disclosures if there is “substantial doubt about the entity’s ability to continue as a going concern.” The FASB believes that requiring management to perform the assessment will enhance the timeliness, clarity, and consistency of related disclosures and improve convergence with international financial reporting standards ("IFRS") (which emphasize management’s responsibility for performing the going-concern assessment). However, the time horizon for the assessment (look-forward period) and the disclosure thresholds under U.S. GAAP and IFRS will continue to differ. The ASU is effective for annual periods ending after December 15, 2016, and interim periods thereafter; early adoption is permitted.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- 23-</w:t>
      </w:r>
    </w:p>
    <w:p>
      <w:pPr>
        <w:sectPr>
          <w:pgSz w:w="11900" w:h="16838" w:orient="portrait"/>
          <w:cols w:equalWidth="0" w:num="1">
            <w:col w:w="11460"/>
          </w:cols>
          <w:pgMar w:left="220" w:top="305" w:right="219" w:bottom="1440" w:gutter="0" w:footer="0" w:header="0"/>
        </w:sectPr>
      </w:pPr>
    </w:p>
    <w:bookmarkStart w:id="25" w:name="page26"/>
    <w:bookmarkEnd w:id="25"/>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The ASU was adopted during the Company's first fiscal quarter ending September 30, 2016. In connection with the adoption of the ASU, the Company now performs an assessment of its ability to continue as a going concern on a quarterly basis. Disclosure regarding the status of the Company's ability to continue as a going concern is required when there are conditions or events that raise substantial doubt about its ability to continue as a going concern within one year after the date that the financial statements are issued.</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Accounting Standards Update 2015-16, Business Combinations (Topic 805): Simplifying the Accounting for Measurement-Period Adjustments</w:t>
      </w:r>
    </w:p>
    <w:p>
      <w:pPr>
        <w:spacing w:after="0" w:line="136"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On September 25, 2015, the FASB issued ASU 2015-16 to simplify the accounting for measurement-period adjustments. The ASU was issued in response to stakeholder feedback that restatements of prior periods to reflect adjustments made to provisional amounts recognized in a business combination increase the cost and complexity of financial reporting but do not significantly improve the usefulness of the information. Under the ASU, an acquirer must recognize adjustments to provisional amounts that are identified during the measurement period in the reporting period in which the adjustment amounts are determined. The ASU also requires acquirers to present separately on the face of the income statement, or disclose in the notes, the portion of the amount recorded in current-period earnings by line item that would have been recorded in previous reporting periods if the adjustment to the provisional amounts had been recognized as of the acquisition date. For public business entities, the ASU is effective for fiscal years beginning after December 15, 2015, including interim periods within those fiscal years. We adopted this standard on July 1, 2016 with no material impact to the Company's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Accounting Standards Update 2016-02, Leases (Topic 842)</w:t>
      </w:r>
    </w:p>
    <w:p>
      <w:pPr>
        <w:spacing w:after="0" w:line="13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On February 25, 2016, the FASB issued ASU 2016-02. The amendments in this update require, among other things, that lessees recognize the following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Lessees and lessors must apply a modified retrospective transition approach for leases existing at, or entered into after, the beginning of the earliest comparative period presented in the financial statements. The ASU is effective for fiscal years beginning after December 15, 2018, including interim periods within those fiscal years. Early adoption is permitted, but we do not plan to do so at this time.</w:t>
      </w:r>
    </w:p>
    <w:p>
      <w:pPr>
        <w:spacing w:after="0" w:line="102"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We are currently evaluating the ASU's expected impact on our financial statements. Note 8 of Item 8. Financial Statements and Supplementary Data in our 2016 Form 10-K provides information about the timing and amount of future operating lease payments, which we believe is indicative of the materiality of adoption of the ASU to our financial statements.</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Accounting Standards Update 2016-09, Stock Compensation (Topic 718): Improvements to Employee Share-Based Payment Accounting</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On March 30, 2016, the FASB issued ASU 2016-09, which simplified several aspects of accounting for stock-based compensation transactions, including the accounting for income taxes and forfeitures and statutory tax withholding requirements. The Company adopted the ASU during its first fiscal quarter ending September 30, 2016. The following is a description of the key provisions of the ASU and their impacts to the Company's financial statements:</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u w:val="single" w:color="auto"/>
          <w:color w:val="auto"/>
        </w:rPr>
        <w:t>Accounting for Income Taxes</w:t>
      </w:r>
      <w:r>
        <w:rPr>
          <w:rFonts w:ascii="Arial" w:cs="Arial" w:eastAsia="Arial" w:hAnsi="Arial"/>
          <w:sz w:val="14"/>
          <w:szCs w:val="14"/>
          <w:color w:val="auto"/>
        </w:rPr>
        <w:t>: The amendments require the Company to recognize excess tax benefits or tax deficiencies in its provision for income taxes in its consolidated statements of income during the period of vesting or exercise of its nonvested deferred share awards and stock options, respectively, for which it expects to receive an income tax deduction. Previously, the Company recognized any excess tax benefits in additional paid-in capital ("APIC") in the balance sheet and any tax deficiencies were recognized as a reduction of APIC to the extent the Company has accumulated excess tax benefits. Any tax deficiencies in excess of accumulated excess tax benefits in APIC were recognized in the provision for income taxes. The amendments also require the Company to only present excess tax benefits and tax deficiencies in the operating section of its statements of cash flows as a component of deferred tax activity. Previously, the Company was required to present such items in both the financing section and operating section of its statements of cash flows. Amendments related to the recognition of excess tax benefits and tax deficiencies in income are required to be applied prospectively, and amendments related to the cash flow statement presentation of excess tax benefits and tax deficiencies may be applied either retrospectively or prospectively.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- 24-</w:t>
      </w:r>
    </w:p>
    <w:p>
      <w:pPr>
        <w:sectPr>
          <w:pgSz w:w="11900" w:h="16838" w:orient="portrait"/>
          <w:cols w:equalWidth="0" w:num="1">
            <w:col w:w="11460"/>
          </w:cols>
          <w:pgMar w:left="220" w:top="305" w:right="219" w:bottom="1440" w:gutter="0" w:footer="0" w:header="0"/>
        </w:sectPr>
      </w:pPr>
    </w:p>
    <w:bookmarkStart w:id="26" w:name="page27"/>
    <w:bookmarkEnd w:id="26"/>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The Company applied the amendments requiring the recognition of excess tax benefits and tax deficiencies in income prospectively. As a result, the Company recognized $0.5 million of excess tax benefits in its provision for income taxes during the nine months ended March 31, 2017, which increased basic and diluted earnings per share by $0.02. No material excess tax benefits or deficiencies were recognized during the three months ended March 31, 2017. Under the prior accounting standard, the Company would have recognized the excess tax benefits in equity as additional paid-in capital. The amendments relating to the presentation of excess tax benefits and tax deficiencies in the statement of cash flows were applied retrospectively. The effect of the retrospective adjustment was to eliminate the presentation of an operating cash outflow and a financing cash inflow for excess tax benefits on exercised stock options and vesting of deferred shares. These eliminations increased net cash provided by operating activities by $3.2 million and decreased net cash provided by financing activities by $3.2 million for the nine months ended March 31, 2016. Net cash flows did not change as a result of the retrospective adjustment.</w:t>
      </w:r>
    </w:p>
    <w:p>
      <w:pPr>
        <w:spacing w:after="0" w:line="104" w:lineRule="exact"/>
        <w:rPr>
          <w:sz w:val="20"/>
          <w:szCs w:val="20"/>
          <w:color w:val="auto"/>
        </w:rPr>
      </w:pPr>
    </w:p>
    <w:p>
      <w:pPr>
        <w:jc w:val="both"/>
        <w:spacing w:after="0" w:line="250" w:lineRule="auto"/>
        <w:rPr>
          <w:sz w:val="20"/>
          <w:szCs w:val="20"/>
          <w:color w:val="auto"/>
        </w:rPr>
      </w:pPr>
      <w:r>
        <w:rPr>
          <w:rFonts w:ascii="Arial" w:cs="Arial" w:eastAsia="Arial" w:hAnsi="Arial"/>
          <w:sz w:val="15"/>
          <w:szCs w:val="15"/>
          <w:u w:val="single" w:color="auto"/>
          <w:color w:val="auto"/>
        </w:rPr>
        <w:t>Accounting for Forfeitures</w:t>
      </w:r>
      <w:r>
        <w:rPr>
          <w:rFonts w:ascii="Arial" w:cs="Arial" w:eastAsia="Arial" w:hAnsi="Arial"/>
          <w:sz w:val="15"/>
          <w:szCs w:val="15"/>
          <w:color w:val="auto"/>
        </w:rPr>
        <w:t>: The amendments in this ASU allow the Company to elect, as a company-wide accounting policy, either to continue to estimate the amount of forfeitures to exclude from compensation expense or to exclude forfeitures from compensation expense as they occur. Upon the adoption of the ASU during the first quarter of fiscal 2017, the Company elected to account for forfeitures as they occur. The Company is required to apply these amendments on a modified retrospective basis with a cumulative adjustment to retained earnings as of the beginning of the fiscal year. The Company recorded a modified retrospective adjustment to reduce the June 30, 2016 retained earnings balance and increase the additional paid-in capital balance by $0.1 million each.</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4"/>
          <w:szCs w:val="14"/>
          <w:u w:val="single" w:color="auto"/>
          <w:color w:val="auto"/>
        </w:rPr>
        <w:t>Statutory Tax Withholding Requirements</w:t>
      </w:r>
      <w:r>
        <w:rPr>
          <w:rFonts w:ascii="Arial" w:cs="Arial" w:eastAsia="Arial" w:hAnsi="Arial"/>
          <w:sz w:val="14"/>
          <w:szCs w:val="14"/>
          <w:color w:val="auto"/>
        </w:rPr>
        <w:t>: Under the prior accounting standard, an entire award must be classified as a liability if the fair value of the shares withheld exceeds the Company's minimum statutory withholding obligation. Under the ASU, the Company is allowed to withhold shares with a fair value up to the amount of tax owed using the maximum statutory tax rate in the employee's applicable jurisdictions. The Company is allowed to determine one maximum rate for all employees in each jurisdiction, rather than a rate for each employee in the jurisdiction. Also, the ASU requires that cash outflows to reacquire shares withheld for taxes to be classified in the financing section of the statement of cash flows.</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Company adopted the ASU during the first quarter of fiscal 2017. Since the Company did not have any awards classified as liabilities due to statutory tax withholding requirements as of December 31, 2016, and since the Company already presented its cash outflows for reacquiring shares withheld for taxes as a financing activity in its statements of cash flows, these amendments did not have any impact on its financial statements upon adoption. The Company does not expect changes to employee withholdings for stock compensation to have a material impact to the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Accounting Standards Update 2016-13, Financial Instruments - Credit Losses (Topic 326): Measurement of Credit Losses on Financial Instruments</w:t>
      </w:r>
    </w:p>
    <w:p>
      <w:pPr>
        <w:spacing w:after="0" w:line="136"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On June 16, 2016, the FASB issued ASU 2016-13, which will change how the Company accounts for its allowance for uncollectible accounts. The amendments in this update require a financial asset (or a group of financial assets) to be presented at the net amount expected to be collected. The income statement will reflect any increases or decreases of expected credit losses that have taken place during the period. The measurement of expected credit losses is based on relevant information about past events, including historical experience, current conditions, and reasonable and supportable forecasts that affect the collectibility of the reported amount.</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Current GAAP delays the recognition of the full amount of credit losses until the loss is probable of occurring. The amendments in this update eliminate the probable initial recognition threshold and, instead, reflect the Company's current estimate of all expected credit losses. In addition, current guidance limits the information the Company may consider in measuring a credit loss to its past events and current conditions. The amendments in this update broaden the information the Company may consider in developing its expected credit loss estimate to include forecasted information.</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amendments in this update are effective for the Company on July 1, 2020 and the Company may early adopt on July 1, 2019. The Company must apply the amendments in this update through a cumulative-effect adjustment to retained earnings as of the beginning of the first reporting period in which the guidance is effective. At this time, the Company does not expect this update to have a material impact to its estimate of the allowance for uncollectible accounts.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- 25-</w:t>
      </w:r>
    </w:p>
    <w:p>
      <w:pPr>
        <w:sectPr>
          <w:pgSz w:w="11900" w:h="16838" w:orient="portrait"/>
          <w:cols w:equalWidth="0" w:num="1">
            <w:col w:w="11460"/>
          </w:cols>
          <w:pgMar w:left="220" w:top="305" w:right="219" w:bottom="1440" w:gutter="0" w:footer="0" w:header="0"/>
        </w:sectPr>
      </w:pPr>
    </w:p>
    <w:bookmarkStart w:id="27" w:name="page28"/>
    <w:bookmarkEnd w:id="27"/>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Accounting Standards Update 2017-04, Intangibles - Goodwill and Other (Topic 350): Simplifying the Test for Goodwill Impairment</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On January 26, 2017, the FASB issued ASU 2017-04, which simplifies the goodwill impairment test by eliminating step two from the procedure. Previously, goodwill was tested for impairment by performing a two-step test. The first step involves determining the fair value of a reporting unit and comparing it to the carrying amount of the reporting unit's net assets. If the fair value of the reporting unit is less than its carrying amount, then the goodwill assigned to that reporting unit is determined to be impaired and step two must then be completed to measure the amount of the impairment. Step two involved measuring the reporting unit's assets and liabilities at fair value following a process similar to determining the fair value of assets acquired and liabilities assumed in a business combination. The net fair value of the assets acquired and liabilities assumed was then compared to the fair value of the reporting unit in order to compute the implied goodwill for the reporting unit. The difference between the carrying amount of the reporting unit's goodwill and the amount of the implied goodwill computed was the amount of the goodwill impairment to be recognized. Under ASU 2017-04, instead of performing step two of the test, the Company will recognize an impairment charge to the extent a reporting unit's fair value is less than the carrying amount of its net assets, as indicated by step one of the test.</w:t>
      </w:r>
    </w:p>
    <w:p>
      <w:pPr>
        <w:spacing w:after="0" w:line="105"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standard must be applied prospectively and must by adopted in fiscal years beginning after December 15, 2019. Early adoption is permitted and the Company is currently evaluating whether to adopt early. The Company's annual goodwill impairment test will be performed as of May 31, 2017.</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Overview</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We operate our business through four reportable segments: Electrical Infrastructure, Oil Gas &amp; Chemical, Storage Solutions, and Industrial.</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Electrical Infrastructure segment primarily encompasses construction and maintenance services to a variety of power generation facilities, such as combined cycle plants, natural gas fired power stations, and renewable energy installations. We also provide high voltage services to investor owned utilities, including construction of new substations, upgrades of existing substations, short-run transmission line installations, distribution upgrades and maintenance, and storm restoration services.</w:t>
      </w:r>
    </w:p>
    <w:p>
      <w:pPr>
        <w:spacing w:after="0" w:line="112"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The Oil Gas &amp; Chemical segment includes turnaround activities, plant maintenance, engineering and construction in the downstream and midstream petroleum industries. Our customers in these industries are engaged in refining crude oil and processing, fractionating, and marketing of natural gas and natural gas liquids. Another key offering is industrial cleaning services, which include hydroblasting, hydroexcavating, chemical cleaning and vacuum services. We also perform work in the petrochemical and upstream petroleum markets.</w:t>
      </w:r>
    </w:p>
    <w:p>
      <w:pPr>
        <w:spacing w:after="0" w:line="94"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The Storage Solutions segment includes new construction of crude and refined products aboveground storage tanks (“ASTs”), as well as planned and emergency maintenance services. The Storage Solutions segment also includes balance of plant work in storage terminals and tank farms. Also included in the Storage Solutions segment is work related to specialty storage tanks, including liquefied natural gas (“LNG”), liquid nitrogen/liquid oxygen (“LIN/LOX”), liquid petroleum (“LPG”) tanks and other specialty vessels, including spheres. Finally, we offer AST products, including geodesic domes, aluminum internal floating roofs, floating suction and skimmer systems, roof drain systems and floating roof seals.</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Industrial segment primarily includes construction and maintenance work in the iron and steel, mining and minerals, and agricultural industries. Our work in the mining and minerals industry is primarily for customers engaged in the extraction of copper. Our work in the agricultural industry includes the engineering and design of grain silos, docks and handling systems; the design of control system automation and materials handling for the food industry; and engineering, construction, process design and balance of plant work for fertilizer production facilities. We also perform work in bulk material handling, thermal vacuum chambers, and other industrial markets.</w:t>
      </w:r>
    </w:p>
    <w:p>
      <w:pPr>
        <w:spacing w:after="0" w:line="109" w:lineRule="exact"/>
        <w:rPr>
          <w:sz w:val="20"/>
          <w:szCs w:val="20"/>
          <w:color w:val="auto"/>
        </w:rPr>
      </w:pPr>
    </w:p>
    <w:p>
      <w:pPr>
        <w:ind w:right="5640"/>
        <w:spacing w:after="0" w:line="432" w:lineRule="auto"/>
        <w:rPr>
          <w:sz w:val="20"/>
          <w:szCs w:val="20"/>
          <w:color w:val="auto"/>
        </w:rPr>
      </w:pPr>
      <w:r>
        <w:rPr>
          <w:rFonts w:ascii="Arial" w:cs="Arial" w:eastAsia="Arial" w:hAnsi="Arial"/>
          <w:sz w:val="15"/>
          <w:szCs w:val="15"/>
          <w:b w:val="1"/>
          <w:bCs w:val="1"/>
          <w:color w:val="auto"/>
        </w:rPr>
        <w:t xml:space="preserve">Three Months Ended March 31, 2017 Compared to the Three Months Ended March 31, 2016 </w:t>
      </w:r>
      <w:r>
        <w:rPr>
          <w:rFonts w:ascii="Arial" w:cs="Arial" w:eastAsia="Arial" w:hAnsi="Arial"/>
          <w:sz w:val="15"/>
          <w:szCs w:val="15"/>
          <w:b w:val="1"/>
          <w:bCs w:val="1"/>
          <w:i w:val="1"/>
          <w:iCs w:val="1"/>
          <w:color w:val="auto"/>
        </w:rPr>
        <w:t>Consolidated</w:t>
      </w:r>
    </w:p>
    <w:p>
      <w:pPr>
        <w:jc w:val="both"/>
        <w:spacing w:after="0" w:line="255" w:lineRule="auto"/>
        <w:rPr>
          <w:sz w:val="20"/>
          <w:szCs w:val="20"/>
          <w:color w:val="auto"/>
        </w:rPr>
      </w:pPr>
      <w:r>
        <w:rPr>
          <w:rFonts w:ascii="Arial" w:cs="Arial" w:eastAsia="Arial" w:hAnsi="Arial"/>
          <w:sz w:val="15"/>
          <w:szCs w:val="15"/>
          <w:color w:val="auto"/>
        </w:rPr>
        <w:t>Consolidated revenue was $251.2 million for the three months ended March 31, 2017, compared to $309.4 million in the same period in the prior fiscal year. On a segment basis, consolidated revenue decreased in the Storage Solutions, Electrical Infrastructure and Industrial segments by $58.5 million, $12.4 million and $0.4 million, respectively. These decreases were partially offset by an increase in the Oil Gas &amp; Chemical segment of $13.2 million.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- 26-</w:t>
      </w:r>
    </w:p>
    <w:p>
      <w:pPr>
        <w:sectPr>
          <w:pgSz w:w="11900" w:h="16838" w:orient="portrait"/>
          <w:cols w:equalWidth="0" w:num="1">
            <w:col w:w="11460"/>
          </w:cols>
          <w:pgMar w:left="220" w:top="305" w:right="219" w:bottom="1440" w:gutter="0" w:footer="0" w:header="0"/>
        </w:sectPr>
      </w:pPr>
    </w:p>
    <w:bookmarkStart w:id="28" w:name="page29"/>
    <w:bookmarkEnd w:id="28"/>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Consolidated gross profit (loss) decreased from $27.3 million in the three months ended March 31, 2016 to $(2.6) million in the three months ended March 31, 2017. Gross margin decreased to (1.0)% in the three months ended March 31, 2017 compared to 8.8% in the same period in the prior fiscal year. The reduction in gross margin in fiscal 2017 is primarily attributable to the financial impact of an Electrical Infrastructure project, which decreased gross profit by $18.9 million (more fully discussed in Item 1. Financial Statements, Note 3 - Uncompleted Contracts) and lower volumes, which led to increased under recovery of construction overhead costs.</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Consolidated SG&amp;A expenses were $18.6 million in the three months ended March 31, 2017 compared to $21.0 million in the same period a year earlier. The decrease in fiscal 2017 was primarily attributable to the reversal of incentive compensation expense. Fiscal 2017 SG&amp;A expense included $0.4 million of acquisition and integration costs from the Houston Interests, LLC ("Houston Interests") acquisition (See Item 1. Financial Statements, Note 2 - Acquisitions) and fiscal 2016 SG&amp;A expense included $0.8 million of acquisition and integration costs from the Baillie Tank Equipment acquisition (See Item 1. Financial Statements, Note 2 - Acquisitions).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Net interest expense was $0.8 million and $0.2 million in the three months ended March 31, 2017 and 2016, respectively. The higher interest expense in fiscal 2017 is primarily attributable to the higher average debt balance in the current year, which is largely attributable to the borrowings used to fund the Houston Interests acquisition.</w:t>
      </w:r>
    </w:p>
    <w:p>
      <w:pPr>
        <w:spacing w:after="0" w:line="104" w:lineRule="exact"/>
        <w:rPr>
          <w:sz w:val="20"/>
          <w:szCs w:val="20"/>
          <w:color w:val="auto"/>
        </w:rPr>
      </w:pPr>
    </w:p>
    <w:p>
      <w:pPr>
        <w:jc w:val="both"/>
        <w:spacing w:after="0" w:line="303" w:lineRule="auto"/>
        <w:rPr>
          <w:sz w:val="20"/>
          <w:szCs w:val="20"/>
          <w:color w:val="auto"/>
        </w:rPr>
      </w:pPr>
      <w:r>
        <w:rPr>
          <w:rFonts w:ascii="Arial" w:cs="Arial" w:eastAsia="Arial" w:hAnsi="Arial"/>
          <w:sz w:val="13"/>
          <w:szCs w:val="13"/>
          <w:color w:val="auto"/>
        </w:rPr>
        <w:t>Our effective tax rate for the three months ended March 31, 2017 was 38.7% and 41.4% in the same period a year earlier. The fiscal 2017 tax rate was positively impacted by discrete benefits of $0.3 million primarily related to adjustments to state net operating loss carryforwards, a reduction in the blended state income tax rate and an increase in actual tax credits over estimated tax credits for fiscal 2016. These benefits were offset by a valuation allowance on deferred tax assets related to foreign tax credit carryforwards and stock compensation expense. The fiscal 2016 tax rate was positively impacted by a discrete benefits of $0.1 million related to the retroactive application of the R&amp;D tax credit and a foreign currency item related to our Canadian operations.</w:t>
      </w:r>
    </w:p>
    <w:p>
      <w:pPr>
        <w:spacing w:after="0" w:line="83"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For the three months ended March 31, 2017, net loss attributable to Matrix Service Company and the related fully diluted loss per share were $13.8 million and $0.52, respectively, compared to net income attributable to Matrix Service Company and related fully diluted earnings per share of $4.4 million and $0.16, respectively, in the same period a year earlier.</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Electrical Infrastructure</w:t>
      </w:r>
    </w:p>
    <w:p>
      <w:pPr>
        <w:spacing w:after="0" w:line="136"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Revenue for the Electrical Infrastructure segment decreased $12.4 million to $82.0 million in the three months ended March 31, 2017 compared to $94.4 million in the same period a year earlier. The decrease is due to lower transmission and distribution and power generation revenue. The gross margin of (16.3)% in fiscal 2017 was primarily attributable to the financial impact of the project mentioned in the consolidated discussion above, which decreased gross profit by $18.9 million (more fully discussed in Item 1. Financial Statements, Note 3 - Uncompleted Contracts). The fiscal 2016 gross margin was 11.0% during the same period.</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Oil Gas &amp; Chemical</w:t>
      </w:r>
    </w:p>
    <w:p>
      <w:pPr>
        <w:spacing w:after="0" w:line="136"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Revenue for the Oil Gas &amp; Chemical segment was $68.9 million in the three months ended March 31, 2017 compared to $55.7 million in the same period a year earlier. The increase of $13.2 million is primarily attributable to incremental revenues associated with the Houston Interests acquisition (See Item 1. Financial Statements, Note 2 - Acquisitions) and higher capital work, partially offset by lower turnaround and maintenance volumes. The gross margin was 6.3% for the three months ended March 31, 2017 compared to 4.7% in the same period last year. The gross margin for fiscal 2017 was positively impacted by the mix of higher margin work associated with the Houston Interests acquisition.</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Storage Solutions</w:t>
      </w:r>
    </w:p>
    <w:p>
      <w:pPr>
        <w:spacing w:after="0" w:line="136"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Revenue for the Storage Solutions segment was $74.1 million in the three months ended March 31, 2017 compared to $132.6 million in the same period a year earlier, a decrease of $58.5 million. The decrease is primarily attributable to decreased activity on the previously announced project for the construction of crude gathering terminals that support the Dakota Access pipeline compared to this same period a year ago, as well as lower volumes across the rest of our domestic storage business. The gross margin was 7.4% in the three months ended March 31, 2017 and 11.4% in the three months ended March 31, 2016. The lower gross margin in fiscal 2017 is primarily attributable to lower volumes, which led to increased under recovery of construction overhead costs. Work on the terminals that support the Dakota Access Pipeline is expected to be completed in fiscal 2017 and revenue will continue to decline on this project as it nears completion.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- 27-</w:t>
      </w:r>
    </w:p>
    <w:p>
      <w:pPr>
        <w:sectPr>
          <w:pgSz w:w="11900" w:h="16838" w:orient="portrait"/>
          <w:cols w:equalWidth="0" w:num="1">
            <w:col w:w="11460"/>
          </w:cols>
          <w:pgMar w:left="220" w:top="305" w:right="219" w:bottom="1440" w:gutter="0" w:footer="0" w:header="0"/>
        </w:sectPr>
      </w:pPr>
    </w:p>
    <w:bookmarkStart w:id="29" w:name="page30"/>
    <w:bookmarkEnd w:id="29"/>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Industrial</w:t>
      </w:r>
    </w:p>
    <w:p>
      <w:pPr>
        <w:spacing w:after="0" w:line="136"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Revenue for the Industrial segment decreased $0.4 million to $26.3 million in the three months ended March 31, 2017 compared to $26.7 million in the same period a year earlier. The decline in revenue is primarily attributable to lower business volumes in iron and steel and material handling, largely offset by work on a thermal vacuum chamber and increased revenues associated with the Houston Interests acquisition. The gross margin was 3.7% in the three months ended March 31, 2017 compared to (3.1)% in the same period a year earlier. The fiscal 2017 gross margin was positively impacted by the mix of higher margin work associated with the Houston Interests acquisition. Fiscal 2016 gross margins were negatively impacted by an unfavorable customer settlement and lower margins on iron and steel work due to lower volume.</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Nine Months Ended March 31, 2017 Compared to the Nine Months Ended March 31, 2016</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Consolidated</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Consolidated revenue was $905.7 million for the nine months ended March 31, 2017, compared to $952.3 million in the same period in the prior fiscal year. On a segment basis, consolidated revenue decreased in the Industrial and Oil Gas &amp; Chemical segments by $43.2 million and $28.5 million, respectively. These decreases were partially offset by increases in revenue in the Electrical Infrastructure and Storage Solutions segments by $21.8 million and $3.3 million, respectively.</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Consolidated gross profit decreased from $91.9 million in the nine months ended March 31, 2016 to $57.9 million in the nine months ended March 31, 2017. Gross margin decreased to 6.4% in the nine months ended March 31, 2017 compared to 9.6% in the same period in the prior fiscal year. The reduction in gross margin in fiscal 2017 is primarily attributable to the financial impact of an Electrical Infrastructure project, which decreased gross profit by $13.7 million (more fully discussed in Item 1. Financial Statements, Note 3 - Uncompleted Contracts) and lower volumes, which led to increased under recovery of construction overhead costs.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Consolidated SG&amp;A expenses were $56.5 million in the nine months ended March 31, 2017 compared to $65.5 million in the same period a year earlier. The decrease in SG&amp;A expense in fiscal 2017 was primarily attributable to a bad debt charge of $5.2 million from a client bankruptcy in fiscal 2016 and to the reversal of incentive compensation expense. Fiscal 2017 SG&amp;A expense included $1.2 million of acquisition and integration costs from the Houston Interests acquisition (See Item 1. Financial Statements, Note 2 - Acquisitions) and fiscal 2016 SG&amp;A expense included $0.9 million of acquisition and integration costs from the Baillie Tank Equipment acquisition (See Item 1. Financial Statements, Note 2 - Acquisitions).</w:t>
      </w:r>
    </w:p>
    <w:p>
      <w:pPr>
        <w:spacing w:after="0" w:line="100"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Net interest expense was $1.5 million and $0.6 million in the nine months ended March 31, 2017 and 2016, respectively. The higher interest expense in fiscal 2017 is primarily attributable to the higher average debt balance in the current year, which is largely attributable to the borrowings used to fund the Houston Interests acquisition.</w:t>
      </w:r>
    </w:p>
    <w:p>
      <w:pPr>
        <w:spacing w:after="0" w:line="10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Our effective tax rate for the nine months ended March 31, 2017 was 933.6% and 35.6% in the same period a year earlier. The fiscal 2017 tax rate was positively impacted by discrete benefits of $0.9 million primarily related to the application of ASU 2016-09 (See Item 1. Financial Statements, Note 1 - Basis of Presentation and Accounting Policies), adjustments to state net operating loss carryforwards, a reduction in the blended state income tax rate and an increase in actual tax credits over estimated tax credits for fiscal 2016. These benefits were offset by a valuation allowance on deferred tax assets related to foreign tax credit carryforwards and stock compensation expense. The fiscal 2016 tax rate was positively impacted by discrete benefits of $1.3 million related to the retroactive application of the R&amp;D tax credit and a foreign currency item related to our Canadian operations.</w:t>
      </w:r>
    </w:p>
    <w:p>
      <w:pPr>
        <w:spacing w:after="0" w:line="102"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For the nine months ended March 31, 2017, net income attributable to Matrix Service Company and the related fully diluted earnings per share were $0.8 million and $0.03 compared to $19.7 million and $0.73 in the same period a year earlier.</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Electrical Infrastructure</w:t>
      </w:r>
    </w:p>
    <w:p>
      <w:pPr>
        <w:spacing w:after="0" w:line="136"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Revenue for the Electrical Infrastructure segment increased $21.8 million to $273.2 million in the nine months ended March 31, 2017 compared to $251.4 million in the same period a year earlier primarily as a result of higher volumes on a significant power generation project, partially offset by lower volumes in transmission and distribution work. The fiscal 2017 gross margin was (0.3)% compared to 7.6% in the same period last year. The lower fiscal 2017 gross margin was primarily attributable to the financial impact of the project mentioned in the consolidated discussion above, which decreased gross profit by $13.7 million (more fully discussed in Item 1. Financial Statements, Note 3 - Uncompleted Contracts). Fiscal 2016 gross margin was negatively impacted by $7.1 million of charges in connection with an acquired EPC joint venture project.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- 28-</w:t>
      </w:r>
    </w:p>
    <w:p>
      <w:pPr>
        <w:sectPr>
          <w:pgSz w:w="11900" w:h="16838" w:orient="portrait"/>
          <w:cols w:equalWidth="0" w:num="1">
            <w:col w:w="11460"/>
          </w:cols>
          <w:pgMar w:left="220" w:top="305" w:right="219" w:bottom="1440" w:gutter="0" w:footer="0" w:header="0"/>
        </w:sectPr>
      </w:pPr>
    </w:p>
    <w:bookmarkStart w:id="30" w:name="page31"/>
    <w:bookmarkEnd w:id="30"/>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Oil Gas &amp; Chemical</w:t>
      </w:r>
    </w:p>
    <w:p>
      <w:pPr>
        <w:spacing w:after="0" w:line="136"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Revenue for the Oil Gas &amp; Chemical segment was $157.1 million in the nine months ended March 31, 2017 compared to $185.6 million in the same period a year earlier. The decrease of $28.5 million is related to lower volume across the business as refiners continue to limit spending as the result of continued volatility in commodity prices and market uncertainty, partially offset by incremental revenues associated with the Houston Interests acquisition in December 2016 (See Item 1. Financial Statements, Note 2 - Acquisitions). The gross margin was 4.3% for the nine months ended March 31, 2017 compared to 7.7% in the same period last year. The gross margin for fiscal 2017 was affected by lower volume, which led to increased under recovery of overhead costs, and project execution.</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Storage Solutions</w:t>
      </w:r>
    </w:p>
    <w:p>
      <w:pPr>
        <w:spacing w:after="0" w:line="13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Revenue for the Storage Solutions segment was $402.3 million in the nine months ended March 31, 2017 compared to $399.0 million in the same period a year earlier, an increase of $3.3 million. The increase is primarily attributable to increased activity during the first half of Fiscal 2017 on a previously announced project for the construction of crude gathering terminals that support the Dakota Access pipeline and higher Canadian volumes. These increases were partially offset by lower volumes in our remaining domestic storage business. The gross margin was 12.2% in the nine months ended March 31, 2017 and 12.5% in the nine months ended March 31, 2016 as a result of effective project execution in both periods. Work on the terminals that support the Dakota Access Pipeline is expected to be completed in fiscal 2017 and revenue will continue to decline on this project as it nears completion.</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Industrial</w:t>
      </w:r>
    </w:p>
    <w:p>
      <w:pPr>
        <w:spacing w:after="0" w:line="136" w:lineRule="exact"/>
        <w:rPr>
          <w:sz w:val="20"/>
          <w:szCs w:val="20"/>
          <w:color w:val="auto"/>
        </w:rPr>
      </w:pPr>
    </w:p>
    <w:p>
      <w:pPr>
        <w:jc w:val="both"/>
        <w:spacing w:after="0" w:line="303" w:lineRule="auto"/>
        <w:rPr>
          <w:sz w:val="20"/>
          <w:szCs w:val="20"/>
          <w:color w:val="auto"/>
        </w:rPr>
      </w:pPr>
      <w:r>
        <w:rPr>
          <w:rFonts w:ascii="Arial" w:cs="Arial" w:eastAsia="Arial" w:hAnsi="Arial"/>
          <w:sz w:val="13"/>
          <w:szCs w:val="13"/>
          <w:color w:val="auto"/>
        </w:rPr>
        <w:t>Revenue for the Industrial segment decreased $43.2 million to $73.0 million in the nine months ended March 31, 2017 compared to $116.2 million in the same period a year earlier. The decline in revenue is primarily attributable to lower business volumes in the iron and steel and mining markets, and lower revenue recognized on a large fertilizer project. The gross margin was 4.1% in the nine months ended March 31, 2017 compared to 7.5% in the same period a year earlier. The fiscal 2017 gross margin was negatively impacted by the under recovery of construction overhead costs due to reduced volume and a higher percentage of lower margin iron and steel work. The fiscal 2016 gross margin was positively impacted by the mix of work and strong project execution.</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Backlog</w:t>
      </w:r>
    </w:p>
    <w:p>
      <w:pPr>
        <w:spacing w:after="0" w:line="140" w:lineRule="exact"/>
        <w:rPr>
          <w:sz w:val="20"/>
          <w:szCs w:val="20"/>
          <w:color w:val="auto"/>
        </w:rPr>
      </w:pPr>
    </w:p>
    <w:p>
      <w:pPr>
        <w:jc w:val="both"/>
        <w:ind w:right="20"/>
        <w:spacing w:after="0" w:line="265" w:lineRule="auto"/>
        <w:rPr>
          <w:sz w:val="20"/>
          <w:szCs w:val="20"/>
          <w:color w:val="auto"/>
        </w:rPr>
      </w:pPr>
      <w:r>
        <w:rPr>
          <w:rFonts w:ascii="Arial" w:cs="Arial" w:eastAsia="Arial" w:hAnsi="Arial"/>
          <w:sz w:val="15"/>
          <w:szCs w:val="15"/>
          <w:color w:val="auto"/>
        </w:rPr>
        <w:t>We define backlog as the total dollar amount of revenue that we expect to recognize as a result of performing work that has been awarded to us through a signed contract, notice to proceed or other type of assurance that we consider firm. The following arrangements are considered firm:</w:t>
      </w:r>
    </w:p>
    <w:p>
      <w:pPr>
        <w:spacing w:after="0" w:line="148" w:lineRule="exact"/>
        <w:rPr>
          <w:sz w:val="20"/>
          <w:szCs w:val="20"/>
          <w:color w:val="auto"/>
        </w:rPr>
      </w:pPr>
    </w:p>
    <w:p>
      <w:pPr>
        <w:ind w:left="800" w:hanging="263"/>
        <w:spacing w:after="0"/>
        <w:tabs>
          <w:tab w:leader="none" w:pos="800" w:val="left"/>
        </w:tabs>
        <w:numPr>
          <w:ilvl w:val="0"/>
          <w:numId w:val="8"/>
        </w:numPr>
        <w:rPr>
          <w:rFonts w:ascii="Arial" w:cs="Arial" w:eastAsia="Arial" w:hAnsi="Arial"/>
          <w:sz w:val="15"/>
          <w:szCs w:val="15"/>
          <w:color w:val="auto"/>
        </w:rPr>
      </w:pPr>
      <w:r>
        <w:rPr>
          <w:rFonts w:ascii="Arial" w:cs="Arial" w:eastAsia="Arial" w:hAnsi="Arial"/>
          <w:sz w:val="15"/>
          <w:szCs w:val="15"/>
          <w:color w:val="auto"/>
        </w:rPr>
        <w:t>fixed-price awards;</w:t>
      </w:r>
    </w:p>
    <w:p>
      <w:pPr>
        <w:spacing w:after="0" w:line="180" w:lineRule="exact"/>
        <w:rPr>
          <w:rFonts w:ascii="Arial" w:cs="Arial" w:eastAsia="Arial" w:hAnsi="Arial"/>
          <w:sz w:val="15"/>
          <w:szCs w:val="15"/>
          <w:color w:val="auto"/>
        </w:rPr>
      </w:pPr>
    </w:p>
    <w:p>
      <w:pPr>
        <w:ind w:left="800" w:hanging="263"/>
        <w:spacing w:after="0"/>
        <w:tabs>
          <w:tab w:leader="none" w:pos="800" w:val="left"/>
        </w:tabs>
        <w:numPr>
          <w:ilvl w:val="0"/>
          <w:numId w:val="8"/>
        </w:numPr>
        <w:rPr>
          <w:rFonts w:ascii="Arial" w:cs="Arial" w:eastAsia="Arial" w:hAnsi="Arial"/>
          <w:sz w:val="15"/>
          <w:szCs w:val="15"/>
          <w:color w:val="auto"/>
        </w:rPr>
      </w:pPr>
      <w:r>
        <w:rPr>
          <w:rFonts w:ascii="Arial" w:cs="Arial" w:eastAsia="Arial" w:hAnsi="Arial"/>
          <w:sz w:val="15"/>
          <w:szCs w:val="15"/>
          <w:color w:val="auto"/>
        </w:rPr>
        <w:t>minimum customer commitments on cost plus arrangements; and</w:t>
      </w:r>
    </w:p>
    <w:p>
      <w:pPr>
        <w:spacing w:after="0" w:line="180" w:lineRule="exact"/>
        <w:rPr>
          <w:rFonts w:ascii="Arial" w:cs="Arial" w:eastAsia="Arial" w:hAnsi="Arial"/>
          <w:sz w:val="15"/>
          <w:szCs w:val="15"/>
          <w:color w:val="auto"/>
        </w:rPr>
      </w:pPr>
    </w:p>
    <w:p>
      <w:pPr>
        <w:ind w:left="800" w:hanging="263"/>
        <w:spacing w:after="0"/>
        <w:tabs>
          <w:tab w:leader="none" w:pos="800" w:val="left"/>
        </w:tabs>
        <w:numPr>
          <w:ilvl w:val="0"/>
          <w:numId w:val="8"/>
        </w:numPr>
        <w:rPr>
          <w:rFonts w:ascii="Arial" w:cs="Arial" w:eastAsia="Arial" w:hAnsi="Arial"/>
          <w:sz w:val="14"/>
          <w:szCs w:val="14"/>
          <w:color w:val="auto"/>
        </w:rPr>
      </w:pPr>
      <w:r>
        <w:rPr>
          <w:rFonts w:ascii="Arial" w:cs="Arial" w:eastAsia="Arial" w:hAnsi="Arial"/>
          <w:sz w:val="14"/>
          <w:szCs w:val="14"/>
          <w:color w:val="auto"/>
        </w:rPr>
        <w:t>certain time and material arrangements in which the estimated value is firm or can be estimated with a reasonable amount of certainty in both timing and amounts.</w:t>
      </w:r>
    </w:p>
    <w:p>
      <w:pPr>
        <w:spacing w:after="0" w:line="148"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For long-term maintenance contracts and other established customer arrangements, we include only the amounts that we expect to recognize into revenue over the next 12 months. For all other arrangements, we calculate backlog as the estimated contract amount less revenue recognized as of the reporting date.</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a summary of changes in our backlog for the three months ended March 31, 2017:</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9"/>
              </w:rPr>
              <w:t>Electrical</w:t>
            </w:r>
          </w:p>
        </w:tc>
        <w:tc>
          <w:tcPr>
            <w:tcW w:w="240" w:type="dxa"/>
            <w:vAlign w:val="bottom"/>
          </w:tcPr>
          <w:p>
            <w:pPr>
              <w:spacing w:after="0"/>
              <w:rPr>
                <w:sz w:val="12"/>
                <w:szCs w:val="12"/>
                <w:color w:val="auto"/>
              </w:rPr>
            </w:pP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Oil Gas &amp;</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4"/>
              </w:rPr>
              <w:t>Storage</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56"/>
        </w:trPr>
        <w:tc>
          <w:tcPr>
            <w:tcW w:w="47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2"/>
                <w:szCs w:val="12"/>
                <w:b w:val="1"/>
                <w:bCs w:val="1"/>
                <w:color w:val="auto"/>
                <w:w w:val="92"/>
              </w:rPr>
              <w:t>Infrastructure</w:t>
            </w: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ind w:left="160"/>
              <w:spacing w:after="0"/>
              <w:rPr>
                <w:sz w:val="20"/>
                <w:szCs w:val="20"/>
                <w:color w:val="auto"/>
              </w:rPr>
            </w:pPr>
            <w:r>
              <w:rPr>
                <w:rFonts w:ascii="Arial" w:cs="Arial" w:eastAsia="Arial" w:hAnsi="Arial"/>
                <w:sz w:val="12"/>
                <w:szCs w:val="12"/>
                <w:b w:val="1"/>
                <w:bCs w:val="1"/>
                <w:color w:val="auto"/>
              </w:rPr>
              <w:t>Chemical</w:t>
            </w: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84"/>
              </w:rPr>
              <w:t>Solutions</w:t>
            </w: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ind w:left="140"/>
              <w:spacing w:after="0"/>
              <w:rPr>
                <w:sz w:val="20"/>
                <w:szCs w:val="20"/>
                <w:color w:val="auto"/>
              </w:rPr>
            </w:pPr>
            <w:r>
              <w:rPr>
                <w:rFonts w:ascii="Arial" w:cs="Arial" w:eastAsia="Arial" w:hAnsi="Arial"/>
                <w:sz w:val="12"/>
                <w:szCs w:val="12"/>
                <w:b w:val="1"/>
                <w:bCs w:val="1"/>
                <w:color w:val="auto"/>
              </w:rPr>
              <w:t>Industrial</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29"/>
              <w:spacing w:after="0"/>
              <w:rPr>
                <w:sz w:val="20"/>
                <w:szCs w:val="20"/>
                <w:color w:val="auto"/>
              </w:rPr>
            </w:pPr>
            <w:r>
              <w:rPr>
                <w:rFonts w:ascii="Arial" w:cs="Arial" w:eastAsia="Arial" w:hAnsi="Arial"/>
                <w:sz w:val="12"/>
                <w:szCs w:val="12"/>
                <w:b w:val="1"/>
                <w:bCs w:val="1"/>
                <w:color w:val="auto"/>
              </w:rPr>
              <w:t>Total</w:t>
            </w:r>
          </w:p>
        </w:tc>
      </w:tr>
      <w:tr>
        <w:trPr>
          <w:trHeight w:val="156"/>
        </w:trPr>
        <w:tc>
          <w:tcPr>
            <w:tcW w:w="4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(In thousands)</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338"/>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Backlog as of December 31, 2016</w:t>
            </w:r>
          </w:p>
        </w:tc>
        <w:tc>
          <w:tcPr>
            <w:tcW w:w="2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5"/>
                <w:szCs w:val="15"/>
                <w:color w:val="auto"/>
              </w:rPr>
              <w:t>338,413</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5"/>
                <w:szCs w:val="15"/>
                <w:color w:val="auto"/>
              </w:rPr>
              <w:t>209,505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5"/>
                <w:szCs w:val="15"/>
                <w:color w:val="auto"/>
              </w:rPr>
              <w:t>185,491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80,581</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813,990</w:t>
            </w:r>
          </w:p>
        </w:tc>
      </w:tr>
      <w:tr>
        <w:trPr>
          <w:trHeight w:val="198"/>
        </w:trPr>
        <w:tc>
          <w:tcPr>
            <w:tcW w:w="4700" w:type="dxa"/>
            <w:vAlign w:val="bottom"/>
          </w:tcPr>
          <w:p>
            <w:pPr>
              <w:ind w:left="40"/>
              <w:spacing w:after="0"/>
              <w:rPr>
                <w:sz w:val="20"/>
                <w:szCs w:val="20"/>
                <w:color w:val="auto"/>
              </w:rPr>
            </w:pPr>
            <w:r>
              <w:rPr>
                <w:rFonts w:ascii="Arial" w:cs="Arial" w:eastAsia="Arial" w:hAnsi="Arial"/>
                <w:sz w:val="15"/>
                <w:szCs w:val="15"/>
                <w:color w:val="auto"/>
              </w:rPr>
              <w:t>Project awards</w:t>
            </w:r>
          </w:p>
        </w:tc>
        <w:tc>
          <w:tcPr>
            <w:tcW w:w="200" w:type="dxa"/>
            <w:vAlign w:val="bottom"/>
          </w:tcPr>
          <w:p>
            <w:pPr>
              <w:spacing w:after="0"/>
              <w:rPr>
                <w:sz w:val="17"/>
                <w:szCs w:val="17"/>
                <w:color w:val="auto"/>
              </w:rPr>
            </w:pPr>
          </w:p>
        </w:tc>
        <w:tc>
          <w:tcPr>
            <w:tcW w:w="1080" w:type="dxa"/>
            <w:vAlign w:val="bottom"/>
          </w:tcPr>
          <w:p>
            <w:pPr>
              <w:jc w:val="right"/>
              <w:ind w:right="51"/>
              <w:spacing w:after="0"/>
              <w:rPr>
                <w:sz w:val="20"/>
                <w:szCs w:val="20"/>
                <w:color w:val="auto"/>
              </w:rPr>
            </w:pPr>
            <w:r>
              <w:rPr>
                <w:rFonts w:ascii="Arial" w:cs="Arial" w:eastAsia="Arial" w:hAnsi="Arial"/>
                <w:sz w:val="15"/>
                <w:szCs w:val="15"/>
                <w:color w:val="auto"/>
              </w:rPr>
              <w:t>57,630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51"/>
              <w:spacing w:after="0"/>
              <w:rPr>
                <w:sz w:val="20"/>
                <w:szCs w:val="20"/>
                <w:color w:val="auto"/>
              </w:rPr>
            </w:pPr>
            <w:r>
              <w:rPr>
                <w:rFonts w:ascii="Arial" w:cs="Arial" w:eastAsia="Arial" w:hAnsi="Arial"/>
                <w:sz w:val="15"/>
                <w:szCs w:val="15"/>
                <w:color w:val="auto"/>
              </w:rPr>
              <w:t>100,459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33"/>
              <w:spacing w:after="0"/>
              <w:rPr>
                <w:sz w:val="20"/>
                <w:szCs w:val="20"/>
                <w:color w:val="auto"/>
              </w:rPr>
            </w:pPr>
            <w:r>
              <w:rPr>
                <w:rFonts w:ascii="Arial" w:cs="Arial" w:eastAsia="Arial" w:hAnsi="Arial"/>
                <w:sz w:val="15"/>
                <w:szCs w:val="15"/>
                <w:color w:val="auto"/>
              </w:rPr>
              <w:t>52,981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29"/>
              <w:spacing w:after="0"/>
              <w:rPr>
                <w:sz w:val="20"/>
                <w:szCs w:val="20"/>
                <w:color w:val="auto"/>
              </w:rPr>
            </w:pPr>
            <w:r>
              <w:rPr>
                <w:rFonts w:ascii="Arial" w:cs="Arial" w:eastAsia="Arial" w:hAnsi="Arial"/>
                <w:sz w:val="15"/>
                <w:szCs w:val="15"/>
                <w:color w:val="auto"/>
              </w:rPr>
              <w:t>16,592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49"/>
              <w:spacing w:after="0"/>
              <w:rPr>
                <w:sz w:val="20"/>
                <w:szCs w:val="20"/>
                <w:color w:val="auto"/>
              </w:rPr>
            </w:pPr>
            <w:r>
              <w:rPr>
                <w:rFonts w:ascii="Arial" w:cs="Arial" w:eastAsia="Arial" w:hAnsi="Arial"/>
                <w:sz w:val="15"/>
                <w:szCs w:val="15"/>
                <w:color w:val="auto"/>
              </w:rPr>
              <w:t>227,662</w:t>
            </w:r>
          </w:p>
        </w:tc>
      </w:tr>
      <w:tr>
        <w:trPr>
          <w:trHeight w:val="22"/>
        </w:trPr>
        <w:tc>
          <w:tcPr>
            <w:tcW w:w="4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Revenue recognized</w:t>
            </w: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5"/>
                <w:szCs w:val="15"/>
                <w:color w:val="auto"/>
              </w:rPr>
              <w:t>(82,032)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5"/>
                <w:szCs w:val="15"/>
                <w:color w:val="auto"/>
              </w:rPr>
              <w:t>(68,888)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(74,052)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(26,265)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(251,237)</w:t>
            </w:r>
          </w:p>
        </w:tc>
      </w:tr>
      <w:tr>
        <w:trPr>
          <w:trHeight w:val="206"/>
        </w:trPr>
        <w:tc>
          <w:tcPr>
            <w:tcW w:w="4700" w:type="dxa"/>
            <w:vAlign w:val="bottom"/>
          </w:tcPr>
          <w:p>
            <w:pPr>
              <w:ind w:left="40"/>
              <w:spacing w:after="0"/>
              <w:rPr>
                <w:sz w:val="20"/>
                <w:szCs w:val="20"/>
                <w:color w:val="auto"/>
              </w:rPr>
            </w:pPr>
            <w:r>
              <w:rPr>
                <w:rFonts w:ascii="Arial" w:cs="Arial" w:eastAsia="Arial" w:hAnsi="Arial"/>
                <w:sz w:val="15"/>
                <w:szCs w:val="15"/>
                <w:color w:val="auto"/>
              </w:rPr>
              <w:t>Backlog as of March 31, 2017</w:t>
            </w:r>
          </w:p>
        </w:tc>
        <w:tc>
          <w:tcPr>
            <w:tcW w:w="20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5"/>
                <w:szCs w:val="15"/>
                <w:color w:val="auto"/>
              </w:rPr>
              <w:t>314,011</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5"/>
                <w:szCs w:val="15"/>
                <w:color w:val="auto"/>
              </w:rPr>
              <w:t>241,076</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5"/>
                <w:szCs w:val="15"/>
                <w:color w:val="auto"/>
              </w:rPr>
              <w:t>164,420</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5"/>
                <w:szCs w:val="15"/>
                <w:color w:val="auto"/>
              </w:rPr>
              <w:t>70,908</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5"/>
                <w:szCs w:val="15"/>
                <w:color w:val="auto"/>
              </w:rPr>
              <w:t>790,415</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53"/>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ind w:right="31"/>
              <w:spacing w:after="0"/>
              <w:rPr>
                <w:sz w:val="20"/>
                <w:szCs w:val="20"/>
                <w:color w:val="auto"/>
              </w:rPr>
            </w:pPr>
            <w:r>
              <w:rPr>
                <w:rFonts w:ascii="Arial" w:cs="Arial" w:eastAsia="Arial" w:hAnsi="Arial"/>
                <w:sz w:val="15"/>
                <w:szCs w:val="15"/>
                <w:color w:val="auto"/>
              </w:rPr>
              <w:t>- 29-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60"/>
          </w:cols>
          <w:pgMar w:left="220" w:top="305" w:right="219" w:bottom="1440" w:gutter="0" w:footer="0" w:header="0"/>
        </w:sectPr>
      </w:pPr>
    </w:p>
    <w:bookmarkStart w:id="31" w:name="page32"/>
    <w:bookmarkEnd w:id="31"/>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a summary of changes in our backlog for the nine months ended March 31, 2017:</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9"/>
              </w:rPr>
              <w:t>Electrical</w:t>
            </w:r>
          </w:p>
        </w:tc>
        <w:tc>
          <w:tcPr>
            <w:tcW w:w="240" w:type="dxa"/>
            <w:vAlign w:val="bottom"/>
          </w:tcPr>
          <w:p>
            <w:pPr>
              <w:spacing w:after="0"/>
              <w:rPr>
                <w:sz w:val="12"/>
                <w:szCs w:val="12"/>
                <w:color w:val="auto"/>
              </w:rPr>
            </w:pP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Oil Gas &amp;</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4"/>
              </w:rPr>
              <w:t>Storage</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56"/>
        </w:trPr>
        <w:tc>
          <w:tcPr>
            <w:tcW w:w="47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2"/>
                <w:szCs w:val="12"/>
                <w:b w:val="1"/>
                <w:bCs w:val="1"/>
                <w:color w:val="auto"/>
                <w:w w:val="92"/>
              </w:rPr>
              <w:t>Infrastructure</w:t>
            </w: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ind w:left="160"/>
              <w:spacing w:after="0"/>
              <w:rPr>
                <w:sz w:val="20"/>
                <w:szCs w:val="20"/>
                <w:color w:val="auto"/>
              </w:rPr>
            </w:pPr>
            <w:r>
              <w:rPr>
                <w:rFonts w:ascii="Arial" w:cs="Arial" w:eastAsia="Arial" w:hAnsi="Arial"/>
                <w:sz w:val="12"/>
                <w:szCs w:val="12"/>
                <w:b w:val="1"/>
                <w:bCs w:val="1"/>
                <w:color w:val="auto"/>
              </w:rPr>
              <w:t>Chemical</w:t>
            </w: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84"/>
              </w:rPr>
              <w:t>Solutions</w:t>
            </w: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ind w:left="140"/>
              <w:spacing w:after="0"/>
              <w:rPr>
                <w:sz w:val="20"/>
                <w:szCs w:val="20"/>
                <w:color w:val="auto"/>
              </w:rPr>
            </w:pPr>
            <w:r>
              <w:rPr>
                <w:rFonts w:ascii="Arial" w:cs="Arial" w:eastAsia="Arial" w:hAnsi="Arial"/>
                <w:sz w:val="12"/>
                <w:szCs w:val="12"/>
                <w:b w:val="1"/>
                <w:bCs w:val="1"/>
                <w:color w:val="auto"/>
              </w:rPr>
              <w:t>Industrial</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29"/>
              <w:spacing w:after="0"/>
              <w:rPr>
                <w:sz w:val="20"/>
                <w:szCs w:val="20"/>
                <w:color w:val="auto"/>
              </w:rPr>
            </w:pPr>
            <w:r>
              <w:rPr>
                <w:rFonts w:ascii="Arial" w:cs="Arial" w:eastAsia="Arial" w:hAnsi="Arial"/>
                <w:sz w:val="12"/>
                <w:szCs w:val="12"/>
                <w:b w:val="1"/>
                <w:bCs w:val="1"/>
                <w:color w:val="auto"/>
              </w:rPr>
              <w:t>Total</w:t>
            </w:r>
          </w:p>
        </w:tc>
      </w:tr>
      <w:tr>
        <w:trPr>
          <w:trHeight w:val="156"/>
        </w:trPr>
        <w:tc>
          <w:tcPr>
            <w:tcW w:w="4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(In thousands)</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338"/>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Backlog as of June 30, 2016</w:t>
            </w:r>
          </w:p>
        </w:tc>
        <w:tc>
          <w:tcPr>
            <w:tcW w:w="2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5"/>
                <w:szCs w:val="15"/>
                <w:color w:val="auto"/>
              </w:rPr>
              <w:t>369,791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5"/>
                <w:szCs w:val="15"/>
                <w:color w:val="auto"/>
              </w:rPr>
              <w:t>91,478</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5"/>
                <w:szCs w:val="15"/>
                <w:color w:val="auto"/>
              </w:rPr>
              <w:t>359,013</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48,390</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868,672</w:t>
            </w:r>
          </w:p>
        </w:tc>
      </w:tr>
      <w:tr>
        <w:trPr>
          <w:trHeight w:val="198"/>
        </w:trPr>
        <w:tc>
          <w:tcPr>
            <w:tcW w:w="4700" w:type="dxa"/>
            <w:vAlign w:val="bottom"/>
          </w:tcPr>
          <w:p>
            <w:pPr>
              <w:ind w:left="40"/>
              <w:spacing w:after="0"/>
              <w:rPr>
                <w:sz w:val="20"/>
                <w:szCs w:val="20"/>
                <w:color w:val="auto"/>
              </w:rPr>
            </w:pPr>
            <w:r>
              <w:rPr>
                <w:rFonts w:ascii="Arial" w:cs="Arial" w:eastAsia="Arial" w:hAnsi="Arial"/>
                <w:sz w:val="15"/>
                <w:szCs w:val="15"/>
                <w:color w:val="auto"/>
              </w:rPr>
              <w:t>Project awards</w:t>
            </w:r>
          </w:p>
        </w:tc>
        <w:tc>
          <w:tcPr>
            <w:tcW w:w="200" w:type="dxa"/>
            <w:vAlign w:val="bottom"/>
          </w:tcPr>
          <w:p>
            <w:pPr>
              <w:spacing w:after="0"/>
              <w:rPr>
                <w:sz w:val="17"/>
                <w:szCs w:val="17"/>
                <w:color w:val="auto"/>
              </w:rPr>
            </w:pPr>
          </w:p>
        </w:tc>
        <w:tc>
          <w:tcPr>
            <w:tcW w:w="1080" w:type="dxa"/>
            <w:vAlign w:val="bottom"/>
          </w:tcPr>
          <w:p>
            <w:pPr>
              <w:jc w:val="right"/>
              <w:ind w:right="51"/>
              <w:spacing w:after="0"/>
              <w:rPr>
                <w:sz w:val="20"/>
                <w:szCs w:val="20"/>
                <w:color w:val="auto"/>
              </w:rPr>
            </w:pPr>
            <w:r>
              <w:rPr>
                <w:rFonts w:ascii="Arial" w:cs="Arial" w:eastAsia="Arial" w:hAnsi="Arial"/>
                <w:sz w:val="15"/>
                <w:szCs w:val="15"/>
                <w:color w:val="auto"/>
              </w:rPr>
              <w:t>217,435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51"/>
              <w:spacing w:after="0"/>
              <w:rPr>
                <w:sz w:val="20"/>
                <w:szCs w:val="20"/>
                <w:color w:val="auto"/>
              </w:rPr>
            </w:pPr>
            <w:r>
              <w:rPr>
                <w:rFonts w:ascii="Arial" w:cs="Arial" w:eastAsia="Arial" w:hAnsi="Arial"/>
                <w:sz w:val="15"/>
                <w:szCs w:val="15"/>
                <w:color w:val="auto"/>
              </w:rPr>
              <w:t>280,240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32"/>
              <w:spacing w:after="0"/>
              <w:rPr>
                <w:sz w:val="20"/>
                <w:szCs w:val="20"/>
                <w:color w:val="auto"/>
              </w:rPr>
            </w:pPr>
            <w:r>
              <w:rPr>
                <w:rFonts w:ascii="Arial" w:cs="Arial" w:eastAsia="Arial" w:hAnsi="Arial"/>
                <w:sz w:val="15"/>
                <w:szCs w:val="15"/>
                <w:color w:val="auto"/>
              </w:rPr>
              <w:t>207,738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29"/>
              <w:spacing w:after="0"/>
              <w:rPr>
                <w:sz w:val="20"/>
                <w:szCs w:val="20"/>
                <w:color w:val="auto"/>
              </w:rPr>
            </w:pPr>
            <w:r>
              <w:rPr>
                <w:rFonts w:ascii="Arial" w:cs="Arial" w:eastAsia="Arial" w:hAnsi="Arial"/>
                <w:sz w:val="15"/>
                <w:szCs w:val="15"/>
                <w:color w:val="auto"/>
              </w:rPr>
              <w:t>92,306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49"/>
              <w:spacing w:after="0"/>
              <w:rPr>
                <w:sz w:val="20"/>
                <w:szCs w:val="20"/>
                <w:color w:val="auto"/>
              </w:rPr>
            </w:pPr>
            <w:r>
              <w:rPr>
                <w:rFonts w:ascii="Arial" w:cs="Arial" w:eastAsia="Arial" w:hAnsi="Arial"/>
                <w:sz w:val="15"/>
                <w:szCs w:val="15"/>
                <w:color w:val="auto"/>
              </w:rPr>
              <w:t>797,719</w:t>
            </w:r>
          </w:p>
        </w:tc>
      </w:tr>
      <w:tr>
        <w:trPr>
          <w:trHeight w:val="22"/>
        </w:trPr>
        <w:tc>
          <w:tcPr>
            <w:tcW w:w="4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0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Acquired backlog from Houston Interests (Note 2)</w:t>
            </w: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5"/>
                <w:szCs w:val="15"/>
                <w:color w:val="auto"/>
              </w:rPr>
              <w:t>26,502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3,195</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29,697</w:t>
            </w:r>
          </w:p>
        </w:tc>
      </w:tr>
      <w:tr>
        <w:trPr>
          <w:trHeight w:val="198"/>
        </w:trPr>
        <w:tc>
          <w:tcPr>
            <w:tcW w:w="4700" w:type="dxa"/>
            <w:vAlign w:val="bottom"/>
          </w:tcPr>
          <w:p>
            <w:pPr>
              <w:ind w:left="40"/>
              <w:spacing w:after="0"/>
              <w:rPr>
                <w:sz w:val="20"/>
                <w:szCs w:val="20"/>
                <w:color w:val="auto"/>
              </w:rPr>
            </w:pPr>
            <w:r>
              <w:rPr>
                <w:rFonts w:ascii="Arial" w:cs="Arial" w:eastAsia="Arial" w:hAnsi="Arial"/>
                <w:sz w:val="15"/>
                <w:szCs w:val="15"/>
                <w:color w:val="auto"/>
              </w:rPr>
              <w:t>Revenue recognized</w:t>
            </w:r>
          </w:p>
        </w:tc>
        <w:tc>
          <w:tcPr>
            <w:tcW w:w="200" w:type="dxa"/>
            <w:vAlign w:val="bottom"/>
          </w:tcPr>
          <w:p>
            <w:pPr>
              <w:spacing w:after="0"/>
              <w:rPr>
                <w:sz w:val="17"/>
                <w:szCs w:val="17"/>
                <w:color w:val="auto"/>
              </w:rPr>
            </w:pPr>
          </w:p>
        </w:tc>
        <w:tc>
          <w:tcPr>
            <w:tcW w:w="1080" w:type="dxa"/>
            <w:vAlign w:val="bottom"/>
          </w:tcPr>
          <w:p>
            <w:pPr>
              <w:jc w:val="right"/>
              <w:ind w:right="11"/>
              <w:spacing w:after="0"/>
              <w:rPr>
                <w:sz w:val="20"/>
                <w:szCs w:val="20"/>
                <w:color w:val="auto"/>
              </w:rPr>
            </w:pPr>
            <w:r>
              <w:rPr>
                <w:rFonts w:ascii="Arial" w:cs="Arial" w:eastAsia="Arial" w:hAnsi="Arial"/>
                <w:sz w:val="15"/>
                <w:szCs w:val="15"/>
                <w:color w:val="auto"/>
              </w:rPr>
              <w:t>(273,215)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11"/>
              <w:spacing w:after="0"/>
              <w:rPr>
                <w:sz w:val="20"/>
                <w:szCs w:val="20"/>
                <w:color w:val="auto"/>
              </w:rPr>
            </w:pPr>
            <w:r>
              <w:rPr>
                <w:rFonts w:ascii="Arial" w:cs="Arial" w:eastAsia="Arial" w:hAnsi="Arial"/>
                <w:sz w:val="15"/>
                <w:szCs w:val="15"/>
                <w:color w:val="auto"/>
              </w:rPr>
              <w:t>(157,144)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(402,331)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(72,983)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(905,673)</w:t>
            </w: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Backlog as of March 31, 2017</w:t>
            </w:r>
          </w:p>
        </w:tc>
        <w:tc>
          <w:tcPr>
            <w:tcW w:w="2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5"/>
                <w:szCs w:val="15"/>
                <w:color w:val="auto"/>
              </w:rPr>
              <w:t>314,011</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5"/>
                <w:szCs w:val="15"/>
                <w:color w:val="auto"/>
              </w:rPr>
              <w:t>241,076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5"/>
                <w:szCs w:val="15"/>
                <w:color w:val="auto"/>
              </w:rPr>
              <w:t>164,420</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rPr>
              <w:t>70,908</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rPr>
              <w:t>790,415</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Project awards in all segments are cyclical and are typically the result of a sales process that can take several months to complete. Backlog in the Storage Solutions and Electrical Infrastructure segments generally have the greatest volatility because individual project awards can be less frequent and more significant.</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change in backlog in the Electrical Infrastructure segment during the nine months ended March 31, 2017 is mainly attributable to the work related to the previously announced Napanee Power Generating Station project partially offset by transmission and distribution awards, which continue to meet the Company's expectations and the award for the electrical balance of plant work for PSEG Power's new 540-megawatt combined cycle power facility in New Jersey.</w:t>
      </w:r>
    </w:p>
    <w:p>
      <w:pPr>
        <w:spacing w:after="0" w:line="112" w:lineRule="exact"/>
        <w:rPr>
          <w:sz w:val="20"/>
          <w:szCs w:val="20"/>
          <w:color w:val="auto"/>
        </w:rPr>
      </w:pPr>
    </w:p>
    <w:p>
      <w:pPr>
        <w:jc w:val="both"/>
        <w:spacing w:after="0" w:line="313" w:lineRule="auto"/>
        <w:rPr>
          <w:sz w:val="20"/>
          <w:szCs w:val="20"/>
          <w:color w:val="auto"/>
        </w:rPr>
      </w:pPr>
      <w:r>
        <w:rPr>
          <w:rFonts w:ascii="Arial" w:cs="Arial" w:eastAsia="Arial" w:hAnsi="Arial"/>
          <w:sz w:val="13"/>
          <w:szCs w:val="13"/>
          <w:color w:val="auto"/>
        </w:rPr>
        <w:t>The increase in backlog in the Oil, Gas &amp; Chemical segment during the nine months ended March 31, 2017 is mainly attributable to backlog acquired from Houston Interests and increased project awards such as the previously announced Ultra-Low Gasoline Project awarded by KBR, Inc., and the previously announced award for the engineering, project management, procurement and commissioning of a 200 million cubic foot per day cryogenic gas recovery plant located in the SCOOP play of Southern Oklahoma's Woodford Shale and Springer Shale formations.</w:t>
      </w:r>
    </w:p>
    <w:p>
      <w:pPr>
        <w:spacing w:after="0" w:line="76"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decline in backlog in the Storage Solutions segment during the nine months ended March 31, 2017 is attributable to the work related to the previously announced project for the construction of terminals supporting the Dakota Access Pipeline partially offset by storage solutions awards, including the previously announced EPC award to construct 10 new tanks at the Vopak Americas Brownfield Expansion Project at the Deer Park, TX terminal. In addition, we continue to see a more cautious approach to decision-making on the part of clients and prolonged market uncertainty, which is delaying the timing of awards.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increase in backlog in the Industrial segment during the nine months ended March 31, 2017 is primarily attributable to increased project awards, including an award for a thermal vacuum chamber project during the second quarter.</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Seasonality and Other Factors</w:t>
      </w:r>
    </w:p>
    <w:p>
      <w:pPr>
        <w:spacing w:after="0" w:line="140" w:lineRule="exact"/>
        <w:rPr>
          <w:sz w:val="20"/>
          <w:szCs w:val="20"/>
          <w:color w:val="auto"/>
        </w:rPr>
      </w:pPr>
    </w:p>
    <w:p>
      <w:pPr>
        <w:jc w:val="both"/>
        <w:spacing w:after="0" w:line="293" w:lineRule="auto"/>
        <w:rPr>
          <w:sz w:val="20"/>
          <w:szCs w:val="20"/>
          <w:color w:val="auto"/>
        </w:rPr>
      </w:pPr>
      <w:r>
        <w:rPr>
          <w:rFonts w:ascii="Arial" w:cs="Arial" w:eastAsia="Arial" w:hAnsi="Arial"/>
          <w:sz w:val="13"/>
          <w:szCs w:val="13"/>
          <w:color w:val="auto"/>
        </w:rPr>
        <w:t>Our operating results can exhibit seasonal fluctuations, especially in our Oil Gas &amp; Chemical segment, for a variety of reasons. Turnarounds and planned outages at customer facilities are typically scheduled in the spring and the fall when the demand for energy is lower. Within the Electrical Infrastructure segment, transmission and distribution work is generally scheduled by the public utilities when the demand for electricity is at its lowest. Therefore, revenue volume in the summer months is typically lower than in other periods throughout the year. Also, we typically see a lower level of operating activity relating to construction projects during the winter months and early in the calendar year because many of our customers’ capital budgets have not been finalized. Our business can also be affected, both positively and negatively, by seasonal factors such as energy demand or weather conditions including hurricanes, snowstorms, and abnormally low or high temperatures. Some of these seasonal factors may cause some of our offices and projects to close or reduce activities temporarily. In addition to the above noted factors, the general timing of project starts and completions could exhibit significant fluctuations. Accordingly, results for any interim period may not necessarily be indicative of operating results for the full year.</w:t>
      </w:r>
    </w:p>
    <w:p>
      <w:pPr>
        <w:spacing w:after="0" w:line="89"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Other factors impacting operating results in all segments come from work site permitting delays or customers accelerating or postponing work. The differing types, sizes, and durations of our contracts, combined with their geographic diversity and stages of completion, often results in fluctuations in the Company's operating results.</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Impact of Commodity Price Volatility and Market Uncertainty</w:t>
      </w:r>
    </w:p>
    <w:p>
      <w:pPr>
        <w:spacing w:after="0" w:line="140"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prolonged decline in crude prices continues to impact our income from operations and project awards, particularly in the Oil Gas &amp; Chemical and Storage Solutions segments. The Industrial segment continues to be negatively impacted by the low prices of other commodities, principally steel and copper. The decline in commodity prices has not had, and we do not expect a significant impact on the Electrical Infrastructure segment.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- 30-</w:t>
      </w:r>
    </w:p>
    <w:p>
      <w:pPr>
        <w:sectPr>
          <w:pgSz w:w="11900" w:h="16838" w:orient="portrait"/>
          <w:cols w:equalWidth="0" w:num="1">
            <w:col w:w="11460"/>
          </w:cols>
          <w:pgMar w:left="220" w:top="305" w:right="219" w:bottom="1440" w:gutter="0" w:footer="0" w:header="0"/>
        </w:sectPr>
      </w:pPr>
    </w:p>
    <w:bookmarkStart w:id="32" w:name="page33"/>
    <w:bookmarkEnd w:id="32"/>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Our Oil Gas &amp; Chemical segment continues to see lower volumes of routine maintenance and turnaround work as well as award delays caused by slower than expected improvements in commodity pricing and regulatory uncertainties. If commodity prices remain at current levels or the current uncertainty continues, spending levels may continue to be reduced.</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In our Storage Solutions segment, our customers continue to take a long-term view of the market, but continue to be cautious short-term. Based on current market conditions, we are seeing a continued reduction in customer spending and project award delays. Although we are seeing signs of market improvement, we cannot predict the direction of commodity prices or our customers’ ultimate reaction to the market and therefore cannot predict the magnitude of the impact to our future earnings.</w:t>
      </w:r>
    </w:p>
    <w:p>
      <w:pPr>
        <w:spacing w:after="0" w:line="112"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In the Industrial segment, our iron and steel customers are facing challenges related to the import of cheaper foreign steel, global steel production over-capacity and the strong United States Dollar, which continues to be a headwind for steel exports. These conditions have reduced steel mill utilization in the U.S., which has reduced the capital, expansion and elective maintenance spending of our customers. Although we are seeing some encouraging political developments with respect to U.S. trade, we do not expect higher levels of spending until the factors that led to lower steel mill utilization are relieved. In the mining and minerals markets, we continue to see lower spending due to the softness of other commodity prices. However, copper prices, to which our clients are particularly exposed, have increased in recent months.</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Non-GAAP Financial Measure</w:t>
      </w:r>
    </w:p>
    <w:p>
      <w:pPr>
        <w:spacing w:after="0" w:line="140"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EBITDA is a supplemental, non-GAAP financial measure. EBITDA is defined as earnings before interest expense, income taxes, depreciation and amortization. We have presented EBITDA because it is used by the financial community as a method of measuring our performance and of evaluating the market value of companies considered to be in similar businesses. We believe that the line item on our Consolidated Statements of Income entitled “Net Income” is the most directly comparable GAAP measure to EBITDA. Since EBITDA is not a measure of performance calculated in accordance with GAAP, it should not be considered in isolation of, or as a substitute for, net earnings as an indicator of operating performance. EBITDA, as we calculate it, may not be comparable to similarly titled measures employed by other companies. In addition, this measure is not a measure of our ability to fund our cash needs. As EBITDA excludes certain financial information compared with net income, the most directly comparable GAAP financial measure, users of this financial information should consider the type of events and transactions that are excluded. Our non-GAAP performance measure, EBITDA, has certain material limitations as follows:</w:t>
      </w:r>
    </w:p>
    <w:p>
      <w:pPr>
        <w:spacing w:after="0" w:line="148" w:lineRule="exact"/>
        <w:rPr>
          <w:sz w:val="20"/>
          <w:szCs w:val="20"/>
          <w:color w:val="auto"/>
        </w:rPr>
      </w:pPr>
    </w:p>
    <w:p>
      <w:pPr>
        <w:ind w:left="800" w:right="100" w:hanging="263"/>
        <w:spacing w:after="0" w:line="255" w:lineRule="auto"/>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It does not include interest expense. Because we have borrowed money to finance our operations, pay commitment fees to maintain our credit facility, and incur fees to issue letters of credit under the credit facility, interest expense is a necessary and ongoing part of our costs and has assisted us in generating revenue. Therefore, any measure that excludes interest expense has material limitations.</w:t>
      </w:r>
    </w:p>
    <w:p>
      <w:pPr>
        <w:spacing w:after="0" w:line="155" w:lineRule="exact"/>
        <w:rPr>
          <w:rFonts w:ascii="Arial" w:cs="Arial" w:eastAsia="Arial" w:hAnsi="Arial"/>
          <w:sz w:val="15"/>
          <w:szCs w:val="15"/>
          <w:color w:val="auto"/>
        </w:rPr>
      </w:pPr>
    </w:p>
    <w:p>
      <w:pPr>
        <w:ind w:left="800" w:right="380" w:hanging="263"/>
        <w:spacing w:after="0" w:line="265" w:lineRule="auto"/>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It does not include income taxes. Because the payment of income taxes is a necessary and ongoing part of our operations, any measure that excludes income taxes has material limitations.</w:t>
      </w:r>
    </w:p>
    <w:p>
      <w:pPr>
        <w:spacing w:after="0" w:line="148" w:lineRule="exact"/>
        <w:rPr>
          <w:rFonts w:ascii="Arial" w:cs="Arial" w:eastAsia="Arial" w:hAnsi="Arial"/>
          <w:sz w:val="15"/>
          <w:szCs w:val="15"/>
          <w:color w:val="auto"/>
        </w:rPr>
      </w:pPr>
    </w:p>
    <w:p>
      <w:pPr>
        <w:ind w:left="800" w:right="300" w:hanging="263"/>
        <w:spacing w:after="0" w:line="265" w:lineRule="auto"/>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color w:val="auto"/>
        </w:rPr>
        <w:t>A reconciliation of EBITDA to net income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4"/>
          </w:tcPr>
          <w:p>
            <w:pPr>
              <w:jc w:val="right"/>
              <w:ind w:right="832"/>
              <w:spacing w:after="0"/>
              <w:rPr>
                <w:sz w:val="20"/>
                <w:szCs w:val="20"/>
                <w:color w:val="auto"/>
              </w:rPr>
            </w:pPr>
            <w:r>
              <w:rPr>
                <w:rFonts w:ascii="Arial" w:cs="Arial" w:eastAsia="Arial" w:hAnsi="Arial"/>
                <w:sz w:val="12"/>
                <w:szCs w:val="12"/>
                <w:b w:val="1"/>
                <w:bCs w:val="1"/>
                <w:color w:val="auto"/>
              </w:rPr>
              <w:t>Three Months Ended</w:t>
            </w: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4"/>
          </w:tcPr>
          <w:p>
            <w:pPr>
              <w:jc w:val="right"/>
              <w:ind w:right="831"/>
              <w:spacing w:after="0"/>
              <w:rPr>
                <w:sz w:val="20"/>
                <w:szCs w:val="20"/>
                <w:color w:val="auto"/>
              </w:rPr>
            </w:pPr>
            <w:r>
              <w:rPr>
                <w:rFonts w:ascii="Arial" w:cs="Arial" w:eastAsia="Arial" w:hAnsi="Arial"/>
                <w:sz w:val="12"/>
                <w:szCs w:val="12"/>
                <w:b w:val="1"/>
                <w:bCs w:val="1"/>
                <w:color w:val="auto"/>
              </w:rPr>
              <w:t>Nine Months Ended</w:t>
            </w:r>
          </w:p>
        </w:tc>
      </w:tr>
      <w:tr>
        <w:trPr>
          <w:trHeight w:val="122"/>
        </w:trPr>
        <w:tc>
          <w:tcPr>
            <w:tcW w:w="45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gridSpan w:val="2"/>
          </w:tcPr>
          <w:p>
            <w:pPr>
              <w:ind w:left="100"/>
              <w:spacing w:after="0" w:line="122" w:lineRule="exact"/>
              <w:rPr>
                <w:sz w:val="20"/>
                <w:szCs w:val="20"/>
                <w:color w:val="auto"/>
              </w:rPr>
            </w:pPr>
            <w:r>
              <w:rPr>
                <w:rFonts w:ascii="Arial" w:cs="Arial" w:eastAsia="Arial" w:hAnsi="Arial"/>
                <w:sz w:val="12"/>
                <w:szCs w:val="12"/>
                <w:b w:val="1"/>
                <w:bCs w:val="1"/>
                <w:color w:val="auto"/>
              </w:rPr>
              <w:t>March 31,</w:t>
            </w:r>
          </w:p>
        </w:tc>
        <w:tc>
          <w:tcPr>
            <w:tcW w:w="260" w:type="dxa"/>
            <w:vAlign w:val="bottom"/>
          </w:tcPr>
          <w:p>
            <w:pPr>
              <w:spacing w:after="0"/>
              <w:rPr>
                <w:sz w:val="10"/>
                <w:szCs w:val="10"/>
                <w:color w:val="auto"/>
              </w:rPr>
            </w:pPr>
          </w:p>
        </w:tc>
        <w:tc>
          <w:tcPr>
            <w:tcW w:w="1240" w:type="dxa"/>
            <w:vAlign w:val="bottom"/>
            <w:gridSpan w:val="2"/>
          </w:tcPr>
          <w:p>
            <w:pPr>
              <w:ind w:left="160"/>
              <w:spacing w:after="0" w:line="122" w:lineRule="exact"/>
              <w:rPr>
                <w:sz w:val="20"/>
                <w:szCs w:val="20"/>
                <w:color w:val="auto"/>
              </w:rPr>
            </w:pPr>
            <w:r>
              <w:rPr>
                <w:rFonts w:ascii="Arial" w:cs="Arial" w:eastAsia="Arial" w:hAnsi="Arial"/>
                <w:sz w:val="12"/>
                <w:szCs w:val="12"/>
                <w:b w:val="1"/>
                <w:bCs w:val="1"/>
                <w:color w:val="auto"/>
              </w:rPr>
              <w:t>March 31,</w:t>
            </w:r>
          </w:p>
        </w:tc>
        <w:tc>
          <w:tcPr>
            <w:tcW w:w="340" w:type="dxa"/>
            <w:vAlign w:val="bottom"/>
          </w:tcPr>
          <w:p>
            <w:pPr>
              <w:spacing w:after="0"/>
              <w:rPr>
                <w:sz w:val="10"/>
                <w:szCs w:val="10"/>
                <w:color w:val="auto"/>
              </w:rPr>
            </w:pPr>
          </w:p>
        </w:tc>
        <w:tc>
          <w:tcPr>
            <w:tcW w:w="1120" w:type="dxa"/>
            <w:vAlign w:val="bottom"/>
            <w:gridSpan w:val="2"/>
          </w:tcPr>
          <w:p>
            <w:pPr>
              <w:ind w:left="60"/>
              <w:spacing w:after="0" w:line="122" w:lineRule="exact"/>
              <w:rPr>
                <w:sz w:val="20"/>
                <w:szCs w:val="20"/>
                <w:color w:val="auto"/>
              </w:rPr>
            </w:pPr>
            <w:r>
              <w:rPr>
                <w:rFonts w:ascii="Arial" w:cs="Arial" w:eastAsia="Arial" w:hAnsi="Arial"/>
                <w:sz w:val="12"/>
                <w:szCs w:val="12"/>
                <w:b w:val="1"/>
                <w:bCs w:val="1"/>
                <w:color w:val="auto"/>
              </w:rPr>
              <w:t>March 31,</w:t>
            </w:r>
          </w:p>
        </w:tc>
        <w:tc>
          <w:tcPr>
            <w:tcW w:w="260" w:type="dxa"/>
            <w:vAlign w:val="bottom"/>
          </w:tcPr>
          <w:p>
            <w:pPr>
              <w:spacing w:after="0"/>
              <w:rPr>
                <w:sz w:val="10"/>
                <w:szCs w:val="10"/>
                <w:color w:val="auto"/>
              </w:rPr>
            </w:pPr>
          </w:p>
        </w:tc>
        <w:tc>
          <w:tcPr>
            <w:tcW w:w="1100" w:type="dxa"/>
            <w:vAlign w:val="bottom"/>
          </w:tcPr>
          <w:p>
            <w:pPr>
              <w:jc w:val="right"/>
              <w:ind w:right="371"/>
              <w:spacing w:after="0" w:line="122" w:lineRule="exact"/>
              <w:rPr>
                <w:sz w:val="20"/>
                <w:szCs w:val="20"/>
                <w:color w:val="auto"/>
              </w:rPr>
            </w:pPr>
            <w:r>
              <w:rPr>
                <w:rFonts w:ascii="Arial" w:cs="Arial" w:eastAsia="Arial" w:hAnsi="Arial"/>
                <w:sz w:val="12"/>
                <w:szCs w:val="12"/>
                <w:b w:val="1"/>
                <w:bCs w:val="1"/>
                <w:color w:val="auto"/>
              </w:rPr>
              <w:t>March 31,</w:t>
            </w:r>
          </w:p>
        </w:tc>
      </w:tr>
      <w:tr>
        <w:trPr>
          <w:trHeight w:val="156"/>
        </w:trPr>
        <w:tc>
          <w:tcPr>
            <w:tcW w:w="4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12"/>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2"/>
                <w:szCs w:val="12"/>
                <w:b w:val="1"/>
                <w:bCs w:val="1"/>
                <w:color w:val="auto"/>
              </w:rPr>
              <w:t>2016</w:t>
            </w:r>
          </w:p>
        </w:tc>
        <w:tc>
          <w:tcPr>
            <w:tcW w:w="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2"/>
                <w:szCs w:val="12"/>
                <w:b w:val="1"/>
                <w:bCs w:val="1"/>
                <w:color w:val="auto"/>
              </w:rPr>
              <w:t>2016</w:t>
            </w:r>
          </w:p>
        </w:tc>
      </w:tr>
      <w:tr>
        <w:trPr>
          <w:trHeight w:val="156"/>
        </w:trPr>
        <w:tc>
          <w:tcPr>
            <w:tcW w:w="4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3"/>
          </w:tcPr>
          <w:p>
            <w:pPr>
              <w:jc w:val="right"/>
              <w:spacing w:after="0"/>
              <w:rPr>
                <w:sz w:val="20"/>
                <w:szCs w:val="20"/>
                <w:color w:val="auto"/>
              </w:rPr>
            </w:pPr>
            <w:r>
              <w:rPr>
                <w:rFonts w:ascii="Arial" w:cs="Arial" w:eastAsia="Arial" w:hAnsi="Arial"/>
                <w:sz w:val="12"/>
                <w:szCs w:val="12"/>
                <w:b w:val="1"/>
                <w:bCs w:val="1"/>
                <w:color w:val="auto"/>
              </w:rPr>
              <w:t>(In thousands)</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5"/>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Net income (loss) attributable to Matrix Service Company</w:t>
            </w: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5"/>
                <w:szCs w:val="15"/>
                <w:color w:val="auto"/>
              </w:rPr>
              <w:t>(13,821)</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5"/>
                <w:szCs w:val="15"/>
                <w:color w:val="auto"/>
              </w:rPr>
              <w:t>4,357</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7"/>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5"/>
                <w:szCs w:val="15"/>
                <w:color w:val="auto"/>
              </w:rPr>
              <w:t>771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5"/>
                <w:szCs w:val="15"/>
                <w:color w:val="auto"/>
              </w:rPr>
              <w:t>19,729</w:t>
            </w:r>
          </w:p>
        </w:tc>
      </w:tr>
      <w:tr>
        <w:trPr>
          <w:trHeight w:val="198"/>
        </w:trPr>
        <w:tc>
          <w:tcPr>
            <w:tcW w:w="4520" w:type="dxa"/>
            <w:vAlign w:val="bottom"/>
          </w:tcPr>
          <w:p>
            <w:pPr>
              <w:ind w:left="40"/>
              <w:spacing w:after="0"/>
              <w:rPr>
                <w:sz w:val="20"/>
                <w:szCs w:val="20"/>
                <w:color w:val="auto"/>
              </w:rPr>
            </w:pPr>
            <w:r>
              <w:rPr>
                <w:rFonts w:ascii="Arial" w:cs="Arial" w:eastAsia="Arial" w:hAnsi="Arial"/>
                <w:sz w:val="15"/>
                <w:szCs w:val="15"/>
                <w:color w:val="auto"/>
              </w:rPr>
              <w:t>Interest expense</w:t>
            </w: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52"/>
              <w:spacing w:after="0"/>
              <w:rPr>
                <w:sz w:val="20"/>
                <w:szCs w:val="20"/>
                <w:color w:val="auto"/>
              </w:rPr>
            </w:pPr>
            <w:r>
              <w:rPr>
                <w:rFonts w:ascii="Arial" w:cs="Arial" w:eastAsia="Arial" w:hAnsi="Arial"/>
                <w:sz w:val="15"/>
                <w:szCs w:val="15"/>
                <w:color w:val="auto"/>
              </w:rPr>
              <w:t>833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52"/>
              <w:spacing w:after="0"/>
              <w:rPr>
                <w:sz w:val="20"/>
                <w:szCs w:val="20"/>
                <w:color w:val="auto"/>
              </w:rPr>
            </w:pPr>
            <w:r>
              <w:rPr>
                <w:rFonts w:ascii="Arial" w:cs="Arial" w:eastAsia="Arial" w:hAnsi="Arial"/>
                <w:sz w:val="15"/>
                <w:szCs w:val="15"/>
                <w:color w:val="auto"/>
              </w:rPr>
              <w:t>241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52"/>
              <w:spacing w:after="0"/>
              <w:rPr>
                <w:sz w:val="20"/>
                <w:szCs w:val="20"/>
                <w:color w:val="auto"/>
              </w:rPr>
            </w:pPr>
            <w:r>
              <w:rPr>
                <w:rFonts w:ascii="Arial" w:cs="Arial" w:eastAsia="Arial" w:hAnsi="Arial"/>
                <w:sz w:val="15"/>
                <w:szCs w:val="15"/>
                <w:color w:val="auto"/>
              </w:rPr>
              <w:t>1,573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51"/>
              <w:spacing w:after="0"/>
              <w:rPr>
                <w:sz w:val="20"/>
                <w:szCs w:val="20"/>
                <w:color w:val="auto"/>
              </w:rPr>
            </w:pPr>
            <w:r>
              <w:rPr>
                <w:rFonts w:ascii="Arial" w:cs="Arial" w:eastAsia="Arial" w:hAnsi="Arial"/>
                <w:sz w:val="15"/>
                <w:szCs w:val="15"/>
                <w:color w:val="auto"/>
              </w:rPr>
              <w:t>756</w:t>
            </w:r>
          </w:p>
        </w:tc>
      </w:tr>
      <w:tr>
        <w:trPr>
          <w:trHeight w:val="22"/>
        </w:trPr>
        <w:tc>
          <w:tcPr>
            <w:tcW w:w="4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Provision (benefit) for income taxes</w:t>
            </w:r>
          </w:p>
        </w:tc>
        <w:tc>
          <w:tcPr>
            <w:tcW w:w="1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5"/>
                <w:szCs w:val="15"/>
                <w:color w:val="auto"/>
              </w:rPr>
              <w:t>(8,521)</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5"/>
                <w:szCs w:val="15"/>
                <w:color w:val="auto"/>
              </w:rPr>
              <w:t>2,507</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(1,223)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5"/>
                <w:szCs w:val="15"/>
                <w:color w:val="auto"/>
              </w:rPr>
              <w:t>9,060</w:t>
            </w:r>
          </w:p>
        </w:tc>
      </w:tr>
      <w:tr>
        <w:trPr>
          <w:trHeight w:val="198"/>
        </w:trPr>
        <w:tc>
          <w:tcPr>
            <w:tcW w:w="4520" w:type="dxa"/>
            <w:vAlign w:val="bottom"/>
          </w:tcPr>
          <w:p>
            <w:pPr>
              <w:ind w:left="40"/>
              <w:spacing w:after="0"/>
              <w:rPr>
                <w:sz w:val="20"/>
                <w:szCs w:val="20"/>
                <w:color w:val="auto"/>
              </w:rPr>
            </w:pPr>
            <w:r>
              <w:rPr>
                <w:rFonts w:ascii="Arial" w:cs="Arial" w:eastAsia="Arial" w:hAnsi="Arial"/>
                <w:sz w:val="15"/>
                <w:szCs w:val="15"/>
                <w:color w:val="auto"/>
              </w:rPr>
              <w:t>Depreciation and amortization</w:t>
            </w: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52"/>
              <w:spacing w:after="0"/>
              <w:rPr>
                <w:sz w:val="20"/>
                <w:szCs w:val="20"/>
                <w:color w:val="auto"/>
              </w:rPr>
            </w:pPr>
            <w:r>
              <w:rPr>
                <w:rFonts w:ascii="Arial" w:cs="Arial" w:eastAsia="Arial" w:hAnsi="Arial"/>
                <w:sz w:val="15"/>
                <w:szCs w:val="15"/>
                <w:color w:val="auto"/>
              </w:rPr>
              <w:t>5,851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52"/>
              <w:spacing w:after="0"/>
              <w:rPr>
                <w:sz w:val="20"/>
                <w:szCs w:val="20"/>
                <w:color w:val="auto"/>
              </w:rPr>
            </w:pPr>
            <w:r>
              <w:rPr>
                <w:rFonts w:ascii="Arial" w:cs="Arial" w:eastAsia="Arial" w:hAnsi="Arial"/>
                <w:sz w:val="15"/>
                <w:szCs w:val="15"/>
                <w:color w:val="auto"/>
              </w:rPr>
              <w:t>5,419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52"/>
              <w:spacing w:after="0"/>
              <w:rPr>
                <w:sz w:val="20"/>
                <w:szCs w:val="20"/>
                <w:color w:val="auto"/>
              </w:rPr>
            </w:pPr>
            <w:r>
              <w:rPr>
                <w:rFonts w:ascii="Arial" w:cs="Arial" w:eastAsia="Arial" w:hAnsi="Arial"/>
                <w:sz w:val="15"/>
                <w:szCs w:val="15"/>
                <w:color w:val="auto"/>
              </w:rPr>
              <w:t>15,839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51"/>
              <w:spacing w:after="0"/>
              <w:rPr>
                <w:sz w:val="20"/>
                <w:szCs w:val="20"/>
                <w:color w:val="auto"/>
              </w:rPr>
            </w:pPr>
            <w:r>
              <w:rPr>
                <w:rFonts w:ascii="Arial" w:cs="Arial" w:eastAsia="Arial" w:hAnsi="Arial"/>
                <w:sz w:val="15"/>
                <w:szCs w:val="15"/>
                <w:color w:val="auto"/>
              </w:rPr>
              <w:t>16,139</w:t>
            </w:r>
          </w:p>
        </w:tc>
      </w:tr>
      <w:tr>
        <w:trPr>
          <w:trHeight w:val="22"/>
        </w:trPr>
        <w:tc>
          <w:tcPr>
            <w:tcW w:w="45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6"/>
        </w:trPr>
        <w:tc>
          <w:tcPr>
            <w:tcW w:w="4520" w:type="dxa"/>
            <w:vAlign w:val="bottom"/>
            <w:shd w:val="clear" w:color="auto" w:fill="CCEEFF"/>
          </w:tcPr>
          <w:p>
            <w:pPr>
              <w:ind w:left="40"/>
              <w:spacing w:after="0"/>
              <w:rPr>
                <w:sz w:val="20"/>
                <w:szCs w:val="20"/>
                <w:color w:val="auto"/>
              </w:rPr>
            </w:pPr>
            <w:r>
              <w:rPr>
                <w:rFonts w:ascii="Arial" w:cs="Arial" w:eastAsia="Arial" w:hAnsi="Arial"/>
                <w:sz w:val="15"/>
                <w:szCs w:val="15"/>
                <w:color w:val="auto"/>
              </w:rPr>
              <w:t>EBITDA</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5"/>
                <w:szCs w:val="15"/>
                <w:color w:val="auto"/>
              </w:rPr>
              <w:t>(15,658)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5"/>
                <w:szCs w:val="15"/>
                <w:color w:val="auto"/>
              </w:rPr>
              <w:t>12,524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5"/>
                <w:szCs w:val="15"/>
                <w:color w:val="auto"/>
              </w:rPr>
              <w:t>16,960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45,684</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530"/>
        </w:trPr>
        <w:tc>
          <w:tcPr>
            <w:tcW w:w="4520" w:type="dxa"/>
            <w:vAlign w:val="bottom"/>
          </w:tcPr>
          <w:p>
            <w:pPr>
              <w:spacing w:after="0"/>
              <w:rPr>
                <w:sz w:val="24"/>
                <w:szCs w:val="24"/>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5"/>
                <w:szCs w:val="15"/>
                <w:color w:val="auto"/>
              </w:rPr>
              <w:t>- 31-</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60"/>
          </w:cols>
          <w:pgMar w:left="220" w:top="305" w:right="219" w:bottom="1440" w:gutter="0" w:footer="0" w:header="0"/>
        </w:sectPr>
      </w:pPr>
    </w:p>
    <w:bookmarkStart w:id="33" w:name="page34"/>
    <w:bookmarkEnd w:id="33"/>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FINANCIAL CONDITION AND LIQUIDITY</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40" w:lineRule="exact"/>
        <w:rPr>
          <w:sz w:val="20"/>
          <w:szCs w:val="20"/>
          <w:color w:val="auto"/>
        </w:rPr>
      </w:pPr>
    </w:p>
    <w:p>
      <w:pPr>
        <w:jc w:val="both"/>
        <w:spacing w:after="0" w:line="313" w:lineRule="auto"/>
        <w:rPr>
          <w:sz w:val="20"/>
          <w:szCs w:val="20"/>
          <w:color w:val="auto"/>
        </w:rPr>
      </w:pPr>
      <w:r>
        <w:rPr>
          <w:rFonts w:ascii="Arial" w:cs="Arial" w:eastAsia="Arial" w:hAnsi="Arial"/>
          <w:sz w:val="13"/>
          <w:szCs w:val="13"/>
          <w:color w:val="auto"/>
        </w:rPr>
        <w:t>We define liquidity as the ongoing ability to pay our liabilities as they become due, fund business operations and meet all monetary contractual obligations. Our primary sources of liquidity for the nine months ended March 31, 2017 were cash on hand, capacity under our senior revolving credit facility and cash generated from operations before consideration of changes in working capital. Cash on hand at March 31, 2017 totaled $39.7 million and availability under the senior revolving credit facility totaled $106.8 million resulting in available liquidity of $146.5 million.</w:t>
      </w:r>
    </w:p>
    <w:p>
      <w:pPr>
        <w:spacing w:after="0" w:line="76"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Our availability under the senior revolving credit facility was significantly impacted by the Electrical Infrastructure project recorded in the third fiscal quarter as discussed in Note 3 - Uncompleted Contracts. Our fourth quarter projected cash flow, which includes the collection of significant retention on a Storage Solutions project, is strong. Going into fiscal 2018, we do not expect significant increases to senior revolving credit facility availability until the second half of the year. However, with the cash balance, we believe that sufficient liquidity exists to fund the business. A complete discussion of our credit agreement is provided under the captain "Senior Revolving Credit Facility" included in this Financial Condition and Liquidity section of the Form 10-Q.</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color w:val="auto"/>
        </w:rPr>
        <w:t>Factors that routinely impact our short-term liquidity and may impact our long-term liquidity include, but are not limited to:</w:t>
      </w:r>
    </w:p>
    <w:p>
      <w:pPr>
        <w:spacing w:after="0" w:line="136" w:lineRule="exact"/>
        <w:rPr>
          <w:sz w:val="20"/>
          <w:szCs w:val="20"/>
          <w:color w:val="auto"/>
        </w:rPr>
      </w:pPr>
    </w:p>
    <w:p>
      <w:pPr>
        <w:ind w:left="800" w:right="40" w:hanging="263"/>
        <w:spacing w:after="0" w:line="265" w:lineRule="auto"/>
        <w:tabs>
          <w:tab w:leader="none" w:pos="8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148" w:lineRule="exact"/>
        <w:rPr>
          <w:rFonts w:ascii="Arial" w:cs="Arial" w:eastAsia="Arial" w:hAnsi="Arial"/>
          <w:sz w:val="15"/>
          <w:szCs w:val="15"/>
          <w:color w:val="auto"/>
        </w:rPr>
      </w:pPr>
    </w:p>
    <w:p>
      <w:pPr>
        <w:ind w:left="800" w:hanging="263"/>
        <w:spacing w:after="0"/>
        <w:tabs>
          <w:tab w:leader="none" w:pos="8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Some cost plus and fixed price customer contracts are billed based on milestones which may require us to incur significant expenditures prior to collections from our customers.</w:t>
      </w:r>
    </w:p>
    <w:p>
      <w:pPr>
        <w:spacing w:after="0" w:line="203" w:lineRule="exact"/>
        <w:rPr>
          <w:rFonts w:ascii="Arial" w:cs="Arial" w:eastAsia="Arial" w:hAnsi="Arial"/>
          <w:sz w:val="13"/>
          <w:szCs w:val="13"/>
          <w:color w:val="auto"/>
        </w:rPr>
      </w:pPr>
    </w:p>
    <w:p>
      <w:pPr>
        <w:ind w:left="800" w:hanging="263"/>
        <w:spacing w:after="0"/>
        <w:tabs>
          <w:tab w:leader="none" w:pos="8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Time and material contracts are normally billed in arrears. Therefore, we are routinely required to carry these costs until they can be billed and collected.</w:t>
      </w:r>
    </w:p>
    <w:p>
      <w:pPr>
        <w:spacing w:after="0" w:line="180" w:lineRule="exact"/>
        <w:rPr>
          <w:rFonts w:ascii="Arial" w:cs="Arial" w:eastAsia="Arial" w:hAnsi="Arial"/>
          <w:sz w:val="15"/>
          <w:szCs w:val="15"/>
          <w:color w:val="auto"/>
        </w:rPr>
      </w:pPr>
    </w:p>
    <w:p>
      <w:pPr>
        <w:ind w:left="800" w:hanging="263"/>
        <w:spacing w:after="0"/>
        <w:tabs>
          <w:tab w:leader="none" w:pos="8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Some of our large construction projects may require significant retentions or security in the form of letters of credit.</w:t>
      </w:r>
    </w:p>
    <w:p>
      <w:pPr>
        <w:spacing w:after="0" w:line="180" w:lineRule="exact"/>
        <w:rPr>
          <w:rFonts w:ascii="Arial" w:cs="Arial" w:eastAsia="Arial" w:hAnsi="Arial"/>
          <w:sz w:val="15"/>
          <w:szCs w:val="15"/>
          <w:color w:val="auto"/>
        </w:rPr>
      </w:pPr>
    </w:p>
    <w:p>
      <w:pPr>
        <w:ind w:left="800" w:hanging="263"/>
        <w:spacing w:after="0"/>
        <w:tabs>
          <w:tab w:leader="none" w:pos="8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Other changes in working capital</w:t>
      </w:r>
    </w:p>
    <w:p>
      <w:pPr>
        <w:spacing w:after="0" w:line="180" w:lineRule="exact"/>
        <w:rPr>
          <w:rFonts w:ascii="Arial" w:cs="Arial" w:eastAsia="Arial" w:hAnsi="Arial"/>
          <w:sz w:val="15"/>
          <w:szCs w:val="15"/>
          <w:color w:val="auto"/>
        </w:rPr>
      </w:pPr>
    </w:p>
    <w:p>
      <w:pPr>
        <w:ind w:left="800" w:hanging="263"/>
        <w:spacing w:after="0"/>
        <w:tabs>
          <w:tab w:leader="none" w:pos="8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Capital expenditures</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color w:val="auto"/>
        </w:rPr>
        <w:t>Other factors that may impact both short and long-term liquidity include:</w:t>
      </w:r>
    </w:p>
    <w:p>
      <w:pPr>
        <w:spacing w:after="0" w:line="180" w:lineRule="exact"/>
        <w:rPr>
          <w:sz w:val="20"/>
          <w:szCs w:val="20"/>
          <w:color w:val="auto"/>
        </w:rPr>
      </w:pPr>
    </w:p>
    <w:p>
      <w:pPr>
        <w:ind w:left="800" w:hanging="263"/>
        <w:spacing w:after="0"/>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Acquisitions of new businesses</w:t>
      </w:r>
    </w:p>
    <w:p>
      <w:pPr>
        <w:spacing w:after="0" w:line="180" w:lineRule="exact"/>
        <w:rPr>
          <w:rFonts w:ascii="Arial" w:cs="Arial" w:eastAsia="Arial" w:hAnsi="Arial"/>
          <w:sz w:val="15"/>
          <w:szCs w:val="15"/>
          <w:color w:val="auto"/>
        </w:rPr>
      </w:pPr>
    </w:p>
    <w:p>
      <w:pPr>
        <w:ind w:left="800" w:hanging="263"/>
        <w:spacing w:after="0"/>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Strategic investments in new operations</w:t>
      </w:r>
    </w:p>
    <w:p>
      <w:pPr>
        <w:spacing w:after="0" w:line="180" w:lineRule="exact"/>
        <w:rPr>
          <w:rFonts w:ascii="Arial" w:cs="Arial" w:eastAsia="Arial" w:hAnsi="Arial"/>
          <w:sz w:val="15"/>
          <w:szCs w:val="15"/>
          <w:color w:val="auto"/>
        </w:rPr>
      </w:pPr>
    </w:p>
    <w:p>
      <w:pPr>
        <w:ind w:left="800" w:hanging="263"/>
        <w:spacing w:after="0"/>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Purchases of shares under our stock buyback program</w:t>
      </w:r>
    </w:p>
    <w:p>
      <w:pPr>
        <w:spacing w:after="0" w:line="180" w:lineRule="exact"/>
        <w:rPr>
          <w:rFonts w:ascii="Arial" w:cs="Arial" w:eastAsia="Arial" w:hAnsi="Arial"/>
          <w:sz w:val="15"/>
          <w:szCs w:val="15"/>
          <w:color w:val="auto"/>
        </w:rPr>
      </w:pPr>
    </w:p>
    <w:p>
      <w:pPr>
        <w:ind w:left="800" w:hanging="263"/>
        <w:spacing w:after="0"/>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Contract disputes which can be significant</w:t>
      </w:r>
    </w:p>
    <w:p>
      <w:pPr>
        <w:spacing w:after="0" w:line="180" w:lineRule="exact"/>
        <w:rPr>
          <w:rFonts w:ascii="Arial" w:cs="Arial" w:eastAsia="Arial" w:hAnsi="Arial"/>
          <w:sz w:val="15"/>
          <w:szCs w:val="15"/>
          <w:color w:val="auto"/>
        </w:rPr>
      </w:pPr>
    </w:p>
    <w:p>
      <w:pPr>
        <w:ind w:left="800" w:hanging="263"/>
        <w:spacing w:after="0"/>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Collection issues, including those caused by weak commodity prices or other factors which can lead to credit deterioration of our customers</w:t>
      </w:r>
    </w:p>
    <w:p>
      <w:pPr>
        <w:spacing w:after="0" w:line="180" w:lineRule="exact"/>
        <w:rPr>
          <w:rFonts w:ascii="Arial" w:cs="Arial" w:eastAsia="Arial" w:hAnsi="Arial"/>
          <w:sz w:val="15"/>
          <w:szCs w:val="15"/>
          <w:color w:val="auto"/>
        </w:rPr>
      </w:pPr>
    </w:p>
    <w:p>
      <w:pPr>
        <w:ind w:left="800" w:hanging="263"/>
        <w:spacing w:after="0"/>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Capacity constraints under our credit facility and remaining in compliance with all covenants contained in the credit agreement</w:t>
      </w:r>
    </w:p>
    <w:p>
      <w:pPr>
        <w:spacing w:after="0" w:line="180" w:lineRule="exact"/>
        <w:rPr>
          <w:rFonts w:ascii="Arial" w:cs="Arial" w:eastAsia="Arial" w:hAnsi="Arial"/>
          <w:sz w:val="15"/>
          <w:szCs w:val="15"/>
          <w:color w:val="auto"/>
        </w:rPr>
      </w:pPr>
    </w:p>
    <w:p>
      <w:pPr>
        <w:ind w:left="800" w:hanging="263"/>
        <w:spacing w:after="0"/>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 default by one of the major financial institutions for which our deposits exceed insured deposit limits</w:t>
      </w:r>
    </w:p>
    <w:p>
      <w:pPr>
        <w:spacing w:after="0" w:line="180" w:lineRule="exact"/>
        <w:rPr>
          <w:rFonts w:ascii="Arial" w:cs="Arial" w:eastAsia="Arial" w:hAnsi="Arial"/>
          <w:sz w:val="15"/>
          <w:szCs w:val="15"/>
          <w:color w:val="auto"/>
        </w:rPr>
      </w:pPr>
    </w:p>
    <w:p>
      <w:pPr>
        <w:ind w:left="800" w:hanging="263"/>
        <w:spacing w:after="0"/>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Cash on hand outside of the United States that cannot be repatriated without incremental taxation.</w:t>
      </w:r>
    </w:p>
    <w:p>
      <w:pPr>
        <w:spacing w:after="0" w:line="312"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As discussed under the caption "Senior Revolving Credit Facility" included in this Financial Condition and Liquidity section of the Form 10-Q, our Credit Agreement includes a Senior Leverage Ratio covenant, which provides that Consolidated Funded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- 32-</w:t>
      </w:r>
    </w:p>
    <w:p>
      <w:pPr>
        <w:sectPr>
          <w:pgSz w:w="11900" w:h="16838" w:orient="portrait"/>
          <w:cols w:equalWidth="0" w:num="1">
            <w:col w:w="11460"/>
          </w:cols>
          <w:pgMar w:left="220" w:top="305" w:right="219" w:bottom="1440" w:gutter="0" w:footer="0" w:header="0"/>
        </w:sectPr>
      </w:pPr>
    </w:p>
    <w:bookmarkStart w:id="34" w:name="page35"/>
    <w:bookmarkEnd w:id="34"/>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Indebtedness, as of the end of any fiscal quarter, may not exceed 3.0 times Consolidated EBITDA, as defined in the Credit Agreement, over the previous four quarters.</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Flow for the Nine Months Ended March 31, 2017</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Cash Flows Used by Operating Activities</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color w:val="auto"/>
        </w:rPr>
        <w:t>Cash used by operating activities for the nine months ended March 31, 2017 totaled $25.6 million. The various components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500" w:type="dxa"/>
            <w:vAlign w:val="bottom"/>
          </w:tcPr>
          <w:p>
            <w:pPr>
              <w:spacing w:after="0"/>
              <w:rPr>
                <w:sz w:val="15"/>
                <w:szCs w:val="15"/>
                <w:color w:val="auto"/>
              </w:rPr>
            </w:pPr>
          </w:p>
        </w:tc>
        <w:tc>
          <w:tcPr>
            <w:tcW w:w="7040" w:type="dxa"/>
            <w:vAlign w:val="bottom"/>
            <w:gridSpan w:val="2"/>
          </w:tcPr>
          <w:p>
            <w:pPr>
              <w:jc w:val="right"/>
              <w:ind w:right="3527"/>
              <w:spacing w:after="0"/>
              <w:rPr>
                <w:sz w:val="20"/>
                <w:szCs w:val="20"/>
                <w:color w:val="auto"/>
              </w:rPr>
            </w:pPr>
            <w:r>
              <w:rPr>
                <w:rFonts w:ascii="Arial" w:cs="Arial" w:eastAsia="Arial" w:hAnsi="Arial"/>
                <w:sz w:val="15"/>
                <w:szCs w:val="15"/>
                <w:b w:val="1"/>
                <w:bCs w:val="1"/>
                <w:color w:val="auto"/>
              </w:rPr>
              <w:t>Net Cash Used by Operating Activities</w:t>
            </w:r>
          </w:p>
        </w:tc>
        <w:tc>
          <w:tcPr>
            <w:tcW w:w="920" w:type="dxa"/>
            <w:vAlign w:val="bottom"/>
          </w:tcPr>
          <w:p>
            <w:pPr>
              <w:spacing w:after="0"/>
              <w:rPr>
                <w:sz w:val="15"/>
                <w:szCs w:val="15"/>
                <w:color w:val="auto"/>
              </w:rPr>
            </w:pPr>
          </w:p>
        </w:tc>
      </w:tr>
      <w:tr>
        <w:trPr>
          <w:trHeight w:val="187"/>
        </w:trPr>
        <w:tc>
          <w:tcPr>
            <w:tcW w:w="3500" w:type="dxa"/>
            <w:vAlign w:val="bottom"/>
          </w:tcPr>
          <w:p>
            <w:pPr>
              <w:spacing w:after="0"/>
              <w:rPr>
                <w:sz w:val="16"/>
                <w:szCs w:val="16"/>
                <w:color w:val="auto"/>
              </w:rPr>
            </w:pPr>
          </w:p>
        </w:tc>
        <w:tc>
          <w:tcPr>
            <w:tcW w:w="7040" w:type="dxa"/>
            <w:vAlign w:val="bottom"/>
            <w:gridSpan w:val="2"/>
          </w:tcPr>
          <w:p>
            <w:pPr>
              <w:jc w:val="right"/>
              <w:ind w:right="4307"/>
              <w:spacing w:after="0"/>
              <w:rPr>
                <w:sz w:val="20"/>
                <w:szCs w:val="20"/>
                <w:color w:val="auto"/>
              </w:rPr>
            </w:pPr>
            <w:r>
              <w:rPr>
                <w:rFonts w:ascii="Arial" w:cs="Arial" w:eastAsia="Arial" w:hAnsi="Arial"/>
                <w:sz w:val="15"/>
                <w:szCs w:val="15"/>
                <w:color w:val="auto"/>
              </w:rPr>
              <w:t>(In thousands)</w:t>
            </w:r>
          </w:p>
        </w:tc>
        <w:tc>
          <w:tcPr>
            <w:tcW w:w="920" w:type="dxa"/>
            <w:vAlign w:val="bottom"/>
          </w:tcPr>
          <w:p>
            <w:pPr>
              <w:spacing w:after="0"/>
              <w:rPr>
                <w:sz w:val="16"/>
                <w:szCs w:val="16"/>
                <w:color w:val="auto"/>
              </w:rPr>
            </w:pPr>
          </w:p>
        </w:tc>
      </w:tr>
      <w:tr>
        <w:trPr>
          <w:trHeight w:val="265"/>
        </w:trPr>
        <w:tc>
          <w:tcPr>
            <w:tcW w:w="3500" w:type="dxa"/>
            <w:vAlign w:val="bottom"/>
          </w:tcPr>
          <w:p>
            <w:pPr>
              <w:spacing w:after="0"/>
              <w:rPr>
                <w:sz w:val="23"/>
                <w:szCs w:val="23"/>
                <w:color w:val="auto"/>
              </w:rPr>
            </w:pPr>
          </w:p>
        </w:tc>
        <w:tc>
          <w:tcPr>
            <w:tcW w:w="6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0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Net income</w:t>
            </w:r>
          </w:p>
        </w:tc>
        <w:tc>
          <w:tcPr>
            <w:tcW w:w="7040" w:type="dxa"/>
            <w:vAlign w:val="bottom"/>
            <w:tcBorders>
              <w:bottom w:val="single" w:sz="8" w:color="CCEEFF"/>
            </w:tcBorders>
            <w:gridSpan w:val="2"/>
            <w:shd w:val="clear" w:color="auto" w:fill="CCEEFF"/>
          </w:tcPr>
          <w:p>
            <w:pPr>
              <w:jc w:val="right"/>
              <w:ind w:right="287"/>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1,092</w:t>
            </w:r>
          </w:p>
        </w:tc>
      </w:tr>
      <w:tr>
        <w:trPr>
          <w:trHeight w:val="198"/>
        </w:trPr>
        <w:tc>
          <w:tcPr>
            <w:tcW w:w="3500" w:type="dxa"/>
            <w:vAlign w:val="bottom"/>
          </w:tcPr>
          <w:p>
            <w:pPr>
              <w:ind w:left="40"/>
              <w:spacing w:after="0"/>
              <w:rPr>
                <w:sz w:val="20"/>
                <w:szCs w:val="20"/>
                <w:color w:val="auto"/>
              </w:rPr>
            </w:pPr>
            <w:r>
              <w:rPr>
                <w:rFonts w:ascii="Arial" w:cs="Arial" w:eastAsia="Arial" w:hAnsi="Arial"/>
                <w:sz w:val="15"/>
                <w:szCs w:val="15"/>
                <w:color w:val="auto"/>
              </w:rPr>
              <w:t>Non-cash expenses</w:t>
            </w:r>
          </w:p>
        </w:tc>
        <w:tc>
          <w:tcPr>
            <w:tcW w:w="6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47"/>
              <w:spacing w:after="0"/>
              <w:rPr>
                <w:sz w:val="20"/>
                <w:szCs w:val="20"/>
                <w:color w:val="auto"/>
              </w:rPr>
            </w:pPr>
            <w:r>
              <w:rPr>
                <w:rFonts w:ascii="Arial" w:cs="Arial" w:eastAsia="Arial" w:hAnsi="Arial"/>
                <w:sz w:val="15"/>
                <w:szCs w:val="15"/>
                <w:color w:val="auto"/>
              </w:rPr>
              <w:t>21,840</w:t>
            </w:r>
          </w:p>
        </w:tc>
      </w:tr>
      <w:tr>
        <w:trPr>
          <w:trHeight w:val="22"/>
        </w:trPr>
        <w:tc>
          <w:tcPr>
            <w:tcW w:w="35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Deferred income tax</w:t>
            </w:r>
          </w:p>
        </w:tc>
        <w:tc>
          <w:tcPr>
            <w:tcW w:w="66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(4,665)</w:t>
            </w:r>
          </w:p>
        </w:tc>
      </w:tr>
      <w:tr>
        <w:trPr>
          <w:trHeight w:val="198"/>
        </w:trPr>
        <w:tc>
          <w:tcPr>
            <w:tcW w:w="3500" w:type="dxa"/>
            <w:vAlign w:val="bottom"/>
          </w:tcPr>
          <w:p>
            <w:pPr>
              <w:ind w:left="40"/>
              <w:spacing w:after="0"/>
              <w:rPr>
                <w:sz w:val="20"/>
                <w:szCs w:val="20"/>
                <w:color w:val="auto"/>
              </w:rPr>
            </w:pPr>
            <w:r>
              <w:rPr>
                <w:rFonts w:ascii="Arial" w:cs="Arial" w:eastAsia="Arial" w:hAnsi="Arial"/>
                <w:sz w:val="15"/>
                <w:szCs w:val="15"/>
                <w:color w:val="auto"/>
              </w:rPr>
              <w:t>Cash effect of changes in working capital</w:t>
            </w:r>
          </w:p>
        </w:tc>
        <w:tc>
          <w:tcPr>
            <w:tcW w:w="6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(44,087)</w:t>
            </w:r>
          </w:p>
        </w:tc>
      </w:tr>
      <w:tr>
        <w:trPr>
          <w:trHeight w:val="22"/>
        </w:trPr>
        <w:tc>
          <w:tcPr>
            <w:tcW w:w="35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Other</w:t>
            </w:r>
          </w:p>
        </w:tc>
        <w:tc>
          <w:tcPr>
            <w:tcW w:w="66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211</w:t>
            </w:r>
          </w:p>
        </w:tc>
      </w:tr>
      <w:tr>
        <w:trPr>
          <w:trHeight w:val="206"/>
        </w:trPr>
        <w:tc>
          <w:tcPr>
            <w:tcW w:w="3500" w:type="dxa"/>
            <w:vAlign w:val="bottom"/>
          </w:tcPr>
          <w:p>
            <w:pPr>
              <w:ind w:left="40"/>
              <w:spacing w:after="0"/>
              <w:rPr>
                <w:sz w:val="20"/>
                <w:szCs w:val="20"/>
                <w:color w:val="auto"/>
              </w:rPr>
            </w:pPr>
            <w:r>
              <w:rPr>
                <w:rFonts w:ascii="Arial" w:cs="Arial" w:eastAsia="Arial" w:hAnsi="Arial"/>
                <w:sz w:val="15"/>
                <w:szCs w:val="15"/>
                <w:color w:val="auto"/>
              </w:rPr>
              <w:t>Net cash used by operating activities</w:t>
            </w:r>
          </w:p>
        </w:tc>
        <w:tc>
          <w:tcPr>
            <w:tcW w:w="66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(25,609)</w:t>
            </w:r>
          </w:p>
        </w:tc>
      </w:tr>
      <w:tr>
        <w:trPr>
          <w:trHeight w:val="20"/>
        </w:trPr>
        <w:tc>
          <w:tcPr>
            <w:tcW w:w="35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spacing w:after="0"/>
        <w:rPr>
          <w:sz w:val="20"/>
          <w:szCs w:val="20"/>
          <w:color w:val="auto"/>
        </w:rPr>
      </w:pPr>
      <w:r>
        <w:rPr>
          <w:rFonts w:ascii="Arial" w:cs="Arial" w:eastAsia="Arial" w:hAnsi="Arial"/>
          <w:sz w:val="15"/>
          <w:szCs w:val="15"/>
          <w:color w:val="auto"/>
        </w:rPr>
        <w:t>Working capital changes, net of effects from acquisitions, at March 31, 2017 in comparison to June 30, 2016 include the following:</w:t>
      </w:r>
    </w:p>
    <w:p>
      <w:pPr>
        <w:spacing w:after="0" w:line="180" w:lineRule="exact"/>
        <w:rPr>
          <w:sz w:val="20"/>
          <w:szCs w:val="20"/>
          <w:color w:val="auto"/>
        </w:rPr>
      </w:pPr>
    </w:p>
    <w:p>
      <w:pPr>
        <w:ind w:left="800" w:right="320" w:hanging="263"/>
        <w:spacing w:after="0" w:line="255" w:lineRule="auto"/>
        <w:tabs>
          <w:tab w:leader="none" w:pos="8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Accounts receivable, net of bad debt expense recognized during the period, increased by $23.5 million during the nine months ended March 31, 2017. The variance is primarily attributable to the timing of billing and collections on our previously announced projects for the construction of terminals supporting the Dakota Access Pipeline and the large Electrical Infrastructure project.</w:t>
      </w:r>
    </w:p>
    <w:p>
      <w:pPr>
        <w:spacing w:after="0" w:line="155" w:lineRule="exact"/>
        <w:rPr>
          <w:rFonts w:ascii="Arial" w:cs="Arial" w:eastAsia="Arial" w:hAnsi="Arial"/>
          <w:sz w:val="15"/>
          <w:szCs w:val="15"/>
          <w:color w:val="auto"/>
        </w:rPr>
      </w:pPr>
    </w:p>
    <w:p>
      <w:pPr>
        <w:ind w:left="800" w:right="200" w:hanging="263"/>
        <w:spacing w:after="0" w:line="265" w:lineRule="auto"/>
        <w:tabs>
          <w:tab w:leader="none" w:pos="8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Accounts payable decreased by $45.7 million during the nine months ended March 31, 2017. The variance is primarily attributable to lower volumes during the quarter preceding March 31, 2017 compared to the quarter preceding June 30, 2016 and the timing of vendor payments.</w:t>
      </w:r>
    </w:p>
    <w:p>
      <w:pPr>
        <w:spacing w:after="0" w:line="148" w:lineRule="exact"/>
        <w:rPr>
          <w:rFonts w:ascii="Arial" w:cs="Arial" w:eastAsia="Arial" w:hAnsi="Arial"/>
          <w:sz w:val="15"/>
          <w:szCs w:val="15"/>
          <w:color w:val="auto"/>
        </w:rPr>
      </w:pPr>
    </w:p>
    <w:p>
      <w:pPr>
        <w:ind w:left="800" w:right="180" w:hanging="263"/>
        <w:spacing w:after="0" w:line="252" w:lineRule="auto"/>
        <w:tabs>
          <w:tab w:leader="none" w:pos="8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Costs and estimated earnings in excess of billings on uncompleted contracts ("CIE") decreased $34.8 million while billings on uncompleted contracts in excess of costs and estimated earnings ("BIE") increased $5.4 million. The net change in CIE and BIE increased cash $40.2 million for the nine months ended March 31, 2017. CIE and BIE balances can experience significant fluctuations based on the timing of when job costs are incurred, the invoicing of those job costs to the customer, and other working capital management factors.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5"/>
          <w:szCs w:val="15"/>
          <w:i w:val="1"/>
          <w:iCs w:val="1"/>
          <w:color w:val="auto"/>
        </w:rPr>
        <w:t>Cash Flows Used for Investing Activities</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Investing activities used $48.1 million of cash in the nine months ended March 31, 2017 primarily due to the Houston Interests acquisition, which used $40.8 million, and $8.5 million of capital expenditures. Capital expenditures consisted of: $4.0 million for office equipment, $2.4 million for construction equipment, $1.7 million for transportation and fabrication equipment, and $0.4 million for land and buildings. Proceeds from asset sales provided $1.1 million of cash.</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Cash Flows Provided by Financing Activities</w:t>
      </w:r>
    </w:p>
    <w:p>
      <w:pPr>
        <w:spacing w:after="0" w:line="136"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Financing activities provided $42.4 million of cash in the nine months ended March 31, 2017 primarily due to net borrowings of $44.1 million under our credit facility and a contribution from a non-controlling interest of $0.9 million that were partially offset by the repurchase of $2.3 million of Company stock for payment of withholding taxes due on equity-based compensation and the payment of $0.8 million for debt amendment fees. The net borrowings under our credit facility were primarily used to fund the $46.0 million cash purchase price for the Houston Interests acquisition and working capital needs of our Canadian business.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- 33-</w:t>
      </w:r>
    </w:p>
    <w:p>
      <w:pPr>
        <w:sectPr>
          <w:pgSz w:w="11900" w:h="16838" w:orient="portrait"/>
          <w:cols w:equalWidth="0" w:num="1">
            <w:col w:w="11460"/>
          </w:cols>
          <w:pgMar w:left="220" w:top="305" w:right="219" w:bottom="1440" w:gutter="0" w:footer="0" w:header="0"/>
        </w:sectPr>
      </w:pPr>
    </w:p>
    <w:bookmarkStart w:id="35" w:name="page36"/>
    <w:bookmarkEnd w:id="35"/>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Senior Revolving Credit Facility</w:t>
      </w:r>
    </w:p>
    <w:p>
      <w:pPr>
        <w:spacing w:after="0" w:line="140" w:lineRule="exact"/>
        <w:rPr>
          <w:sz w:val="20"/>
          <w:szCs w:val="20"/>
          <w:color w:val="auto"/>
        </w:rPr>
      </w:pPr>
    </w:p>
    <w:p>
      <w:pPr>
        <w:jc w:val="both"/>
        <w:ind w:left="60"/>
        <w:spacing w:after="0" w:line="255" w:lineRule="auto"/>
        <w:rPr>
          <w:sz w:val="20"/>
          <w:szCs w:val="20"/>
          <w:color w:val="auto"/>
        </w:rPr>
      </w:pPr>
      <w:r>
        <w:rPr>
          <w:rFonts w:ascii="Arial" w:cs="Arial" w:eastAsia="Arial" w:hAnsi="Arial"/>
          <w:sz w:val="15"/>
          <w:szCs w:val="15"/>
          <w:color w:val="auto"/>
        </w:rPr>
        <w:t>As noted previously in Note 5 of the Notes to Condensed Consolidated Financial Statements included in Part 1, Item 1 of this Quarterly Report on Form 10-Q, on February 8, 2017 the Company entered into the Fourth Amended and Restated Credit Agreement (the "Credit Agreement"), which replaced the Third Amended and Restated Credit Agreement dated as of November 7, 2011, as previously amended (the "Prior Credit Agreement").</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Credit Agreement provides for a five-year senior secured revolving credit facility of $300.0 million that expires February 8, 2022, which replaces the $250.0 million senior secured revolving credit facility under the Prior Credit Agreement. The new credit facility may be used for working capital, acquisitions, capital expenditures, issuances of letters of credit and other lawful purposes.</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color w:val="auto"/>
        </w:rPr>
        <w:t>The Credit Agreement includes the following covenants and borrowing limitations:</w:t>
      </w:r>
    </w:p>
    <w:p>
      <w:pPr>
        <w:spacing w:after="0" w:line="136" w:lineRule="exact"/>
        <w:rPr>
          <w:sz w:val="20"/>
          <w:szCs w:val="20"/>
          <w:color w:val="auto"/>
        </w:rPr>
      </w:pPr>
    </w:p>
    <w:p>
      <w:pPr>
        <w:ind w:left="1060" w:hanging="391"/>
        <w:spacing w:after="0"/>
        <w:tabs>
          <w:tab w:leader="none" w:pos="10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 Leverage Ratio, determined as of the end of each fiscal quarter, may not exceed 3.00 to 1.00.</w:t>
      </w:r>
    </w:p>
    <w:p>
      <w:pPr>
        <w:spacing w:after="0" w:line="136" w:lineRule="exact"/>
        <w:rPr>
          <w:rFonts w:ascii="Arial" w:cs="Arial" w:eastAsia="Arial" w:hAnsi="Arial"/>
          <w:sz w:val="15"/>
          <w:szCs w:val="15"/>
          <w:color w:val="auto"/>
        </w:rPr>
      </w:pPr>
    </w:p>
    <w:p>
      <w:pPr>
        <w:ind w:left="1060" w:right="60" w:hanging="391"/>
        <w:spacing w:after="0" w:line="265" w:lineRule="auto"/>
        <w:tabs>
          <w:tab w:leader="none" w:pos="10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As with the Prior Credit Agreement, we are required to maintain a Fixed Charge Coverage Ratio, determined as of the end of each fiscal quarter, greater than or equal to 1.25 to 1.00.</w:t>
      </w:r>
    </w:p>
    <w:p>
      <w:pPr>
        <w:spacing w:after="0" w:line="104" w:lineRule="exact"/>
        <w:rPr>
          <w:rFonts w:ascii="Arial" w:cs="Arial" w:eastAsia="Arial" w:hAnsi="Arial"/>
          <w:sz w:val="15"/>
          <w:szCs w:val="15"/>
          <w:color w:val="auto"/>
        </w:rPr>
      </w:pPr>
    </w:p>
    <w:p>
      <w:pPr>
        <w:ind w:left="1060" w:right="500" w:hanging="391"/>
        <w:spacing w:after="0" w:line="265" w:lineRule="auto"/>
        <w:tabs>
          <w:tab w:leader="none" w:pos="10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Asset dispositions (other than dispositions in which all of the net cash proceeds therefrom are reinvested into the Company and dispositions of inventory and obsolete or unneeded equipment in the ordinary course of business) are limited to $20.0 million per 12-month period.</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3"/>
          <w:szCs w:val="13"/>
          <w:color w:val="auto"/>
        </w:rPr>
        <w:t>The new credit facility includes a sub-facility for revolving loans denominated in Australian Dollars, Canadian Dollars, Euros and Pounds Sterling in an aggregate amount not to exceed the U.S.</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5"/>
          <w:szCs w:val="15"/>
          <w:color w:val="auto"/>
        </w:rPr>
        <w:t>Dollar equivalent of $75.0 million and a $200.0 million sublimit for letters of credit.</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5"/>
          <w:szCs w:val="15"/>
          <w:color w:val="auto"/>
        </w:rPr>
        <w:t>Each revolving borrowing under the Credit Agreement will bear interest at a rate per annum equal to:</w:t>
      </w:r>
    </w:p>
    <w:p>
      <w:pPr>
        <w:spacing w:after="0" w:line="136" w:lineRule="exact"/>
        <w:rPr>
          <w:sz w:val="20"/>
          <w:szCs w:val="20"/>
          <w:color w:val="auto"/>
        </w:rPr>
      </w:pPr>
    </w:p>
    <w:p>
      <w:pPr>
        <w:ind w:left="1060" w:hanging="391"/>
        <w:spacing w:after="0"/>
        <w:tabs>
          <w:tab w:leader="none" w:pos="10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ABR or the Adjusted LIBO Rate, in the case of revolving loans denominated in U.S. Dollars;</w:t>
      </w:r>
    </w:p>
    <w:p>
      <w:pPr>
        <w:spacing w:after="0" w:line="136" w:lineRule="exact"/>
        <w:rPr>
          <w:rFonts w:ascii="Arial" w:cs="Arial" w:eastAsia="Arial" w:hAnsi="Arial"/>
          <w:sz w:val="15"/>
          <w:szCs w:val="15"/>
          <w:color w:val="auto"/>
        </w:rPr>
      </w:pPr>
    </w:p>
    <w:p>
      <w:pPr>
        <w:ind w:left="1060" w:hanging="391"/>
        <w:spacing w:after="0"/>
        <w:tabs>
          <w:tab w:leader="none" w:pos="10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Canadian Prime Rate or the CDOR rate, in the case of revolving loans denominated in Canadian Dollars;</w:t>
      </w:r>
    </w:p>
    <w:p>
      <w:pPr>
        <w:spacing w:after="0" w:line="136" w:lineRule="exact"/>
        <w:rPr>
          <w:rFonts w:ascii="Arial" w:cs="Arial" w:eastAsia="Arial" w:hAnsi="Arial"/>
          <w:sz w:val="15"/>
          <w:szCs w:val="15"/>
          <w:color w:val="auto"/>
        </w:rPr>
      </w:pPr>
    </w:p>
    <w:p>
      <w:pPr>
        <w:ind w:left="1060" w:hanging="391"/>
        <w:spacing w:after="0"/>
        <w:tabs>
          <w:tab w:leader="none" w:pos="10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Adjusted LIBO Rate, in the case of revolving loans denominated in Pounds Sterling or Australian Dollars;</w:t>
      </w:r>
    </w:p>
    <w:p>
      <w:pPr>
        <w:spacing w:after="0" w:line="136" w:lineRule="exact"/>
        <w:rPr>
          <w:rFonts w:ascii="Arial" w:cs="Arial" w:eastAsia="Arial" w:hAnsi="Arial"/>
          <w:sz w:val="15"/>
          <w:szCs w:val="15"/>
          <w:color w:val="auto"/>
        </w:rPr>
      </w:pPr>
    </w:p>
    <w:p>
      <w:pPr>
        <w:ind w:left="1060" w:hanging="391"/>
        <w:spacing w:after="0"/>
        <w:tabs>
          <w:tab w:leader="none" w:pos="10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EURIBO Rate, in the case of revolving loans denominated in Euros,</w:t>
      </w:r>
    </w:p>
    <w:p>
      <w:pPr>
        <w:spacing w:after="0" w:line="180" w:lineRule="exact"/>
        <w:rPr>
          <w:sz w:val="20"/>
          <w:szCs w:val="20"/>
          <w:color w:val="auto"/>
        </w:rPr>
      </w:pPr>
    </w:p>
    <w:p>
      <w:pPr>
        <w:jc w:val="both"/>
        <w:spacing w:after="0" w:line="343" w:lineRule="auto"/>
        <w:rPr>
          <w:sz w:val="20"/>
          <w:szCs w:val="20"/>
          <w:color w:val="auto"/>
        </w:rPr>
      </w:pPr>
      <w:r>
        <w:rPr>
          <w:rFonts w:ascii="Arial" w:cs="Arial" w:eastAsia="Arial" w:hAnsi="Arial"/>
          <w:sz w:val="13"/>
          <w:szCs w:val="13"/>
          <w:color w:val="auto"/>
        </w:rPr>
        <w:t>in each case, plus the Applicable Margin, which is based on the Company's Leverage Ratio. The Applicable Margin on ABR loans ranges between 0.625% and 1.625%. The Applicable Margin for Adjusted LIBO, EURIBO and CDOR loans ranges between 1.625% and 2.625% and the Applicable Margin for Canadian Prime Rate loans ranges between 2.125% and 3.125%.</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The unused credit facility fee is between 0.25% and 0.45% based on the Leverage Ratio.</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Credit Agreement includes a Senior Leverage Ratio covenant, which provides that Consolidated Funded Indebtedness, as of the end of any fiscal quarter, may not exceed 3.0 times Consolidated EBITDA, as defined in the Credit Agreement, over the previous four quarters. For the four quarters ended March 31, 2017, Consolidated EBITDA was $55.4 million. Consolidated Funded Indebtedness at March 31, 2017 was $51.7 million.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- 34-</w:t>
      </w:r>
    </w:p>
    <w:p>
      <w:pPr>
        <w:sectPr>
          <w:pgSz w:w="11900" w:h="16838" w:orient="portrait"/>
          <w:cols w:equalWidth="0" w:num="1">
            <w:col w:w="11460"/>
          </w:cols>
          <w:pgMar w:left="220" w:top="305" w:right="219" w:bottom="1440" w:gutter="0" w:footer="0" w:header="0"/>
        </w:sectPr>
      </w:pPr>
    </w:p>
    <w:bookmarkStart w:id="36" w:name="page37"/>
    <w:bookmarkEnd w:id="36"/>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Availability under the senior credit facility at March 31, 2017 was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2"/>
          </w:tcPr>
          <w:p>
            <w:pPr>
              <w:ind w:left="220"/>
              <w:spacing w:after="0"/>
              <w:rPr>
                <w:sz w:val="20"/>
                <w:szCs w:val="20"/>
                <w:color w:val="auto"/>
              </w:rPr>
            </w:pPr>
            <w:r>
              <w:rPr>
                <w:rFonts w:ascii="Arial" w:cs="Arial" w:eastAsia="Arial" w:hAnsi="Arial"/>
                <w:sz w:val="12"/>
                <w:szCs w:val="12"/>
                <w:b w:val="1"/>
                <w:bCs w:val="1"/>
                <w:color w:val="auto"/>
              </w:rPr>
              <w:t>March 31,</w:t>
            </w:r>
          </w:p>
        </w:tc>
        <w:tc>
          <w:tcPr>
            <w:tcW w:w="420" w:type="dxa"/>
            <w:vAlign w:val="bottom"/>
          </w:tcPr>
          <w:p>
            <w:pPr>
              <w:spacing w:after="0"/>
              <w:rPr>
                <w:sz w:val="12"/>
                <w:szCs w:val="12"/>
                <w:color w:val="auto"/>
              </w:rPr>
            </w:pPr>
          </w:p>
        </w:tc>
        <w:tc>
          <w:tcPr>
            <w:tcW w:w="1160" w:type="dxa"/>
            <w:vAlign w:val="bottom"/>
          </w:tcPr>
          <w:p>
            <w:pPr>
              <w:jc w:val="right"/>
              <w:ind w:right="530"/>
              <w:spacing w:after="0"/>
              <w:rPr>
                <w:sz w:val="20"/>
                <w:szCs w:val="20"/>
                <w:color w:val="auto"/>
              </w:rPr>
            </w:pPr>
            <w:r>
              <w:rPr>
                <w:rFonts w:ascii="Arial" w:cs="Arial" w:eastAsia="Arial" w:hAnsi="Arial"/>
                <w:sz w:val="12"/>
                <w:szCs w:val="12"/>
                <w:b w:val="1"/>
                <w:bCs w:val="1"/>
                <w:color w:val="auto"/>
              </w:rPr>
              <w:t>June 30,</w:t>
            </w:r>
          </w:p>
        </w:tc>
      </w:tr>
      <w:tr>
        <w:trPr>
          <w:trHeight w:val="156"/>
        </w:trPr>
        <w:tc>
          <w:tcPr>
            <w:tcW w:w="81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10"/>
              <w:spacing w:after="0"/>
              <w:rPr>
                <w:sz w:val="20"/>
                <w:szCs w:val="20"/>
                <w:color w:val="auto"/>
              </w:rPr>
            </w:pPr>
            <w:r>
              <w:rPr>
                <w:rFonts w:ascii="Arial" w:cs="Arial" w:eastAsia="Arial" w:hAnsi="Arial"/>
                <w:sz w:val="12"/>
                <w:szCs w:val="12"/>
                <w:b w:val="1"/>
                <w:bCs w:val="1"/>
                <w:color w:val="auto"/>
              </w:rPr>
              <w:t>2016</w:t>
            </w:r>
          </w:p>
        </w:tc>
      </w:tr>
      <w:tr>
        <w:trPr>
          <w:trHeight w:val="156"/>
        </w:trPr>
        <w:tc>
          <w:tcPr>
            <w:tcW w:w="8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40" w:type="dxa"/>
            <w:vAlign w:val="bottom"/>
            <w:gridSpan w:val="3"/>
          </w:tcPr>
          <w:p>
            <w:pPr>
              <w:jc w:val="right"/>
              <w:ind w:right="87"/>
              <w:spacing w:after="0"/>
              <w:rPr>
                <w:sz w:val="20"/>
                <w:szCs w:val="20"/>
                <w:color w:val="auto"/>
              </w:rPr>
            </w:pPr>
            <w:r>
              <w:rPr>
                <w:rFonts w:ascii="Arial" w:cs="Arial" w:eastAsia="Arial" w:hAnsi="Arial"/>
                <w:sz w:val="12"/>
                <w:szCs w:val="12"/>
                <w:color w:val="auto"/>
              </w:rPr>
              <w:t>(In thousands)</w:t>
            </w:r>
          </w:p>
        </w:tc>
        <w:tc>
          <w:tcPr>
            <w:tcW w:w="1160" w:type="dxa"/>
            <w:vAlign w:val="bottom"/>
          </w:tcPr>
          <w:p>
            <w:pPr>
              <w:spacing w:after="0"/>
              <w:rPr>
                <w:sz w:val="13"/>
                <w:szCs w:val="13"/>
                <w:color w:val="auto"/>
              </w:rPr>
            </w:pPr>
          </w:p>
        </w:tc>
      </w:tr>
      <w:tr>
        <w:trPr>
          <w:trHeight w:val="205"/>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Senior revolving credit facility</w:t>
            </w:r>
          </w:p>
        </w:tc>
        <w:tc>
          <w:tcPr>
            <w:tcW w:w="320" w:type="dxa"/>
            <w:vAlign w:val="bottom"/>
            <w:tcBorders>
              <w:bottom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5"/>
                <w:szCs w:val="15"/>
                <w:color w:val="auto"/>
              </w:rPr>
              <w:t>300,000</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200,000</w:t>
            </w:r>
          </w:p>
        </w:tc>
      </w:tr>
      <w:tr>
        <w:trPr>
          <w:trHeight w:val="198"/>
        </w:trPr>
        <w:tc>
          <w:tcPr>
            <w:tcW w:w="8140" w:type="dxa"/>
            <w:vAlign w:val="bottom"/>
          </w:tcPr>
          <w:p>
            <w:pPr>
              <w:ind w:left="40"/>
              <w:spacing w:after="0"/>
              <w:rPr>
                <w:sz w:val="20"/>
                <w:szCs w:val="20"/>
                <w:color w:val="auto"/>
              </w:rPr>
            </w:pPr>
            <w:r>
              <w:rPr>
                <w:rFonts w:ascii="Arial" w:cs="Arial" w:eastAsia="Arial" w:hAnsi="Arial"/>
                <w:sz w:val="15"/>
                <w:szCs w:val="15"/>
                <w:color w:val="auto"/>
              </w:rPr>
              <w:t>Capacity constraint due to the Senior Leverage Ratio</w:t>
            </w:r>
          </w:p>
        </w:tc>
        <w:tc>
          <w:tcPr>
            <w:tcW w:w="320" w:type="dxa"/>
            <w:vAlign w:val="bottom"/>
          </w:tcPr>
          <w:p>
            <w:pPr>
              <w:spacing w:after="0"/>
              <w:rPr>
                <w:sz w:val="17"/>
                <w:szCs w:val="17"/>
                <w:color w:val="auto"/>
              </w:rPr>
            </w:pPr>
          </w:p>
        </w:tc>
        <w:tc>
          <w:tcPr>
            <w:tcW w:w="1300" w:type="dxa"/>
            <w:vAlign w:val="bottom"/>
          </w:tcPr>
          <w:p>
            <w:pPr>
              <w:jc w:val="right"/>
              <w:ind w:right="51"/>
              <w:spacing w:after="0"/>
              <w:rPr>
                <w:sz w:val="20"/>
                <w:szCs w:val="20"/>
                <w:color w:val="auto"/>
              </w:rPr>
            </w:pPr>
            <w:r>
              <w:rPr>
                <w:rFonts w:ascii="Arial" w:cs="Arial" w:eastAsia="Arial" w:hAnsi="Arial"/>
                <w:sz w:val="15"/>
                <w:szCs w:val="15"/>
                <w:color w:val="auto"/>
              </w:rPr>
              <w:t>133,713</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ind w:right="50"/>
              <w:spacing w:after="0"/>
              <w:rPr>
                <w:sz w:val="20"/>
                <w:szCs w:val="20"/>
                <w:color w:val="auto"/>
              </w:rPr>
            </w:pPr>
            <w:r>
              <w:rPr>
                <w:rFonts w:ascii="Arial" w:cs="Arial" w:eastAsia="Arial" w:hAnsi="Arial"/>
                <w:sz w:val="15"/>
                <w:szCs w:val="15"/>
                <w:color w:val="auto"/>
              </w:rPr>
              <w:t>20,138</w:t>
            </w:r>
          </w:p>
        </w:tc>
      </w:tr>
      <w:tr>
        <w:trPr>
          <w:trHeight w:val="22"/>
        </w:trPr>
        <w:tc>
          <w:tcPr>
            <w:tcW w:w="8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1"/>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Capacity under the credit facility</w:t>
            </w:r>
          </w:p>
        </w:tc>
        <w:tc>
          <w:tcPr>
            <w:tcW w:w="3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5"/>
                <w:szCs w:val="15"/>
                <w:color w:val="auto"/>
              </w:rPr>
              <w:t>166,287</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179,862</w:t>
            </w:r>
          </w:p>
        </w:tc>
      </w:tr>
      <w:tr>
        <w:trPr>
          <w:trHeight w:val="198"/>
        </w:trPr>
        <w:tc>
          <w:tcPr>
            <w:tcW w:w="8140" w:type="dxa"/>
            <w:vAlign w:val="bottom"/>
          </w:tcPr>
          <w:p>
            <w:pPr>
              <w:ind w:left="40"/>
              <w:spacing w:after="0"/>
              <w:rPr>
                <w:sz w:val="20"/>
                <w:szCs w:val="20"/>
                <w:color w:val="auto"/>
              </w:rPr>
            </w:pPr>
            <w:r>
              <w:rPr>
                <w:rFonts w:ascii="Arial" w:cs="Arial" w:eastAsia="Arial" w:hAnsi="Arial"/>
                <w:sz w:val="15"/>
                <w:szCs w:val="15"/>
                <w:color w:val="auto"/>
              </w:rPr>
              <w:t>Borrowings outstanding</w:t>
            </w:r>
          </w:p>
        </w:tc>
        <w:tc>
          <w:tcPr>
            <w:tcW w:w="320" w:type="dxa"/>
            <w:vAlign w:val="bottom"/>
          </w:tcPr>
          <w:p>
            <w:pPr>
              <w:spacing w:after="0"/>
              <w:rPr>
                <w:sz w:val="17"/>
                <w:szCs w:val="17"/>
                <w:color w:val="auto"/>
              </w:rPr>
            </w:pPr>
          </w:p>
        </w:tc>
        <w:tc>
          <w:tcPr>
            <w:tcW w:w="1300" w:type="dxa"/>
            <w:vAlign w:val="bottom"/>
          </w:tcPr>
          <w:p>
            <w:pPr>
              <w:jc w:val="right"/>
              <w:ind w:right="51"/>
              <w:spacing w:after="0"/>
              <w:rPr>
                <w:sz w:val="20"/>
                <w:szCs w:val="20"/>
                <w:color w:val="auto"/>
              </w:rPr>
            </w:pPr>
            <w:r>
              <w:rPr>
                <w:rFonts w:ascii="Arial" w:cs="Arial" w:eastAsia="Arial" w:hAnsi="Arial"/>
                <w:sz w:val="15"/>
                <w:szCs w:val="15"/>
                <w:color w:val="auto"/>
              </w:rPr>
              <w:t>44,139</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ind w:right="50"/>
              <w:spacing w:after="0"/>
              <w:rPr>
                <w:sz w:val="20"/>
                <w:szCs w:val="20"/>
                <w:color w:val="auto"/>
              </w:rPr>
            </w:pPr>
            <w:r>
              <w:rPr>
                <w:rFonts w:ascii="Arial" w:cs="Arial" w:eastAsia="Arial" w:hAnsi="Arial"/>
                <w:sz w:val="15"/>
                <w:szCs w:val="15"/>
                <w:color w:val="auto"/>
              </w:rPr>
              <w:t>—</w:t>
            </w:r>
          </w:p>
        </w:tc>
      </w:tr>
      <w:tr>
        <w:trPr>
          <w:trHeight w:val="22"/>
        </w:trPr>
        <w:tc>
          <w:tcPr>
            <w:tcW w:w="8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20"/>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Letters of credit</w:t>
            </w:r>
          </w:p>
        </w:tc>
        <w:tc>
          <w:tcPr>
            <w:tcW w:w="3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5"/>
                <w:szCs w:val="15"/>
                <w:color w:val="auto"/>
              </w:rPr>
              <w:t>15,378</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20,755</w:t>
            </w:r>
          </w:p>
        </w:tc>
      </w:tr>
      <w:tr>
        <w:trPr>
          <w:trHeight w:val="206"/>
        </w:trPr>
        <w:tc>
          <w:tcPr>
            <w:tcW w:w="8140" w:type="dxa"/>
            <w:vAlign w:val="bottom"/>
          </w:tcPr>
          <w:p>
            <w:pPr>
              <w:ind w:left="40"/>
              <w:spacing w:after="0"/>
              <w:rPr>
                <w:sz w:val="20"/>
                <w:szCs w:val="20"/>
                <w:color w:val="auto"/>
              </w:rPr>
            </w:pPr>
            <w:r>
              <w:rPr>
                <w:rFonts w:ascii="Arial" w:cs="Arial" w:eastAsia="Arial" w:hAnsi="Arial"/>
                <w:sz w:val="15"/>
                <w:szCs w:val="15"/>
                <w:color w:val="auto"/>
              </w:rPr>
              <w:t>Availability under the senior revolving credit facility</w:t>
            </w:r>
          </w:p>
        </w:tc>
        <w:tc>
          <w:tcPr>
            <w:tcW w:w="32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5"/>
                <w:szCs w:val="15"/>
                <w:color w:val="auto"/>
              </w:rPr>
              <w:t>106,770</w:t>
            </w:r>
          </w:p>
        </w:tc>
        <w:tc>
          <w:tcPr>
            <w:tcW w:w="12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5"/>
                <w:szCs w:val="15"/>
                <w:color w:val="auto"/>
              </w:rPr>
              <w:t>159,107</w:t>
            </w:r>
          </w:p>
        </w:tc>
      </w:tr>
      <w:tr>
        <w:trPr>
          <w:trHeight w:val="20"/>
        </w:trPr>
        <w:tc>
          <w:tcPr>
            <w:tcW w:w="8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Outstanding borrowings at March 31, 2017 under our Credit Agreement were primarily used to fund the acquisition of Houston Interests (See Part 1, Item 1, Note 2 - Acquisitions) and working capital needs in our Canadian business due to the timing of collections and disbursements on the previously announced large Electrical Infrastructure project.</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At March 31, 2017, the Company was in compliance with all affirmative, negative, and financial covenants under the Credit Agreement.</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 Policy</w:t>
      </w:r>
    </w:p>
    <w:p>
      <w:pPr>
        <w:spacing w:after="0" w:line="140"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have never paid cash dividends on our common stock, and the terms of our Credit Agreement limit the amount of cash dividends we can pay. Under our Credit Agreement, we may declare and pay dividends on our capital stock during any fiscal year up to an amount which, when added to all other dividends paid during such fiscal year, does not exceed 50% of our cumulative net income for such fiscal year to such date. While we currently do not intend to pay cash dividends, any future dividend payments will depend on our financial condition, capital requirements and earnings as well as other relevant factors.</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Repurchase Program and Treasury Shares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Treasury Shares</w:t>
      </w:r>
    </w:p>
    <w:p>
      <w:pPr>
        <w:spacing w:after="0" w:line="136" w:lineRule="exact"/>
        <w:rPr>
          <w:sz w:val="20"/>
          <w:szCs w:val="20"/>
          <w:color w:val="auto"/>
        </w:rPr>
      </w:pPr>
    </w:p>
    <w:p>
      <w:pPr>
        <w:jc w:val="both"/>
        <w:spacing w:after="0" w:line="303" w:lineRule="auto"/>
        <w:rPr>
          <w:sz w:val="20"/>
          <w:szCs w:val="20"/>
          <w:color w:val="auto"/>
        </w:rPr>
      </w:pPr>
      <w:r>
        <w:rPr>
          <w:rFonts w:ascii="Arial" w:cs="Arial" w:eastAsia="Arial" w:hAnsi="Arial"/>
          <w:sz w:val="13"/>
          <w:szCs w:val="13"/>
          <w:color w:val="auto"/>
        </w:rPr>
        <w:t>On December 12, 2016, the Board of Directors approved a new stock buyback program (the "December 2016 Program"). Under the December 2016 Program, the Company may repurchase common stock of the Company in any calendar year commencing with calendar year 2016 and continuing through calendar year 2018, up to a maximum of $25.0 million per calendar year. The Company may repurchase its stock from time to time in the open market at prevailing market prices or in privately negotiated transactions. The December 2016 Program will continue through December 31, 2018 unless and until revoked by the Board of Directors. No shares have been repurchased under the December 2016 Program as of March 31, 2017.</w:t>
      </w:r>
    </w:p>
    <w:p>
      <w:pPr>
        <w:spacing w:after="0" w:line="83"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In addition to the stock buyback program, the Company may withhold shares of common stock to satisfy the tax withholding obligations upon vesting of an employee’s deferred shares. Matrix withheld 134,253 shares in the first nine months of fiscal 2017 to satisfy these obligations. These shares were returned to the Company’s pool of treasury shares.</w:t>
      </w:r>
    </w:p>
    <w:p>
      <w:pPr>
        <w:spacing w:after="0" w:line="81"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Company has 1,293,898 treasury shares as of March 31, 2017 and intends to utilize these treasury shares in connection with equity awards under the Company’s stock incentive plans and for sales to the Employee Stock Purchase Plan.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- 35-</w:t>
      </w:r>
    </w:p>
    <w:p>
      <w:pPr>
        <w:sectPr>
          <w:pgSz w:w="11900" w:h="16838" w:orient="portrait"/>
          <w:cols w:equalWidth="0" w:num="1">
            <w:col w:w="11460"/>
          </w:cols>
          <w:pgMar w:left="220" w:top="305" w:right="219" w:bottom="1440" w:gutter="0" w:footer="0" w:header="0"/>
        </w:sectPr>
      </w:pPr>
    </w:p>
    <w:bookmarkStart w:id="37" w:name="page38"/>
    <w:bookmarkEnd w:id="37"/>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FORWARD-LOOKING STATEMENTS</w:t>
      </w:r>
    </w:p>
    <w:p>
      <w:pPr>
        <w:spacing w:after="0" w:line="140"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These forward-looking statements include, among others, such things as:</w:t>
      </w:r>
    </w:p>
    <w:p>
      <w:pPr>
        <w:spacing w:after="0" w:line="136" w:lineRule="exact"/>
        <w:rPr>
          <w:sz w:val="20"/>
          <w:szCs w:val="20"/>
          <w:color w:val="auto"/>
        </w:rPr>
      </w:pPr>
    </w:p>
    <w:p>
      <w:pPr>
        <w:ind w:left="800" w:hanging="263"/>
        <w:spacing w:after="0"/>
        <w:tabs>
          <w:tab w:leader="none" w:pos="8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impact to our business of crude oil, natural gas and other commodity prices;</w:t>
      </w:r>
    </w:p>
    <w:p>
      <w:pPr>
        <w:spacing w:after="0" w:line="180" w:lineRule="exact"/>
        <w:rPr>
          <w:rFonts w:ascii="Arial" w:cs="Arial" w:eastAsia="Arial" w:hAnsi="Arial"/>
          <w:sz w:val="15"/>
          <w:szCs w:val="15"/>
          <w:color w:val="auto"/>
        </w:rPr>
      </w:pPr>
    </w:p>
    <w:p>
      <w:pPr>
        <w:ind w:left="800" w:hanging="263"/>
        <w:spacing w:after="0"/>
        <w:tabs>
          <w:tab w:leader="none" w:pos="8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amounts and nature of future revenues and margins from each of our segments;</w:t>
      </w:r>
    </w:p>
    <w:p>
      <w:pPr>
        <w:spacing w:after="0" w:line="180" w:lineRule="exact"/>
        <w:rPr>
          <w:rFonts w:ascii="Arial" w:cs="Arial" w:eastAsia="Arial" w:hAnsi="Arial"/>
          <w:sz w:val="15"/>
          <w:szCs w:val="15"/>
          <w:color w:val="auto"/>
        </w:rPr>
      </w:pPr>
    </w:p>
    <w:p>
      <w:pPr>
        <w:ind w:left="800" w:hanging="263"/>
        <w:spacing w:after="0"/>
        <w:tabs>
          <w:tab w:leader="none" w:pos="8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trends in the industries we serve;</w:t>
      </w:r>
    </w:p>
    <w:p>
      <w:pPr>
        <w:spacing w:after="0" w:line="180" w:lineRule="exact"/>
        <w:rPr>
          <w:rFonts w:ascii="Arial" w:cs="Arial" w:eastAsia="Arial" w:hAnsi="Arial"/>
          <w:sz w:val="15"/>
          <w:szCs w:val="15"/>
          <w:color w:val="auto"/>
        </w:rPr>
      </w:pPr>
    </w:p>
    <w:p>
      <w:pPr>
        <w:ind w:left="800" w:hanging="263"/>
        <w:spacing w:after="0"/>
        <w:tabs>
          <w:tab w:leader="none" w:pos="8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ability to generate sufficient cash from operations or to raise cash in order to meet our short and long-term capital requirements;</w:t>
      </w:r>
    </w:p>
    <w:p>
      <w:pPr>
        <w:spacing w:after="0" w:line="180" w:lineRule="exact"/>
        <w:rPr>
          <w:rFonts w:ascii="Arial" w:cs="Arial" w:eastAsia="Arial" w:hAnsi="Arial"/>
          <w:sz w:val="15"/>
          <w:szCs w:val="15"/>
          <w:color w:val="auto"/>
        </w:rPr>
      </w:pPr>
    </w:p>
    <w:p>
      <w:pPr>
        <w:ind w:left="800" w:hanging="263"/>
        <w:spacing w:after="0"/>
        <w:tabs>
          <w:tab w:leader="none" w:pos="8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likely impact of new or existing regulations or market forces on the demand for our services;</w:t>
      </w:r>
    </w:p>
    <w:p>
      <w:pPr>
        <w:spacing w:after="0" w:line="180" w:lineRule="exact"/>
        <w:rPr>
          <w:rFonts w:ascii="Arial" w:cs="Arial" w:eastAsia="Arial" w:hAnsi="Arial"/>
          <w:sz w:val="15"/>
          <w:szCs w:val="15"/>
          <w:color w:val="auto"/>
        </w:rPr>
      </w:pPr>
    </w:p>
    <w:p>
      <w:pPr>
        <w:ind w:left="800" w:hanging="263"/>
        <w:spacing w:after="0"/>
        <w:tabs>
          <w:tab w:leader="none" w:pos="8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expansion and other trends of the industries we serve;</w:t>
      </w:r>
    </w:p>
    <w:p>
      <w:pPr>
        <w:spacing w:after="0" w:line="180" w:lineRule="exact"/>
        <w:rPr>
          <w:rFonts w:ascii="Arial" w:cs="Arial" w:eastAsia="Arial" w:hAnsi="Arial"/>
          <w:sz w:val="15"/>
          <w:szCs w:val="15"/>
          <w:color w:val="auto"/>
        </w:rPr>
      </w:pPr>
    </w:p>
    <w:p>
      <w:pPr>
        <w:ind w:left="800" w:hanging="263"/>
        <w:spacing w:after="0"/>
        <w:tabs>
          <w:tab w:leader="none" w:pos="8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expectations with respect to the likelihood of a future impairment; and</w:t>
      </w:r>
    </w:p>
    <w:p>
      <w:pPr>
        <w:spacing w:after="0" w:line="180" w:lineRule="exact"/>
        <w:rPr>
          <w:rFonts w:ascii="Arial" w:cs="Arial" w:eastAsia="Arial" w:hAnsi="Arial"/>
          <w:sz w:val="15"/>
          <w:szCs w:val="15"/>
          <w:color w:val="auto"/>
        </w:rPr>
      </w:pPr>
    </w:p>
    <w:p>
      <w:pPr>
        <w:ind w:left="800" w:hanging="263"/>
        <w:spacing w:after="0"/>
        <w:tabs>
          <w:tab w:leader="none" w:pos="8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ability to comply with the covenants in our credit agreement.</w:t>
      </w:r>
    </w:p>
    <w:p>
      <w:pPr>
        <w:spacing w:after="0" w:line="180" w:lineRule="exact"/>
        <w:rPr>
          <w:sz w:val="20"/>
          <w:szCs w:val="20"/>
          <w:color w:val="auto"/>
        </w:rPr>
      </w:pPr>
    </w:p>
    <w:p>
      <w:pPr>
        <w:jc w:val="both"/>
        <w:ind w:left="60"/>
        <w:spacing w:after="0" w:line="255" w:lineRule="auto"/>
        <w:rPr>
          <w:sz w:val="20"/>
          <w:szCs w:val="20"/>
          <w:color w:val="auto"/>
        </w:rPr>
      </w:pPr>
      <w:r>
        <w:rPr>
          <w:rFonts w:ascii="Arial" w:cs="Arial" w:eastAsia="Arial" w:hAnsi="Arial"/>
          <w:sz w:val="15"/>
          <w:szCs w:val="15"/>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156" w:lineRule="exact"/>
        <w:rPr>
          <w:sz w:val="20"/>
          <w:szCs w:val="20"/>
          <w:color w:val="auto"/>
        </w:rPr>
      </w:pPr>
    </w:p>
    <w:p>
      <w:pPr>
        <w:ind w:left="800" w:hanging="263"/>
        <w:spacing w:after="0"/>
        <w:tabs>
          <w:tab w:leader="none" w:pos="8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risk factors discussed in our Form 10-K for the fiscal year ended June 30, 2016 and listed from time to time in our filings with the Securities and Exchange Commission;</w:t>
      </w:r>
    </w:p>
    <w:p>
      <w:pPr>
        <w:spacing w:after="0" w:line="191" w:lineRule="exact"/>
        <w:rPr>
          <w:rFonts w:ascii="Arial" w:cs="Arial" w:eastAsia="Arial" w:hAnsi="Arial"/>
          <w:sz w:val="14"/>
          <w:szCs w:val="14"/>
          <w:color w:val="auto"/>
        </w:rPr>
      </w:pPr>
    </w:p>
    <w:p>
      <w:pPr>
        <w:ind w:left="800" w:hanging="263"/>
        <w:spacing w:after="0"/>
        <w:tabs>
          <w:tab w:leader="none" w:pos="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economic, market or business conditions in general and in the oil, gas, power, iron and steel, agricultural and mining industries in particular;</w:t>
      </w:r>
    </w:p>
    <w:p>
      <w:pPr>
        <w:spacing w:after="0" w:line="180" w:lineRule="exact"/>
        <w:rPr>
          <w:rFonts w:ascii="Arial" w:cs="Arial" w:eastAsia="Arial" w:hAnsi="Arial"/>
          <w:sz w:val="15"/>
          <w:szCs w:val="15"/>
          <w:color w:val="auto"/>
        </w:rPr>
      </w:pPr>
    </w:p>
    <w:p>
      <w:pPr>
        <w:ind w:left="800" w:hanging="263"/>
        <w:spacing w:after="0"/>
        <w:tabs>
          <w:tab w:leader="none" w:pos="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reduced creditworthiness of our customer base and the higher risk of non-payment of receivables due to low prevailing crude oil and other commodity prices;</w:t>
      </w:r>
    </w:p>
    <w:p>
      <w:pPr>
        <w:spacing w:after="0" w:line="180" w:lineRule="exact"/>
        <w:rPr>
          <w:rFonts w:ascii="Arial" w:cs="Arial" w:eastAsia="Arial" w:hAnsi="Arial"/>
          <w:sz w:val="15"/>
          <w:szCs w:val="15"/>
          <w:color w:val="auto"/>
        </w:rPr>
      </w:pPr>
    </w:p>
    <w:p>
      <w:pPr>
        <w:ind w:left="800" w:hanging="263"/>
        <w:spacing w:after="0"/>
        <w:tabs>
          <w:tab w:leader="none" w:pos="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inherently uncertain outcome of current and future litigation;</w:t>
      </w:r>
    </w:p>
    <w:p>
      <w:pPr>
        <w:spacing w:after="0" w:line="180" w:lineRule="exact"/>
        <w:rPr>
          <w:rFonts w:ascii="Arial" w:cs="Arial" w:eastAsia="Arial" w:hAnsi="Arial"/>
          <w:sz w:val="15"/>
          <w:szCs w:val="15"/>
          <w:color w:val="auto"/>
        </w:rPr>
      </w:pPr>
    </w:p>
    <w:p>
      <w:pPr>
        <w:ind w:left="800" w:hanging="263"/>
        <w:spacing w:after="0"/>
        <w:tabs>
          <w:tab w:leader="none" w:pos="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adequacy of our reserves for contingencies;</w:t>
      </w:r>
    </w:p>
    <w:p>
      <w:pPr>
        <w:spacing w:after="0" w:line="180" w:lineRule="exact"/>
        <w:rPr>
          <w:rFonts w:ascii="Arial" w:cs="Arial" w:eastAsia="Arial" w:hAnsi="Arial"/>
          <w:sz w:val="15"/>
          <w:szCs w:val="15"/>
          <w:color w:val="auto"/>
        </w:rPr>
      </w:pPr>
    </w:p>
    <w:p>
      <w:pPr>
        <w:ind w:left="800" w:hanging="263"/>
        <w:spacing w:after="0"/>
        <w:tabs>
          <w:tab w:leader="none" w:pos="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changes in laws or regulations; and</w:t>
      </w:r>
    </w:p>
    <w:p>
      <w:pPr>
        <w:spacing w:after="0" w:line="180" w:lineRule="exact"/>
        <w:rPr>
          <w:rFonts w:ascii="Arial" w:cs="Arial" w:eastAsia="Arial" w:hAnsi="Arial"/>
          <w:sz w:val="15"/>
          <w:szCs w:val="15"/>
          <w:color w:val="auto"/>
        </w:rPr>
      </w:pPr>
    </w:p>
    <w:p>
      <w:pPr>
        <w:ind w:left="800" w:hanging="263"/>
        <w:spacing w:after="0"/>
        <w:tabs>
          <w:tab w:leader="none" w:pos="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other factors, many of which are beyond our control.</w:t>
      </w:r>
    </w:p>
    <w:p>
      <w:pPr>
        <w:spacing w:after="0" w:line="136"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- 36-</w:t>
      </w:r>
    </w:p>
    <w:p>
      <w:pPr>
        <w:sectPr>
          <w:pgSz w:w="11900" w:h="16838" w:orient="portrait"/>
          <w:cols w:equalWidth="0" w:num="1">
            <w:col w:w="11460"/>
          </w:cols>
          <w:pgMar w:left="220" w:top="305" w:right="219" w:bottom="1440" w:gutter="0" w:footer="0" w:header="0"/>
        </w:sectPr>
      </w:pPr>
    </w:p>
    <w:bookmarkStart w:id="38" w:name="page39"/>
    <w:bookmarkEnd w:id="38"/>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3. Quantitative and Qualitative Disclosures about Market Risk</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There have been no material changes in market risk faced by us from those reported in our Annual Report on Form 10-K for the fiscal year ended June 30, 2016, filed with the Securities and Exchange Commission. For more information on market risk, see Part II, Item 7A in our fiscal 2016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4. Controls and Procedures</w:t>
      </w:r>
    </w:p>
    <w:p>
      <w:pPr>
        <w:spacing w:after="0" w:line="140" w:lineRule="exact"/>
        <w:rPr>
          <w:sz w:val="20"/>
          <w:szCs w:val="20"/>
          <w:color w:val="auto"/>
        </w:rPr>
      </w:pPr>
    </w:p>
    <w:p>
      <w:pPr>
        <w:jc w:val="both"/>
        <w:spacing w:after="0" w:line="313" w:lineRule="auto"/>
        <w:rPr>
          <w:sz w:val="20"/>
          <w:szCs w:val="20"/>
          <w:color w:val="auto"/>
        </w:rPr>
      </w:pPr>
      <w:r>
        <w:rPr>
          <w:rFonts w:ascii="Arial" w:cs="Arial" w:eastAsia="Arial" w:hAnsi="Arial"/>
          <w:sz w:val="13"/>
          <w:szCs w:val="13"/>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76"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disclosure controls and procedures are designed to provide reasonable, not absolute, assurance of achieving the desired control objectives. The Company’s management, including the Chief Executive Officer and Chief Financial Officer, does not expect that the disclosure controls and procedures or our internal controls over financial reporting will prevent or detect all errors or fraud. The design of our internal control system takes into account the fact that there are resource constraints and the benefits of controls must be weighed against the costs. Additionally, controls can be circumvented by the acts of key individuals, collusion or management override.</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March 31, 2017. Based on the foregoing, our Chief Executive Officer and Chief Financial Officer concluded that our disclosure controls and procedures were effective at the reasonable assurance level at March 31, 2017.</w:t>
      </w:r>
    </w:p>
    <w:p>
      <w:pPr>
        <w:spacing w:after="0" w:line="112"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We have completed the acquisition of Houston Interests, effective December 12, 2016. We are in the process of assessing and, to the extent necessary, making changes to the internal control over financial reporting of Houston Interests to conform such internal control to that used in our other operations. However, we are not yet required to evaluate, and have not yet fully evaluated, changes in Houston Interests' internal control over financial reporting. Subject to the foregoing, there have been no changes in our internal controls over financial reporting that have materially affected, or are reasonably likely to materially affect our internal controls over financial reporting during the quarter ended March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- 37-</w:t>
      </w:r>
    </w:p>
    <w:p>
      <w:pPr>
        <w:sectPr>
          <w:pgSz w:w="11900" w:h="16838" w:orient="portrait"/>
          <w:cols w:equalWidth="0" w:num="1">
            <w:col w:w="11460"/>
          </w:cols>
          <w:pgMar w:left="220" w:top="305" w:right="219" w:bottom="1440" w:gutter="0" w:footer="0" w:header="0"/>
        </w:sectPr>
      </w:pPr>
    </w:p>
    <w:bookmarkStart w:id="39" w:name="page40"/>
    <w:bookmarkEnd w:id="39"/>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II</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OTHER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 Legal Proceedings</w:t>
      </w:r>
    </w:p>
    <w:p>
      <w:pPr>
        <w:spacing w:after="0" w:line="74"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financial condition, cash flows or liquidity.</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1A. Risk Factors</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There were no material changes in our Risk Factors from those reported in Item 1A of Part I of our Annual Report on Form 10-K for the fiscal year ended June 30, 2016.</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 Unregistered Sales of Equity Securities and Use of Proceeds</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Issuer Purchases of Equity Securities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The table below sets forth the information with respect to purchases made by the Company of its common stock during the third quarter of fiscal year 2017.</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left="261"/>
              <w:spacing w:after="0"/>
              <w:rPr>
                <w:sz w:val="20"/>
                <w:szCs w:val="20"/>
                <w:color w:val="auto"/>
              </w:rPr>
            </w:pPr>
            <w:r>
              <w:rPr>
                <w:rFonts w:ascii="Arial" w:cs="Arial" w:eastAsia="Arial" w:hAnsi="Arial"/>
                <w:sz w:val="12"/>
                <w:szCs w:val="12"/>
                <w:b w:val="1"/>
                <w:bCs w:val="1"/>
                <w:color w:val="auto"/>
                <w:w w:val="90"/>
              </w:rPr>
              <w:t>Total Number</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jc w:val="center"/>
              <w:spacing w:after="0"/>
              <w:rPr>
                <w:sz w:val="20"/>
                <w:szCs w:val="20"/>
                <w:color w:val="auto"/>
              </w:rPr>
            </w:pPr>
            <w:r>
              <w:rPr>
                <w:rFonts w:ascii="Arial" w:cs="Arial" w:eastAsia="Arial" w:hAnsi="Arial"/>
                <w:sz w:val="12"/>
                <w:szCs w:val="12"/>
                <w:b w:val="1"/>
                <w:bCs w:val="1"/>
                <w:color w:val="auto"/>
                <w:w w:val="93"/>
              </w:rPr>
              <w:t>Maximum</w:t>
            </w:r>
          </w:p>
        </w:tc>
      </w:tr>
      <w:tr>
        <w:trPr>
          <w:trHeight w:val="121"/>
        </w:trPr>
        <w:tc>
          <w:tcPr>
            <w:tcW w:w="47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jc w:val="center"/>
              <w:ind w:left="261"/>
              <w:spacing w:after="0" w:line="121" w:lineRule="exact"/>
              <w:rPr>
                <w:sz w:val="20"/>
                <w:szCs w:val="20"/>
                <w:color w:val="auto"/>
              </w:rPr>
            </w:pPr>
            <w:r>
              <w:rPr>
                <w:rFonts w:ascii="Arial" w:cs="Arial" w:eastAsia="Arial" w:hAnsi="Arial"/>
                <w:sz w:val="12"/>
                <w:szCs w:val="12"/>
                <w:b w:val="1"/>
                <w:bCs w:val="1"/>
                <w:color w:val="auto"/>
                <w:w w:val="84"/>
              </w:rPr>
              <w:t>of Shares</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93"/>
              </w:rPr>
              <w:t>Number of</w:t>
            </w:r>
          </w:p>
        </w:tc>
      </w:tr>
      <w:tr>
        <w:trPr>
          <w:trHeight w:val="121"/>
        </w:trPr>
        <w:tc>
          <w:tcPr>
            <w:tcW w:w="47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jc w:val="center"/>
              <w:ind w:left="261"/>
              <w:spacing w:after="0" w:line="121" w:lineRule="exact"/>
              <w:rPr>
                <w:sz w:val="20"/>
                <w:szCs w:val="20"/>
                <w:color w:val="auto"/>
              </w:rPr>
            </w:pPr>
            <w:r>
              <w:rPr>
                <w:rFonts w:ascii="Arial" w:cs="Arial" w:eastAsia="Arial" w:hAnsi="Arial"/>
                <w:sz w:val="12"/>
                <w:szCs w:val="12"/>
                <w:b w:val="1"/>
                <w:bCs w:val="1"/>
                <w:color w:val="auto"/>
                <w:w w:val="84"/>
              </w:rPr>
              <w:t>Purchased as</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87"/>
              </w:rPr>
              <w:t>Shares That</w:t>
            </w:r>
          </w:p>
        </w:tc>
      </w:tr>
      <w:tr>
        <w:trPr>
          <w:trHeight w:val="121"/>
        </w:trPr>
        <w:tc>
          <w:tcPr>
            <w:tcW w:w="47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jc w:val="center"/>
              <w:ind w:left="261"/>
              <w:spacing w:after="0" w:line="121" w:lineRule="exact"/>
              <w:rPr>
                <w:sz w:val="20"/>
                <w:szCs w:val="20"/>
                <w:color w:val="auto"/>
              </w:rPr>
            </w:pPr>
            <w:r>
              <w:rPr>
                <w:rFonts w:ascii="Arial" w:cs="Arial" w:eastAsia="Arial" w:hAnsi="Arial"/>
                <w:sz w:val="12"/>
                <w:szCs w:val="12"/>
                <w:b w:val="1"/>
                <w:bCs w:val="1"/>
                <w:color w:val="auto"/>
                <w:w w:val="89"/>
              </w:rPr>
              <w:t>Part of Publicly</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90"/>
              </w:rPr>
              <w:t>May Yet Be</w:t>
            </w:r>
          </w:p>
        </w:tc>
      </w:tr>
      <w:tr>
        <w:trPr>
          <w:trHeight w:val="121"/>
        </w:trPr>
        <w:tc>
          <w:tcPr>
            <w:tcW w:w="4700" w:type="dxa"/>
            <w:vAlign w:val="bottom"/>
          </w:tcPr>
          <w:p>
            <w:pPr>
              <w:spacing w:after="0"/>
              <w:rPr>
                <w:sz w:val="10"/>
                <w:szCs w:val="10"/>
                <w:color w:val="auto"/>
              </w:rPr>
            </w:pPr>
          </w:p>
        </w:tc>
        <w:tc>
          <w:tcPr>
            <w:tcW w:w="1220" w:type="dxa"/>
            <w:vAlign w:val="bottom"/>
          </w:tcPr>
          <w:p>
            <w:pPr>
              <w:jc w:val="center"/>
              <w:ind w:left="341"/>
              <w:spacing w:after="0" w:line="121" w:lineRule="exact"/>
              <w:rPr>
                <w:sz w:val="20"/>
                <w:szCs w:val="20"/>
                <w:color w:val="auto"/>
              </w:rPr>
            </w:pPr>
            <w:r>
              <w:rPr>
                <w:rFonts w:ascii="Arial" w:cs="Arial" w:eastAsia="Arial" w:hAnsi="Arial"/>
                <w:sz w:val="12"/>
                <w:szCs w:val="12"/>
                <w:b w:val="1"/>
                <w:bCs w:val="1"/>
                <w:color w:val="auto"/>
                <w:w w:val="90"/>
              </w:rPr>
              <w:t>Total Number</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jc w:val="center"/>
              <w:ind w:left="391"/>
              <w:spacing w:after="0" w:line="121" w:lineRule="exact"/>
              <w:rPr>
                <w:sz w:val="20"/>
                <w:szCs w:val="20"/>
                <w:color w:val="auto"/>
              </w:rPr>
            </w:pPr>
            <w:r>
              <w:rPr>
                <w:rFonts w:ascii="Arial" w:cs="Arial" w:eastAsia="Arial" w:hAnsi="Arial"/>
                <w:sz w:val="12"/>
                <w:szCs w:val="12"/>
                <w:b w:val="1"/>
                <w:bCs w:val="1"/>
                <w:color w:val="auto"/>
                <w:w w:val="87"/>
              </w:rPr>
              <w:t>Average Price</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jc w:val="center"/>
              <w:ind w:left="261"/>
              <w:spacing w:after="0" w:line="121" w:lineRule="exact"/>
              <w:rPr>
                <w:sz w:val="20"/>
                <w:szCs w:val="20"/>
                <w:color w:val="auto"/>
              </w:rPr>
            </w:pPr>
            <w:r>
              <w:rPr>
                <w:rFonts w:ascii="Arial" w:cs="Arial" w:eastAsia="Arial" w:hAnsi="Arial"/>
                <w:sz w:val="12"/>
                <w:szCs w:val="12"/>
                <w:b w:val="1"/>
                <w:bCs w:val="1"/>
                <w:color w:val="auto"/>
                <w:w w:val="87"/>
              </w:rPr>
              <w:t>Announced</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84"/>
              </w:rPr>
              <w:t>Purchased</w:t>
            </w:r>
          </w:p>
        </w:tc>
      </w:tr>
      <w:tr>
        <w:trPr>
          <w:trHeight w:val="121"/>
        </w:trPr>
        <w:tc>
          <w:tcPr>
            <w:tcW w:w="4700" w:type="dxa"/>
            <w:vAlign w:val="bottom"/>
          </w:tcPr>
          <w:p>
            <w:pPr>
              <w:spacing w:after="0"/>
              <w:rPr>
                <w:sz w:val="10"/>
                <w:szCs w:val="10"/>
                <w:color w:val="auto"/>
              </w:rPr>
            </w:pPr>
          </w:p>
        </w:tc>
        <w:tc>
          <w:tcPr>
            <w:tcW w:w="1220" w:type="dxa"/>
            <w:vAlign w:val="bottom"/>
          </w:tcPr>
          <w:p>
            <w:pPr>
              <w:jc w:val="center"/>
              <w:ind w:left="341"/>
              <w:spacing w:after="0" w:line="121" w:lineRule="exact"/>
              <w:rPr>
                <w:sz w:val="20"/>
                <w:szCs w:val="20"/>
                <w:color w:val="auto"/>
              </w:rPr>
            </w:pPr>
            <w:r>
              <w:rPr>
                <w:rFonts w:ascii="Arial" w:cs="Arial" w:eastAsia="Arial" w:hAnsi="Arial"/>
                <w:sz w:val="12"/>
                <w:szCs w:val="12"/>
                <w:b w:val="1"/>
                <w:bCs w:val="1"/>
                <w:color w:val="auto"/>
                <w:w w:val="84"/>
              </w:rPr>
              <w:t>of Shares</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jc w:val="center"/>
              <w:ind w:left="371"/>
              <w:spacing w:after="0" w:line="121" w:lineRule="exact"/>
              <w:rPr>
                <w:sz w:val="20"/>
                <w:szCs w:val="20"/>
                <w:color w:val="auto"/>
              </w:rPr>
            </w:pPr>
            <w:r>
              <w:rPr>
                <w:rFonts w:ascii="Arial" w:cs="Arial" w:eastAsia="Arial" w:hAnsi="Arial"/>
                <w:sz w:val="12"/>
                <w:szCs w:val="12"/>
                <w:b w:val="1"/>
                <w:bCs w:val="1"/>
                <w:color w:val="auto"/>
                <w:w w:val="94"/>
              </w:rPr>
              <w:t>Paid</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jc w:val="center"/>
              <w:ind w:left="261"/>
              <w:spacing w:after="0" w:line="121" w:lineRule="exact"/>
              <w:rPr>
                <w:sz w:val="20"/>
                <w:szCs w:val="20"/>
                <w:color w:val="auto"/>
              </w:rPr>
            </w:pPr>
            <w:r>
              <w:rPr>
                <w:rFonts w:ascii="Arial" w:cs="Arial" w:eastAsia="Arial" w:hAnsi="Arial"/>
                <w:sz w:val="12"/>
                <w:szCs w:val="12"/>
                <w:b w:val="1"/>
                <w:bCs w:val="1"/>
                <w:color w:val="auto"/>
                <w:w w:val="88"/>
              </w:rPr>
              <w:t>Plans or</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87"/>
              </w:rPr>
              <w:t>Under the Plans</w:t>
            </w:r>
          </w:p>
        </w:tc>
      </w:tr>
      <w:tr>
        <w:trPr>
          <w:trHeight w:val="156"/>
        </w:trPr>
        <w:tc>
          <w:tcPr>
            <w:tcW w:w="470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jc w:val="center"/>
              <w:ind w:left="361"/>
              <w:spacing w:after="0"/>
              <w:rPr>
                <w:sz w:val="20"/>
                <w:szCs w:val="20"/>
                <w:color w:val="auto"/>
              </w:rPr>
            </w:pPr>
            <w:r>
              <w:rPr>
                <w:rFonts w:ascii="Arial" w:cs="Arial" w:eastAsia="Arial" w:hAnsi="Arial"/>
                <w:sz w:val="12"/>
                <w:szCs w:val="12"/>
                <w:b w:val="1"/>
                <w:bCs w:val="1"/>
                <w:color w:val="auto"/>
                <w:w w:val="84"/>
              </w:rPr>
              <w:t>Purchased</w:t>
            </w: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center"/>
              <w:ind w:left="391"/>
              <w:spacing w:after="0"/>
              <w:rPr>
                <w:sz w:val="20"/>
                <w:szCs w:val="20"/>
                <w:color w:val="auto"/>
              </w:rPr>
            </w:pPr>
            <w:r>
              <w:rPr>
                <w:rFonts w:ascii="Arial" w:cs="Arial" w:eastAsia="Arial" w:hAnsi="Arial"/>
                <w:sz w:val="12"/>
                <w:szCs w:val="12"/>
                <w:b w:val="1"/>
                <w:bCs w:val="1"/>
                <w:color w:val="auto"/>
                <w:w w:val="89"/>
              </w:rPr>
              <w:t>Per Share</w:t>
            </w: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center"/>
              <w:ind w:left="261"/>
              <w:spacing w:after="0"/>
              <w:rPr>
                <w:sz w:val="20"/>
                <w:szCs w:val="20"/>
                <w:color w:val="auto"/>
              </w:rPr>
            </w:pPr>
            <w:r>
              <w:rPr>
                <w:rFonts w:ascii="Arial" w:cs="Arial" w:eastAsia="Arial" w:hAnsi="Arial"/>
                <w:sz w:val="12"/>
                <w:szCs w:val="12"/>
                <w:b w:val="1"/>
                <w:bCs w:val="1"/>
                <w:color w:val="auto"/>
                <w:w w:val="89"/>
              </w:rPr>
              <w:t>Programs</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or Programs (C)</w:t>
            </w:r>
          </w:p>
        </w:tc>
      </w:tr>
      <w:tr>
        <w:trPr>
          <w:trHeight w:val="197"/>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January 1 to January 31, 2017</w:t>
            </w:r>
          </w:p>
        </w:tc>
        <w:tc>
          <w:tcPr>
            <w:tcW w:w="4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r>
      <w:tr>
        <w:trPr>
          <w:trHeight w:val="198"/>
        </w:trPr>
        <w:tc>
          <w:tcPr>
            <w:tcW w:w="5920" w:type="dxa"/>
            <w:vAlign w:val="bottom"/>
            <w:gridSpan w:val="2"/>
          </w:tcPr>
          <w:p>
            <w:pPr>
              <w:ind w:left="320"/>
              <w:spacing w:after="0"/>
              <w:rPr>
                <w:sz w:val="20"/>
                <w:szCs w:val="20"/>
                <w:color w:val="auto"/>
              </w:rPr>
            </w:pPr>
            <w:r>
              <w:rPr>
                <w:rFonts w:ascii="Arial" w:cs="Arial" w:eastAsia="Arial" w:hAnsi="Arial"/>
                <w:sz w:val="15"/>
                <w:szCs w:val="15"/>
                <w:color w:val="auto"/>
              </w:rPr>
              <w:t>Share Repurchase Program (A)</w:t>
            </w:r>
          </w:p>
        </w:tc>
        <w:tc>
          <w:tcPr>
            <w:tcW w:w="5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991"/>
              <w:spacing w:after="0"/>
              <w:rPr>
                <w:sz w:val="20"/>
                <w:szCs w:val="20"/>
                <w:color w:val="auto"/>
              </w:rPr>
            </w:pPr>
            <w:r>
              <w:rPr>
                <w:rFonts w:ascii="Arial" w:cs="Arial" w:eastAsia="Arial" w:hAnsi="Arial"/>
                <w:sz w:val="15"/>
                <w:szCs w:val="15"/>
                <w:color w:val="auto"/>
                <w:w w:val="95"/>
              </w:rPr>
              <w:t>$</w:t>
            </w:r>
          </w:p>
        </w:tc>
        <w:tc>
          <w:tcPr>
            <w:tcW w:w="1820" w:type="dxa"/>
            <w:vAlign w:val="bottom"/>
            <w:gridSpan w:val="3"/>
          </w:tcPr>
          <w:p>
            <w:pPr>
              <w:jc w:val="right"/>
              <w:ind w:right="1421"/>
              <w:spacing w:after="0"/>
              <w:rPr>
                <w:sz w:val="20"/>
                <w:szCs w:val="20"/>
                <w:color w:val="auto"/>
              </w:rPr>
            </w:pPr>
            <w:r>
              <w:rPr>
                <w:rFonts w:ascii="Arial" w:cs="Arial" w:eastAsia="Arial" w:hAnsi="Arial"/>
                <w:sz w:val="15"/>
                <w:szCs w:val="15"/>
                <w:color w:val="auto"/>
              </w:rPr>
              <w:t>—</w:t>
            </w:r>
          </w:p>
        </w:tc>
        <w:tc>
          <w:tcPr>
            <w:tcW w:w="44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57"/>
              <w:spacing w:after="0"/>
              <w:rPr>
                <w:sz w:val="20"/>
                <w:szCs w:val="20"/>
                <w:color w:val="auto"/>
              </w:rPr>
            </w:pPr>
            <w:r>
              <w:rPr>
                <w:rFonts w:ascii="Arial" w:cs="Arial" w:eastAsia="Arial" w:hAnsi="Arial"/>
                <w:sz w:val="15"/>
                <w:szCs w:val="15"/>
                <w:color w:val="auto"/>
              </w:rPr>
              <w:t>3,030,303</w:t>
            </w:r>
          </w:p>
        </w:tc>
      </w:tr>
      <w:tr>
        <w:trPr>
          <w:trHeight w:val="22"/>
        </w:trPr>
        <w:tc>
          <w:tcPr>
            <w:tcW w:w="4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00"/>
        </w:trPr>
        <w:tc>
          <w:tcPr>
            <w:tcW w:w="59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5"/>
                <w:szCs w:val="15"/>
                <w:color w:val="auto"/>
              </w:rPr>
              <w:t>Employee Transactions (B)</w:t>
            </w:r>
          </w:p>
        </w:tc>
        <w:tc>
          <w:tcPr>
            <w:tcW w:w="4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459</w:t>
            </w: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91"/>
              <w:spacing w:after="0"/>
              <w:rPr>
                <w:sz w:val="20"/>
                <w:szCs w:val="20"/>
                <w:color w:val="auto"/>
              </w:rPr>
            </w:pPr>
            <w:r>
              <w:rPr>
                <w:rFonts w:ascii="Arial" w:cs="Arial" w:eastAsia="Arial" w:hAnsi="Arial"/>
                <w:sz w:val="15"/>
                <w:szCs w:val="15"/>
                <w:color w:val="auto"/>
                <w:w w:val="95"/>
              </w:rPr>
              <w:t>$</w:t>
            </w:r>
          </w:p>
        </w:tc>
        <w:tc>
          <w:tcPr>
            <w:tcW w:w="4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85"/>
              </w:rPr>
              <w:t>21.95</w:t>
            </w: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600" w:type="dxa"/>
            <w:vAlign w:val="bottom"/>
            <w:tcBorders>
              <w:bottom w:val="single" w:sz="8" w:color="CCEEFF"/>
            </w:tcBorders>
            <w:shd w:val="clear" w:color="auto" w:fill="CCEEFF"/>
          </w:tcPr>
          <w:p>
            <w:pPr>
              <w:spacing w:after="0"/>
              <w:rPr>
                <w:sz w:val="17"/>
                <w:szCs w:val="17"/>
                <w:color w:val="auto"/>
              </w:rPr>
            </w:pPr>
          </w:p>
        </w:tc>
      </w:tr>
      <w:tr>
        <w:trPr>
          <w:trHeight w:val="198"/>
        </w:trPr>
        <w:tc>
          <w:tcPr>
            <w:tcW w:w="5920" w:type="dxa"/>
            <w:vAlign w:val="bottom"/>
            <w:gridSpan w:val="2"/>
          </w:tcPr>
          <w:p>
            <w:pPr>
              <w:ind w:left="40"/>
              <w:spacing w:after="0"/>
              <w:rPr>
                <w:sz w:val="20"/>
                <w:szCs w:val="20"/>
                <w:color w:val="auto"/>
              </w:rPr>
            </w:pPr>
            <w:r>
              <w:rPr>
                <w:rFonts w:ascii="Arial" w:cs="Arial" w:eastAsia="Arial" w:hAnsi="Arial"/>
                <w:sz w:val="15"/>
                <w:szCs w:val="15"/>
                <w:b w:val="1"/>
                <w:bCs w:val="1"/>
                <w:color w:val="auto"/>
              </w:rPr>
              <w:t>February 1 to February 28, 2017</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2"/>
        </w:trPr>
        <w:tc>
          <w:tcPr>
            <w:tcW w:w="4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00"/>
        </w:trPr>
        <w:tc>
          <w:tcPr>
            <w:tcW w:w="59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5"/>
                <w:szCs w:val="15"/>
                <w:color w:val="auto"/>
              </w:rPr>
              <w:t>Share Repurchase Program (A)</w:t>
            </w: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CCEEFF"/>
            </w:tcBorders>
            <w:shd w:val="clear" w:color="auto" w:fill="CCEEFF"/>
          </w:tcPr>
          <w:p>
            <w:pPr>
              <w:jc w:val="right"/>
              <w:ind w:right="991"/>
              <w:spacing w:after="0"/>
              <w:rPr>
                <w:sz w:val="20"/>
                <w:szCs w:val="20"/>
                <w:color w:val="auto"/>
              </w:rPr>
            </w:pPr>
            <w:r>
              <w:rPr>
                <w:rFonts w:ascii="Arial" w:cs="Arial" w:eastAsia="Arial" w:hAnsi="Arial"/>
                <w:sz w:val="15"/>
                <w:szCs w:val="15"/>
                <w:color w:val="auto"/>
                <w:w w:val="95"/>
              </w:rPr>
              <w:t>$</w:t>
            </w:r>
          </w:p>
        </w:tc>
        <w:tc>
          <w:tcPr>
            <w:tcW w:w="1820" w:type="dxa"/>
            <w:vAlign w:val="bottom"/>
            <w:tcBorders>
              <w:bottom w:val="single" w:sz="8" w:color="CCEEFF"/>
            </w:tcBorders>
            <w:gridSpan w:val="3"/>
            <w:shd w:val="clear" w:color="auto" w:fill="CCEEFF"/>
          </w:tcPr>
          <w:p>
            <w:pPr>
              <w:jc w:val="right"/>
              <w:ind w:right="1421"/>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6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5"/>
                <w:szCs w:val="15"/>
                <w:color w:val="auto"/>
              </w:rPr>
              <w:t>3,030,303</w:t>
            </w:r>
          </w:p>
        </w:tc>
      </w:tr>
      <w:tr>
        <w:trPr>
          <w:trHeight w:val="198"/>
        </w:trPr>
        <w:tc>
          <w:tcPr>
            <w:tcW w:w="5920" w:type="dxa"/>
            <w:vAlign w:val="bottom"/>
            <w:gridSpan w:val="2"/>
          </w:tcPr>
          <w:p>
            <w:pPr>
              <w:ind w:left="320"/>
              <w:spacing w:after="0"/>
              <w:rPr>
                <w:sz w:val="20"/>
                <w:szCs w:val="20"/>
                <w:color w:val="auto"/>
              </w:rPr>
            </w:pPr>
            <w:r>
              <w:rPr>
                <w:rFonts w:ascii="Arial" w:cs="Arial" w:eastAsia="Arial" w:hAnsi="Arial"/>
                <w:sz w:val="15"/>
                <w:szCs w:val="15"/>
                <w:color w:val="auto"/>
              </w:rPr>
              <w:t>Employee Transactions (B)</w:t>
            </w:r>
          </w:p>
        </w:tc>
        <w:tc>
          <w:tcPr>
            <w:tcW w:w="400" w:type="dxa"/>
            <w:vAlign w:val="bottom"/>
          </w:tcPr>
          <w:p>
            <w:pPr>
              <w:jc w:val="right"/>
              <w:ind w:right="47"/>
              <w:spacing w:after="0"/>
              <w:rPr>
                <w:sz w:val="20"/>
                <w:szCs w:val="20"/>
                <w:color w:val="auto"/>
              </w:rPr>
            </w:pPr>
            <w:r>
              <w:rPr>
                <w:rFonts w:ascii="Arial" w:cs="Arial" w:eastAsia="Arial" w:hAnsi="Arial"/>
                <w:sz w:val="15"/>
                <w:szCs w:val="15"/>
                <w:color w:val="auto"/>
              </w:rPr>
              <w:t>472</w:t>
            </w:r>
          </w:p>
        </w:tc>
        <w:tc>
          <w:tcPr>
            <w:tcW w:w="120" w:type="dxa"/>
            <w:vAlign w:val="bottom"/>
          </w:tcPr>
          <w:p>
            <w:pPr>
              <w:spacing w:after="0"/>
              <w:rPr>
                <w:sz w:val="17"/>
                <w:szCs w:val="17"/>
                <w:color w:val="auto"/>
              </w:rPr>
            </w:pPr>
          </w:p>
        </w:tc>
        <w:tc>
          <w:tcPr>
            <w:tcW w:w="1160" w:type="dxa"/>
            <w:vAlign w:val="bottom"/>
          </w:tcPr>
          <w:p>
            <w:pPr>
              <w:jc w:val="right"/>
              <w:ind w:right="991"/>
              <w:spacing w:after="0"/>
              <w:rPr>
                <w:sz w:val="20"/>
                <w:szCs w:val="20"/>
                <w:color w:val="auto"/>
              </w:rPr>
            </w:pPr>
            <w:r>
              <w:rPr>
                <w:rFonts w:ascii="Arial" w:cs="Arial" w:eastAsia="Arial" w:hAnsi="Arial"/>
                <w:sz w:val="15"/>
                <w:szCs w:val="15"/>
                <w:color w:val="auto"/>
                <w:w w:val="95"/>
              </w:rPr>
              <w:t>$</w:t>
            </w:r>
          </w:p>
        </w:tc>
        <w:tc>
          <w:tcPr>
            <w:tcW w:w="440" w:type="dxa"/>
            <w:vAlign w:val="bottom"/>
          </w:tcPr>
          <w:p>
            <w:pPr>
              <w:jc w:val="right"/>
              <w:ind w:right="27"/>
              <w:spacing w:after="0"/>
              <w:rPr>
                <w:sz w:val="20"/>
                <w:szCs w:val="20"/>
                <w:color w:val="auto"/>
              </w:rPr>
            </w:pPr>
            <w:r>
              <w:rPr>
                <w:rFonts w:ascii="Arial" w:cs="Arial" w:eastAsia="Arial" w:hAnsi="Arial"/>
                <w:sz w:val="15"/>
                <w:szCs w:val="15"/>
                <w:color w:val="auto"/>
                <w:w w:val="85"/>
              </w:rPr>
              <w:t>16.70</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1600" w:type="dxa"/>
            <w:vAlign w:val="bottom"/>
          </w:tcPr>
          <w:p>
            <w:pPr>
              <w:spacing w:after="0"/>
              <w:rPr>
                <w:sz w:val="17"/>
                <w:szCs w:val="17"/>
                <w:color w:val="auto"/>
              </w:rPr>
            </w:pPr>
          </w:p>
        </w:tc>
      </w:tr>
      <w:tr>
        <w:trPr>
          <w:trHeight w:val="22"/>
        </w:trPr>
        <w:tc>
          <w:tcPr>
            <w:tcW w:w="4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00"/>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March 1 to March 31, 2017</w:t>
            </w:r>
          </w:p>
        </w:tc>
        <w:tc>
          <w:tcPr>
            <w:tcW w:w="4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r>
      <w:tr>
        <w:trPr>
          <w:trHeight w:val="198"/>
        </w:trPr>
        <w:tc>
          <w:tcPr>
            <w:tcW w:w="5920" w:type="dxa"/>
            <w:vAlign w:val="bottom"/>
            <w:gridSpan w:val="2"/>
          </w:tcPr>
          <w:p>
            <w:pPr>
              <w:ind w:left="320"/>
              <w:spacing w:after="0"/>
              <w:rPr>
                <w:sz w:val="20"/>
                <w:szCs w:val="20"/>
                <w:color w:val="auto"/>
              </w:rPr>
            </w:pPr>
            <w:r>
              <w:rPr>
                <w:rFonts w:ascii="Arial" w:cs="Arial" w:eastAsia="Arial" w:hAnsi="Arial"/>
                <w:sz w:val="15"/>
                <w:szCs w:val="15"/>
                <w:color w:val="auto"/>
              </w:rPr>
              <w:t>Share Repurchase Program (A)</w:t>
            </w:r>
          </w:p>
        </w:tc>
        <w:tc>
          <w:tcPr>
            <w:tcW w:w="5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991"/>
              <w:spacing w:after="0"/>
              <w:rPr>
                <w:sz w:val="20"/>
                <w:szCs w:val="20"/>
                <w:color w:val="auto"/>
              </w:rPr>
            </w:pPr>
            <w:r>
              <w:rPr>
                <w:rFonts w:ascii="Arial" w:cs="Arial" w:eastAsia="Arial" w:hAnsi="Arial"/>
                <w:sz w:val="15"/>
                <w:szCs w:val="15"/>
                <w:color w:val="auto"/>
                <w:w w:val="95"/>
              </w:rPr>
              <w:t>$</w:t>
            </w:r>
          </w:p>
        </w:tc>
        <w:tc>
          <w:tcPr>
            <w:tcW w:w="1820" w:type="dxa"/>
            <w:vAlign w:val="bottom"/>
            <w:gridSpan w:val="3"/>
          </w:tcPr>
          <w:p>
            <w:pPr>
              <w:jc w:val="right"/>
              <w:ind w:right="1421"/>
              <w:spacing w:after="0"/>
              <w:rPr>
                <w:sz w:val="20"/>
                <w:szCs w:val="20"/>
                <w:color w:val="auto"/>
              </w:rPr>
            </w:pPr>
            <w:r>
              <w:rPr>
                <w:rFonts w:ascii="Arial" w:cs="Arial" w:eastAsia="Arial" w:hAnsi="Arial"/>
                <w:sz w:val="15"/>
                <w:szCs w:val="15"/>
                <w:color w:val="auto"/>
              </w:rPr>
              <w:t>—</w:t>
            </w:r>
          </w:p>
        </w:tc>
        <w:tc>
          <w:tcPr>
            <w:tcW w:w="44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57"/>
              <w:spacing w:after="0"/>
              <w:rPr>
                <w:sz w:val="20"/>
                <w:szCs w:val="20"/>
                <w:color w:val="auto"/>
              </w:rPr>
            </w:pPr>
            <w:r>
              <w:rPr>
                <w:rFonts w:ascii="Arial" w:cs="Arial" w:eastAsia="Arial" w:hAnsi="Arial"/>
                <w:sz w:val="15"/>
                <w:szCs w:val="15"/>
                <w:color w:val="auto"/>
              </w:rPr>
              <w:t>3,030,303</w:t>
            </w:r>
          </w:p>
        </w:tc>
      </w:tr>
      <w:tr>
        <w:trPr>
          <w:trHeight w:val="22"/>
        </w:trPr>
        <w:tc>
          <w:tcPr>
            <w:tcW w:w="4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8"/>
        </w:trPr>
        <w:tc>
          <w:tcPr>
            <w:tcW w:w="592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Employee Transactions (B)</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991"/>
              <w:spacing w:after="0"/>
              <w:rPr>
                <w:sz w:val="20"/>
                <w:szCs w:val="20"/>
                <w:color w:val="auto"/>
              </w:rPr>
            </w:pPr>
            <w:r>
              <w:rPr>
                <w:rFonts w:ascii="Arial" w:cs="Arial" w:eastAsia="Arial" w:hAnsi="Arial"/>
                <w:sz w:val="15"/>
                <w:szCs w:val="15"/>
                <w:color w:val="auto"/>
                <w:w w:val="95"/>
              </w:rPr>
              <w:t>$</w:t>
            </w:r>
          </w:p>
        </w:tc>
        <w:tc>
          <w:tcPr>
            <w:tcW w:w="1820" w:type="dxa"/>
            <w:vAlign w:val="bottom"/>
            <w:gridSpan w:val="3"/>
            <w:shd w:val="clear" w:color="auto" w:fill="CCEEFF"/>
          </w:tcPr>
          <w:p>
            <w:pPr>
              <w:jc w:val="right"/>
              <w:ind w:right="1421"/>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600" w:type="dxa"/>
            <w:vAlign w:val="bottom"/>
            <w:shd w:val="clear" w:color="auto" w:fill="CCEEFF"/>
          </w:tcPr>
          <w:p>
            <w:pPr>
              <w:spacing w:after="0"/>
              <w:rPr>
                <w:sz w:val="17"/>
                <w:szCs w:val="17"/>
                <w:color w:val="auto"/>
              </w:rPr>
            </w:pPr>
          </w:p>
        </w:tc>
      </w:tr>
      <w:tr>
        <w:trPr>
          <w:trHeight w:val="22"/>
        </w:trPr>
        <w:tc>
          <w:tcPr>
            <w:tcW w:w="47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r>
    </w:tbl>
    <w:p>
      <w:pPr>
        <w:spacing w:after="0" w:line="144" w:lineRule="exact"/>
        <w:rPr>
          <w:sz w:val="20"/>
          <w:szCs w:val="20"/>
          <w:color w:val="auto"/>
        </w:rPr>
      </w:pPr>
    </w:p>
    <w:p>
      <w:pPr>
        <w:ind w:left="440" w:hanging="255"/>
        <w:spacing w:after="0"/>
        <w:tabs>
          <w:tab w:leader="none" w:pos="4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Represents shares purchased under our stock buyback program.</w:t>
      </w:r>
    </w:p>
    <w:p>
      <w:pPr>
        <w:spacing w:after="0" w:line="14" w:lineRule="exact"/>
        <w:rPr>
          <w:rFonts w:ascii="Arial" w:cs="Arial" w:eastAsia="Arial" w:hAnsi="Arial"/>
          <w:sz w:val="15"/>
          <w:szCs w:val="15"/>
          <w:color w:val="auto"/>
        </w:rPr>
      </w:pPr>
    </w:p>
    <w:p>
      <w:pPr>
        <w:ind w:left="440" w:hanging="255"/>
        <w:spacing w:after="0"/>
        <w:tabs>
          <w:tab w:leader="none" w:pos="4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Represents shares withheld to satisfy the employee’s tax withholding obligation that is incurred upon the vesting of deferred shares granted under the Company’s stock incentive plans.</w:t>
      </w:r>
    </w:p>
    <w:p>
      <w:pPr>
        <w:spacing w:after="0" w:line="26" w:lineRule="exact"/>
        <w:rPr>
          <w:rFonts w:ascii="Arial" w:cs="Arial" w:eastAsia="Arial" w:hAnsi="Arial"/>
          <w:sz w:val="13"/>
          <w:szCs w:val="13"/>
          <w:color w:val="auto"/>
        </w:rPr>
      </w:pPr>
    </w:p>
    <w:p>
      <w:pPr>
        <w:jc w:val="both"/>
        <w:ind w:left="440" w:hanging="255"/>
        <w:spacing w:after="0" w:line="293" w:lineRule="auto"/>
        <w:tabs>
          <w:tab w:leader="none" w:pos="4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On December 12, 2016, the Board of Directors approved a new stock buyback program (the "December 2016 Program"). Under the December 2016 Program, the Company may repurchase common stock of the Company in any calendar year commencing with calendar year 2016 and continuing through calendar year 2018, up to a maximum of $25.0 million per calendar year. The Company may repurchase its stock from time to time in the open market at prevailing market prices or in privately negotiated transactions. The December 2016 Program will continue through December 31, 2018 unless and until revoked by the Board of Directors. The amount shown as the maximum number of shares that may yet be purchased was calculated using the closing price of our stock on the last trading day of the quarter and the cumulative limit of $50.0 million remaining under the program.</w:t>
      </w:r>
    </w:p>
    <w:p>
      <w:pPr>
        <w:spacing w:after="0" w:line="157" w:lineRule="exact"/>
        <w:rPr>
          <w:rFonts w:ascii="Arial" w:cs="Arial" w:eastAsia="Arial" w:hAnsi="Arial"/>
          <w:sz w:val="13"/>
          <w:szCs w:val="13"/>
          <w:color w:val="auto"/>
        </w:rPr>
      </w:pPr>
    </w:p>
    <w:p>
      <w:pPr>
        <w:ind w:left="5680" w:hanging="87"/>
        <w:spacing w:after="0"/>
        <w:tabs>
          <w:tab w:leader="none" w:pos="5680" w:val="left"/>
        </w:tabs>
        <w:numPr>
          <w:ilvl w:val="1"/>
          <w:numId w:val="17"/>
        </w:numPr>
        <w:rPr>
          <w:rFonts w:ascii="Arial" w:cs="Arial" w:eastAsia="Arial" w:hAnsi="Arial"/>
          <w:sz w:val="15"/>
          <w:szCs w:val="15"/>
          <w:color w:val="auto"/>
        </w:rPr>
      </w:pPr>
      <w:r>
        <w:rPr>
          <w:rFonts w:ascii="Arial" w:cs="Arial" w:eastAsia="Arial" w:hAnsi="Arial"/>
          <w:sz w:val="15"/>
          <w:szCs w:val="15"/>
          <w:color w:val="auto"/>
        </w:rPr>
        <w:t>38-</w:t>
      </w:r>
    </w:p>
    <w:p>
      <w:pPr>
        <w:sectPr>
          <w:pgSz w:w="11900" w:h="16838" w:orient="portrait"/>
          <w:cols w:equalWidth="0" w:num="1">
            <w:col w:w="11460"/>
          </w:cols>
          <w:pgMar w:left="220" w:top="305" w:right="219" w:bottom="1440" w:gutter="0" w:footer="0" w:header="0"/>
        </w:sectPr>
      </w:pPr>
    </w:p>
    <w:bookmarkStart w:id="40" w:name="page41"/>
    <w:bookmarkEnd w:id="40"/>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 Policy</w:t>
      </w:r>
    </w:p>
    <w:p>
      <w:pPr>
        <w:spacing w:after="0" w:line="140"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have never paid cash dividends on our common stock, and the terms of our Credit Agreement limit the amount of cash dividends we can pay. Under our Credit Agreement, we may declare and pay dividends on our capital stock during any fiscal year up to an amount which, when added to all other dividends paid during such fiscal year, does not exceed 50% of our cumulative net income for such fiscal year to date. While we currently do not intend to pay cash dividends, any future dividend payments will depend on our financial condition, capital requirements and earnings as well as other relevant factors.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3. Defaults Upon Senior Securities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4. Mine Safety Disclosures</w:t>
      </w:r>
    </w:p>
    <w:p>
      <w:pPr>
        <w:spacing w:after="0" w:line="140"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the owner of any mines, but as a result of our performing services or construction at mine sites as an independent contractor, we are considered an "operator" within the meaning of the Mine Act.</w:t>
      </w:r>
    </w:p>
    <w:p>
      <w:pPr>
        <w:spacing w:after="0" w:line="94"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Information concerning mine safety violations or other regulatory matters required to be disclosed in this quarterly report under Section 1503(a) of the Dodd-Frank Act and Item 104 of Regulation S-K is included in Exhibit 95.</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5. Other Information</w:t>
      </w:r>
    </w:p>
    <w:p>
      <w:pPr>
        <w:spacing w:after="0" w:line="140"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On May 4, 2017, the Company’s Board of Directors approved amended and restated Bylaws (the “Bylaws Amendments”). The Bylaws Amendments are effective immediately and include, among other things, the following changes:</w:t>
      </w:r>
    </w:p>
    <w:p>
      <w:pPr>
        <w:spacing w:after="0" w:line="148" w:lineRule="exact"/>
        <w:rPr>
          <w:sz w:val="20"/>
          <w:szCs w:val="20"/>
          <w:color w:val="auto"/>
        </w:rPr>
      </w:pPr>
    </w:p>
    <w:p>
      <w:pPr>
        <w:ind w:left="540" w:hanging="267"/>
        <w:spacing w:after="0"/>
        <w:tabs>
          <w:tab w:leader="none" w:pos="5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Updating the disclosure requirements for notices of director nominations and stockholder proposals;</w:t>
      </w:r>
    </w:p>
    <w:p>
      <w:pPr>
        <w:spacing w:after="0" w:line="14" w:lineRule="exact"/>
        <w:rPr>
          <w:rFonts w:ascii="Arial" w:cs="Arial" w:eastAsia="Arial" w:hAnsi="Arial"/>
          <w:sz w:val="15"/>
          <w:szCs w:val="15"/>
          <w:color w:val="auto"/>
        </w:rPr>
      </w:pPr>
    </w:p>
    <w:p>
      <w:pPr>
        <w:ind w:left="540" w:hanging="267"/>
        <w:spacing w:after="0"/>
        <w:tabs>
          <w:tab w:leader="none" w:pos="5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Providing the Board with explicit authority to postpone or reschedule a stockholder meeting; and</w:t>
      </w:r>
    </w:p>
    <w:p>
      <w:pPr>
        <w:spacing w:after="0" w:line="3" w:lineRule="exact"/>
        <w:rPr>
          <w:rFonts w:ascii="Arial" w:cs="Arial" w:eastAsia="Arial" w:hAnsi="Arial"/>
          <w:sz w:val="15"/>
          <w:szCs w:val="15"/>
          <w:color w:val="auto"/>
        </w:rPr>
      </w:pPr>
    </w:p>
    <w:p>
      <w:pPr>
        <w:ind w:left="540" w:hanging="267"/>
        <w:spacing w:after="0"/>
        <w:tabs>
          <w:tab w:leader="none" w:pos="5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Clarifying the power of the chairman of a stockholders meeting over the conduct of such meeting.</w:t>
      </w:r>
    </w:p>
    <w:p>
      <w:pPr>
        <w:spacing w:after="0" w:line="126"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The foregoing description of the Bylaws Amendments is not complete and is qualified in its entirety by reference to the complete text of the Bylaws Amendments, a copy of which is filed as Exhibit 3.1 to this Quarterly Report on Form 10-Q and incorporated by reference herein.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- 39-</w:t>
      </w:r>
    </w:p>
    <w:p>
      <w:pPr>
        <w:sectPr>
          <w:pgSz w:w="11900" w:h="16838" w:orient="portrait"/>
          <w:cols w:equalWidth="0" w:num="1">
            <w:col w:w="11460"/>
          </w:cols>
          <w:pgMar w:left="220" w:top="305" w:right="21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72"/>
        </w:trPr>
        <w:tc>
          <w:tcPr>
            <w:tcW w:w="1060" w:type="dxa"/>
            <w:vAlign w:val="bottom"/>
            <w:tcBorders>
              <w:bottom w:val="single" w:sz="8" w:color="0000EE"/>
            </w:tcBorders>
          </w:tcPr>
          <w:p>
            <w:pPr>
              <w:spacing w:after="0"/>
              <w:rPr>
                <w:rFonts w:ascii="Arial" w:cs="Arial" w:eastAsia="Arial" w:hAnsi="Arial"/>
                <w:sz w:val="15"/>
                <w:szCs w:val="15"/>
                <w:color w:val="0000EE"/>
                <w:w w:val="87"/>
              </w:rPr>
            </w:pPr>
            <w:hyperlink w:anchor="page2">
              <w:r>
                <w:rPr>
                  <w:rFonts w:ascii="Arial" w:cs="Arial" w:eastAsia="Arial" w:hAnsi="Arial"/>
                  <w:sz w:val="15"/>
                  <w:szCs w:val="15"/>
                  <w:color w:val="0000EE"/>
                  <w:w w:val="87"/>
                </w:rPr>
                <w:t>Table of Contents</w:t>
              </w:r>
            </w:hyperlink>
          </w:p>
        </w:tc>
        <w:tc>
          <w:tcPr>
            <w:tcW w:w="460" w:type="dxa"/>
            <w:vAlign w:val="bottom"/>
          </w:tcPr>
          <w:p>
            <w:pPr>
              <w:spacing w:after="0"/>
              <w:rPr>
                <w:sz w:val="14"/>
                <w:szCs w:val="14"/>
                <w:color w:val="auto"/>
              </w:rPr>
            </w:pPr>
          </w:p>
        </w:tc>
        <w:tc>
          <w:tcPr>
            <w:tcW w:w="9520" w:type="dxa"/>
            <w:vAlign w:val="bottom"/>
          </w:tcPr>
          <w:p>
            <w:pPr>
              <w:spacing w:after="0"/>
              <w:rPr>
                <w:sz w:val="14"/>
                <w:szCs w:val="14"/>
                <w:color w:val="auto"/>
              </w:rPr>
            </w:pPr>
          </w:p>
        </w:tc>
      </w:tr>
      <w:tr>
        <w:trPr>
          <w:trHeight w:val="939"/>
        </w:trPr>
        <w:tc>
          <w:tcPr>
            <w:tcW w:w="1520" w:type="dxa"/>
            <w:vAlign w:val="bottom"/>
            <w:gridSpan w:val="2"/>
          </w:tcPr>
          <w:p>
            <w:pPr>
              <w:spacing w:after="0"/>
              <w:rPr>
                <w:sz w:val="20"/>
                <w:szCs w:val="20"/>
                <w:color w:val="auto"/>
              </w:rPr>
            </w:pPr>
            <w:r>
              <w:rPr>
                <w:rFonts w:ascii="Arial" w:cs="Arial" w:eastAsia="Arial" w:hAnsi="Arial"/>
                <w:sz w:val="15"/>
                <w:szCs w:val="15"/>
                <w:b w:val="1"/>
                <w:bCs w:val="1"/>
                <w:color w:val="auto"/>
              </w:rPr>
              <w:t>Item 6. Exhibits:</w:t>
            </w:r>
          </w:p>
        </w:tc>
        <w:tc>
          <w:tcPr>
            <w:tcW w:w="9520" w:type="dxa"/>
            <w:vAlign w:val="bottom"/>
          </w:tcPr>
          <w:p>
            <w:pPr>
              <w:spacing w:after="0"/>
              <w:rPr>
                <w:sz w:val="24"/>
                <w:szCs w:val="24"/>
                <w:color w:val="auto"/>
              </w:rPr>
            </w:pPr>
          </w:p>
        </w:tc>
      </w:tr>
      <w:tr>
        <w:trPr>
          <w:trHeight w:val="441"/>
        </w:trPr>
        <w:tc>
          <w:tcPr>
            <w:tcW w:w="1520" w:type="dxa"/>
            <w:vAlign w:val="bottom"/>
            <w:gridSpan w:val="2"/>
          </w:tcPr>
          <w:p>
            <w:pPr>
              <w:ind w:left="40"/>
              <w:spacing w:after="0"/>
              <w:rPr>
                <w:sz w:val="20"/>
                <w:szCs w:val="20"/>
                <w:color w:val="auto"/>
              </w:rPr>
            </w:pPr>
            <w:r>
              <w:rPr>
                <w:rFonts w:ascii="Arial" w:cs="Arial" w:eastAsia="Arial" w:hAnsi="Arial"/>
                <w:sz w:val="15"/>
                <w:szCs w:val="15"/>
                <w:color w:val="auto"/>
              </w:rPr>
              <w:t>Exhibit 3.1</w:t>
            </w:r>
          </w:p>
        </w:tc>
        <w:tc>
          <w:tcPr>
            <w:tcW w:w="9520" w:type="dxa"/>
            <w:vAlign w:val="bottom"/>
          </w:tcPr>
          <w:p>
            <w:pPr>
              <w:ind w:left="420"/>
              <w:spacing w:after="0"/>
              <w:rPr>
                <w:sz w:val="20"/>
                <w:szCs w:val="20"/>
                <w:color w:val="auto"/>
              </w:rPr>
            </w:pPr>
            <w:r>
              <w:rPr>
                <w:rFonts w:ascii="Arial" w:cs="Arial" w:eastAsia="Arial" w:hAnsi="Arial"/>
                <w:sz w:val="15"/>
                <w:szCs w:val="15"/>
                <w:color w:val="auto"/>
              </w:rPr>
              <w:t>Second Amended and Restated Bylaws of Matrix Service Company (effective as of May 4, 2017).</w:t>
            </w:r>
          </w:p>
        </w:tc>
      </w:tr>
      <w:tr>
        <w:trPr>
          <w:trHeight w:val="309"/>
        </w:trPr>
        <w:tc>
          <w:tcPr>
            <w:tcW w:w="1520" w:type="dxa"/>
            <w:vAlign w:val="bottom"/>
            <w:gridSpan w:val="2"/>
          </w:tcPr>
          <w:p>
            <w:pPr>
              <w:ind w:left="40"/>
              <w:spacing w:after="0"/>
              <w:rPr>
                <w:sz w:val="20"/>
                <w:szCs w:val="20"/>
                <w:color w:val="auto"/>
              </w:rPr>
            </w:pPr>
            <w:r>
              <w:rPr>
                <w:rFonts w:ascii="Arial" w:cs="Arial" w:eastAsia="Arial" w:hAnsi="Arial"/>
                <w:sz w:val="15"/>
                <w:szCs w:val="15"/>
                <w:color w:val="auto"/>
              </w:rPr>
              <w:t>Exhibit 10.1:</w:t>
            </w:r>
          </w:p>
        </w:tc>
        <w:tc>
          <w:tcPr>
            <w:tcW w:w="9520" w:type="dxa"/>
            <w:vAlign w:val="bottom"/>
          </w:tcPr>
          <w:p>
            <w:pPr>
              <w:ind w:left="420"/>
              <w:spacing w:after="0"/>
              <w:rPr>
                <w:sz w:val="20"/>
                <w:szCs w:val="20"/>
                <w:color w:val="auto"/>
              </w:rPr>
            </w:pPr>
            <w:r>
              <w:rPr>
                <w:rFonts w:ascii="Arial" w:cs="Arial" w:eastAsia="Arial" w:hAnsi="Arial"/>
                <w:sz w:val="15"/>
                <w:szCs w:val="15"/>
                <w:color w:val="auto"/>
                <w:w w:val="87"/>
              </w:rPr>
              <w:t>Fourth Amended and Restated Credit Agreement dated as of February 8, 2017 among the Company and certain foreign subsidiaries, as Borrowers, various</w:t>
            </w:r>
          </w:p>
        </w:tc>
      </w:tr>
      <w:tr>
        <w:trPr>
          <w:trHeight w:val="176"/>
        </w:trPr>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520" w:type="dxa"/>
            <w:vAlign w:val="bottom"/>
          </w:tcPr>
          <w:p>
            <w:pPr>
              <w:ind w:left="420"/>
              <w:spacing w:after="0"/>
              <w:rPr>
                <w:sz w:val="20"/>
                <w:szCs w:val="20"/>
                <w:color w:val="auto"/>
              </w:rPr>
            </w:pPr>
            <w:r>
              <w:rPr>
                <w:rFonts w:ascii="Arial" w:cs="Arial" w:eastAsia="Arial" w:hAnsi="Arial"/>
                <w:sz w:val="15"/>
                <w:szCs w:val="15"/>
                <w:color w:val="auto"/>
                <w:w w:val="90"/>
              </w:rPr>
              <w:t>subsidiaries of the Company, as Guarantors, JPMorgan Chase Bank, N.A., as Administrative Agent, Lead Arranger and Sole Bookrunner, and the other</w:t>
            </w:r>
          </w:p>
        </w:tc>
      </w:tr>
      <w:tr>
        <w:trPr>
          <w:trHeight w:val="187"/>
        </w:trPr>
        <w:tc>
          <w:tcPr>
            <w:tcW w:w="1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520" w:type="dxa"/>
            <w:vAlign w:val="bottom"/>
          </w:tcPr>
          <w:p>
            <w:pPr>
              <w:ind w:left="420"/>
              <w:spacing w:after="0"/>
              <w:rPr>
                <w:sz w:val="20"/>
                <w:szCs w:val="20"/>
                <w:color w:val="auto"/>
              </w:rPr>
            </w:pPr>
            <w:r>
              <w:rPr>
                <w:rFonts w:ascii="Arial" w:cs="Arial" w:eastAsia="Arial" w:hAnsi="Arial"/>
                <w:sz w:val="15"/>
                <w:szCs w:val="15"/>
                <w:color w:val="auto"/>
              </w:rPr>
              <w:t>Lenders party thereto.</w:t>
            </w:r>
          </w:p>
        </w:tc>
      </w:tr>
      <w:tr>
        <w:trPr>
          <w:trHeight w:val="320"/>
        </w:trPr>
        <w:tc>
          <w:tcPr>
            <w:tcW w:w="1520" w:type="dxa"/>
            <w:vAlign w:val="bottom"/>
            <w:gridSpan w:val="2"/>
          </w:tcPr>
          <w:p>
            <w:pPr>
              <w:ind w:left="40"/>
              <w:spacing w:after="0"/>
              <w:rPr>
                <w:sz w:val="20"/>
                <w:szCs w:val="20"/>
                <w:color w:val="auto"/>
              </w:rPr>
            </w:pPr>
            <w:r>
              <w:rPr>
                <w:rFonts w:ascii="Arial" w:cs="Arial" w:eastAsia="Arial" w:hAnsi="Arial"/>
                <w:sz w:val="15"/>
                <w:szCs w:val="15"/>
                <w:color w:val="auto"/>
              </w:rPr>
              <w:t>Exhibit 31.1:</w:t>
            </w:r>
          </w:p>
        </w:tc>
        <w:tc>
          <w:tcPr>
            <w:tcW w:w="9520" w:type="dxa"/>
            <w:vAlign w:val="bottom"/>
          </w:tcPr>
          <w:p>
            <w:pPr>
              <w:ind w:left="420"/>
              <w:spacing w:after="0"/>
              <w:rPr>
                <w:sz w:val="20"/>
                <w:szCs w:val="20"/>
                <w:color w:val="auto"/>
              </w:rPr>
            </w:pPr>
            <w:r>
              <w:rPr>
                <w:rFonts w:ascii="Arial" w:cs="Arial" w:eastAsia="Arial" w:hAnsi="Arial"/>
                <w:sz w:val="15"/>
                <w:szCs w:val="15"/>
                <w:color w:val="auto"/>
              </w:rPr>
              <w:t>Certification Pursuant to Section 302 of Sarbanes-Oxley Act of 2002 – CEO.</w:t>
            </w:r>
          </w:p>
        </w:tc>
      </w:tr>
      <w:tr>
        <w:trPr>
          <w:trHeight w:val="320"/>
        </w:trPr>
        <w:tc>
          <w:tcPr>
            <w:tcW w:w="1520" w:type="dxa"/>
            <w:vAlign w:val="bottom"/>
            <w:gridSpan w:val="2"/>
          </w:tcPr>
          <w:p>
            <w:pPr>
              <w:ind w:left="40"/>
              <w:spacing w:after="0"/>
              <w:rPr>
                <w:sz w:val="20"/>
                <w:szCs w:val="20"/>
                <w:color w:val="auto"/>
              </w:rPr>
            </w:pPr>
            <w:r>
              <w:rPr>
                <w:rFonts w:ascii="Arial" w:cs="Arial" w:eastAsia="Arial" w:hAnsi="Arial"/>
                <w:sz w:val="15"/>
                <w:szCs w:val="15"/>
                <w:color w:val="auto"/>
              </w:rPr>
              <w:t>Exhibit 31.2:</w:t>
            </w:r>
          </w:p>
        </w:tc>
        <w:tc>
          <w:tcPr>
            <w:tcW w:w="9520" w:type="dxa"/>
            <w:vAlign w:val="bottom"/>
          </w:tcPr>
          <w:p>
            <w:pPr>
              <w:ind w:left="420"/>
              <w:spacing w:after="0"/>
              <w:rPr>
                <w:sz w:val="20"/>
                <w:szCs w:val="20"/>
                <w:color w:val="auto"/>
              </w:rPr>
            </w:pPr>
            <w:r>
              <w:rPr>
                <w:rFonts w:ascii="Arial" w:cs="Arial" w:eastAsia="Arial" w:hAnsi="Arial"/>
                <w:sz w:val="15"/>
                <w:szCs w:val="15"/>
                <w:color w:val="auto"/>
              </w:rPr>
              <w:t>Certification Pursuant to Section 302 of Sarbanes-Oxley Act of 2002 – CFO.</w:t>
            </w:r>
          </w:p>
        </w:tc>
      </w:tr>
      <w:tr>
        <w:trPr>
          <w:trHeight w:val="320"/>
        </w:trPr>
        <w:tc>
          <w:tcPr>
            <w:tcW w:w="1520" w:type="dxa"/>
            <w:vAlign w:val="bottom"/>
            <w:gridSpan w:val="2"/>
          </w:tcPr>
          <w:p>
            <w:pPr>
              <w:ind w:left="40"/>
              <w:spacing w:after="0"/>
              <w:rPr>
                <w:sz w:val="20"/>
                <w:szCs w:val="20"/>
                <w:color w:val="auto"/>
              </w:rPr>
            </w:pPr>
            <w:r>
              <w:rPr>
                <w:rFonts w:ascii="Arial" w:cs="Arial" w:eastAsia="Arial" w:hAnsi="Arial"/>
                <w:sz w:val="15"/>
                <w:szCs w:val="15"/>
                <w:color w:val="auto"/>
              </w:rPr>
              <w:t>Exhibit 32.1:</w:t>
            </w:r>
          </w:p>
        </w:tc>
        <w:tc>
          <w:tcPr>
            <w:tcW w:w="9520" w:type="dxa"/>
            <w:vAlign w:val="bottom"/>
          </w:tcPr>
          <w:p>
            <w:pPr>
              <w:ind w:left="420"/>
              <w:spacing w:after="0"/>
              <w:rPr>
                <w:sz w:val="20"/>
                <w:szCs w:val="20"/>
                <w:color w:val="auto"/>
              </w:rPr>
            </w:pPr>
            <w:r>
              <w:rPr>
                <w:rFonts w:ascii="Arial" w:cs="Arial" w:eastAsia="Arial" w:hAnsi="Arial"/>
                <w:sz w:val="15"/>
                <w:szCs w:val="15"/>
                <w:color w:val="auto"/>
              </w:rPr>
              <w:t>Certification Pursuant to 18 U.S.C. 1350 (section 906 of Sarbanes-Oxley Act of 2002) – CEO.</w:t>
            </w:r>
          </w:p>
        </w:tc>
      </w:tr>
      <w:tr>
        <w:trPr>
          <w:trHeight w:val="320"/>
        </w:trPr>
        <w:tc>
          <w:tcPr>
            <w:tcW w:w="1520" w:type="dxa"/>
            <w:vAlign w:val="bottom"/>
            <w:gridSpan w:val="2"/>
          </w:tcPr>
          <w:p>
            <w:pPr>
              <w:ind w:left="40"/>
              <w:spacing w:after="0"/>
              <w:rPr>
                <w:sz w:val="20"/>
                <w:szCs w:val="20"/>
                <w:color w:val="auto"/>
              </w:rPr>
            </w:pPr>
            <w:r>
              <w:rPr>
                <w:rFonts w:ascii="Arial" w:cs="Arial" w:eastAsia="Arial" w:hAnsi="Arial"/>
                <w:sz w:val="15"/>
                <w:szCs w:val="15"/>
                <w:color w:val="auto"/>
              </w:rPr>
              <w:t>Exhibit 32.2:</w:t>
            </w:r>
          </w:p>
        </w:tc>
        <w:tc>
          <w:tcPr>
            <w:tcW w:w="9520" w:type="dxa"/>
            <w:vAlign w:val="bottom"/>
          </w:tcPr>
          <w:p>
            <w:pPr>
              <w:ind w:left="420"/>
              <w:spacing w:after="0"/>
              <w:rPr>
                <w:sz w:val="20"/>
                <w:szCs w:val="20"/>
                <w:color w:val="auto"/>
              </w:rPr>
            </w:pPr>
            <w:r>
              <w:rPr>
                <w:rFonts w:ascii="Arial" w:cs="Arial" w:eastAsia="Arial" w:hAnsi="Arial"/>
                <w:sz w:val="15"/>
                <w:szCs w:val="15"/>
                <w:color w:val="auto"/>
              </w:rPr>
              <w:t>Certification Pursuant to 18 U.S.C. 1350 (section 906 of Sarbanes-Oxley Act of 2002) – CFO.</w:t>
            </w:r>
          </w:p>
        </w:tc>
      </w:tr>
      <w:tr>
        <w:trPr>
          <w:trHeight w:val="320"/>
        </w:trPr>
        <w:tc>
          <w:tcPr>
            <w:tcW w:w="1520" w:type="dxa"/>
            <w:vAlign w:val="bottom"/>
            <w:gridSpan w:val="2"/>
          </w:tcPr>
          <w:p>
            <w:pPr>
              <w:ind w:left="40"/>
              <w:spacing w:after="0"/>
              <w:rPr>
                <w:sz w:val="20"/>
                <w:szCs w:val="20"/>
                <w:color w:val="auto"/>
              </w:rPr>
            </w:pPr>
            <w:r>
              <w:rPr>
                <w:rFonts w:ascii="Arial" w:cs="Arial" w:eastAsia="Arial" w:hAnsi="Arial"/>
                <w:sz w:val="15"/>
                <w:szCs w:val="15"/>
                <w:color w:val="auto"/>
              </w:rPr>
              <w:t>Exhibit 95:</w:t>
            </w:r>
          </w:p>
        </w:tc>
        <w:tc>
          <w:tcPr>
            <w:tcW w:w="9520" w:type="dxa"/>
            <w:vAlign w:val="bottom"/>
          </w:tcPr>
          <w:p>
            <w:pPr>
              <w:ind w:left="420"/>
              <w:spacing w:after="0"/>
              <w:rPr>
                <w:sz w:val="20"/>
                <w:szCs w:val="20"/>
                <w:color w:val="auto"/>
              </w:rPr>
            </w:pPr>
            <w:r>
              <w:rPr>
                <w:rFonts w:ascii="Arial" w:cs="Arial" w:eastAsia="Arial" w:hAnsi="Arial"/>
                <w:sz w:val="15"/>
                <w:szCs w:val="15"/>
                <w:color w:val="auto"/>
              </w:rPr>
              <w:t>Mine Safety Disclosure.</w:t>
            </w:r>
          </w:p>
        </w:tc>
      </w:tr>
      <w:tr>
        <w:trPr>
          <w:trHeight w:val="320"/>
        </w:trPr>
        <w:tc>
          <w:tcPr>
            <w:tcW w:w="1520" w:type="dxa"/>
            <w:vAlign w:val="bottom"/>
            <w:gridSpan w:val="2"/>
          </w:tcPr>
          <w:p>
            <w:pPr>
              <w:ind w:left="40"/>
              <w:spacing w:after="0"/>
              <w:rPr>
                <w:sz w:val="20"/>
                <w:szCs w:val="20"/>
                <w:color w:val="auto"/>
              </w:rPr>
            </w:pPr>
            <w:r>
              <w:rPr>
                <w:rFonts w:ascii="Arial" w:cs="Arial" w:eastAsia="Arial" w:hAnsi="Arial"/>
                <w:sz w:val="15"/>
                <w:szCs w:val="15"/>
                <w:color w:val="auto"/>
              </w:rPr>
              <w:t>Exhibit 101.INS:</w:t>
            </w:r>
          </w:p>
        </w:tc>
        <w:tc>
          <w:tcPr>
            <w:tcW w:w="9520" w:type="dxa"/>
            <w:vAlign w:val="bottom"/>
          </w:tcPr>
          <w:p>
            <w:pPr>
              <w:ind w:left="420"/>
              <w:spacing w:after="0"/>
              <w:rPr>
                <w:sz w:val="20"/>
                <w:szCs w:val="20"/>
                <w:color w:val="auto"/>
              </w:rPr>
            </w:pPr>
            <w:r>
              <w:rPr>
                <w:rFonts w:ascii="Arial" w:cs="Arial" w:eastAsia="Arial" w:hAnsi="Arial"/>
                <w:sz w:val="15"/>
                <w:szCs w:val="15"/>
                <w:color w:val="auto"/>
              </w:rPr>
              <w:t>XBRL Instance Document.</w:t>
            </w:r>
          </w:p>
        </w:tc>
      </w:tr>
      <w:tr>
        <w:trPr>
          <w:trHeight w:val="320"/>
        </w:trPr>
        <w:tc>
          <w:tcPr>
            <w:tcW w:w="1520" w:type="dxa"/>
            <w:vAlign w:val="bottom"/>
            <w:gridSpan w:val="2"/>
          </w:tcPr>
          <w:p>
            <w:pPr>
              <w:ind w:left="40"/>
              <w:spacing w:after="0"/>
              <w:rPr>
                <w:sz w:val="20"/>
                <w:szCs w:val="20"/>
                <w:color w:val="auto"/>
              </w:rPr>
            </w:pPr>
            <w:r>
              <w:rPr>
                <w:rFonts w:ascii="Arial" w:cs="Arial" w:eastAsia="Arial" w:hAnsi="Arial"/>
                <w:sz w:val="15"/>
                <w:szCs w:val="15"/>
                <w:color w:val="auto"/>
              </w:rPr>
              <w:t>Exhibit 101.SCH:</w:t>
            </w:r>
          </w:p>
        </w:tc>
        <w:tc>
          <w:tcPr>
            <w:tcW w:w="9520" w:type="dxa"/>
            <w:vAlign w:val="bottom"/>
          </w:tcPr>
          <w:p>
            <w:pPr>
              <w:ind w:left="420"/>
              <w:spacing w:after="0"/>
              <w:rPr>
                <w:sz w:val="20"/>
                <w:szCs w:val="20"/>
                <w:color w:val="auto"/>
              </w:rPr>
            </w:pPr>
            <w:r>
              <w:rPr>
                <w:rFonts w:ascii="Arial" w:cs="Arial" w:eastAsia="Arial" w:hAnsi="Arial"/>
                <w:sz w:val="15"/>
                <w:szCs w:val="15"/>
                <w:color w:val="auto"/>
              </w:rPr>
              <w:t>XBRL Taxonomy Schema Document.</w:t>
            </w:r>
          </w:p>
        </w:tc>
      </w:tr>
      <w:tr>
        <w:trPr>
          <w:trHeight w:val="320"/>
        </w:trPr>
        <w:tc>
          <w:tcPr>
            <w:tcW w:w="1520" w:type="dxa"/>
            <w:vAlign w:val="bottom"/>
            <w:gridSpan w:val="2"/>
          </w:tcPr>
          <w:p>
            <w:pPr>
              <w:ind w:left="40"/>
              <w:spacing w:after="0"/>
              <w:rPr>
                <w:sz w:val="20"/>
                <w:szCs w:val="20"/>
                <w:color w:val="auto"/>
              </w:rPr>
            </w:pPr>
            <w:r>
              <w:rPr>
                <w:rFonts w:ascii="Arial" w:cs="Arial" w:eastAsia="Arial" w:hAnsi="Arial"/>
                <w:sz w:val="15"/>
                <w:szCs w:val="15"/>
                <w:color w:val="auto"/>
              </w:rPr>
              <w:t>Exhibit 101.CAL:</w:t>
            </w:r>
          </w:p>
        </w:tc>
        <w:tc>
          <w:tcPr>
            <w:tcW w:w="9520" w:type="dxa"/>
            <w:vAlign w:val="bottom"/>
          </w:tcPr>
          <w:p>
            <w:pPr>
              <w:ind w:left="420"/>
              <w:spacing w:after="0"/>
              <w:rPr>
                <w:sz w:val="20"/>
                <w:szCs w:val="20"/>
                <w:color w:val="auto"/>
              </w:rPr>
            </w:pPr>
            <w:r>
              <w:rPr>
                <w:rFonts w:ascii="Arial" w:cs="Arial" w:eastAsia="Arial" w:hAnsi="Arial"/>
                <w:sz w:val="15"/>
                <w:szCs w:val="15"/>
                <w:color w:val="auto"/>
              </w:rPr>
              <w:t>XBRL Taxonomy Extension Calculation Linkbase Document.</w:t>
            </w:r>
          </w:p>
        </w:tc>
      </w:tr>
      <w:tr>
        <w:trPr>
          <w:trHeight w:val="320"/>
        </w:trPr>
        <w:tc>
          <w:tcPr>
            <w:tcW w:w="1520" w:type="dxa"/>
            <w:vAlign w:val="bottom"/>
            <w:gridSpan w:val="2"/>
          </w:tcPr>
          <w:p>
            <w:pPr>
              <w:ind w:left="40"/>
              <w:spacing w:after="0"/>
              <w:rPr>
                <w:sz w:val="20"/>
                <w:szCs w:val="20"/>
                <w:color w:val="auto"/>
              </w:rPr>
            </w:pPr>
            <w:r>
              <w:rPr>
                <w:rFonts w:ascii="Arial" w:cs="Arial" w:eastAsia="Arial" w:hAnsi="Arial"/>
                <w:sz w:val="15"/>
                <w:szCs w:val="15"/>
                <w:color w:val="auto"/>
              </w:rPr>
              <w:t>Exhibit 101.DEF:</w:t>
            </w:r>
          </w:p>
        </w:tc>
        <w:tc>
          <w:tcPr>
            <w:tcW w:w="9520" w:type="dxa"/>
            <w:vAlign w:val="bottom"/>
          </w:tcPr>
          <w:p>
            <w:pPr>
              <w:ind w:left="420"/>
              <w:spacing w:after="0"/>
              <w:rPr>
                <w:sz w:val="20"/>
                <w:szCs w:val="20"/>
                <w:color w:val="auto"/>
              </w:rPr>
            </w:pPr>
            <w:r>
              <w:rPr>
                <w:rFonts w:ascii="Arial" w:cs="Arial" w:eastAsia="Arial" w:hAnsi="Arial"/>
                <w:sz w:val="15"/>
                <w:szCs w:val="15"/>
                <w:color w:val="auto"/>
              </w:rPr>
              <w:t>XBRL Taxonomy Extension Definition Linkbase Document.</w:t>
            </w:r>
          </w:p>
        </w:tc>
      </w:tr>
      <w:tr>
        <w:trPr>
          <w:trHeight w:val="320"/>
        </w:trPr>
        <w:tc>
          <w:tcPr>
            <w:tcW w:w="1520" w:type="dxa"/>
            <w:vAlign w:val="bottom"/>
            <w:gridSpan w:val="2"/>
          </w:tcPr>
          <w:p>
            <w:pPr>
              <w:ind w:left="40"/>
              <w:spacing w:after="0"/>
              <w:rPr>
                <w:sz w:val="20"/>
                <w:szCs w:val="20"/>
                <w:color w:val="auto"/>
              </w:rPr>
            </w:pPr>
            <w:r>
              <w:rPr>
                <w:rFonts w:ascii="Arial" w:cs="Arial" w:eastAsia="Arial" w:hAnsi="Arial"/>
                <w:sz w:val="15"/>
                <w:szCs w:val="15"/>
                <w:color w:val="auto"/>
              </w:rPr>
              <w:t>Exhibit 101.LAB:</w:t>
            </w:r>
          </w:p>
        </w:tc>
        <w:tc>
          <w:tcPr>
            <w:tcW w:w="9520" w:type="dxa"/>
            <w:vAlign w:val="bottom"/>
          </w:tcPr>
          <w:p>
            <w:pPr>
              <w:ind w:left="420"/>
              <w:spacing w:after="0"/>
              <w:rPr>
                <w:sz w:val="20"/>
                <w:szCs w:val="20"/>
                <w:color w:val="auto"/>
              </w:rPr>
            </w:pPr>
            <w:r>
              <w:rPr>
                <w:rFonts w:ascii="Arial" w:cs="Arial" w:eastAsia="Arial" w:hAnsi="Arial"/>
                <w:sz w:val="15"/>
                <w:szCs w:val="15"/>
                <w:color w:val="auto"/>
              </w:rPr>
              <w:t>XBRL Taxonomy Extension Labels Linkbase Document.</w:t>
            </w:r>
          </w:p>
        </w:tc>
      </w:tr>
      <w:tr>
        <w:trPr>
          <w:trHeight w:val="320"/>
        </w:trPr>
        <w:tc>
          <w:tcPr>
            <w:tcW w:w="1520" w:type="dxa"/>
            <w:vAlign w:val="bottom"/>
            <w:gridSpan w:val="2"/>
          </w:tcPr>
          <w:p>
            <w:pPr>
              <w:ind w:left="40"/>
              <w:spacing w:after="0"/>
              <w:rPr>
                <w:sz w:val="20"/>
                <w:szCs w:val="20"/>
                <w:color w:val="auto"/>
              </w:rPr>
            </w:pPr>
            <w:r>
              <w:rPr>
                <w:rFonts w:ascii="Arial" w:cs="Arial" w:eastAsia="Arial" w:hAnsi="Arial"/>
                <w:sz w:val="15"/>
                <w:szCs w:val="15"/>
                <w:color w:val="auto"/>
              </w:rPr>
              <w:t>Exhibit 101.PRE:</w:t>
            </w:r>
          </w:p>
        </w:tc>
        <w:tc>
          <w:tcPr>
            <w:tcW w:w="9520" w:type="dxa"/>
            <w:vAlign w:val="bottom"/>
          </w:tcPr>
          <w:p>
            <w:pPr>
              <w:ind w:left="420"/>
              <w:spacing w:after="0"/>
              <w:rPr>
                <w:sz w:val="20"/>
                <w:szCs w:val="20"/>
                <w:color w:val="auto"/>
              </w:rPr>
            </w:pPr>
            <w:r>
              <w:rPr>
                <w:rFonts w:ascii="Arial" w:cs="Arial" w:eastAsia="Arial" w:hAnsi="Arial"/>
                <w:sz w:val="15"/>
                <w:szCs w:val="15"/>
                <w:color w:val="auto"/>
              </w:rPr>
              <w:t>XBRL Taxonomy Extension Presentation Linkbase Document.</w:t>
            </w:r>
          </w:p>
        </w:tc>
      </w:tr>
    </w:tbl>
    <w:p>
      <w:pPr>
        <w:spacing w:after="0" w:line="27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Signature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91"/>
        </w:trPr>
        <w:tc>
          <w:tcPr>
            <w:tcW w:w="5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6640" w:type="dxa"/>
            <w:vAlign w:val="bottom"/>
          </w:tcPr>
          <w:p>
            <w:pPr>
              <w:ind w:left="20"/>
              <w:spacing w:after="0"/>
              <w:rPr>
                <w:sz w:val="20"/>
                <w:szCs w:val="20"/>
                <w:color w:val="auto"/>
              </w:rPr>
            </w:pPr>
            <w:r>
              <w:rPr>
                <w:rFonts w:ascii="Arial" w:cs="Arial" w:eastAsia="Arial" w:hAnsi="Arial"/>
                <w:sz w:val="15"/>
                <w:szCs w:val="15"/>
                <w:b w:val="1"/>
                <w:bCs w:val="1"/>
                <w:color w:val="auto"/>
              </w:rPr>
              <w:t>MATRIX SERVICE COMPANY</w:t>
            </w:r>
          </w:p>
        </w:tc>
      </w:tr>
      <w:tr>
        <w:trPr>
          <w:trHeight w:val="320"/>
        </w:trPr>
        <w:tc>
          <w:tcPr>
            <w:tcW w:w="500" w:type="dxa"/>
            <w:vAlign w:val="bottom"/>
          </w:tcPr>
          <w:p>
            <w:pPr>
              <w:spacing w:after="0"/>
              <w:rPr>
                <w:sz w:val="20"/>
                <w:szCs w:val="20"/>
                <w:color w:val="auto"/>
              </w:rPr>
            </w:pPr>
            <w:r>
              <w:rPr>
                <w:rFonts w:ascii="Arial" w:cs="Arial" w:eastAsia="Arial" w:hAnsi="Arial"/>
                <w:sz w:val="15"/>
                <w:szCs w:val="15"/>
                <w:color w:val="auto"/>
              </w:rPr>
              <w:t>Date:</w:t>
            </w:r>
          </w:p>
        </w:tc>
        <w:tc>
          <w:tcPr>
            <w:tcW w:w="4280" w:type="dxa"/>
            <w:vAlign w:val="bottom"/>
          </w:tcPr>
          <w:p>
            <w:pPr>
              <w:ind w:left="180"/>
              <w:spacing w:after="0"/>
              <w:rPr>
                <w:sz w:val="20"/>
                <w:szCs w:val="20"/>
                <w:color w:val="auto"/>
              </w:rPr>
            </w:pPr>
            <w:r>
              <w:rPr>
                <w:rFonts w:ascii="Arial" w:cs="Arial" w:eastAsia="Arial" w:hAnsi="Arial"/>
                <w:sz w:val="15"/>
                <w:szCs w:val="15"/>
                <w:color w:val="auto"/>
              </w:rPr>
              <w:t>May 10, 2017</w:t>
            </w:r>
          </w:p>
        </w:tc>
        <w:tc>
          <w:tcPr>
            <w:tcW w:w="6640" w:type="dxa"/>
            <w:vAlign w:val="bottom"/>
          </w:tcPr>
          <w:p>
            <w:pPr>
              <w:ind w:left="20"/>
              <w:spacing w:after="0"/>
              <w:rPr>
                <w:sz w:val="20"/>
                <w:szCs w:val="20"/>
                <w:color w:val="auto"/>
              </w:rPr>
            </w:pPr>
            <w:r>
              <w:rPr>
                <w:rFonts w:ascii="Arial" w:cs="Arial" w:eastAsia="Arial" w:hAnsi="Arial"/>
                <w:sz w:val="15"/>
                <w:szCs w:val="15"/>
                <w:color w:val="auto"/>
              </w:rPr>
              <w:t>By: /s/ Kevin S. Cavanah</w:t>
            </w:r>
          </w:p>
        </w:tc>
      </w:tr>
      <w:tr>
        <w:trPr>
          <w:trHeight w:val="22"/>
        </w:trPr>
        <w:tc>
          <w:tcPr>
            <w:tcW w:w="5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640" w:type="dxa"/>
            <w:vAlign w:val="bottom"/>
            <w:tcBorders>
              <w:bottom w:val="single" w:sz="8" w:color="auto"/>
            </w:tcBorders>
          </w:tcPr>
          <w:p>
            <w:pPr>
              <w:spacing w:after="0" w:line="20" w:lineRule="exact"/>
              <w:rPr>
                <w:sz w:val="1"/>
                <w:szCs w:val="1"/>
                <w:color w:val="auto"/>
              </w:rPr>
            </w:pPr>
          </w:p>
        </w:tc>
      </w:tr>
      <w:tr>
        <w:trPr>
          <w:trHeight w:val="179"/>
        </w:trPr>
        <w:tc>
          <w:tcPr>
            <w:tcW w:w="50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6640" w:type="dxa"/>
            <w:vAlign w:val="bottom"/>
          </w:tcPr>
          <w:p>
            <w:pPr>
              <w:ind w:left="20"/>
              <w:spacing w:after="0"/>
              <w:rPr>
                <w:sz w:val="20"/>
                <w:szCs w:val="20"/>
                <w:color w:val="auto"/>
              </w:rPr>
            </w:pPr>
            <w:r>
              <w:rPr>
                <w:rFonts w:ascii="Arial" w:cs="Arial" w:eastAsia="Arial" w:hAnsi="Arial"/>
                <w:sz w:val="15"/>
                <w:szCs w:val="15"/>
                <w:color w:val="auto"/>
                <w:w w:val="94"/>
              </w:rPr>
              <w:t>Kevin S. Cavanah Vice President and Chief Financial Officer signing on behalf of the registrant and as the</w:t>
            </w:r>
          </w:p>
        </w:tc>
      </w:tr>
      <w:tr>
        <w:trPr>
          <w:trHeight w:val="187"/>
        </w:trPr>
        <w:tc>
          <w:tcPr>
            <w:tcW w:w="5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6640" w:type="dxa"/>
            <w:vAlign w:val="bottom"/>
          </w:tcPr>
          <w:p>
            <w:pPr>
              <w:ind w:left="20"/>
              <w:spacing w:after="0"/>
              <w:rPr>
                <w:sz w:val="20"/>
                <w:szCs w:val="20"/>
                <w:color w:val="auto"/>
              </w:rPr>
            </w:pPr>
            <w:r>
              <w:rPr>
                <w:rFonts w:ascii="Arial" w:cs="Arial" w:eastAsia="Arial" w:hAnsi="Arial"/>
                <w:sz w:val="15"/>
                <w:szCs w:val="15"/>
                <w:color w:val="auto"/>
              </w:rPr>
              <w:t>registrant’s principal financial officer</w:t>
            </w:r>
          </w:p>
        </w:tc>
      </w:tr>
      <w:tr>
        <w:trPr>
          <w:trHeight w:val="573"/>
        </w:trPr>
        <w:tc>
          <w:tcPr>
            <w:tcW w:w="5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640" w:type="dxa"/>
            <w:vAlign w:val="bottom"/>
          </w:tcPr>
          <w:p>
            <w:pPr>
              <w:ind w:left="780"/>
              <w:spacing w:after="0"/>
              <w:rPr>
                <w:sz w:val="20"/>
                <w:szCs w:val="20"/>
                <w:color w:val="auto"/>
              </w:rPr>
            </w:pPr>
            <w:r>
              <w:rPr>
                <w:rFonts w:ascii="Arial" w:cs="Arial" w:eastAsia="Arial" w:hAnsi="Arial"/>
                <w:sz w:val="15"/>
                <w:szCs w:val="15"/>
                <w:color w:val="auto"/>
              </w:rPr>
              <w:t>- 40-</w:t>
            </w:r>
          </w:p>
        </w:tc>
      </w:tr>
    </w:tbl>
    <w:p>
      <w:pPr>
        <w:sectPr>
          <w:pgSz w:w="11900" w:h="16838" w:orient="portrait"/>
          <w:cols w:equalWidth="0" w:num="1">
            <w:col w:w="11460"/>
          </w:cols>
          <w:pgMar w:left="220" w:top="287" w:right="21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40" w:type="dxa"/>
            <w:vAlign w:val="bottom"/>
            <w:gridSpan w:val="2"/>
          </w:tcPr>
          <w:p>
            <w:pPr>
              <w:spacing w:after="0"/>
              <w:rPr>
                <w:rFonts w:ascii="Arial" w:cs="Arial" w:eastAsia="Arial" w:hAnsi="Arial"/>
                <w:sz w:val="15"/>
                <w:szCs w:val="15"/>
                <w:color w:val="0000EE"/>
              </w:rPr>
            </w:pPr>
            <w:hyperlink w:anchor="page2">
              <w:r>
                <w:rPr>
                  <w:rFonts w:ascii="Arial" w:cs="Arial" w:eastAsia="Arial" w:hAnsi="Arial"/>
                  <w:sz w:val="15"/>
                  <w:szCs w:val="15"/>
                  <w:color w:val="0000EE"/>
                </w:rPr>
                <w:t>Table of Contents</w:t>
              </w:r>
            </w:hyperlink>
          </w:p>
        </w:tc>
        <w:tc>
          <w:tcPr>
            <w:tcW w:w="3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80" w:type="dxa"/>
            <w:vAlign w:val="bottom"/>
          </w:tcPr>
          <w:p>
            <w:pPr>
              <w:spacing w:after="0"/>
              <w:rPr>
                <w:sz w:val="14"/>
                <w:szCs w:val="14"/>
                <w:color w:val="auto"/>
              </w:rPr>
            </w:pPr>
          </w:p>
        </w:tc>
      </w:tr>
      <w:tr>
        <w:trPr>
          <w:trHeight w:val="707"/>
        </w:trPr>
        <w:tc>
          <w:tcPr>
            <w:tcW w:w="106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220" w:type="dxa"/>
            <w:vAlign w:val="bottom"/>
            <w:gridSpan w:val="2"/>
          </w:tcPr>
          <w:p>
            <w:pPr>
              <w:spacing w:after="0"/>
              <w:rPr>
                <w:sz w:val="20"/>
                <w:szCs w:val="20"/>
                <w:color w:val="auto"/>
              </w:rPr>
            </w:pPr>
            <w:r>
              <w:rPr>
                <w:rFonts w:ascii="Arial" w:cs="Arial" w:eastAsia="Arial" w:hAnsi="Arial"/>
                <w:sz w:val="15"/>
                <w:szCs w:val="15"/>
                <w:b w:val="1"/>
                <w:bCs w:val="1"/>
                <w:color w:val="auto"/>
              </w:rPr>
              <w:t>EXHIBIT INDEX</w:t>
            </w:r>
          </w:p>
        </w:tc>
      </w:tr>
      <w:tr>
        <w:trPr>
          <w:trHeight w:val="20"/>
        </w:trPr>
        <w:tc>
          <w:tcPr>
            <w:tcW w:w="1540" w:type="dxa"/>
            <w:vAlign w:val="bottom"/>
            <w:gridSpan w:val="2"/>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r>
      <w:tr>
        <w:trPr>
          <w:trHeight w:val="476"/>
        </w:trPr>
        <w:tc>
          <w:tcPr>
            <w:tcW w:w="1540" w:type="dxa"/>
            <w:vAlign w:val="bottom"/>
            <w:gridSpan w:val="2"/>
          </w:tcPr>
          <w:p>
            <w:pPr>
              <w:ind w:left="40"/>
              <w:spacing w:after="0"/>
              <w:rPr>
                <w:sz w:val="20"/>
                <w:szCs w:val="20"/>
                <w:color w:val="auto"/>
              </w:rPr>
            </w:pPr>
            <w:r>
              <w:rPr>
                <w:rFonts w:ascii="Arial" w:cs="Arial" w:eastAsia="Arial" w:hAnsi="Arial"/>
                <w:sz w:val="15"/>
                <w:szCs w:val="15"/>
                <w:color w:val="auto"/>
              </w:rPr>
              <w:t>Exhibit 3.1</w:t>
            </w:r>
          </w:p>
        </w:tc>
        <w:tc>
          <w:tcPr>
            <w:tcW w:w="9840" w:type="dxa"/>
            <w:vAlign w:val="bottom"/>
            <w:gridSpan w:val="3"/>
          </w:tcPr>
          <w:p>
            <w:pPr>
              <w:ind w:left="440"/>
              <w:spacing w:after="0"/>
              <w:rPr>
                <w:sz w:val="20"/>
                <w:szCs w:val="20"/>
                <w:color w:val="auto"/>
              </w:rPr>
            </w:pPr>
            <w:r>
              <w:rPr>
                <w:rFonts w:ascii="Arial" w:cs="Arial" w:eastAsia="Arial" w:hAnsi="Arial"/>
                <w:sz w:val="15"/>
                <w:szCs w:val="15"/>
                <w:color w:val="auto"/>
              </w:rPr>
              <w:t>Second Amended and Restated Bylaws of Matrix Service Company (effective as of May 4, 2017).</w:t>
            </w:r>
          </w:p>
        </w:tc>
      </w:tr>
      <w:tr>
        <w:trPr>
          <w:trHeight w:val="309"/>
        </w:trPr>
        <w:tc>
          <w:tcPr>
            <w:tcW w:w="1540" w:type="dxa"/>
            <w:vAlign w:val="bottom"/>
            <w:gridSpan w:val="2"/>
          </w:tcPr>
          <w:p>
            <w:pPr>
              <w:ind w:left="40"/>
              <w:spacing w:after="0"/>
              <w:rPr>
                <w:sz w:val="20"/>
                <w:szCs w:val="20"/>
                <w:color w:val="auto"/>
              </w:rPr>
            </w:pPr>
            <w:r>
              <w:rPr>
                <w:rFonts w:ascii="Arial" w:cs="Arial" w:eastAsia="Arial" w:hAnsi="Arial"/>
                <w:sz w:val="15"/>
                <w:szCs w:val="15"/>
                <w:color w:val="auto"/>
              </w:rPr>
              <w:t>Exhibit 10.1:</w:t>
            </w:r>
          </w:p>
        </w:tc>
        <w:tc>
          <w:tcPr>
            <w:tcW w:w="9840" w:type="dxa"/>
            <w:vAlign w:val="bottom"/>
            <w:gridSpan w:val="3"/>
          </w:tcPr>
          <w:p>
            <w:pPr>
              <w:ind w:left="440"/>
              <w:spacing w:after="0"/>
              <w:rPr>
                <w:sz w:val="20"/>
                <w:szCs w:val="20"/>
                <w:color w:val="auto"/>
              </w:rPr>
            </w:pPr>
            <w:r>
              <w:rPr>
                <w:rFonts w:ascii="Arial" w:cs="Arial" w:eastAsia="Arial" w:hAnsi="Arial"/>
                <w:sz w:val="15"/>
                <w:szCs w:val="15"/>
                <w:color w:val="auto"/>
                <w:w w:val="90"/>
              </w:rPr>
              <w:t>Fourth Amended and Restated Credit Agreement dated as of February 8, 2017 among the Company and certain foreign subsidiaries, as Borrowers, various</w:t>
            </w:r>
          </w:p>
        </w:tc>
      </w:tr>
      <w:tr>
        <w:trPr>
          <w:trHeight w:val="176"/>
        </w:trPr>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40" w:type="dxa"/>
            <w:vAlign w:val="bottom"/>
            <w:gridSpan w:val="3"/>
          </w:tcPr>
          <w:p>
            <w:pPr>
              <w:ind w:left="440"/>
              <w:spacing w:after="0"/>
              <w:rPr>
                <w:sz w:val="20"/>
                <w:szCs w:val="20"/>
                <w:color w:val="auto"/>
              </w:rPr>
            </w:pPr>
            <w:r>
              <w:rPr>
                <w:rFonts w:ascii="Arial" w:cs="Arial" w:eastAsia="Arial" w:hAnsi="Arial"/>
                <w:sz w:val="15"/>
                <w:szCs w:val="15"/>
                <w:color w:val="auto"/>
                <w:w w:val="88"/>
              </w:rPr>
              <w:t>subsidiaries of the Company, as Guarantors, JPMorgan Chase Bank, N.A., as Administrative Agent, Lead Arranger and Sole Bookrunner, and the other Lenders</w:t>
            </w:r>
          </w:p>
        </w:tc>
      </w:tr>
      <w:tr>
        <w:trPr>
          <w:trHeight w:val="187"/>
        </w:trPr>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40" w:type="dxa"/>
            <w:vAlign w:val="bottom"/>
            <w:gridSpan w:val="3"/>
          </w:tcPr>
          <w:p>
            <w:pPr>
              <w:ind w:left="440"/>
              <w:spacing w:after="0"/>
              <w:rPr>
                <w:sz w:val="20"/>
                <w:szCs w:val="20"/>
                <w:color w:val="auto"/>
              </w:rPr>
            </w:pPr>
            <w:r>
              <w:rPr>
                <w:rFonts w:ascii="Arial" w:cs="Arial" w:eastAsia="Arial" w:hAnsi="Arial"/>
                <w:sz w:val="15"/>
                <w:szCs w:val="15"/>
                <w:color w:val="auto"/>
              </w:rPr>
              <w:t>party thereto.</w:t>
            </w:r>
          </w:p>
        </w:tc>
      </w:tr>
      <w:tr>
        <w:trPr>
          <w:trHeight w:val="320"/>
        </w:trPr>
        <w:tc>
          <w:tcPr>
            <w:tcW w:w="1540" w:type="dxa"/>
            <w:vAlign w:val="bottom"/>
            <w:gridSpan w:val="2"/>
          </w:tcPr>
          <w:p>
            <w:pPr>
              <w:ind w:left="40"/>
              <w:spacing w:after="0"/>
              <w:rPr>
                <w:sz w:val="20"/>
                <w:szCs w:val="20"/>
                <w:color w:val="auto"/>
              </w:rPr>
            </w:pPr>
            <w:r>
              <w:rPr>
                <w:rFonts w:ascii="Arial" w:cs="Arial" w:eastAsia="Arial" w:hAnsi="Arial"/>
                <w:sz w:val="15"/>
                <w:szCs w:val="15"/>
                <w:color w:val="auto"/>
              </w:rPr>
              <w:t>Exhibit 31.1:</w:t>
            </w:r>
          </w:p>
        </w:tc>
        <w:tc>
          <w:tcPr>
            <w:tcW w:w="9840" w:type="dxa"/>
            <w:vAlign w:val="bottom"/>
            <w:gridSpan w:val="3"/>
          </w:tcPr>
          <w:p>
            <w:pPr>
              <w:ind w:left="440"/>
              <w:spacing w:after="0"/>
              <w:rPr>
                <w:sz w:val="20"/>
                <w:szCs w:val="20"/>
                <w:color w:val="auto"/>
              </w:rPr>
            </w:pPr>
            <w:r>
              <w:rPr>
                <w:rFonts w:ascii="Arial" w:cs="Arial" w:eastAsia="Arial" w:hAnsi="Arial"/>
                <w:sz w:val="15"/>
                <w:szCs w:val="15"/>
                <w:color w:val="auto"/>
              </w:rPr>
              <w:t>Certification Pursuant to Section 302 of Sarbanes-Oxley Act of 2002 – CEO.</w:t>
            </w:r>
          </w:p>
        </w:tc>
      </w:tr>
      <w:tr>
        <w:trPr>
          <w:trHeight w:val="320"/>
        </w:trPr>
        <w:tc>
          <w:tcPr>
            <w:tcW w:w="1540" w:type="dxa"/>
            <w:vAlign w:val="bottom"/>
            <w:gridSpan w:val="2"/>
          </w:tcPr>
          <w:p>
            <w:pPr>
              <w:ind w:left="40"/>
              <w:spacing w:after="0"/>
              <w:rPr>
                <w:sz w:val="20"/>
                <w:szCs w:val="20"/>
                <w:color w:val="auto"/>
              </w:rPr>
            </w:pPr>
            <w:r>
              <w:rPr>
                <w:rFonts w:ascii="Arial" w:cs="Arial" w:eastAsia="Arial" w:hAnsi="Arial"/>
                <w:sz w:val="15"/>
                <w:szCs w:val="15"/>
                <w:color w:val="auto"/>
              </w:rPr>
              <w:t>Exhibit 31.2:</w:t>
            </w:r>
          </w:p>
        </w:tc>
        <w:tc>
          <w:tcPr>
            <w:tcW w:w="9840" w:type="dxa"/>
            <w:vAlign w:val="bottom"/>
            <w:gridSpan w:val="3"/>
          </w:tcPr>
          <w:p>
            <w:pPr>
              <w:ind w:left="440"/>
              <w:spacing w:after="0"/>
              <w:rPr>
                <w:sz w:val="20"/>
                <w:szCs w:val="20"/>
                <w:color w:val="auto"/>
              </w:rPr>
            </w:pPr>
            <w:r>
              <w:rPr>
                <w:rFonts w:ascii="Arial" w:cs="Arial" w:eastAsia="Arial" w:hAnsi="Arial"/>
                <w:sz w:val="15"/>
                <w:szCs w:val="15"/>
                <w:color w:val="auto"/>
              </w:rPr>
              <w:t>Certification Pursuant to Section 302 of Sarbanes-Oxley Act of 2002 – CFO.</w:t>
            </w:r>
          </w:p>
        </w:tc>
      </w:tr>
      <w:tr>
        <w:trPr>
          <w:trHeight w:val="320"/>
        </w:trPr>
        <w:tc>
          <w:tcPr>
            <w:tcW w:w="1540" w:type="dxa"/>
            <w:vAlign w:val="bottom"/>
            <w:gridSpan w:val="2"/>
          </w:tcPr>
          <w:p>
            <w:pPr>
              <w:ind w:left="40"/>
              <w:spacing w:after="0"/>
              <w:rPr>
                <w:sz w:val="20"/>
                <w:szCs w:val="20"/>
                <w:color w:val="auto"/>
              </w:rPr>
            </w:pPr>
            <w:r>
              <w:rPr>
                <w:rFonts w:ascii="Arial" w:cs="Arial" w:eastAsia="Arial" w:hAnsi="Arial"/>
                <w:sz w:val="15"/>
                <w:szCs w:val="15"/>
                <w:color w:val="auto"/>
              </w:rPr>
              <w:t>Exhibit 32.1:</w:t>
            </w:r>
          </w:p>
        </w:tc>
        <w:tc>
          <w:tcPr>
            <w:tcW w:w="9840" w:type="dxa"/>
            <w:vAlign w:val="bottom"/>
            <w:gridSpan w:val="3"/>
          </w:tcPr>
          <w:p>
            <w:pPr>
              <w:ind w:left="440"/>
              <w:spacing w:after="0"/>
              <w:rPr>
                <w:sz w:val="20"/>
                <w:szCs w:val="20"/>
                <w:color w:val="auto"/>
              </w:rPr>
            </w:pPr>
            <w:r>
              <w:rPr>
                <w:rFonts w:ascii="Arial" w:cs="Arial" w:eastAsia="Arial" w:hAnsi="Arial"/>
                <w:sz w:val="15"/>
                <w:szCs w:val="15"/>
                <w:color w:val="auto"/>
              </w:rPr>
              <w:t>Certification Pursuant to 18 U.S.C. 1350 (section 906 of Sarbanes-Oxley Act of 2002) – CEO.</w:t>
            </w:r>
          </w:p>
        </w:tc>
      </w:tr>
      <w:tr>
        <w:trPr>
          <w:trHeight w:val="320"/>
        </w:trPr>
        <w:tc>
          <w:tcPr>
            <w:tcW w:w="1540" w:type="dxa"/>
            <w:vAlign w:val="bottom"/>
            <w:gridSpan w:val="2"/>
          </w:tcPr>
          <w:p>
            <w:pPr>
              <w:ind w:left="40"/>
              <w:spacing w:after="0"/>
              <w:rPr>
                <w:sz w:val="20"/>
                <w:szCs w:val="20"/>
                <w:color w:val="auto"/>
              </w:rPr>
            </w:pPr>
            <w:r>
              <w:rPr>
                <w:rFonts w:ascii="Arial" w:cs="Arial" w:eastAsia="Arial" w:hAnsi="Arial"/>
                <w:sz w:val="15"/>
                <w:szCs w:val="15"/>
                <w:color w:val="auto"/>
              </w:rPr>
              <w:t>Exhibit 32.2:</w:t>
            </w:r>
          </w:p>
        </w:tc>
        <w:tc>
          <w:tcPr>
            <w:tcW w:w="9840" w:type="dxa"/>
            <w:vAlign w:val="bottom"/>
            <w:gridSpan w:val="3"/>
          </w:tcPr>
          <w:p>
            <w:pPr>
              <w:ind w:left="440"/>
              <w:spacing w:after="0"/>
              <w:rPr>
                <w:sz w:val="20"/>
                <w:szCs w:val="20"/>
                <w:color w:val="auto"/>
              </w:rPr>
            </w:pPr>
            <w:r>
              <w:rPr>
                <w:rFonts w:ascii="Arial" w:cs="Arial" w:eastAsia="Arial" w:hAnsi="Arial"/>
                <w:sz w:val="15"/>
                <w:szCs w:val="15"/>
                <w:color w:val="auto"/>
              </w:rPr>
              <w:t>Certification Pursuant to 18 U.S.C. 1350 (section 906 of Sarbanes-Oxley Act of 2002) – CFO.</w:t>
            </w:r>
          </w:p>
        </w:tc>
      </w:tr>
      <w:tr>
        <w:trPr>
          <w:trHeight w:val="320"/>
        </w:trPr>
        <w:tc>
          <w:tcPr>
            <w:tcW w:w="1540" w:type="dxa"/>
            <w:vAlign w:val="bottom"/>
            <w:gridSpan w:val="2"/>
          </w:tcPr>
          <w:p>
            <w:pPr>
              <w:ind w:left="40"/>
              <w:spacing w:after="0"/>
              <w:rPr>
                <w:sz w:val="20"/>
                <w:szCs w:val="20"/>
                <w:color w:val="auto"/>
              </w:rPr>
            </w:pPr>
            <w:r>
              <w:rPr>
                <w:rFonts w:ascii="Arial" w:cs="Arial" w:eastAsia="Arial" w:hAnsi="Arial"/>
                <w:sz w:val="15"/>
                <w:szCs w:val="15"/>
                <w:color w:val="auto"/>
              </w:rPr>
              <w:t>Exhibit 95:</w:t>
            </w:r>
          </w:p>
        </w:tc>
        <w:tc>
          <w:tcPr>
            <w:tcW w:w="9840" w:type="dxa"/>
            <w:vAlign w:val="bottom"/>
            <w:gridSpan w:val="3"/>
          </w:tcPr>
          <w:p>
            <w:pPr>
              <w:ind w:left="440"/>
              <w:spacing w:after="0"/>
              <w:rPr>
                <w:sz w:val="20"/>
                <w:szCs w:val="20"/>
                <w:color w:val="auto"/>
              </w:rPr>
            </w:pPr>
            <w:r>
              <w:rPr>
                <w:rFonts w:ascii="Arial" w:cs="Arial" w:eastAsia="Arial" w:hAnsi="Arial"/>
                <w:sz w:val="15"/>
                <w:szCs w:val="15"/>
                <w:color w:val="auto"/>
              </w:rPr>
              <w:t>Mine Safety Disclosure.</w:t>
            </w:r>
          </w:p>
        </w:tc>
      </w:tr>
      <w:tr>
        <w:trPr>
          <w:trHeight w:val="320"/>
        </w:trPr>
        <w:tc>
          <w:tcPr>
            <w:tcW w:w="1540" w:type="dxa"/>
            <w:vAlign w:val="bottom"/>
            <w:gridSpan w:val="2"/>
          </w:tcPr>
          <w:p>
            <w:pPr>
              <w:ind w:left="40"/>
              <w:spacing w:after="0"/>
              <w:rPr>
                <w:sz w:val="20"/>
                <w:szCs w:val="20"/>
                <w:color w:val="auto"/>
              </w:rPr>
            </w:pPr>
            <w:r>
              <w:rPr>
                <w:rFonts w:ascii="Arial" w:cs="Arial" w:eastAsia="Arial" w:hAnsi="Arial"/>
                <w:sz w:val="15"/>
                <w:szCs w:val="15"/>
                <w:color w:val="auto"/>
              </w:rPr>
              <w:t>Exhibit 101.INS:</w:t>
            </w:r>
          </w:p>
        </w:tc>
        <w:tc>
          <w:tcPr>
            <w:tcW w:w="9840" w:type="dxa"/>
            <w:vAlign w:val="bottom"/>
            <w:gridSpan w:val="3"/>
          </w:tcPr>
          <w:p>
            <w:pPr>
              <w:ind w:left="440"/>
              <w:spacing w:after="0"/>
              <w:rPr>
                <w:sz w:val="20"/>
                <w:szCs w:val="20"/>
                <w:color w:val="auto"/>
              </w:rPr>
            </w:pPr>
            <w:r>
              <w:rPr>
                <w:rFonts w:ascii="Arial" w:cs="Arial" w:eastAsia="Arial" w:hAnsi="Arial"/>
                <w:sz w:val="15"/>
                <w:szCs w:val="15"/>
                <w:color w:val="auto"/>
              </w:rPr>
              <w:t>XBRL Instance Document.</w:t>
            </w:r>
          </w:p>
        </w:tc>
      </w:tr>
      <w:tr>
        <w:trPr>
          <w:trHeight w:val="320"/>
        </w:trPr>
        <w:tc>
          <w:tcPr>
            <w:tcW w:w="1540" w:type="dxa"/>
            <w:vAlign w:val="bottom"/>
            <w:gridSpan w:val="2"/>
          </w:tcPr>
          <w:p>
            <w:pPr>
              <w:ind w:left="40"/>
              <w:spacing w:after="0"/>
              <w:rPr>
                <w:sz w:val="20"/>
                <w:szCs w:val="20"/>
                <w:color w:val="auto"/>
              </w:rPr>
            </w:pPr>
            <w:r>
              <w:rPr>
                <w:rFonts w:ascii="Arial" w:cs="Arial" w:eastAsia="Arial" w:hAnsi="Arial"/>
                <w:sz w:val="15"/>
                <w:szCs w:val="15"/>
                <w:color w:val="auto"/>
              </w:rPr>
              <w:t>Exhibit 101.SCH:</w:t>
            </w:r>
          </w:p>
        </w:tc>
        <w:tc>
          <w:tcPr>
            <w:tcW w:w="9840" w:type="dxa"/>
            <w:vAlign w:val="bottom"/>
            <w:gridSpan w:val="3"/>
          </w:tcPr>
          <w:p>
            <w:pPr>
              <w:ind w:left="440"/>
              <w:spacing w:after="0"/>
              <w:rPr>
                <w:sz w:val="20"/>
                <w:szCs w:val="20"/>
                <w:color w:val="auto"/>
              </w:rPr>
            </w:pPr>
            <w:r>
              <w:rPr>
                <w:rFonts w:ascii="Arial" w:cs="Arial" w:eastAsia="Arial" w:hAnsi="Arial"/>
                <w:sz w:val="15"/>
                <w:szCs w:val="15"/>
                <w:color w:val="auto"/>
              </w:rPr>
              <w:t>XBRL Taxonomy Schema Document.</w:t>
            </w:r>
          </w:p>
        </w:tc>
      </w:tr>
      <w:tr>
        <w:trPr>
          <w:trHeight w:val="320"/>
        </w:trPr>
        <w:tc>
          <w:tcPr>
            <w:tcW w:w="1540" w:type="dxa"/>
            <w:vAlign w:val="bottom"/>
            <w:gridSpan w:val="2"/>
          </w:tcPr>
          <w:p>
            <w:pPr>
              <w:ind w:left="40"/>
              <w:spacing w:after="0"/>
              <w:rPr>
                <w:sz w:val="20"/>
                <w:szCs w:val="20"/>
                <w:color w:val="auto"/>
              </w:rPr>
            </w:pPr>
            <w:r>
              <w:rPr>
                <w:rFonts w:ascii="Arial" w:cs="Arial" w:eastAsia="Arial" w:hAnsi="Arial"/>
                <w:sz w:val="15"/>
                <w:szCs w:val="15"/>
                <w:color w:val="auto"/>
              </w:rPr>
              <w:t>Exhibit 101.CAL:</w:t>
            </w:r>
          </w:p>
        </w:tc>
        <w:tc>
          <w:tcPr>
            <w:tcW w:w="9840" w:type="dxa"/>
            <w:vAlign w:val="bottom"/>
            <w:gridSpan w:val="3"/>
          </w:tcPr>
          <w:p>
            <w:pPr>
              <w:ind w:left="440"/>
              <w:spacing w:after="0"/>
              <w:rPr>
                <w:sz w:val="20"/>
                <w:szCs w:val="20"/>
                <w:color w:val="auto"/>
              </w:rPr>
            </w:pPr>
            <w:r>
              <w:rPr>
                <w:rFonts w:ascii="Arial" w:cs="Arial" w:eastAsia="Arial" w:hAnsi="Arial"/>
                <w:sz w:val="15"/>
                <w:szCs w:val="15"/>
                <w:color w:val="auto"/>
              </w:rPr>
              <w:t>XBRL Taxonomy Extension Calculation Linkbase Document.</w:t>
            </w:r>
          </w:p>
        </w:tc>
      </w:tr>
      <w:tr>
        <w:trPr>
          <w:trHeight w:val="320"/>
        </w:trPr>
        <w:tc>
          <w:tcPr>
            <w:tcW w:w="1540" w:type="dxa"/>
            <w:vAlign w:val="bottom"/>
            <w:gridSpan w:val="2"/>
          </w:tcPr>
          <w:p>
            <w:pPr>
              <w:ind w:left="40"/>
              <w:spacing w:after="0"/>
              <w:rPr>
                <w:sz w:val="20"/>
                <w:szCs w:val="20"/>
                <w:color w:val="auto"/>
              </w:rPr>
            </w:pPr>
            <w:r>
              <w:rPr>
                <w:rFonts w:ascii="Arial" w:cs="Arial" w:eastAsia="Arial" w:hAnsi="Arial"/>
                <w:sz w:val="15"/>
                <w:szCs w:val="15"/>
                <w:color w:val="auto"/>
              </w:rPr>
              <w:t>Exhibit 101.DEF:</w:t>
            </w:r>
          </w:p>
        </w:tc>
        <w:tc>
          <w:tcPr>
            <w:tcW w:w="9840" w:type="dxa"/>
            <w:vAlign w:val="bottom"/>
            <w:gridSpan w:val="3"/>
          </w:tcPr>
          <w:p>
            <w:pPr>
              <w:ind w:left="440"/>
              <w:spacing w:after="0"/>
              <w:rPr>
                <w:sz w:val="20"/>
                <w:szCs w:val="20"/>
                <w:color w:val="auto"/>
              </w:rPr>
            </w:pPr>
            <w:r>
              <w:rPr>
                <w:rFonts w:ascii="Arial" w:cs="Arial" w:eastAsia="Arial" w:hAnsi="Arial"/>
                <w:sz w:val="15"/>
                <w:szCs w:val="15"/>
                <w:color w:val="auto"/>
              </w:rPr>
              <w:t>XBRL Taxonomy Extension Definition Linkbase Document.</w:t>
            </w:r>
          </w:p>
        </w:tc>
      </w:tr>
      <w:tr>
        <w:trPr>
          <w:trHeight w:val="320"/>
        </w:trPr>
        <w:tc>
          <w:tcPr>
            <w:tcW w:w="1540" w:type="dxa"/>
            <w:vAlign w:val="bottom"/>
            <w:gridSpan w:val="2"/>
          </w:tcPr>
          <w:p>
            <w:pPr>
              <w:ind w:left="40"/>
              <w:spacing w:after="0"/>
              <w:rPr>
                <w:sz w:val="20"/>
                <w:szCs w:val="20"/>
                <w:color w:val="auto"/>
              </w:rPr>
            </w:pPr>
            <w:r>
              <w:rPr>
                <w:rFonts w:ascii="Arial" w:cs="Arial" w:eastAsia="Arial" w:hAnsi="Arial"/>
                <w:sz w:val="15"/>
                <w:szCs w:val="15"/>
                <w:color w:val="auto"/>
              </w:rPr>
              <w:t>Exhibit 101.LAB:</w:t>
            </w:r>
          </w:p>
        </w:tc>
        <w:tc>
          <w:tcPr>
            <w:tcW w:w="9840" w:type="dxa"/>
            <w:vAlign w:val="bottom"/>
            <w:gridSpan w:val="3"/>
          </w:tcPr>
          <w:p>
            <w:pPr>
              <w:ind w:left="440"/>
              <w:spacing w:after="0"/>
              <w:rPr>
                <w:sz w:val="20"/>
                <w:szCs w:val="20"/>
                <w:color w:val="auto"/>
              </w:rPr>
            </w:pPr>
            <w:r>
              <w:rPr>
                <w:rFonts w:ascii="Arial" w:cs="Arial" w:eastAsia="Arial" w:hAnsi="Arial"/>
                <w:sz w:val="15"/>
                <w:szCs w:val="15"/>
                <w:color w:val="auto"/>
              </w:rPr>
              <w:t>XBRL Taxonomy Extension Labels Linkbase Document.</w:t>
            </w:r>
          </w:p>
        </w:tc>
      </w:tr>
      <w:tr>
        <w:trPr>
          <w:trHeight w:val="320"/>
        </w:trPr>
        <w:tc>
          <w:tcPr>
            <w:tcW w:w="1540" w:type="dxa"/>
            <w:vAlign w:val="bottom"/>
            <w:gridSpan w:val="2"/>
          </w:tcPr>
          <w:p>
            <w:pPr>
              <w:ind w:left="40"/>
              <w:spacing w:after="0"/>
              <w:rPr>
                <w:sz w:val="20"/>
                <w:szCs w:val="20"/>
                <w:color w:val="auto"/>
              </w:rPr>
            </w:pPr>
            <w:r>
              <w:rPr>
                <w:rFonts w:ascii="Arial" w:cs="Arial" w:eastAsia="Arial" w:hAnsi="Arial"/>
                <w:sz w:val="15"/>
                <w:szCs w:val="15"/>
                <w:color w:val="auto"/>
              </w:rPr>
              <w:t>Exhibit 101.PRE:</w:t>
            </w:r>
          </w:p>
        </w:tc>
        <w:tc>
          <w:tcPr>
            <w:tcW w:w="9840" w:type="dxa"/>
            <w:vAlign w:val="bottom"/>
            <w:gridSpan w:val="3"/>
          </w:tcPr>
          <w:p>
            <w:pPr>
              <w:ind w:left="440"/>
              <w:spacing w:after="0"/>
              <w:rPr>
                <w:sz w:val="20"/>
                <w:szCs w:val="20"/>
                <w:color w:val="auto"/>
              </w:rPr>
            </w:pPr>
            <w:r>
              <w:rPr>
                <w:rFonts w:ascii="Arial" w:cs="Arial" w:eastAsia="Arial" w:hAnsi="Arial"/>
                <w:sz w:val="15"/>
                <w:szCs w:val="15"/>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- 41-</w:t>
      </w:r>
    </w:p>
    <w:p>
      <w:pPr>
        <w:sectPr>
          <w:pgSz w:w="11900" w:h="16838" w:orient="portrait"/>
          <w:cols w:equalWidth="0" w:num="1">
            <w:col w:w="11380"/>
          </w:cols>
          <w:pgMar w:left="220" w:top="287" w:right="29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May 4, 2017)</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18" w:lineRule="exact"/>
        <w:rPr>
          <w:sz w:val="20"/>
          <w:szCs w:val="20"/>
          <w:color w:val="auto"/>
        </w:rPr>
      </w:pPr>
    </w:p>
    <w:p>
      <w:pPr>
        <w:ind w:left="540"/>
        <w:spacing w:after="0"/>
        <w:tabs>
          <w:tab w:leader="none" w:pos="228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5"/>
          <w:szCs w:val="15"/>
          <w:color w:val="auto"/>
        </w:rPr>
        <w:t>The registered office of the Corporation shall be in the City of Wilmington, County of New Castle, State of Delaware.</w:t>
      </w:r>
    </w:p>
    <w:p>
      <w:pPr>
        <w:spacing w:after="0" w:line="212"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Section 2. The Corporation may also have offices at such other places both within and without the state of Delaware as the Board of Directors may from time to time determine or the business of the Corporation may require.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STOCKHOLDERS</w:t>
      </w:r>
    </w:p>
    <w:p>
      <w:pPr>
        <w:spacing w:after="0" w:line="218" w:lineRule="exact"/>
        <w:rPr>
          <w:sz w:val="20"/>
          <w:szCs w:val="20"/>
          <w:color w:val="auto"/>
        </w:rPr>
      </w:pPr>
    </w:p>
    <w:p>
      <w:pPr>
        <w:jc w:val="both"/>
        <w:ind w:firstLine="529"/>
        <w:spacing w:after="0" w:line="247" w:lineRule="auto"/>
        <w:rPr>
          <w:sz w:val="20"/>
          <w:szCs w:val="20"/>
          <w:color w:val="auto"/>
        </w:rPr>
      </w:pPr>
      <w:r>
        <w:rPr>
          <w:rFonts w:ascii="Arial" w:cs="Arial" w:eastAsia="Arial" w:hAnsi="Arial"/>
          <w:sz w:val="18"/>
          <w:szCs w:val="18"/>
          <w:color w:val="auto"/>
        </w:rPr>
        <w:t>Section 1. All meetings of the stockholders for the election of Directors shall be held at such place as may be fixed from time to time by the Board of Directors and stated in the notice of the meeting. Meetings of stockholders for any other purpose may be held at such time and place, within or without the State of Delaware, as shall be stated in the notice of the meeting or in a duly executed waiver of notice thereof. The Board of Directors may, at any time prior to holding an annual or special meeting of stockholders, and for any reasonable reason, cancel, reschedule or postpone any previously scheduled annual or special meeting.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Meetings</w:t>
      </w:r>
    </w:p>
    <w:p>
      <w:pPr>
        <w:spacing w:after="0" w:line="185" w:lineRule="exact"/>
        <w:rPr>
          <w:sz w:val="20"/>
          <w:szCs w:val="20"/>
          <w:color w:val="auto"/>
        </w:rPr>
      </w:pPr>
    </w:p>
    <w:p>
      <w:pPr>
        <w:jc w:val="both"/>
        <w:ind w:firstLine="529"/>
        <w:spacing w:after="0" w:line="303" w:lineRule="auto"/>
        <w:rPr>
          <w:sz w:val="20"/>
          <w:szCs w:val="20"/>
          <w:color w:val="auto"/>
        </w:rPr>
      </w:pPr>
      <w:r>
        <w:rPr>
          <w:rFonts w:ascii="Arial" w:cs="Arial" w:eastAsia="Arial" w:hAnsi="Arial"/>
          <w:sz w:val="15"/>
          <w:szCs w:val="15"/>
          <w:color w:val="auto"/>
        </w:rPr>
        <w:t>Section 2. Annual meetings of stockholders shall be held on such date and at such time as shall be designated from time to time by the Board of Directors and stated in the notice of the meeting. At the annual meeting, the stockholders shall elect Directors pursuant to Article III of these Bylaws, and transact such other business as may properly be brought before the meeting. Subject to the rights of the holders of any class or series of stock having preference over the Common Stock as to dividends or upon liquidation to elect additional Directors under specified circumstances, a nominee for Director shall be elected to the Board of Directors if the votes cast for such nominee’s election exceed the votes cast against such nominee’s election; provided, however, that Directors shall be elected by a plurality of the votes cast at any meeting of stockholders for which (i) the Secretary of the Corporation receives a notice that a stockholder has nominated a person for election to the Board of Directors in compliance with the advance notice requirements for</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460"/>
          </w:cols>
          <w:pgMar w:left="220" w:top="502" w:right="219" w:bottom="1440" w:gutter="0" w:footer="0" w:header="0"/>
        </w:sectPr>
      </w:pPr>
    </w:p>
    <w:bookmarkStart w:id="44" w:name="page45"/>
    <w:bookmarkEnd w:id="44"/>
    <w:p>
      <w:pPr>
        <w:spacing w:after="0" w:line="291" w:lineRule="auto"/>
        <w:rPr>
          <w:sz w:val="20"/>
          <w:szCs w:val="20"/>
          <w:color w:val="auto"/>
        </w:rPr>
      </w:pPr>
      <w:r>
        <w:rPr>
          <w:rFonts w:ascii="Arial" w:cs="Arial" w:eastAsia="Arial" w:hAnsi="Arial"/>
          <w:sz w:val="17"/>
          <w:szCs w:val="17"/>
          <w:color w:val="auto"/>
        </w:rPr>
        <w:t>stockholder nominees for Director set forth in this Article II and (ii) such nomination has not been withdrawn by such stockholder on or prior to the record date for such meeting. If Directors are to be elected by a plurality of the votes cast, stockholders shall not be permitted to vote against a nominee.</w:t>
      </w:r>
    </w:p>
    <w:p>
      <w:pPr>
        <w:spacing w:after="0" w:line="154" w:lineRule="exact"/>
        <w:rPr>
          <w:sz w:val="20"/>
          <w:szCs w:val="20"/>
          <w:color w:val="auto"/>
        </w:rPr>
      </w:pPr>
    </w:p>
    <w:p>
      <w:pPr>
        <w:ind w:firstLine="529"/>
        <w:spacing w:after="0" w:line="261" w:lineRule="auto"/>
        <w:rPr>
          <w:sz w:val="20"/>
          <w:szCs w:val="20"/>
          <w:color w:val="auto"/>
        </w:rPr>
      </w:pPr>
      <w:r>
        <w:rPr>
          <w:rFonts w:ascii="Arial" w:cs="Arial" w:eastAsia="Arial" w:hAnsi="Arial"/>
          <w:sz w:val="18"/>
          <w:szCs w:val="18"/>
          <w:color w:val="auto"/>
        </w:rPr>
        <w:t>Section 3. The Board of Directors shall give written notice of the annual meeting stating the place, date and hour of the meeting to each stockholder entitled to a vote at such meeting not less than ten (10) nor more than sixty (60) days before the date of the meeting.</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Section 4.</w:t>
      </w:r>
    </w:p>
    <w:p>
      <w:pPr>
        <w:spacing w:after="0" w:line="212" w:lineRule="exact"/>
        <w:rPr>
          <w:sz w:val="20"/>
          <w:szCs w:val="20"/>
          <w:color w:val="auto"/>
        </w:rPr>
      </w:pPr>
    </w:p>
    <w:p>
      <w:pPr>
        <w:jc w:val="both"/>
        <w:ind w:firstLine="1066"/>
        <w:spacing w:after="0" w:line="300" w:lineRule="auto"/>
        <w:tabs>
          <w:tab w:leader="none" w:pos="1783" w:val="left"/>
        </w:tabs>
        <w:numPr>
          <w:ilvl w:val="1"/>
          <w:numId w:val="19"/>
        </w:numPr>
        <w:rPr>
          <w:rFonts w:ascii="Arial" w:cs="Arial" w:eastAsia="Arial" w:hAnsi="Arial"/>
          <w:sz w:val="15"/>
          <w:szCs w:val="15"/>
          <w:color w:val="auto"/>
        </w:rPr>
      </w:pPr>
      <w:r>
        <w:rPr>
          <w:rFonts w:ascii="Arial" w:cs="Arial" w:eastAsia="Arial" w:hAnsi="Arial"/>
          <w:sz w:val="15"/>
          <w:szCs w:val="15"/>
          <w:color w:val="auto"/>
        </w:rPr>
        <w:t>Nominations of persons for election to the Board of Directors and the proposal of other business to be considered by the stockholders may be made at an annual meeting of stockholders (i) pursuant to the Corporation’s notice of such meeting, (ii) by or at the direction of the Board of Directors or</w:t>
      </w:r>
    </w:p>
    <w:p>
      <w:pPr>
        <w:spacing w:after="0" w:line="1" w:lineRule="exact"/>
        <w:rPr>
          <w:rFonts w:ascii="Arial" w:cs="Arial" w:eastAsia="Arial" w:hAnsi="Arial"/>
          <w:sz w:val="15"/>
          <w:szCs w:val="15"/>
          <w:color w:val="auto"/>
        </w:rPr>
      </w:pPr>
    </w:p>
    <w:p>
      <w:pPr>
        <w:ind w:firstLine="8"/>
        <w:spacing w:after="0" w:line="274" w:lineRule="auto"/>
        <w:tabs>
          <w:tab w:leader="none" w:pos="313" w:val="left"/>
        </w:tabs>
        <w:numPr>
          <w:ilvl w:val="0"/>
          <w:numId w:val="20"/>
        </w:numPr>
        <w:rPr>
          <w:rFonts w:ascii="Arial" w:cs="Arial" w:eastAsia="Arial" w:hAnsi="Arial"/>
          <w:sz w:val="17"/>
          <w:szCs w:val="17"/>
          <w:color w:val="auto"/>
        </w:rPr>
      </w:pPr>
      <w:r>
        <w:rPr>
          <w:rFonts w:ascii="Arial" w:cs="Arial" w:eastAsia="Arial" w:hAnsi="Arial"/>
          <w:sz w:val="17"/>
          <w:szCs w:val="17"/>
          <w:color w:val="auto"/>
        </w:rPr>
        <w:t>by any stockholder of the Corporation who was a stockholder of record at the time of giving of the notice as provided for in this Section 4 and at the time of the annual meeting, and is entitled to vote at such meeting, and who complies with the notice procedures set forth in this Section 4.</w:t>
      </w:r>
    </w:p>
    <w:p>
      <w:pPr>
        <w:spacing w:after="0" w:line="168" w:lineRule="exact"/>
        <w:rPr>
          <w:rFonts w:ascii="Arial" w:cs="Arial" w:eastAsia="Arial" w:hAnsi="Arial"/>
          <w:sz w:val="17"/>
          <w:szCs w:val="17"/>
          <w:color w:val="auto"/>
        </w:rPr>
      </w:pPr>
    </w:p>
    <w:p>
      <w:pPr>
        <w:jc w:val="both"/>
        <w:ind w:firstLine="1066"/>
        <w:spacing w:after="0" w:line="300" w:lineRule="auto"/>
        <w:tabs>
          <w:tab w:leader="none" w:pos="1793" w:val="left"/>
        </w:tabs>
        <w:numPr>
          <w:ilvl w:val="1"/>
          <w:numId w:val="20"/>
        </w:numPr>
        <w:rPr>
          <w:rFonts w:ascii="Arial" w:cs="Arial" w:eastAsia="Arial" w:hAnsi="Arial"/>
          <w:sz w:val="15"/>
          <w:szCs w:val="15"/>
          <w:color w:val="auto"/>
        </w:rPr>
      </w:pPr>
      <w:r>
        <w:rPr>
          <w:rFonts w:ascii="Arial" w:cs="Arial" w:eastAsia="Arial" w:hAnsi="Arial"/>
          <w:sz w:val="15"/>
          <w:szCs w:val="15"/>
          <w:color w:val="auto"/>
        </w:rPr>
        <w:t>For nominations or other business to be properly brought before an annual meeting by a stockholder pursuant to Section 4(a)(iii) above, the stockholder must have given timely notice thereof in writing to the Secretary of the Corporation and such other business must otherwise be a proper matter for stockholder action. To be timely, a stockholder’s notice must be delivered to the Secretary at the principal executive offices of the Corporation not later than the close of business on the 90th day nor earlier than the close of business on the 120th day prior to the first anniversary of the preceding year’s annual meeting; provided, however, that in the event that the date of the annual meeting is more than 30 days before or more than 60 days after such anniversary date, notice by the stockholder to be timely must be so delivered not earlier than the close of business on the 120th day prior to such annual meeting and not later than the close of business on the later of the 90th day prior to such annual meeting or if the first public announcement of the date of such annual meeting is less than 100 days prior to the date of such annual meeting, the close of business on the 10th day following the day on which public announcement of the date of such meeting is first made by the Corporation. Such stockholder’s notice (whether provided pursuant to this Section 4(b) or Section 6(c) must set forth:</w:t>
      </w:r>
    </w:p>
    <w:p>
      <w:pPr>
        <w:spacing w:after="0" w:line="153" w:lineRule="exact"/>
        <w:rPr>
          <w:rFonts w:ascii="Arial" w:cs="Arial" w:eastAsia="Arial" w:hAnsi="Arial"/>
          <w:sz w:val="15"/>
          <w:szCs w:val="15"/>
          <w:color w:val="auto"/>
        </w:rPr>
      </w:pPr>
    </w:p>
    <w:p>
      <w:pPr>
        <w:jc w:val="both"/>
        <w:ind w:firstLine="1595"/>
        <w:spacing w:after="0" w:line="298" w:lineRule="auto"/>
        <w:tabs>
          <w:tab w:leader="none" w:pos="2283" w:val="left"/>
        </w:tabs>
        <w:numPr>
          <w:ilvl w:val="2"/>
          <w:numId w:val="20"/>
        </w:numPr>
        <w:rPr>
          <w:rFonts w:ascii="Arial" w:cs="Arial" w:eastAsia="Arial" w:hAnsi="Arial"/>
          <w:sz w:val="15"/>
          <w:szCs w:val="15"/>
          <w:color w:val="auto"/>
        </w:rPr>
      </w:pPr>
      <w:r>
        <w:rPr>
          <w:rFonts w:ascii="Arial" w:cs="Arial" w:eastAsia="Arial" w:hAnsi="Arial"/>
          <w:sz w:val="15"/>
          <w:szCs w:val="15"/>
          <w:color w:val="auto"/>
        </w:rPr>
        <w:t>as to each person, if any, whom the stockholder proposes to nominate for election or re-election as a Director (1) all information relating to such person as would be required to be disclosed in solicitations of proxies for election of Directors pursuant to Regulation 14A under the Securities Exchange Act of 1934, as amended (the “Exchange Act”), (2) a description of all direct and indirect compensation and other material monetary agreements, arrangements and understandings during the past three years, and any other material relationships, between or among each stockholder giving notice and the beneficial owner, if any, on whose behalf the nomination is made, on the one hand, and each proposed nominee, and his respective affiliates and associates, or others acting in concert therewith, on the other hand, including, without limitation all information that would be required to be disclosed pursuant to Rule 404 promulgated under Regulation S-K if the stockholder making the nomination and any beneficial owner on whose behalf the nomination is made, if any, or any affiliate or associate thereof or person acting in concert therewith, were the “registrant” for purposes of such rule and the nominee were a director or executive officer of such registrant, (3) such person’s written consent to being named in the proxy statement as a nominee and to serving as a Director if elected, and (4) as appendixes, attaching (A) a completed Director nominee questionnaire in the form required by the Corporation (which form the stockholder providing notice shall request from the Secretary and shall be provided by the Corporation within ten (10) days of such request) and (B) a completed and signed written representation and agreement, in the form required by the Corporation</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60"/>
          </w:cols>
          <w:pgMar w:left="220" w:top="508" w:right="219" w:bottom="1440" w:gutter="0" w:footer="0" w:header="0"/>
        </w:sectPr>
      </w:pPr>
    </w:p>
    <w:bookmarkStart w:id="45" w:name="page46"/>
    <w:bookmarkEnd w:id="45"/>
    <w:p>
      <w:pPr>
        <w:jc w:val="both"/>
        <w:spacing w:after="0" w:line="259" w:lineRule="auto"/>
        <w:rPr>
          <w:sz w:val="20"/>
          <w:szCs w:val="20"/>
          <w:color w:val="auto"/>
        </w:rPr>
      </w:pPr>
      <w:r>
        <w:rPr>
          <w:rFonts w:ascii="Arial" w:cs="Arial" w:eastAsia="Arial" w:hAnsi="Arial"/>
          <w:sz w:val="17"/>
          <w:szCs w:val="17"/>
          <w:color w:val="auto"/>
        </w:rPr>
        <w:t>(which form the stockholder providing notice shall request from the Secretary and shall be provided by the Corporation within ten (10) days of such request), that such person (I) is not and will not become a party to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or any Voting Commitment that could limit or interfere with such person’s ability to comply, if elected as a Director of the Corporation, with such person’s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(III) would be in compliance, if elected as a Director of the Corporation, and will comply with, applicable law, applicable rules of the U.S. exchange upon which the Corporation’s shares of Common Stock trade and all applicable publicly disclosed corporate governance, conflict of interest, corporate opportunities, confidentiality and stock ownership and trading policies and guidelines of the Corporation, (IV) will tender, promptly following such person’s election or reelection, an irrevocable resignation effective upon such person’s failure to receive the required vote for re-election at the next meeting at which such person would face re-election and upon acceptance of such resignation by the Board of Directors, in accordance with the Board of Director’s policies or guidelines on Director elections and (V) intends to serve a full term if elected as a Director of the Corporation;</w:t>
      </w:r>
    </w:p>
    <w:p>
      <w:pPr>
        <w:spacing w:after="0" w:line="189" w:lineRule="exact"/>
        <w:rPr>
          <w:sz w:val="20"/>
          <w:szCs w:val="20"/>
          <w:color w:val="auto"/>
        </w:rPr>
      </w:pPr>
    </w:p>
    <w:p>
      <w:pPr>
        <w:jc w:val="both"/>
        <w:ind w:firstLine="1595"/>
        <w:spacing w:after="0" w:line="314" w:lineRule="auto"/>
        <w:tabs>
          <w:tab w:leader="none" w:pos="2332" w:val="left"/>
        </w:tabs>
        <w:numPr>
          <w:ilvl w:val="0"/>
          <w:numId w:val="21"/>
        </w:numPr>
        <w:rPr>
          <w:rFonts w:ascii="Arial" w:cs="Arial" w:eastAsia="Arial" w:hAnsi="Arial"/>
          <w:sz w:val="15"/>
          <w:szCs w:val="15"/>
          <w:color w:val="auto"/>
        </w:rPr>
      </w:pPr>
      <w:r>
        <w:rPr>
          <w:rFonts w:ascii="Arial" w:cs="Arial" w:eastAsia="Arial" w:hAnsi="Arial"/>
          <w:sz w:val="15"/>
          <w:szCs w:val="15"/>
          <w:color w:val="auto"/>
        </w:rPr>
        <w:t>as to any other business that the stockholder proposes to bring before the meeting, (1) a brief description of the business desired to be brought before the meeting, (2) the reasons for conducting such business at the meeting and any material interest in such business of such stockholder and the beneficial owner, if any, on whose behalf the proposal is made and (3) the text of the proposal or business (including the text of any resolutions proposed for consideration and in the event that such business includes a proposal to amend these Bylaws, the language of the proposed amendment); and</w:t>
      </w:r>
    </w:p>
    <w:p>
      <w:pPr>
        <w:spacing w:after="0" w:line="144" w:lineRule="exact"/>
        <w:rPr>
          <w:rFonts w:ascii="Arial" w:cs="Arial" w:eastAsia="Arial" w:hAnsi="Arial"/>
          <w:sz w:val="15"/>
          <w:szCs w:val="15"/>
          <w:color w:val="auto"/>
        </w:rPr>
      </w:pPr>
    </w:p>
    <w:p>
      <w:pPr>
        <w:jc w:val="both"/>
        <w:ind w:firstLine="1595"/>
        <w:spacing w:after="0" w:line="296" w:lineRule="auto"/>
        <w:tabs>
          <w:tab w:leader="none" w:pos="2381" w:val="left"/>
        </w:tabs>
        <w:numPr>
          <w:ilvl w:val="0"/>
          <w:numId w:val="21"/>
        </w:numPr>
        <w:rPr>
          <w:rFonts w:ascii="Arial" w:cs="Arial" w:eastAsia="Arial" w:hAnsi="Arial"/>
          <w:sz w:val="15"/>
          <w:szCs w:val="15"/>
          <w:color w:val="auto"/>
        </w:rPr>
      </w:pPr>
      <w:r>
        <w:rPr>
          <w:rFonts w:ascii="Arial" w:cs="Arial" w:eastAsia="Arial" w:hAnsi="Arial"/>
          <w:sz w:val="15"/>
          <w:szCs w:val="15"/>
          <w:color w:val="auto"/>
        </w:rPr>
        <w:t>as to the stockholder giving the notice and the beneficial owner, if any, on whose behalf the nomination or proposal is made (1) the name and address of such stockholder, as they appear on the Corporation’s books, and of such beneficial owner, (2) the class and number of shares of capital stock of the Corporation that are owned beneficially and held of record by such stockholder and such beneficial owner, (3) the investment strategy or objective, if any, of such stockholder and each such Stockholder Associated Person (as defined below) who is not an individual and a copy of the prospectus, offering memorandum or similar document, if any, provided to investors or potential investors in such stockholder and each such Stockholder Associated Person, (4) the disclosure of any short positions or other derivative positions relating to the Corporation’s shares of such stockholder and such beneficial owner, such information to include, and be updated to reflect any material change in, such positions from the period beginning six months prior to the nomination through the time of the annual meeting, (5) a description of any proxy, contract, arrangement, understanding or relationship pursuant to which such stockholder and such beneficial owner has a right to vote any shares of any security of the Corporation, (6) a representation that such stockholder is a holder of record of stock of the Corporation entitled to vote at such meeting, will continue to be a holder of record of stock entitled to vote at such meeting through the date of the meeting and intends to appear in person or by proxy at the meeting to bring such nomination or other business before the meeting, (7) a representation as to whether such stockholder or beneficial owner intends or is part of a group that intends to deliver a proxy statement or form of proxy to holders of at least the percentage of the voting power of the Corporation’s outstanding stock required to approve or adopt the proposal or to elect each such nominee, (8) the class and number of any security of any entity that was publicly disclosed as a peer by the Corporation, and (9) a description of any agreement, arrangement or understanding with respect to the nomination or other business between or among such stockholder, beneficial owner or any other person, including without limitation any agreements that would be required to be disclosed pursuant to Item 5 or Item 6 of Exchange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60"/>
          </w:cols>
          <w:pgMar w:left="220" w:top="508" w:right="219" w:bottom="1440" w:gutter="0" w:footer="0" w:header="0"/>
        </w:sectPr>
      </w:pPr>
    </w:p>
    <w:bookmarkStart w:id="46" w:name="page47"/>
    <w:bookmarkEnd w:id="46"/>
    <w:p>
      <w:pPr>
        <w:jc w:val="both"/>
        <w:spacing w:after="0" w:line="299" w:lineRule="auto"/>
        <w:rPr>
          <w:sz w:val="20"/>
          <w:szCs w:val="20"/>
          <w:color w:val="auto"/>
        </w:rPr>
      </w:pPr>
      <w:r>
        <w:rPr>
          <w:rFonts w:ascii="Arial" w:cs="Arial" w:eastAsia="Arial" w:hAnsi="Arial"/>
          <w:sz w:val="15"/>
          <w:szCs w:val="15"/>
          <w:color w:val="auto"/>
        </w:rPr>
        <w:t>Act Schedule 13D (regardless of whether the requirement to file a Schedule 13D is applicable). A stockholder providing notice of a nomination or other business to be brought before an annual meeting shall further update and supplement such notice, so that the information provided or required to be provided in such notice shall be true and correct as of the record date for the meeting and as of the date that is ten business days prior to the meeting or any postponement or adjournment thereof, and such update and supplement shall be delivered to, or mailed and received by, the Secretary at the principal executive offices of the Corporation not later than five business days after the record date for the meeting (in the case of the update and supplement required to be made as of the record date) and not later than seven business days prior to the date for the meeting or any postponement or adjournment thereof, if practicable (or, if not practicable, on the first practicable date prior to any postponement or adjournment thereof (in the case of the update and supplement required to be made as of ten business days prior to the meeting or any postponement or adjournment thereof). The Corporation may require any proposed nominee to furnish such other information as may reasonably be required by the Corporation to determine the eligibility of such proposed nominee to serve as an independent Director of the Corporation or that could be material to a reasonable stockholder’s understanding of the independence, or lack thereof, of such nominee.</w:t>
      </w:r>
    </w:p>
    <w:p>
      <w:pPr>
        <w:spacing w:after="0" w:line="155" w:lineRule="exact"/>
        <w:rPr>
          <w:sz w:val="20"/>
          <w:szCs w:val="20"/>
          <w:color w:val="auto"/>
        </w:rPr>
      </w:pPr>
    </w:p>
    <w:p>
      <w:pPr>
        <w:jc w:val="both"/>
        <w:ind w:firstLine="1066"/>
        <w:spacing w:after="0" w:line="245" w:lineRule="auto"/>
        <w:tabs>
          <w:tab w:leader="none" w:pos="1783"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Only such persons who are nominated in accordance with the procedures set forth in this Section 4 (annual meetings) and Section 6 (special meetings) shall be eligible to serve as Directors and only such business shall be conducted at a meeting of stockholders as shall have been brought before the meeting in accordance with the procedures set forth in this Section 4 (annual meetings) and Section 6 (special meetings). Except as otherwise provided by law, the certificate of incorporation or these Bylaws, the chairman of the meeting shall have the power and duty to determine whether a nomination or any business proposed to be brought before the meeting was made or proposed, as the case may be, in accordance with the procedures set forth in this Section 4 (annual meetings) and Section 6 (special meetings), and, if any proposed nomination or business is not in compliance herewith, to declare that such defective proposal or nomination shall be disregarded.</w:t>
      </w:r>
    </w:p>
    <w:p>
      <w:pPr>
        <w:spacing w:after="0" w:line="196" w:lineRule="exact"/>
        <w:rPr>
          <w:rFonts w:ascii="Arial" w:cs="Arial" w:eastAsia="Arial" w:hAnsi="Arial"/>
          <w:sz w:val="18"/>
          <w:szCs w:val="18"/>
          <w:color w:val="auto"/>
        </w:rPr>
      </w:pPr>
    </w:p>
    <w:p>
      <w:pPr>
        <w:jc w:val="both"/>
        <w:ind w:firstLine="1066"/>
        <w:spacing w:after="0" w:line="252" w:lineRule="auto"/>
        <w:tabs>
          <w:tab w:leader="none" w:pos="1793"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purposes of this Section 4 and Section 6, the term “public announcement” shall mean disclosure in a press release reported by a national news service or in a document publicly filed by the Corporation with the Securities and Exchange Commission pursuant to Section 13, 14 or 15(d) of the Exchange Act and the rules and regulations promulgated thereunder.</w:t>
      </w:r>
    </w:p>
    <w:p>
      <w:pPr>
        <w:spacing w:after="0" w:line="185" w:lineRule="exact"/>
        <w:rPr>
          <w:rFonts w:ascii="Arial" w:cs="Arial" w:eastAsia="Arial" w:hAnsi="Arial"/>
          <w:sz w:val="18"/>
          <w:szCs w:val="18"/>
          <w:color w:val="auto"/>
        </w:rPr>
      </w:pPr>
    </w:p>
    <w:p>
      <w:pPr>
        <w:jc w:val="both"/>
        <w:ind w:firstLine="1066"/>
        <w:spacing w:after="0" w:line="249" w:lineRule="auto"/>
        <w:tabs>
          <w:tab w:leader="none" w:pos="1783"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purposes of this Section 4, the term “Stockholder Associated Person” of any stockholder shall mean (i) any person acting in concert with such stockholder, (ii) any beneficial owner of shares of stock of the Corporation owned of record or beneficially by such stockholder (other than a stockholder that is a depositary) and (iii) any person that directly, or indirectly through one or more intermediaries, controls, or is controlled by, or is under common control with, such stockholder or such Stockholder Associated Person.</w:t>
      </w:r>
    </w:p>
    <w:p>
      <w:pPr>
        <w:spacing w:after="0" w:line="188" w:lineRule="exact"/>
        <w:rPr>
          <w:rFonts w:ascii="Arial" w:cs="Arial" w:eastAsia="Arial" w:hAnsi="Arial"/>
          <w:sz w:val="18"/>
          <w:szCs w:val="18"/>
          <w:color w:val="auto"/>
        </w:rPr>
      </w:pPr>
    </w:p>
    <w:p>
      <w:pPr>
        <w:jc w:val="both"/>
        <w:ind w:firstLine="1066"/>
        <w:spacing w:after="0" w:line="265" w:lineRule="auto"/>
        <w:tabs>
          <w:tab w:leader="none" w:pos="1763" w:val="left"/>
        </w:tabs>
        <w:numPr>
          <w:ilvl w:val="0"/>
          <w:numId w:val="22"/>
        </w:numPr>
        <w:rPr>
          <w:rFonts w:ascii="Arial" w:cs="Arial" w:eastAsia="Arial" w:hAnsi="Arial"/>
          <w:sz w:val="17"/>
          <w:szCs w:val="17"/>
          <w:color w:val="auto"/>
        </w:rPr>
      </w:pPr>
      <w:r>
        <w:rPr>
          <w:rFonts w:ascii="Arial" w:cs="Arial" w:eastAsia="Arial" w:hAnsi="Arial"/>
          <w:sz w:val="17"/>
          <w:szCs w:val="17"/>
          <w:color w:val="auto"/>
        </w:rPr>
        <w:t>For purposes of these Bylaws, shares shall be treated as “beneficially owned” by a person if the person beneficially owns such shares, directly or indirectly, for purposes of Section 13(d) of the Exchange Act and Regulations 13D and 13G thereunder or has or shares pursuant to any agreement, arrangement or understanding (whether or not in writing): (i) the right to acquire such shares (whether such right is exercisable immediately or only after the passage of time or the fulfillment of a condition or both), (ii) the right to vote such shares, alone or in concert with others and/or (iii) investment power with respect to such shares, including the power to dispose of, or to direct the disposition of, such shares.</w:t>
      </w:r>
    </w:p>
    <w:p>
      <w:pPr>
        <w:spacing w:after="0" w:line="177" w:lineRule="exact"/>
        <w:rPr>
          <w:rFonts w:ascii="Arial" w:cs="Arial" w:eastAsia="Arial" w:hAnsi="Arial"/>
          <w:sz w:val="17"/>
          <w:szCs w:val="17"/>
          <w:color w:val="auto"/>
        </w:rPr>
      </w:pPr>
    </w:p>
    <w:p>
      <w:pPr>
        <w:ind w:firstLine="1066"/>
        <w:spacing w:after="0" w:line="261" w:lineRule="auto"/>
        <w:tabs>
          <w:tab w:leader="none" w:pos="1793"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4 or Section 6, a stockholder shall also comply with all applicable requirements of the Exchange Act and the rules and regulations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60"/>
          </w:cols>
          <w:pgMar w:left="220" w:top="509" w:right="219" w:bottom="1440" w:gutter="0" w:footer="0" w:header="0"/>
        </w:sectPr>
      </w:pPr>
    </w:p>
    <w:bookmarkStart w:id="47" w:name="page48"/>
    <w:bookmarkEnd w:id="47"/>
    <w:p>
      <w:pPr>
        <w:jc w:val="both"/>
        <w:spacing w:after="0" w:line="297" w:lineRule="auto"/>
        <w:rPr>
          <w:sz w:val="20"/>
          <w:szCs w:val="20"/>
          <w:color w:val="auto"/>
        </w:rPr>
      </w:pPr>
      <w:r>
        <w:rPr>
          <w:rFonts w:ascii="Arial" w:cs="Arial" w:eastAsia="Arial" w:hAnsi="Arial"/>
          <w:sz w:val="15"/>
          <w:szCs w:val="15"/>
          <w:color w:val="auto"/>
        </w:rPr>
        <w:t>thereunder with respect to the matters set forth herein. If information submitted pursuant to this Section 4 or Section 6 by any stockholder proposing a nominee for election as a Director or any proposal for other business at a meeting of stockholders shall be inaccurate in any material respect, such information may be deemed not to have been provided in accordance with these Bylaws. Any such stockholder shall notify the Corporation of any inaccuracy or change (within two business days of becoming aware of such inaccuracy or change) in any such information. Upon written request by the Secretary or the Board of Directors, any such stockholder shall provide, within five business days of delivery of such request (or such other period as may be specified in such request), (i) written verification, satisfactory, in the discretion of the Board of Directors or any authorized officer of the Corporation, to demonstrate the accuracy of any information submitted by the stockholder pursuant to this Section 4 or Section 6, and (ii) a written update of any information (including, if requested by the Corporation, written confirmation by such stockholder that it continues to intend to bring such nomination or other business proposal before the meeting) submitted by the stockholder pursuant to this Section 4 or Section 6 as of an earlier date. If a stockholder fails to provide such written verification or written update within such period, the information as to which written verification or a written update was requested may be deemed not to have been provided in accordance with these Bylaws. Nothing in this Section 4 or Section 6 shall be deemed to affect any rights of stockholders to request inclusion of proposals in the Corporation’s proxy statement pursuant to Rule 14a-8 under the Exchange Act. In order to include information with respect to a stockholder proposal in the proxy statement for a meeting of stockholders, stockholders must provide notice as required by Rule 14a-8 under the Exchange Act and otherwise satisfy its requirements.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Ledger</w:t>
      </w:r>
    </w:p>
    <w:p>
      <w:pPr>
        <w:spacing w:after="0" w:line="185" w:lineRule="exact"/>
        <w:rPr>
          <w:sz w:val="20"/>
          <w:szCs w:val="20"/>
          <w:color w:val="auto"/>
        </w:rPr>
      </w:pPr>
    </w:p>
    <w:p>
      <w:pPr>
        <w:jc w:val="both"/>
        <w:ind w:firstLine="529"/>
        <w:spacing w:after="0" w:line="305" w:lineRule="auto"/>
        <w:rPr>
          <w:sz w:val="20"/>
          <w:szCs w:val="20"/>
          <w:color w:val="auto"/>
        </w:rPr>
      </w:pPr>
      <w:r>
        <w:rPr>
          <w:rFonts w:ascii="Arial" w:cs="Arial" w:eastAsia="Arial" w:hAnsi="Arial"/>
          <w:sz w:val="15"/>
          <w:szCs w:val="15"/>
          <w:color w:val="auto"/>
        </w:rPr>
        <w:t>Section 5. The officer who has charge of the stock ledger of the Corporation shall prepare and make, at least ten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45" w:lineRule="exact"/>
        <w:rPr>
          <w:sz w:val="20"/>
          <w:szCs w:val="20"/>
          <w:color w:val="auto"/>
        </w:rPr>
      </w:pPr>
    </w:p>
    <w:p>
      <w:pPr>
        <w:jc w:val="right"/>
        <w:ind w:right="10180"/>
        <w:spacing w:after="0"/>
        <w:rPr>
          <w:sz w:val="20"/>
          <w:szCs w:val="20"/>
          <w:color w:val="auto"/>
        </w:rPr>
      </w:pPr>
      <w:r>
        <w:rPr>
          <w:rFonts w:ascii="Arial" w:cs="Arial" w:eastAsia="Arial" w:hAnsi="Arial"/>
          <w:sz w:val="15"/>
          <w:szCs w:val="15"/>
          <w:b w:val="1"/>
          <w:bCs w:val="1"/>
          <w:color w:val="auto"/>
        </w:rPr>
        <w:t>Special Meetings</w:t>
      </w:r>
    </w:p>
    <w:p>
      <w:pPr>
        <w:spacing w:after="0" w:line="219" w:lineRule="exact"/>
        <w:rPr>
          <w:sz w:val="20"/>
          <w:szCs w:val="20"/>
          <w:color w:val="auto"/>
        </w:rPr>
      </w:pPr>
    </w:p>
    <w:p>
      <w:pPr>
        <w:jc w:val="right"/>
        <w:ind w:right="10220"/>
        <w:spacing w:after="0"/>
        <w:rPr>
          <w:sz w:val="20"/>
          <w:szCs w:val="20"/>
          <w:color w:val="auto"/>
        </w:rPr>
      </w:pPr>
      <w:r>
        <w:rPr>
          <w:rFonts w:ascii="Arial" w:cs="Arial" w:eastAsia="Arial" w:hAnsi="Arial"/>
          <w:sz w:val="18"/>
          <w:szCs w:val="18"/>
          <w:color w:val="auto"/>
        </w:rPr>
        <w:t>Section 6.</w:t>
      </w:r>
    </w:p>
    <w:p>
      <w:pPr>
        <w:spacing w:after="0" w:line="212" w:lineRule="exact"/>
        <w:rPr>
          <w:sz w:val="20"/>
          <w:szCs w:val="20"/>
          <w:color w:val="auto"/>
        </w:rPr>
      </w:pPr>
    </w:p>
    <w:p>
      <w:pPr>
        <w:jc w:val="both"/>
        <w:ind w:firstLine="1066"/>
        <w:spacing w:after="0" w:line="249" w:lineRule="auto"/>
        <w:tabs>
          <w:tab w:leader="none" w:pos="1783" w:val="left"/>
        </w:tabs>
        <w:numPr>
          <w:ilvl w:val="0"/>
          <w:numId w:val="23"/>
        </w:numPr>
        <w:rPr>
          <w:rFonts w:ascii="Arial" w:cs="Arial" w:eastAsia="Arial" w:hAnsi="Arial"/>
          <w:sz w:val="18"/>
          <w:szCs w:val="18"/>
          <w:color w:val="auto"/>
        </w:rPr>
      </w:pPr>
      <w:r>
        <w:rPr>
          <w:rFonts w:ascii="Arial" w:cs="Arial" w:eastAsia="Arial" w:hAnsi="Arial"/>
          <w:sz w:val="18"/>
          <w:szCs w:val="18"/>
          <w:color w:val="auto"/>
        </w:rPr>
        <w:t>Special meetings of the stockholders for any purpose may be called only by the Chairman of the Board of Directors and shall be called within ten (10) days after receipt of the written request of the Board of Directors, pursuant to a resolution approved by a majority of the entire Board of Directors. The business permitted to be conducted at any special meeting of the stockholders is limited to the business brought before the meeting by the Chairman or by the Secretary at the request of a majority of the entire Board of Directors.</w:t>
      </w:r>
    </w:p>
    <w:p>
      <w:pPr>
        <w:spacing w:after="0" w:line="188" w:lineRule="exact"/>
        <w:rPr>
          <w:rFonts w:ascii="Arial" w:cs="Arial" w:eastAsia="Arial" w:hAnsi="Arial"/>
          <w:sz w:val="18"/>
          <w:szCs w:val="18"/>
          <w:color w:val="auto"/>
        </w:rPr>
      </w:pPr>
    </w:p>
    <w:p>
      <w:pPr>
        <w:ind w:firstLine="1066"/>
        <w:spacing w:after="0" w:line="361" w:lineRule="auto"/>
        <w:tabs>
          <w:tab w:leader="none" w:pos="1793" w:val="left"/>
        </w:tabs>
        <w:numPr>
          <w:ilvl w:val="0"/>
          <w:numId w:val="23"/>
        </w:numPr>
        <w:rPr>
          <w:rFonts w:ascii="Arial" w:cs="Arial" w:eastAsia="Arial" w:hAnsi="Arial"/>
          <w:sz w:val="15"/>
          <w:szCs w:val="15"/>
          <w:color w:val="auto"/>
        </w:rPr>
      </w:pPr>
      <w:r>
        <w:rPr>
          <w:rFonts w:ascii="Arial" w:cs="Arial" w:eastAsia="Arial" w:hAnsi="Arial"/>
          <w:sz w:val="15"/>
          <w:szCs w:val="15"/>
          <w:color w:val="auto"/>
        </w:rPr>
        <w:t>Written notice of a special meeting stating the place, date and hour of the meeting, and the purpose or purposes for which the meeting is called, shall be given not less than ten (10) nor more than sixty (60) days before the date of the meeting, to each stockholder entitled to vote at such meeting.</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460"/>
          </w:cols>
          <w:pgMar w:left="220" w:top="508" w:right="219" w:bottom="1440" w:gutter="0" w:footer="0" w:header="0"/>
        </w:sectPr>
      </w:pPr>
    </w:p>
    <w:bookmarkStart w:id="48" w:name="page49"/>
    <w:bookmarkEnd w:id="48"/>
    <w:p>
      <w:pPr>
        <w:jc w:val="both"/>
        <w:ind w:firstLine="1066"/>
        <w:spacing w:after="0" w:line="301" w:lineRule="auto"/>
        <w:tabs>
          <w:tab w:leader="none" w:pos="1783" w:val="left"/>
        </w:tabs>
        <w:numPr>
          <w:ilvl w:val="0"/>
          <w:numId w:val="24"/>
        </w:numPr>
        <w:rPr>
          <w:rFonts w:ascii="Arial" w:cs="Arial" w:eastAsia="Arial" w:hAnsi="Arial"/>
          <w:sz w:val="15"/>
          <w:szCs w:val="15"/>
          <w:color w:val="auto"/>
        </w:rPr>
      </w:pPr>
      <w:r>
        <w:rPr>
          <w:rFonts w:ascii="Arial" w:cs="Arial" w:eastAsia="Arial" w:hAnsi="Arial"/>
          <w:sz w:val="15"/>
          <w:szCs w:val="15"/>
          <w:color w:val="auto"/>
        </w:rPr>
        <w:t>Nominations of persons for election to the Board of Directors may be made at a special meeting of stockholders at which Directors are to be elected pursuant to the Corporation’s notice of such meeting (i) by or at the direction of the Board of Directors or (ii) provided that the Board of Directors has determined that Directors shall be elected at such meeting, by any stockholder of the Corporation who is a stockholder of record at the time of giving of notice of the special meeting, who shall be entitled to vote at the meeting and who complies with the notice procedures set forth in this Section 6(c) and Section 4(b). In the event the Corporation calls a special meeting of stockholders for the purpose of electing one or more Directors to the Board of Directors, any such stockholder may nominate a person or persons (as the case may be), for election to such position(s) as specified in the Corporation’s notice of meeting, if the stockholder’s notice required by Section 4(b) shall be delivered to the Secretary of the Corporation at the principal executive offices of the Corporation not later than the close of business on the 10th day following the date of the first public announcement of the date of the special meeting.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Section 7.</w:t>
      </w:r>
    </w:p>
    <w:p>
      <w:pPr>
        <w:spacing w:after="0" w:line="212" w:lineRule="exact"/>
        <w:rPr>
          <w:sz w:val="20"/>
          <w:szCs w:val="20"/>
          <w:color w:val="auto"/>
        </w:rPr>
      </w:pPr>
    </w:p>
    <w:p>
      <w:pPr>
        <w:jc w:val="both"/>
        <w:ind w:firstLine="1066"/>
        <w:spacing w:after="0" w:line="247" w:lineRule="auto"/>
        <w:tabs>
          <w:tab w:leader="none" w:pos="178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holders of a majority of the issued and outstanding Voting Stock (as defined below),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w:t>
      </w:r>
    </w:p>
    <w:p>
      <w:pPr>
        <w:spacing w:after="0" w:line="191" w:lineRule="exact"/>
        <w:rPr>
          <w:rFonts w:ascii="Arial" w:cs="Arial" w:eastAsia="Arial" w:hAnsi="Arial"/>
          <w:sz w:val="18"/>
          <w:szCs w:val="18"/>
          <w:color w:val="auto"/>
        </w:rPr>
      </w:pPr>
    </w:p>
    <w:p>
      <w:pPr>
        <w:jc w:val="both"/>
        <w:ind w:firstLine="1066"/>
        <w:spacing w:after="0" w:line="252" w:lineRule="auto"/>
        <w:tabs>
          <w:tab w:leader="none" w:pos="1793"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the purpose of these Bylaws, “Voting Stock” shall mean the shares of capital stock of the Corporation entitled to vote generally in the election of Directors. In any vote required by or provided for in these Bylaws, each share of Voting Stock shall have the number of votes granted to it generally in the election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w:t>
      </w:r>
    </w:p>
    <w:p>
      <w:pPr>
        <w:spacing w:after="0" w:line="185" w:lineRule="exact"/>
        <w:rPr>
          <w:sz w:val="20"/>
          <w:szCs w:val="20"/>
          <w:color w:val="auto"/>
        </w:rPr>
      </w:pPr>
    </w:p>
    <w:p>
      <w:pPr>
        <w:jc w:val="both"/>
        <w:ind w:firstLine="529"/>
        <w:spacing w:after="0" w:line="263" w:lineRule="auto"/>
        <w:rPr>
          <w:sz w:val="20"/>
          <w:szCs w:val="20"/>
          <w:color w:val="auto"/>
        </w:rPr>
      </w:pPr>
      <w:r>
        <w:rPr>
          <w:rFonts w:ascii="Arial" w:cs="Arial" w:eastAsia="Arial" w:hAnsi="Arial"/>
          <w:sz w:val="17"/>
          <w:szCs w:val="17"/>
          <w:color w:val="auto"/>
        </w:rPr>
        <w:t>Section 8. When a meeting is adjourned to another time or place, notice need not be given of the adjourned meeting, except as otherwise required by this Section 8, if the time and place thereof are announced at the meeting at which the adjournment is taken. At such adjourned meeting the Corporation may transact any business which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 The chairman of the meeting shall have the power to adjourn or recess any annual or special meeting of the stockholders, at any time and for any reasonable reason, whether or not there is a quorum, without notice other than announcement at the meeting.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18" w:lineRule="exact"/>
        <w:rPr>
          <w:sz w:val="20"/>
          <w:szCs w:val="20"/>
          <w:color w:val="auto"/>
        </w:rPr>
      </w:pPr>
    </w:p>
    <w:p>
      <w:pPr>
        <w:jc w:val="both"/>
        <w:ind w:firstLine="529"/>
        <w:spacing w:after="0" w:line="252" w:lineRule="auto"/>
        <w:rPr>
          <w:sz w:val="20"/>
          <w:szCs w:val="20"/>
          <w:color w:val="auto"/>
        </w:rPr>
      </w:pPr>
      <w:r>
        <w:rPr>
          <w:rFonts w:ascii="Arial" w:cs="Arial" w:eastAsia="Arial" w:hAnsi="Arial"/>
          <w:sz w:val="18"/>
          <w:szCs w:val="18"/>
          <w:color w:val="auto"/>
        </w:rPr>
        <w:t>Section 9. When a quorum is present at any meeting, the vote of the holders of a majority of the issued and outstanding Voting Stock present in person or represented by proxy shall decide any question brought before such meeting, except as provided to the contrary by statute, the Corporation’s certificate of incorporation or these Bylaws.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60"/>
          </w:cols>
          <w:pgMar w:left="220" w:top="508" w:right="21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One Vote Per Share</w:t>
      </w:r>
    </w:p>
    <w:p>
      <w:pPr>
        <w:spacing w:after="0" w:line="185" w:lineRule="exact"/>
        <w:rPr>
          <w:sz w:val="20"/>
          <w:szCs w:val="20"/>
          <w:color w:val="auto"/>
        </w:rPr>
      </w:pPr>
    </w:p>
    <w:p>
      <w:pPr>
        <w:jc w:val="both"/>
        <w:ind w:firstLine="529"/>
        <w:spacing w:after="0" w:line="361" w:lineRule="auto"/>
        <w:rPr>
          <w:sz w:val="20"/>
          <w:szCs w:val="20"/>
          <w:color w:val="auto"/>
        </w:rPr>
      </w:pPr>
      <w:r>
        <w:rPr>
          <w:rFonts w:ascii="Arial" w:cs="Arial" w:eastAsia="Arial" w:hAnsi="Arial"/>
          <w:sz w:val="15"/>
          <w:szCs w:val="15"/>
          <w:color w:val="auto"/>
        </w:rPr>
        <w:t>Section 10. Each stockholder shall at every meeting of the stockholders be entitled to one vote in person or by proxy for each share of the capital stock having voting power held by such stockholder, but no proxy shall be voted on after three years from its date, unless the proxy provides for a longer period.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Written Consent in Lieu of Meeting</w:t>
      </w:r>
    </w:p>
    <w:p>
      <w:pPr>
        <w:spacing w:after="0" w:line="185" w:lineRule="exact"/>
        <w:rPr>
          <w:sz w:val="20"/>
          <w:szCs w:val="20"/>
          <w:color w:val="auto"/>
        </w:rPr>
      </w:pPr>
    </w:p>
    <w:p>
      <w:pPr>
        <w:jc w:val="both"/>
        <w:ind w:right="20" w:firstLine="529"/>
        <w:spacing w:after="0" w:line="261" w:lineRule="auto"/>
        <w:rPr>
          <w:sz w:val="20"/>
          <w:szCs w:val="20"/>
          <w:color w:val="auto"/>
        </w:rPr>
      </w:pPr>
      <w:r>
        <w:rPr>
          <w:rFonts w:ascii="Arial" w:cs="Arial" w:eastAsia="Arial" w:hAnsi="Arial"/>
          <w:sz w:val="18"/>
          <w:szCs w:val="18"/>
          <w:color w:val="auto"/>
        </w:rPr>
        <w:t>Section 11. Any action required or permitted to be taken by the stockholders of the Corporation must be effected at a duly called annual or special meeting of stockholders of the Corporation and may not be effected by any consent in writing of such stockholders.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Presiding Officer</w:t>
      </w:r>
    </w:p>
    <w:p>
      <w:pPr>
        <w:spacing w:after="0" w:line="185" w:lineRule="exact"/>
        <w:rPr>
          <w:sz w:val="20"/>
          <w:szCs w:val="20"/>
          <w:color w:val="auto"/>
        </w:rPr>
      </w:pPr>
    </w:p>
    <w:p>
      <w:pPr>
        <w:jc w:val="both"/>
        <w:ind w:firstLine="529"/>
        <w:spacing w:after="0" w:line="252" w:lineRule="auto"/>
        <w:rPr>
          <w:sz w:val="20"/>
          <w:szCs w:val="20"/>
          <w:color w:val="auto"/>
        </w:rPr>
      </w:pPr>
      <w:r>
        <w:rPr>
          <w:rFonts w:ascii="Arial" w:cs="Arial" w:eastAsia="Arial" w:hAnsi="Arial"/>
          <w:sz w:val="18"/>
          <w:szCs w:val="18"/>
          <w:color w:val="auto"/>
        </w:rPr>
        <w:t>Section 12. At each meeting of stockholders, the Chairman of the Board of Directors or the chief executive officer of the Corporation (or such other individual designated by the Board of Directors) shall preside as “chairman of the meeting,” and the Secretary shall keep records, and in the absence of either such officer, his duty shall be performed by some person appointed at the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Rules of Conduct at Meetings of Stockholders</w:t>
      </w:r>
    </w:p>
    <w:p>
      <w:pPr>
        <w:spacing w:after="0" w:line="185" w:lineRule="exact"/>
        <w:rPr>
          <w:sz w:val="20"/>
          <w:szCs w:val="20"/>
          <w:color w:val="auto"/>
        </w:rPr>
      </w:pPr>
    </w:p>
    <w:p>
      <w:pPr>
        <w:jc w:val="both"/>
        <w:ind w:firstLine="529"/>
        <w:spacing w:after="0" w:line="263" w:lineRule="auto"/>
        <w:rPr>
          <w:sz w:val="20"/>
          <w:szCs w:val="20"/>
          <w:color w:val="auto"/>
        </w:rPr>
      </w:pPr>
      <w:r>
        <w:rPr>
          <w:rFonts w:ascii="Arial" w:cs="Arial" w:eastAsia="Arial" w:hAnsi="Arial"/>
          <w:sz w:val="17"/>
          <w:szCs w:val="17"/>
          <w:color w:val="auto"/>
        </w:rPr>
        <w:t>Section 13. The Board of Directors shall be entitled to make such rules and regulations for the conduct of meetings of the stockholders as it shall deem necessary, appropriate or convenient. Subject to such rules and regulations, if any, the chairman of any meeting of stockholders shall have the right and authority to determine the order of business and the procedure at the meeting, including, without limitation, such regulation of the time and manner of voting, limitations on participation in such meeting to stockholders of record and their duly appointed proxies and such other persons as the chairman shall permit, limitations on the time allotted to questions or comments by participants, as, in his or her judgment, are necessary, appropriate or convenient for the conduct of the meeting and restrictions on the use of audio or video recording devices at the meeting.</w:t>
      </w:r>
    </w:p>
    <w:p>
      <w:pPr>
        <w:spacing w:after="0" w:line="142"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III</w:t>
      </w:r>
    </w:p>
    <w:p>
      <w:pPr>
        <w:spacing w:after="0" w:line="179"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DIRECTORS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Classification, Removal</w:t>
      </w:r>
    </w:p>
    <w:p>
      <w:pPr>
        <w:spacing w:after="0" w:line="218" w:lineRule="exact"/>
        <w:rPr>
          <w:sz w:val="20"/>
          <w:szCs w:val="20"/>
          <w:color w:val="auto"/>
        </w:rPr>
      </w:pPr>
    </w:p>
    <w:p>
      <w:pPr>
        <w:ind w:left="540"/>
        <w:spacing w:after="0"/>
        <w:tabs>
          <w:tab w:leader="none" w:pos="142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5"/>
          <w:szCs w:val="15"/>
          <w:color w:val="auto"/>
        </w:rPr>
        <w:t>The number of Directors shall be fixed from time to time by the Board of Directors, but shall not be less than three (3) nor more than fifteen</w:t>
      </w:r>
    </w:p>
    <w:p>
      <w:pPr>
        <w:spacing w:after="0" w:line="16" w:lineRule="exact"/>
        <w:rPr>
          <w:sz w:val="20"/>
          <w:szCs w:val="20"/>
          <w:color w:val="auto"/>
        </w:rPr>
      </w:pPr>
    </w:p>
    <w:p>
      <w:pPr>
        <w:ind w:firstLine="8"/>
        <w:spacing w:after="0" w:line="245" w:lineRule="auto"/>
        <w:tabs>
          <w:tab w:leader="none" w:pos="354"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persons. The Directors shall be elected at the annual meeting of the stockholders in accordance with the provisions of Section 4 of Article II, and each Director elected shall hold office until his successor is elected and qualified. Directors need not be stockholders.</w:t>
      </w:r>
    </w:p>
    <w:p>
      <w:pPr>
        <w:spacing w:after="0" w:line="192" w:lineRule="exact"/>
        <w:rPr>
          <w:sz w:val="20"/>
          <w:szCs w:val="20"/>
          <w:color w:val="auto"/>
        </w:rPr>
      </w:pPr>
    </w:p>
    <w:p>
      <w:pPr>
        <w:jc w:val="both"/>
        <w:ind w:firstLine="529"/>
        <w:spacing w:after="0" w:line="265" w:lineRule="auto"/>
        <w:rPr>
          <w:sz w:val="20"/>
          <w:szCs w:val="20"/>
          <w:color w:val="auto"/>
        </w:rPr>
      </w:pPr>
      <w:r>
        <w:rPr>
          <w:rFonts w:ascii="Arial" w:cs="Arial" w:eastAsia="Arial" w:hAnsi="Arial"/>
          <w:sz w:val="17"/>
          <w:szCs w:val="17"/>
          <w:color w:val="auto"/>
        </w:rPr>
        <w:t>Section 2. Subject to the rights of the holders of any class or series of stock having a preference over the Common Stock as to dividends or upon liquidation to elect additional Directors under specified circumstances, newly created Directorships resulting from any increase in the number of Directors and any vacancy on the Board of Directors resulting from death, resignation, disqualification, removal or other cause shall be filled solely by the affirmative vote of a majority of the remaining Directors then in office, even though less than a quorum of the Board of Directors, or by a sole remaining Director. Any Director elected in accordance with the preceding sentence shall hold office for the remainder of the full term of the class of</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60"/>
          </w:cols>
          <w:pgMar w:left="220" w:top="502" w:right="219" w:bottom="1440" w:gutter="0" w:footer="0" w:header="0"/>
        </w:sectPr>
      </w:pPr>
    </w:p>
    <w:bookmarkStart w:id="50" w:name="page51"/>
    <w:bookmarkEnd w:id="50"/>
    <w:p>
      <w:pPr>
        <w:jc w:val="both"/>
        <w:spacing w:after="0" w:line="261" w:lineRule="auto"/>
        <w:rPr>
          <w:sz w:val="20"/>
          <w:szCs w:val="20"/>
          <w:color w:val="auto"/>
        </w:rPr>
      </w:pPr>
      <w:r>
        <w:rPr>
          <w:rFonts w:ascii="Arial" w:cs="Arial" w:eastAsia="Arial" w:hAnsi="Arial"/>
          <w:sz w:val="18"/>
          <w:szCs w:val="18"/>
          <w:color w:val="auto"/>
        </w:rPr>
        <w:t>Directors in which the new Directorship was created or the vacancy occurred and until such Director’s successor shall have been elected and qualified. No decrease in the number of Directors constituting the Board of Directors shall shorten the term of an incumbent Director.</w:t>
      </w:r>
    </w:p>
    <w:p>
      <w:pPr>
        <w:spacing w:after="0" w:line="178" w:lineRule="exact"/>
        <w:rPr>
          <w:sz w:val="20"/>
          <w:szCs w:val="20"/>
          <w:color w:val="auto"/>
        </w:rPr>
      </w:pPr>
    </w:p>
    <w:p>
      <w:pPr>
        <w:jc w:val="both"/>
        <w:ind w:firstLine="529"/>
        <w:spacing w:after="0" w:line="309" w:lineRule="auto"/>
        <w:rPr>
          <w:sz w:val="20"/>
          <w:szCs w:val="20"/>
          <w:color w:val="auto"/>
        </w:rPr>
      </w:pPr>
      <w:r>
        <w:rPr>
          <w:rFonts w:ascii="Arial" w:cs="Arial" w:eastAsia="Arial" w:hAnsi="Arial"/>
          <w:sz w:val="15"/>
          <w:szCs w:val="15"/>
          <w:color w:val="auto"/>
        </w:rPr>
        <w:t>Section 3. Subject to the rights of the holders of any class or series of stock having preference over the Common Stock as to dividends or upon liquidation to elect additional Directors under specified circumstances, any Director may be removed from office with or without cause by the stockholders in the manner provided in this Section 3. At any annual meeting of the stockholders of the Corporation or at any special meeting of the stockholders of the Corporation, the notice of which shall state that the removal of a Director or Directors is among the purposes of the meeting, the affirmative vote of the holders of a majority of the combined voting power of the outstanding shares of Voting Stock, voting together as a single class, may remove such Director or Directors.</w:t>
      </w:r>
    </w:p>
    <w:p>
      <w:pPr>
        <w:spacing w:after="0" w:line="146" w:lineRule="exact"/>
        <w:rPr>
          <w:sz w:val="20"/>
          <w:szCs w:val="20"/>
          <w:color w:val="auto"/>
        </w:rPr>
      </w:pPr>
    </w:p>
    <w:p>
      <w:pPr>
        <w:jc w:val="both"/>
        <w:ind w:firstLine="529"/>
        <w:spacing w:after="0" w:line="252" w:lineRule="auto"/>
        <w:rPr>
          <w:sz w:val="20"/>
          <w:szCs w:val="20"/>
          <w:color w:val="auto"/>
        </w:rPr>
      </w:pPr>
      <w:r>
        <w:rPr>
          <w:rFonts w:ascii="Arial" w:cs="Arial" w:eastAsia="Arial" w:hAnsi="Arial"/>
          <w:sz w:val="18"/>
          <w:szCs w:val="18"/>
          <w:color w:val="auto"/>
        </w:rPr>
        <w:t>Section 4. The business of the Corporation shall be managed by its Board of Directors, which may exercise all such powers of the Corporation and do all such lawful acts and things as are not by statute or by the certificate of incorporation or by these Bylaws directed or required to be exercised or done by the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185" w:lineRule="exact"/>
        <w:rPr>
          <w:sz w:val="20"/>
          <w:szCs w:val="20"/>
          <w:color w:val="auto"/>
        </w:rPr>
      </w:pPr>
    </w:p>
    <w:p>
      <w:pPr>
        <w:ind w:left="540"/>
        <w:spacing w:after="0"/>
        <w:tabs>
          <w:tab w:leader="none" w:pos="140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5"/>
          <w:szCs w:val="15"/>
          <w:color w:val="auto"/>
        </w:rPr>
        <w:t>The Board of Directors of the Corporation may hold meetings, both regular and special, either within or without the State of Delaware.</w:t>
      </w:r>
    </w:p>
    <w:p>
      <w:pPr>
        <w:spacing w:after="0" w:line="212"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Section 6. Meetings of the Board of Directors may be held at such time and place as shall be specified in a notice given in the manner hereinafter provided, or as shall be specified in a written waiver signed by all of the Directors.</w:t>
      </w:r>
    </w:p>
    <w:p>
      <w:pPr>
        <w:spacing w:after="0" w:line="178"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Section 7. Regular meetings of the Board of Directors may be held without notice at such time and at such place as shall from time to time be determined by the Board of Directors.</w:t>
      </w:r>
    </w:p>
    <w:p>
      <w:pPr>
        <w:spacing w:after="0" w:line="145" w:lineRule="exact"/>
        <w:rPr>
          <w:sz w:val="20"/>
          <w:szCs w:val="20"/>
          <w:color w:val="auto"/>
        </w:rPr>
      </w:pPr>
    </w:p>
    <w:p>
      <w:pPr>
        <w:jc w:val="both"/>
        <w:ind w:firstLine="529"/>
        <w:spacing w:after="0" w:line="309" w:lineRule="auto"/>
        <w:rPr>
          <w:sz w:val="20"/>
          <w:szCs w:val="20"/>
          <w:color w:val="auto"/>
        </w:rPr>
      </w:pPr>
      <w:r>
        <w:rPr>
          <w:rFonts w:ascii="Arial" w:cs="Arial" w:eastAsia="Arial" w:hAnsi="Arial"/>
          <w:sz w:val="15"/>
          <w:szCs w:val="15"/>
          <w:color w:val="auto"/>
        </w:rPr>
        <w:t>Section 8. Special meetings of the Board of Directors may be called by the Chairman of the Board of Directors, the chief executive officer of the Corporation or by two or more of the Directors. Notice of the time and place, if any, of all special meetings of the Board of Directors shall be made orally or in writing, including a voice messaging system or other system or technology designed to record and communicate messages, or by electronic mail or other electronic means, during normal business hours, at least twenty-four (24) hours before the date and time of the meeting (or fewer than twenty-four (24) hours to the extent the Chairman of the Board of Directors determines that it is necessary or advisable for the Board of Directors to hold a special meeting sooner).</w:t>
      </w:r>
    </w:p>
    <w:p>
      <w:pPr>
        <w:spacing w:after="0" w:line="146" w:lineRule="exact"/>
        <w:rPr>
          <w:sz w:val="20"/>
          <w:szCs w:val="20"/>
          <w:color w:val="auto"/>
        </w:rPr>
      </w:pPr>
    </w:p>
    <w:p>
      <w:pPr>
        <w:jc w:val="both"/>
        <w:ind w:firstLine="529"/>
        <w:spacing w:after="0" w:line="247" w:lineRule="auto"/>
        <w:rPr>
          <w:sz w:val="20"/>
          <w:szCs w:val="20"/>
          <w:color w:val="auto"/>
        </w:rPr>
      </w:pPr>
      <w:r>
        <w:rPr>
          <w:rFonts w:ascii="Arial" w:cs="Arial" w:eastAsia="Arial" w:hAnsi="Arial"/>
          <w:sz w:val="18"/>
          <w:szCs w:val="18"/>
          <w:color w:val="auto"/>
        </w:rPr>
        <w:t>Section 9. Except as provided in these Bylaws to the contrary, at all meetings of the Board of Directors a majority of the total number of Directors shall constitute a quorum for the transaction of business and the vote of a majority of the Directors entitled to vote and present at a meeting at which a quorum is present shall be the act of the Board of Directors, unless the certificate of incorporation shall require a vote of a greater number. If a quorum shall not be present at any meeting of the Board of Directors, the Directors present thereat may adjourn the meeting from time to time, without notice other than announcement at the meeting, until a quorum shall be present.</w:t>
      </w:r>
    </w:p>
    <w:p>
      <w:pPr>
        <w:spacing w:after="0" w:line="191"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Section 10. Unless otherwise restricted by the certificate of incorporation or these Bylaws, any action required or permitted to be taken at any meeting of the Board of Directors or of any committee thereof</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460"/>
          </w:cols>
          <w:pgMar w:left="220" w:top="508" w:right="219" w:bottom="1440" w:gutter="0" w:footer="0" w:header="0"/>
        </w:sectPr>
      </w:pPr>
    </w:p>
    <w:bookmarkStart w:id="51" w:name="page52"/>
    <w:bookmarkEnd w:id="51"/>
    <w:p>
      <w:pPr>
        <w:jc w:val="both"/>
        <w:spacing w:after="0" w:line="261" w:lineRule="auto"/>
        <w:rPr>
          <w:sz w:val="20"/>
          <w:szCs w:val="20"/>
          <w:color w:val="auto"/>
        </w:rPr>
      </w:pPr>
      <w:r>
        <w:rPr>
          <w:rFonts w:ascii="Arial" w:cs="Arial" w:eastAsia="Arial" w:hAnsi="Arial"/>
          <w:sz w:val="18"/>
          <w:szCs w:val="18"/>
          <w:color w:val="auto"/>
        </w:rPr>
        <w:t>may be taken without a meeting, if all members of the Board of Directors or committee, as the case may be, consent thereto in writing, and the writing or writings are filed with the minutes of proceedings of the Board of Directors or committee.</w:t>
      </w:r>
    </w:p>
    <w:p>
      <w:pPr>
        <w:spacing w:after="0" w:line="178"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Section 11. At all meetings of the Board of Directors, business shall be transacted in such order as from time to time the Board of Directors may determine.</w:t>
      </w:r>
    </w:p>
    <w:p>
      <w:pPr>
        <w:spacing w:after="0" w:line="178"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At all meetings of the Board of Directors, the Chairman of the Board of Directors shall preside, and in his absence a person shall be chosen by the board from among the Directors present to act as chairman of the meeting.</w:t>
      </w:r>
    </w:p>
    <w:p>
      <w:pPr>
        <w:spacing w:after="0" w:line="178" w:lineRule="exact"/>
        <w:rPr>
          <w:sz w:val="20"/>
          <w:szCs w:val="20"/>
          <w:color w:val="auto"/>
        </w:rPr>
      </w:pPr>
    </w:p>
    <w:p>
      <w:pPr>
        <w:jc w:val="both"/>
        <w:ind w:right="20" w:firstLine="529"/>
        <w:spacing w:after="0" w:line="261" w:lineRule="auto"/>
        <w:rPr>
          <w:sz w:val="20"/>
          <w:szCs w:val="20"/>
          <w:color w:val="auto"/>
        </w:rPr>
      </w:pPr>
      <w:r>
        <w:rPr>
          <w:rFonts w:ascii="Arial" w:cs="Arial" w:eastAsia="Arial" w:hAnsi="Arial"/>
          <w:sz w:val="18"/>
          <w:szCs w:val="18"/>
          <w:color w:val="auto"/>
        </w:rPr>
        <w:t>The Secretary of the Corporation shall act as Secretary of the meeting of the Board of Directors, but in the absence of the Secretary, the presiding officer may appoint any person to act as Secretary of the meeting.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Directors</w:t>
      </w:r>
    </w:p>
    <w:p>
      <w:pPr>
        <w:spacing w:after="0" w:line="218" w:lineRule="exact"/>
        <w:rPr>
          <w:sz w:val="20"/>
          <w:szCs w:val="20"/>
          <w:color w:val="auto"/>
        </w:rPr>
      </w:pPr>
    </w:p>
    <w:p>
      <w:pPr>
        <w:jc w:val="both"/>
        <w:ind w:firstLine="529"/>
        <w:spacing w:after="0" w:line="297" w:lineRule="auto"/>
        <w:rPr>
          <w:sz w:val="20"/>
          <w:szCs w:val="20"/>
          <w:color w:val="auto"/>
        </w:rPr>
      </w:pPr>
      <w:r>
        <w:rPr>
          <w:rFonts w:ascii="Arial" w:cs="Arial" w:eastAsia="Arial" w:hAnsi="Arial"/>
          <w:sz w:val="15"/>
          <w:szCs w:val="15"/>
          <w:color w:val="auto"/>
        </w:rPr>
        <w:t>Section 12. The Board of Directors may, by resolution passed by a majority of the whole board, designate one or more committees, each committee to consist of one (1) or more of the Directors of the Corporation. The Board of Directors may designate one (1) or more Directors as alternate members of any committee, who may replace any absent or disqualified member at any meeting of the committee. In the absence of disqualification of a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amending the certificate of incorporation (except pursuant to a resolution relating to the issuance of capital stock pursuant to Section 151 of Title 8 of the Delaware General Corporation Law); adopting an agreement of merger or consolidation; recommending to the stockholders the sale, lease or exchange of all or substantially all of the Corporation’s property and assets; recommending to the stockholders the dissolution of the Corporation or a revocation of a dissolution; or amending these Bylaws and, unless the resolution or certificate of incorporation expressly so provides, no such committee shall have the power or authority to declare a dividend or to authorize the issuance of stock. Such committee or committees shall have such members as may be determined from time to time by resolution adopted by the Board of Directors.</w:t>
      </w:r>
    </w:p>
    <w:p>
      <w:pPr>
        <w:spacing w:after="0" w:line="370" w:lineRule="exact"/>
        <w:rPr>
          <w:sz w:val="20"/>
          <w:szCs w:val="20"/>
          <w:color w:val="auto"/>
        </w:rPr>
      </w:pPr>
    </w:p>
    <w:p>
      <w:pPr>
        <w:ind w:left="540"/>
        <w:spacing w:after="0"/>
        <w:tabs>
          <w:tab w:leader="none" w:pos="148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5"/>
          <w:szCs w:val="15"/>
          <w:color w:val="auto"/>
        </w:rPr>
        <w:t>Each committee shall keep regular minutes of its meetings and report the same to the Board of Directors.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18" w:lineRule="exact"/>
        <w:rPr>
          <w:sz w:val="20"/>
          <w:szCs w:val="20"/>
          <w:color w:val="auto"/>
        </w:rPr>
      </w:pPr>
    </w:p>
    <w:p>
      <w:pPr>
        <w:jc w:val="both"/>
        <w:ind w:firstLine="529"/>
        <w:spacing w:after="0" w:line="249" w:lineRule="auto"/>
        <w:rPr>
          <w:sz w:val="20"/>
          <w:szCs w:val="20"/>
          <w:color w:val="auto"/>
        </w:rPr>
      </w:pPr>
      <w:r>
        <w:rPr>
          <w:rFonts w:ascii="Arial" w:cs="Arial" w:eastAsia="Arial" w:hAnsi="Arial"/>
          <w:sz w:val="18"/>
          <w:szCs w:val="18"/>
          <w:color w:val="auto"/>
        </w:rPr>
        <w:t>Section 14.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460"/>
          </w:cols>
          <w:pgMar w:left="220" w:top="509" w:right="21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ARTICLE IV</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NOTICES</w:t>
      </w:r>
    </w:p>
    <w:p>
      <w:pPr>
        <w:spacing w:after="0" w:line="218" w:lineRule="exact"/>
        <w:rPr>
          <w:sz w:val="20"/>
          <w:szCs w:val="20"/>
          <w:color w:val="auto"/>
        </w:rPr>
      </w:pPr>
    </w:p>
    <w:p>
      <w:pPr>
        <w:jc w:val="both"/>
        <w:ind w:firstLine="529"/>
        <w:spacing w:after="0" w:line="314" w:lineRule="auto"/>
        <w:rPr>
          <w:sz w:val="20"/>
          <w:szCs w:val="20"/>
          <w:color w:val="auto"/>
        </w:rPr>
      </w:pPr>
      <w:r>
        <w:rPr>
          <w:rFonts w:ascii="Arial" w:cs="Arial" w:eastAsia="Arial" w:hAnsi="Arial"/>
          <w:sz w:val="15"/>
          <w:szCs w:val="15"/>
          <w:color w:val="auto"/>
        </w:rPr>
        <w:t>Section 1. Whenever notice is required to be given to any Director or stockholder pursuant to a statutory provision or the certificate of incorporation or these Bylaws, it shall not be construed to mean personal notice, but such notice may be given in writing, by mail, addressed to such Director or stockholder, at his address as it appears on the records of the Corporation, with postage thereon prepaid, and such notice shall be deemed to be given at the time when the same shall be deposited in the United States mail. Notices to Directors may also be given by the means set forth in Article III, Section 8 of these Bylaws.</w:t>
      </w:r>
    </w:p>
    <w:p>
      <w:pPr>
        <w:spacing w:after="0" w:line="144" w:lineRule="exact"/>
        <w:rPr>
          <w:sz w:val="20"/>
          <w:szCs w:val="20"/>
          <w:color w:val="auto"/>
        </w:rPr>
      </w:pPr>
    </w:p>
    <w:p>
      <w:pPr>
        <w:jc w:val="both"/>
        <w:ind w:firstLine="529"/>
        <w:spacing w:after="0" w:line="361" w:lineRule="auto"/>
        <w:rPr>
          <w:sz w:val="20"/>
          <w:szCs w:val="20"/>
          <w:color w:val="auto"/>
        </w:rPr>
      </w:pPr>
      <w:r>
        <w:rPr>
          <w:rFonts w:ascii="Arial" w:cs="Arial" w:eastAsia="Arial" w:hAnsi="Arial"/>
          <w:sz w:val="15"/>
          <w:szCs w:val="15"/>
          <w:color w:val="auto"/>
        </w:rPr>
        <w:t>Section 2. Whenever notice is required to be given pursuant to a statutory provision or the certificate of incorporation or these Bylaws, a waiver thereof in writing, signed by the person or persons entitled to said notice, whether before or after the time stated therein, shall be deemed equivalent thereto.</w:t>
      </w:r>
    </w:p>
    <w:p>
      <w:pPr>
        <w:spacing w:after="0" w:line="70"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V</w:t>
      </w:r>
    </w:p>
    <w:p>
      <w:pPr>
        <w:spacing w:after="0" w:line="17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OFFICERS</w:t>
      </w:r>
    </w:p>
    <w:p>
      <w:pPr>
        <w:spacing w:after="0" w:line="218" w:lineRule="exact"/>
        <w:rPr>
          <w:sz w:val="20"/>
          <w:szCs w:val="20"/>
          <w:color w:val="auto"/>
        </w:rPr>
      </w:pPr>
    </w:p>
    <w:p>
      <w:pPr>
        <w:jc w:val="both"/>
        <w:ind w:firstLine="529"/>
        <w:spacing w:after="0" w:line="274" w:lineRule="auto"/>
        <w:rPr>
          <w:sz w:val="20"/>
          <w:szCs w:val="20"/>
          <w:color w:val="auto"/>
        </w:rPr>
      </w:pPr>
      <w:r>
        <w:rPr>
          <w:rFonts w:ascii="Arial" w:cs="Arial" w:eastAsia="Arial" w:hAnsi="Arial"/>
          <w:sz w:val="17"/>
          <w:szCs w:val="17"/>
          <w:color w:val="auto"/>
        </w:rPr>
        <w:t>Section 1. The officers of the Corporation shall be chosen by the Board of Directors and shall be a chief executive officer, a president, a vice president, a secretary and a treasurer. The Board of Directors may also choose additional vice presidents and one or more assistant secretaries and assistant treasurers. Any number of offices may be held by the same person, unless the certificate of incorporation or these Bylaws otherwise provide.</w:t>
      </w:r>
    </w:p>
    <w:p>
      <w:pPr>
        <w:spacing w:after="0" w:line="168"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Section 2. The Board of Directors at its first meeting after each annual meeting of stockholders shall choose a chief executive officer, a president, one or more vice presidents, a secretary and a treasurer.</w:t>
      </w:r>
    </w:p>
    <w:p>
      <w:pPr>
        <w:spacing w:after="0" w:line="178"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Section 3. The Board of Directors may appoint such other officers and agents as it shall deem necessary who shall hold their offices for such terms and shall exercise such powers and perform such duties as shall be determined from time to time by the board.</w:t>
      </w:r>
    </w:p>
    <w:p>
      <w:pPr>
        <w:spacing w:after="0" w:line="178" w:lineRule="exact"/>
        <w:rPr>
          <w:sz w:val="20"/>
          <w:szCs w:val="20"/>
          <w:color w:val="auto"/>
        </w:rPr>
      </w:pPr>
    </w:p>
    <w:p>
      <w:pPr>
        <w:ind w:left="540"/>
        <w:spacing w:after="0"/>
        <w:tabs>
          <w:tab w:leader="none" w:pos="140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5"/>
          <w:szCs w:val="15"/>
          <w:color w:val="auto"/>
        </w:rPr>
        <w:t>The salaries of all officers of the Corporation shall be fixed by the Board of Directors.</w:t>
      </w:r>
    </w:p>
    <w:p>
      <w:pPr>
        <w:spacing w:after="0" w:line="212" w:lineRule="exact"/>
        <w:rPr>
          <w:sz w:val="20"/>
          <w:szCs w:val="20"/>
          <w:color w:val="auto"/>
        </w:rPr>
      </w:pPr>
    </w:p>
    <w:p>
      <w:pPr>
        <w:jc w:val="both"/>
        <w:ind w:firstLine="529"/>
        <w:spacing w:after="0" w:line="252" w:lineRule="auto"/>
        <w:rPr>
          <w:sz w:val="20"/>
          <w:szCs w:val="20"/>
          <w:color w:val="auto"/>
        </w:rPr>
      </w:pPr>
      <w:r>
        <w:rPr>
          <w:rFonts w:ascii="Arial" w:cs="Arial" w:eastAsia="Arial" w:hAnsi="Arial"/>
          <w:sz w:val="18"/>
          <w:szCs w:val="18"/>
          <w:color w:val="auto"/>
        </w:rPr>
        <w:t>Section 5.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Chief Executive Officer</w:t>
      </w:r>
    </w:p>
    <w:p>
      <w:pPr>
        <w:spacing w:after="0" w:line="218" w:lineRule="exact"/>
        <w:rPr>
          <w:sz w:val="20"/>
          <w:szCs w:val="20"/>
          <w:color w:val="auto"/>
        </w:rPr>
      </w:pPr>
    </w:p>
    <w:p>
      <w:pPr>
        <w:jc w:val="both"/>
        <w:ind w:firstLine="529"/>
        <w:spacing w:after="0" w:line="247" w:lineRule="auto"/>
        <w:rPr>
          <w:sz w:val="20"/>
          <w:szCs w:val="20"/>
          <w:color w:val="auto"/>
        </w:rPr>
      </w:pPr>
      <w:r>
        <w:rPr>
          <w:rFonts w:ascii="Arial" w:cs="Arial" w:eastAsia="Arial" w:hAnsi="Arial"/>
          <w:sz w:val="18"/>
          <w:szCs w:val="18"/>
          <w:color w:val="auto"/>
        </w:rPr>
        <w:t>Section 6. The chief executive officer of the Corporation shall have general and active management of the business of the Corporation and shall see that all orders and resolutions of the Board of Directors are carried into effect. He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this Corporation. He shall perform such other duties and have such other powers as the Board of Directors may from time to time prescribe.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460"/>
          </w:cols>
          <w:pgMar w:left="220" w:top="502" w:right="21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The President</w:t>
      </w:r>
    </w:p>
    <w:p>
      <w:pPr>
        <w:spacing w:after="0" w:line="185" w:lineRule="exact"/>
        <w:rPr>
          <w:sz w:val="20"/>
          <w:szCs w:val="20"/>
          <w:color w:val="auto"/>
        </w:rPr>
      </w:pPr>
    </w:p>
    <w:p>
      <w:pPr>
        <w:jc w:val="both"/>
        <w:ind w:firstLine="529"/>
        <w:spacing w:after="0" w:line="252" w:lineRule="auto"/>
        <w:rPr>
          <w:sz w:val="20"/>
          <w:szCs w:val="20"/>
          <w:color w:val="auto"/>
        </w:rPr>
      </w:pPr>
      <w:r>
        <w:rPr>
          <w:rFonts w:ascii="Arial" w:cs="Arial" w:eastAsia="Arial" w:hAnsi="Arial"/>
          <w:sz w:val="18"/>
          <w:szCs w:val="18"/>
          <w:color w:val="auto"/>
        </w:rPr>
        <w:t>Section 7. The president shall be responsible for the day- to- day operations of the Corporation and shall have the authority to execute all documents and instruments necessary to carry out such operations. He shall perform such other duties and have such other powers as the Board of Directors may from time to time prescribe.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Vice Presidents</w:t>
      </w:r>
    </w:p>
    <w:p>
      <w:pPr>
        <w:spacing w:after="0" w:line="218" w:lineRule="exact"/>
        <w:rPr>
          <w:sz w:val="20"/>
          <w:szCs w:val="20"/>
          <w:color w:val="auto"/>
        </w:rPr>
      </w:pPr>
    </w:p>
    <w:p>
      <w:pPr>
        <w:jc w:val="both"/>
        <w:ind w:firstLine="529"/>
        <w:spacing w:after="0" w:line="252" w:lineRule="auto"/>
        <w:rPr>
          <w:sz w:val="20"/>
          <w:szCs w:val="20"/>
          <w:color w:val="auto"/>
        </w:rPr>
      </w:pPr>
      <w:r>
        <w:rPr>
          <w:rFonts w:ascii="Arial" w:cs="Arial" w:eastAsia="Arial" w:hAnsi="Arial"/>
          <w:sz w:val="18"/>
          <w:szCs w:val="18"/>
          <w:color w:val="auto"/>
        </w:rPr>
        <w:t>Section 8. In the absence of the president or in the event of his inability or refusal to act, the vice president shall perform the duties of the president, and when so acting, shall have all the powers of and be subject to all the restrictions upon the president. The vice presidents shall perform such other duties and have such other powers as the Board of Directors may from time to time prescribe.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Secretary and the Assistant Secretary</w:t>
      </w:r>
    </w:p>
    <w:p>
      <w:pPr>
        <w:spacing w:after="0" w:line="218" w:lineRule="exact"/>
        <w:rPr>
          <w:sz w:val="20"/>
          <w:szCs w:val="20"/>
          <w:color w:val="auto"/>
        </w:rPr>
      </w:pPr>
    </w:p>
    <w:p>
      <w:pPr>
        <w:jc w:val="both"/>
        <w:ind w:firstLine="529"/>
        <w:spacing w:after="0" w:line="305" w:lineRule="auto"/>
        <w:rPr>
          <w:sz w:val="20"/>
          <w:szCs w:val="20"/>
          <w:color w:val="auto"/>
        </w:rPr>
      </w:pPr>
      <w:r>
        <w:rPr>
          <w:rFonts w:ascii="Arial" w:cs="Arial" w:eastAsia="Arial" w:hAnsi="Arial"/>
          <w:sz w:val="15"/>
          <w:szCs w:val="15"/>
          <w:color w:val="auto"/>
        </w:rPr>
        <w:t>Section 9. The Secretary shall attend all meetings of the Board of Directors and all meetings of the stockholders and record all the proceedings of the meetings to be kept for that purpose and shall perform like duties for the standing committees when required. He shall give, or cause to be given, notice of all meetings of the stockholders and special meetings of the Board of Directors, and shall perform such other duties as may be prescribed by the Board of Directors or president, under whose supervision he shall be. He shall have custody of the corporate seal of the Corporation and 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thereof by his signature.</w:t>
      </w:r>
    </w:p>
    <w:p>
      <w:pPr>
        <w:spacing w:after="0" w:line="151" w:lineRule="exact"/>
        <w:rPr>
          <w:sz w:val="20"/>
          <w:szCs w:val="20"/>
          <w:color w:val="auto"/>
        </w:rPr>
      </w:pPr>
    </w:p>
    <w:p>
      <w:pPr>
        <w:jc w:val="both"/>
        <w:ind w:firstLine="529"/>
        <w:spacing w:after="0" w:line="249" w:lineRule="auto"/>
        <w:rPr>
          <w:sz w:val="20"/>
          <w:szCs w:val="20"/>
          <w:color w:val="auto"/>
        </w:rPr>
      </w:pPr>
      <w:r>
        <w:rPr>
          <w:rFonts w:ascii="Arial" w:cs="Arial" w:eastAsia="Arial" w:hAnsi="Arial"/>
          <w:sz w:val="18"/>
          <w:szCs w:val="18"/>
          <w:color w:val="auto"/>
        </w:rPr>
        <w:t>Section 10.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may from time to time prescribe.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Treasurer and Assistant Treasurer</w:t>
      </w:r>
    </w:p>
    <w:p>
      <w:pPr>
        <w:spacing w:after="0" w:line="218" w:lineRule="exact"/>
        <w:rPr>
          <w:sz w:val="20"/>
          <w:szCs w:val="20"/>
          <w:color w:val="auto"/>
        </w:rPr>
      </w:pPr>
    </w:p>
    <w:p>
      <w:pPr>
        <w:jc w:val="both"/>
        <w:ind w:firstLine="529"/>
        <w:spacing w:after="0" w:line="301" w:lineRule="auto"/>
        <w:rPr>
          <w:sz w:val="20"/>
          <w:szCs w:val="20"/>
          <w:color w:val="auto"/>
        </w:rPr>
      </w:pPr>
      <w:r>
        <w:rPr>
          <w:rFonts w:ascii="Arial" w:cs="Arial" w:eastAsia="Arial" w:hAnsi="Arial"/>
          <w:sz w:val="15"/>
          <w:szCs w:val="15"/>
          <w:color w:val="auto"/>
        </w:rPr>
        <w:t>Section 11.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 If required by the Board of Directors, he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 vouchers, money and other property of whatever kind in his possession or under his control belonging to the Corporation.</w:t>
      </w:r>
    </w:p>
    <w:p>
      <w:pPr>
        <w:spacing w:after="0" w:line="154"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Section 12. The assistant treasurer (or, if there shall be more than one, the assistant treasurers in the order determined by the Board of Directors, or, if there be no such determination, then in the order of</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460"/>
          </w:cols>
          <w:pgMar w:left="220" w:top="502" w:right="219" w:bottom="1440" w:gutter="0" w:footer="0" w:header="0"/>
        </w:sectPr>
      </w:pPr>
    </w:p>
    <w:bookmarkStart w:id="54" w:name="page55"/>
    <w:bookmarkEnd w:id="54"/>
    <w:p>
      <w:pPr>
        <w:jc w:val="both"/>
        <w:spacing w:after="0" w:line="261" w:lineRule="auto"/>
        <w:rPr>
          <w:sz w:val="20"/>
          <w:szCs w:val="20"/>
          <w:color w:val="auto"/>
        </w:rPr>
      </w:pPr>
      <w:r>
        <w:rPr>
          <w:rFonts w:ascii="Arial" w:cs="Arial" w:eastAsia="Arial" w:hAnsi="Arial"/>
          <w:sz w:val="18"/>
          <w:szCs w:val="18"/>
          <w:color w:val="auto"/>
        </w:rPr>
        <w:t>their election) shall, in the absence of the treasurer or in the event of his inability or refusal to act, perform the duties and exercise the powers of the treasurer and shall perform such other duties and have such other powers as the Board of Directors may from time to time prescribe.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CERTIFICATES OF STOCK</w:t>
      </w:r>
    </w:p>
    <w:p>
      <w:pPr>
        <w:spacing w:after="0" w:line="218" w:lineRule="exact"/>
        <w:rPr>
          <w:sz w:val="20"/>
          <w:szCs w:val="20"/>
          <w:color w:val="auto"/>
        </w:rPr>
      </w:pPr>
    </w:p>
    <w:p>
      <w:pPr>
        <w:jc w:val="both"/>
        <w:ind w:firstLine="529"/>
        <w:spacing w:after="0" w:line="260" w:lineRule="auto"/>
        <w:rPr>
          <w:sz w:val="20"/>
          <w:szCs w:val="20"/>
          <w:color w:val="auto"/>
        </w:rPr>
      </w:pPr>
      <w:r>
        <w:rPr>
          <w:rFonts w:ascii="Arial" w:cs="Arial" w:eastAsia="Arial" w:hAnsi="Arial"/>
          <w:sz w:val="17"/>
          <w:szCs w:val="17"/>
          <w:color w:val="auto"/>
        </w:rPr>
        <w:t>Section 1. The shares of the Corporation’s stock may be certificated or uncertificated, as provided under Delaware law, and shall be entered in the books of the Corporation and registered as they are issued. Any certificates representing shares of stock shall be signed by, or in the name of the Corporation by, the president or a vice president and the treasurer or an assistant treasurer, or the Secretary or an assistant secretary of the Corporation, certifying the number and class of shares of stock of the Corporation owned by the holder thereof. If the Corporation shall be authorized to issue more than one class of stock or more than one series of any class, the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General Corporation Law of Delaware, in lieu of the foregoing requirements, there may be set forth on the face or back of the certificate which the Corporation shall issue to represent such class or series of Stock, a statement that the Corporation will furnish without charge to each stockholder who so requests the designations, preferences and relative, participating, optional or other special rights of each class of stock or series thereof and the qualifications, limitations or restrictions of such preferences and/or rights.</w:t>
      </w:r>
    </w:p>
    <w:p>
      <w:pPr>
        <w:spacing w:after="0" w:line="184" w:lineRule="exact"/>
        <w:rPr>
          <w:sz w:val="20"/>
          <w:szCs w:val="20"/>
          <w:color w:val="auto"/>
        </w:rPr>
      </w:pPr>
    </w:p>
    <w:p>
      <w:pPr>
        <w:jc w:val="both"/>
        <w:ind w:firstLine="529"/>
        <w:spacing w:after="0" w:line="268" w:lineRule="auto"/>
        <w:rPr>
          <w:sz w:val="20"/>
          <w:szCs w:val="20"/>
          <w:color w:val="auto"/>
        </w:rPr>
      </w:pPr>
      <w:r>
        <w:rPr>
          <w:rFonts w:ascii="Arial" w:cs="Arial" w:eastAsia="Arial" w:hAnsi="Arial"/>
          <w:sz w:val="17"/>
          <w:szCs w:val="17"/>
          <w:color w:val="auto"/>
        </w:rPr>
        <w:t>Section 2. Where a certificate is countersigned (1) by a transfer agent other than the Corporation or its employee, or, (2) by a registrar other than the Corporation or its employee, any other signature on the certificate may be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Lost Certificates</w:t>
      </w:r>
    </w:p>
    <w:p>
      <w:pPr>
        <w:spacing w:after="0" w:line="218" w:lineRule="exact"/>
        <w:rPr>
          <w:sz w:val="20"/>
          <w:szCs w:val="20"/>
          <w:color w:val="auto"/>
        </w:rPr>
      </w:pPr>
    </w:p>
    <w:p>
      <w:pPr>
        <w:jc w:val="both"/>
        <w:ind w:firstLine="529"/>
        <w:spacing w:after="0" w:line="263" w:lineRule="auto"/>
        <w:rPr>
          <w:sz w:val="20"/>
          <w:szCs w:val="20"/>
          <w:color w:val="auto"/>
        </w:rPr>
      </w:pPr>
      <w:r>
        <w:rPr>
          <w:rFonts w:ascii="Arial" w:cs="Arial" w:eastAsia="Arial" w:hAnsi="Arial"/>
          <w:sz w:val="17"/>
          <w:szCs w:val="17"/>
          <w:color w:val="auto"/>
        </w:rPr>
        <w:t>Section 3. The Board of Directors may issue a certificate or certificates or uncertificated shares in place of any certificate(s) theretofore issued by the Corporation alleged to have been lost, stolen or destroyed, upon the making of an affidavit of that fact by the person claiming the certificate(s) of stock to be lost, stolen or destroyed. When authorizing such issue of a new certificate or certificates, the Board of Directors may, in its discretion and as a condition precedent to the issuance thereof, require the owner of such lost, stolen or destroyed certificate(s), or his legal representative, to advertise the same in such manner as it shall require and/or to give the Corporation a bond in such sum as it may direct as indemnity against any claim that may be made against the Corporation with respect to the certificate(s) alleged to have been lost, stolen or destroyed.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Transfers of Stock</w:t>
      </w:r>
    </w:p>
    <w:p>
      <w:pPr>
        <w:spacing w:after="0" w:line="218" w:lineRule="exact"/>
        <w:rPr>
          <w:sz w:val="20"/>
          <w:szCs w:val="20"/>
          <w:color w:val="auto"/>
        </w:rPr>
      </w:pPr>
    </w:p>
    <w:p>
      <w:pPr>
        <w:jc w:val="both"/>
        <w:ind w:firstLine="529"/>
        <w:spacing w:after="0" w:line="252" w:lineRule="auto"/>
        <w:rPr>
          <w:sz w:val="20"/>
          <w:szCs w:val="20"/>
          <w:color w:val="auto"/>
        </w:rPr>
      </w:pPr>
      <w:r>
        <w:rPr>
          <w:rFonts w:ascii="Arial" w:cs="Arial" w:eastAsia="Arial" w:hAnsi="Arial"/>
          <w:sz w:val="18"/>
          <w:szCs w:val="18"/>
          <w:color w:val="auto"/>
        </w:rPr>
        <w:t>Section 4. Transfers of shares may be made only by the record holder of such shares, or by an attorney lawfully constituted in writing, which transfer shall be made on the books of the Corporation, and, in the case of shares represented by a certificate, such transfer may only be made upon surrender of the certificate to the Corporation. The Corporation shall cancel any such surrendered certificate.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460"/>
          </w:cols>
          <w:pgMar w:left="220" w:top="508" w:right="21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Fixing Record Date</w:t>
      </w:r>
    </w:p>
    <w:p>
      <w:pPr>
        <w:spacing w:after="0" w:line="185" w:lineRule="exact"/>
        <w:rPr>
          <w:sz w:val="20"/>
          <w:szCs w:val="20"/>
          <w:color w:val="auto"/>
        </w:rPr>
      </w:pPr>
    </w:p>
    <w:p>
      <w:pPr>
        <w:jc w:val="both"/>
        <w:ind w:firstLine="529"/>
        <w:spacing w:after="0" w:line="305" w:lineRule="auto"/>
        <w:rPr>
          <w:sz w:val="20"/>
          <w:szCs w:val="20"/>
          <w:color w:val="auto"/>
        </w:rPr>
      </w:pPr>
      <w:r>
        <w:rPr>
          <w:rFonts w:ascii="Arial" w:cs="Arial" w:eastAsia="Arial" w:hAnsi="Arial"/>
          <w:sz w:val="15"/>
          <w:szCs w:val="15"/>
          <w:color w:val="auto"/>
        </w:rPr>
        <w:t>Section 5.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(60) nor less than ten (10) days before the date of such meeting, nor more than sixty (60) days prior to any other action.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Stock Holders</w:t>
      </w:r>
    </w:p>
    <w:p>
      <w:pPr>
        <w:spacing w:after="0" w:line="218" w:lineRule="exact"/>
        <w:rPr>
          <w:sz w:val="20"/>
          <w:szCs w:val="20"/>
          <w:color w:val="auto"/>
        </w:rPr>
      </w:pPr>
    </w:p>
    <w:p>
      <w:pPr>
        <w:jc w:val="both"/>
        <w:ind w:firstLine="529"/>
        <w:spacing w:after="0" w:line="249" w:lineRule="auto"/>
        <w:rPr>
          <w:sz w:val="20"/>
          <w:szCs w:val="20"/>
          <w:color w:val="auto"/>
        </w:rPr>
      </w:pPr>
      <w:r>
        <w:rPr>
          <w:rFonts w:ascii="Arial" w:cs="Arial" w:eastAsia="Arial" w:hAnsi="Arial"/>
          <w:sz w:val="18"/>
          <w:szCs w:val="18"/>
          <w:color w:val="auto"/>
        </w:rPr>
        <w:t>Section 6.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18" w:lineRule="exact"/>
        <w:rPr>
          <w:sz w:val="20"/>
          <w:szCs w:val="20"/>
          <w:color w:val="auto"/>
        </w:rPr>
      </w:pPr>
    </w:p>
    <w:p>
      <w:pPr>
        <w:jc w:val="both"/>
        <w:ind w:firstLine="529"/>
        <w:spacing w:after="0" w:line="252" w:lineRule="auto"/>
        <w:rPr>
          <w:sz w:val="20"/>
          <w:szCs w:val="20"/>
          <w:color w:val="auto"/>
        </w:rPr>
      </w:pPr>
      <w:r>
        <w:rPr>
          <w:rFonts w:ascii="Arial" w:cs="Arial" w:eastAsia="Arial" w:hAnsi="Arial"/>
          <w:sz w:val="18"/>
          <w:szCs w:val="18"/>
          <w:color w:val="auto"/>
        </w:rPr>
        <w:t>Section 1. Dividends upon the capital stock of the Corporation, subject to the provisions of the certificate of incorporation, if any, may be declared by the Board of Directors at any regular or special meetings, pursuant to law. Dividends may be paid in cash, in property, or in shares of the capital stock, subject to the provisions of the certificate of incorporation.</w:t>
      </w:r>
    </w:p>
    <w:p>
      <w:pPr>
        <w:spacing w:after="0" w:line="186" w:lineRule="exact"/>
        <w:rPr>
          <w:sz w:val="20"/>
          <w:szCs w:val="20"/>
          <w:color w:val="auto"/>
        </w:rPr>
      </w:pPr>
    </w:p>
    <w:p>
      <w:pPr>
        <w:jc w:val="both"/>
        <w:ind w:firstLine="529"/>
        <w:spacing w:after="0" w:line="249" w:lineRule="auto"/>
        <w:rPr>
          <w:sz w:val="20"/>
          <w:szCs w:val="20"/>
          <w:color w:val="auto"/>
        </w:rPr>
      </w:pPr>
      <w:r>
        <w:rPr>
          <w:rFonts w:ascii="Arial" w:cs="Arial" w:eastAsia="Arial" w:hAnsi="Arial"/>
          <w:sz w:val="18"/>
          <w:szCs w:val="18"/>
          <w:color w:val="auto"/>
        </w:rPr>
        <w:t>Section 2.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Statement</w:t>
      </w:r>
    </w:p>
    <w:p>
      <w:pPr>
        <w:spacing w:after="0" w:line="218"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Section 3. The Board of Directors shall present at each annual meeting, and at any special meeting of the stockholders when called for by vote of the stockholders, a full and clear statement of the business and condition of the Corporation.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Checks</w:t>
      </w:r>
    </w:p>
    <w:p>
      <w:pPr>
        <w:spacing w:after="0" w:line="185"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Section 4. All checks or demands for money and notes of the Corporation shall be signed by such officer or officers or such other person or persons as the Board of Directors may from time to time designate.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460"/>
          </w:cols>
          <w:pgMar w:left="220" w:top="503" w:right="21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Fiscal Year</w:t>
      </w:r>
    </w:p>
    <w:p>
      <w:pPr>
        <w:spacing w:after="0" w:line="185" w:lineRule="exact"/>
        <w:rPr>
          <w:sz w:val="20"/>
          <w:szCs w:val="20"/>
          <w:color w:val="auto"/>
        </w:rPr>
      </w:pPr>
    </w:p>
    <w:p>
      <w:pPr>
        <w:ind w:firstLine="529"/>
        <w:spacing w:after="0" w:line="261" w:lineRule="auto"/>
        <w:rPr>
          <w:sz w:val="20"/>
          <w:szCs w:val="20"/>
          <w:color w:val="auto"/>
        </w:rPr>
      </w:pPr>
      <w:r>
        <w:rPr>
          <w:rFonts w:ascii="Arial" w:cs="Arial" w:eastAsia="Arial" w:hAnsi="Arial"/>
          <w:sz w:val="18"/>
          <w:szCs w:val="18"/>
          <w:color w:val="auto"/>
        </w:rPr>
        <w:t>Section 5. The fiscal year of the Corporation shall begin on the first day of July of each year and end on the last day of June of each year, unless otherwise determined by the Board of Directors.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Seal</w:t>
      </w:r>
    </w:p>
    <w:p>
      <w:pPr>
        <w:spacing w:after="0" w:line="185" w:lineRule="exact"/>
        <w:rPr>
          <w:sz w:val="20"/>
          <w:szCs w:val="20"/>
          <w:color w:val="auto"/>
        </w:rPr>
      </w:pPr>
    </w:p>
    <w:p>
      <w:pPr>
        <w:ind w:firstLine="529"/>
        <w:spacing w:after="0" w:line="291" w:lineRule="auto"/>
        <w:rPr>
          <w:sz w:val="20"/>
          <w:szCs w:val="20"/>
          <w:color w:val="auto"/>
        </w:rPr>
      </w:pPr>
      <w:r>
        <w:rPr>
          <w:rFonts w:ascii="Arial" w:cs="Arial" w:eastAsia="Arial" w:hAnsi="Arial"/>
          <w:sz w:val="17"/>
          <w:szCs w:val="17"/>
          <w:color w:val="auto"/>
        </w:rPr>
        <w:t>Section 6. The corporate seal shall have inscribed thereon the name of the Corporation, the year of its organization and the words “Corporate Seal, Delaware”. The seal may be used by causing it or a facsimile thereof to be impressed or affixed or reproduced or otherwise placed thereon.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Interested Directors and Officers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Section 7.</w:t>
      </w:r>
    </w:p>
    <w:p>
      <w:pPr>
        <w:spacing w:after="0" w:line="212" w:lineRule="exact"/>
        <w:rPr>
          <w:sz w:val="20"/>
          <w:szCs w:val="20"/>
          <w:color w:val="auto"/>
        </w:rPr>
      </w:pPr>
    </w:p>
    <w:p>
      <w:pPr>
        <w:jc w:val="both"/>
        <w:ind w:firstLine="1066"/>
        <w:spacing w:after="0" w:line="314" w:lineRule="auto"/>
        <w:tabs>
          <w:tab w:leader="none" w:pos="1783" w:val="left"/>
        </w:tabs>
        <w:numPr>
          <w:ilvl w:val="0"/>
          <w:numId w:val="27"/>
        </w:numPr>
        <w:rPr>
          <w:rFonts w:ascii="Arial" w:cs="Arial" w:eastAsia="Arial" w:hAnsi="Arial"/>
          <w:sz w:val="15"/>
          <w:szCs w:val="15"/>
          <w:color w:val="auto"/>
        </w:rPr>
      </w:pPr>
      <w:r>
        <w:rPr>
          <w:rFonts w:ascii="Arial" w:cs="Arial" w:eastAsia="Arial" w:hAnsi="Arial"/>
          <w:sz w:val="15"/>
          <w:szCs w:val="15"/>
          <w:color w:val="auto"/>
        </w:rPr>
        <w:t>No contract or transaction between a Corporation and one or more of its Directors or officers, or between a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his or their votes are counted for such purposes, if;</w:t>
      </w:r>
    </w:p>
    <w:p>
      <w:pPr>
        <w:spacing w:after="0" w:line="144" w:lineRule="exact"/>
        <w:rPr>
          <w:rFonts w:ascii="Arial" w:cs="Arial" w:eastAsia="Arial" w:hAnsi="Arial"/>
          <w:sz w:val="15"/>
          <w:szCs w:val="15"/>
          <w:color w:val="auto"/>
        </w:rPr>
      </w:pPr>
    </w:p>
    <w:p>
      <w:pPr>
        <w:jc w:val="both"/>
        <w:ind w:firstLine="1595"/>
        <w:spacing w:after="0" w:line="252" w:lineRule="auto"/>
        <w:tabs>
          <w:tab w:leader="none" w:pos="2283"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material facts as to his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w:t>
      </w:r>
    </w:p>
    <w:p>
      <w:pPr>
        <w:spacing w:after="0" w:line="185" w:lineRule="exact"/>
        <w:rPr>
          <w:rFonts w:ascii="Arial" w:cs="Arial" w:eastAsia="Arial" w:hAnsi="Arial"/>
          <w:sz w:val="18"/>
          <w:szCs w:val="18"/>
          <w:color w:val="auto"/>
        </w:rPr>
      </w:pPr>
    </w:p>
    <w:p>
      <w:pPr>
        <w:ind w:firstLine="1595"/>
        <w:spacing w:after="0" w:line="261" w:lineRule="auto"/>
        <w:tabs>
          <w:tab w:leader="none" w:pos="2332"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material facts as to his relationship or interest and as to the contract or transaction are disclosed or are known to the stockholders entitled to vote thereon, and the contract for transaction is specifically approved in good faith by vote of the stockholders; or</w:t>
      </w:r>
    </w:p>
    <w:p>
      <w:pPr>
        <w:spacing w:after="0" w:line="178" w:lineRule="exact"/>
        <w:rPr>
          <w:rFonts w:ascii="Arial" w:cs="Arial" w:eastAsia="Arial" w:hAnsi="Arial"/>
          <w:sz w:val="18"/>
          <w:szCs w:val="18"/>
          <w:color w:val="auto"/>
        </w:rPr>
      </w:pPr>
    </w:p>
    <w:p>
      <w:pPr>
        <w:ind w:firstLine="1595"/>
        <w:spacing w:after="0" w:line="261" w:lineRule="auto"/>
        <w:tabs>
          <w:tab w:leader="none" w:pos="2381"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contract or transaction is fair as to the Corporation as of the time it is authorized, approved or ratified, by the Board of Directors, a committee thereof, or the stockholders.</w:t>
      </w:r>
    </w:p>
    <w:p>
      <w:pPr>
        <w:spacing w:after="0" w:line="178" w:lineRule="exact"/>
        <w:rPr>
          <w:rFonts w:ascii="Arial" w:cs="Arial" w:eastAsia="Arial" w:hAnsi="Arial"/>
          <w:sz w:val="18"/>
          <w:szCs w:val="18"/>
          <w:color w:val="auto"/>
        </w:rPr>
      </w:pPr>
    </w:p>
    <w:p>
      <w:pPr>
        <w:ind w:firstLine="1066"/>
        <w:spacing w:after="0" w:line="261" w:lineRule="auto"/>
        <w:tabs>
          <w:tab w:leader="none" w:pos="1793"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Common or interested Directors may be counted in determining the presence of a quorum at a meeting of the Board of Directors or of a committee which authorizes the contract or transaction.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185"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7"/>
          <w:szCs w:val="17"/>
          <w:color w:val="auto"/>
        </w:rPr>
        <w:t>Section 8. Unless the Corporation consents in writing to the selection of an alternative forum, the sole and exclusive forum for (i) any derivative action or proceeding brought on behalf of the Corporation, (ii) any action asserting a claim of breach of a fiduciary duty owed by any Director or officer or other employee of the Corporation to the Corporation or the Corporation’s stockholders, (iii) any action asserting a claim against the Corporation or any Director or officer or other employee of the Corporation arising pursuant to any provision of the Delaware General Corporation Law or the certificate of incorporation or these Bylaws (as either may be amended from time to time), or (iv) any action asserting a claim against the Corporation or any Director or officer or other employee of the Corporation governed by the internal affairs doctrine shall, in each case, be the Court of Chancery in the State of Delaware (or, if the Court of Chancery does not have jurisdiction, the federal district court for the District of Delaware). If any action the subject matter of which is within the scope of the preceding sentence is filed in a court other than a court located within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460"/>
          </w:cols>
          <w:pgMar w:left="220" w:top="502" w:right="219" w:bottom="1440" w:gutter="0" w:footer="0" w:header="0"/>
        </w:sectPr>
      </w:pPr>
    </w:p>
    <w:bookmarkStart w:id="57" w:name="page58"/>
    <w:bookmarkEnd w:id="57"/>
    <w:p>
      <w:pPr>
        <w:jc w:val="both"/>
        <w:spacing w:after="0" w:line="305" w:lineRule="auto"/>
        <w:rPr>
          <w:sz w:val="20"/>
          <w:szCs w:val="20"/>
          <w:color w:val="auto"/>
        </w:rPr>
      </w:pPr>
      <w:r>
        <w:rPr>
          <w:rFonts w:ascii="Arial" w:cs="Arial" w:eastAsia="Arial" w:hAnsi="Arial"/>
          <w:sz w:val="15"/>
          <w:szCs w:val="15"/>
          <w:color w:val="auto"/>
        </w:rPr>
        <w:t>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the preceding sentence and (ii) having service of process made upon such stockholder in any such action by service upon such stockholder’s counsel in the Foreign Action as agent for such stockholder. Any person or entity purchasing or otherwise acquiring any interest in shares of capital stock of the Corporation shall be deemed to have notice of and consented to the provisions of this Section 8 of Article VII. The existence of any prior consent to an alternative forum shall not act as a waiver of the Corporation’s ongoing consent right as set forth above in this Section 8 of Article VII with respect to any current or future actions or claims.</w:t>
      </w:r>
    </w:p>
    <w:p>
      <w:pPr>
        <w:spacing w:after="0" w:line="112"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VIII</w:t>
      </w:r>
    </w:p>
    <w:p>
      <w:pPr>
        <w:spacing w:after="0" w:line="179"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AMENDMENTS</w:t>
      </w:r>
    </w:p>
    <w:p>
      <w:pPr>
        <w:spacing w:after="0" w:line="218" w:lineRule="exact"/>
        <w:rPr>
          <w:sz w:val="20"/>
          <w:szCs w:val="20"/>
          <w:color w:val="auto"/>
        </w:rPr>
      </w:pPr>
    </w:p>
    <w:p>
      <w:pPr>
        <w:jc w:val="both"/>
        <w:ind w:firstLine="529"/>
        <w:spacing w:after="0" w:line="249" w:lineRule="auto"/>
        <w:rPr>
          <w:sz w:val="20"/>
          <w:szCs w:val="20"/>
          <w:color w:val="auto"/>
        </w:rPr>
      </w:pPr>
      <w:r>
        <w:rPr>
          <w:rFonts w:ascii="Arial" w:cs="Arial" w:eastAsia="Arial" w:hAnsi="Arial"/>
          <w:sz w:val="18"/>
          <w:szCs w:val="18"/>
          <w:color w:val="auto"/>
        </w:rPr>
        <w:t>Section 1. These Bylaws may be altered, amended or repealed or new bylaws may be adopted by the stockholders or by the Board of Directors at any regular meeting of the stockholders or of the Board of Directors or at any special meeting of the stockholders or of the Board of Directors if notice of such alteration, amendment, repeal or adoption of new bylaws are contained in the notice of such special meeting. These Bylaws may also be amended in accordance with any other provision of these Bylaws.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AND INSURANCE</w:t>
      </w:r>
    </w:p>
    <w:p>
      <w:pPr>
        <w:spacing w:after="0" w:line="212" w:lineRule="exact"/>
        <w:rPr>
          <w:sz w:val="20"/>
          <w:szCs w:val="20"/>
          <w:color w:val="auto"/>
        </w:rPr>
      </w:pPr>
    </w:p>
    <w:p>
      <w:pPr>
        <w:jc w:val="right"/>
        <w:ind w:right="10240"/>
        <w:spacing w:after="0"/>
        <w:rPr>
          <w:sz w:val="20"/>
          <w:szCs w:val="20"/>
          <w:color w:val="auto"/>
        </w:rPr>
      </w:pPr>
      <w:r>
        <w:rPr>
          <w:rFonts w:ascii="Arial" w:cs="Arial" w:eastAsia="Arial" w:hAnsi="Arial"/>
          <w:sz w:val="15"/>
          <w:szCs w:val="15"/>
          <w:b w:val="1"/>
          <w:bCs w:val="1"/>
          <w:color w:val="auto"/>
        </w:rPr>
        <w:t>Indemnification</w:t>
      </w:r>
    </w:p>
    <w:p>
      <w:pPr>
        <w:spacing w:after="0" w:line="219" w:lineRule="exact"/>
        <w:rPr>
          <w:sz w:val="20"/>
          <w:szCs w:val="20"/>
          <w:color w:val="auto"/>
        </w:rPr>
      </w:pPr>
    </w:p>
    <w:p>
      <w:pPr>
        <w:jc w:val="right"/>
        <w:ind w:right="10220"/>
        <w:spacing w:after="0"/>
        <w:rPr>
          <w:sz w:val="20"/>
          <w:szCs w:val="20"/>
          <w:color w:val="auto"/>
        </w:rPr>
      </w:pPr>
      <w:r>
        <w:rPr>
          <w:rFonts w:ascii="Arial" w:cs="Arial" w:eastAsia="Arial" w:hAnsi="Arial"/>
          <w:sz w:val="18"/>
          <w:szCs w:val="18"/>
          <w:color w:val="auto"/>
        </w:rPr>
        <w:t>Section 1.</w:t>
      </w:r>
    </w:p>
    <w:p>
      <w:pPr>
        <w:spacing w:after="0" w:line="212" w:lineRule="exact"/>
        <w:rPr>
          <w:sz w:val="20"/>
          <w:szCs w:val="20"/>
          <w:color w:val="auto"/>
        </w:rPr>
      </w:pPr>
    </w:p>
    <w:p>
      <w:pPr>
        <w:jc w:val="both"/>
        <w:ind w:firstLine="1066"/>
        <w:spacing w:after="0" w:line="265" w:lineRule="auto"/>
        <w:tabs>
          <w:tab w:leader="none" w:pos="1783"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Subject to Section 3 of this Article IX, the Corporation shall indemnify, to the full extent that it shall have power under applicable law to do so and in a manner permitted by such law, any person made or threatened to be made a party to any threatened, pending, or completed action, lawsuit, or proceeding, whether civil, criminal, administrative, or investigative (a “proceeding”), by reason of the fact that such person is or was a Director or officer of the Corporation or is or was serving at the request of Corporation as a Director or officer of another corporation, partnership, joint venture, trust or other enterprise, including service with respect to an employee benefit plan (collectively, “another enterprise”).</w:t>
      </w:r>
    </w:p>
    <w:p>
      <w:pPr>
        <w:spacing w:after="0" w:line="177" w:lineRule="exact"/>
        <w:rPr>
          <w:rFonts w:ascii="Arial" w:cs="Arial" w:eastAsia="Arial" w:hAnsi="Arial"/>
          <w:sz w:val="17"/>
          <w:szCs w:val="17"/>
          <w:color w:val="auto"/>
        </w:rPr>
      </w:pPr>
    </w:p>
    <w:p>
      <w:pPr>
        <w:jc w:val="both"/>
        <w:ind w:firstLine="1066"/>
        <w:spacing w:after="0" w:line="252" w:lineRule="auto"/>
        <w:tabs>
          <w:tab w:leader="none" w:pos="179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Corporation may indemnify, to the full extent that it shall have power under applicable law to do so and in a manner permitted by such law, any person made or threatened to be made a party to any proceeding, by reason of the fact that such person is or was an employee or agent of the Corporation or is or was serving at the request of the Corporation as an employee or agent of another enterprise.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Advancement of Expenses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Section 2.</w:t>
      </w:r>
    </w:p>
    <w:p>
      <w:pPr>
        <w:spacing w:after="0" w:line="212" w:lineRule="exact"/>
        <w:rPr>
          <w:sz w:val="20"/>
          <w:szCs w:val="20"/>
          <w:color w:val="auto"/>
        </w:rPr>
      </w:pPr>
    </w:p>
    <w:p>
      <w:pPr>
        <w:jc w:val="both"/>
        <w:ind w:firstLine="1066"/>
        <w:spacing w:after="0" w:line="249" w:lineRule="auto"/>
        <w:tabs>
          <w:tab w:leader="none" w:pos="1783"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Subject to Section 3 of this Article IX, with respect to any person made or threatened to be made a party to any threatened, pending, or completed proceeding, by reason of the fact that such person is or was a Director or officer of the Corporation or is or was serving at the request of the Corporation as a Director or officer of another enterprise, the Corporation shall pay the expenses (including attorneys’ fees) incurred by such person in defending any such proceeding in advance of its final disposition (an “advancement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460"/>
          </w:cols>
          <w:pgMar w:left="220" w:top="508" w:right="219" w:bottom="1440" w:gutter="0" w:footer="0" w:header="0"/>
        </w:sectPr>
      </w:pPr>
    </w:p>
    <w:bookmarkStart w:id="58" w:name="page59"/>
    <w:bookmarkEnd w:id="58"/>
    <w:p>
      <w:pPr>
        <w:jc w:val="both"/>
        <w:spacing w:after="0" w:line="252" w:lineRule="auto"/>
        <w:rPr>
          <w:sz w:val="20"/>
          <w:szCs w:val="20"/>
          <w:color w:val="auto"/>
        </w:rPr>
      </w:pPr>
      <w:r>
        <w:rPr>
          <w:rFonts w:ascii="Arial" w:cs="Arial" w:eastAsia="Arial" w:hAnsi="Arial"/>
          <w:sz w:val="18"/>
          <w:szCs w:val="18"/>
          <w:color w:val="auto"/>
        </w:rPr>
        <w:t>of expenses”); provided, however, that any advancement of expenses shall be made only upon receipt of a written agreement by such person to repay all amounts advanced if it shall ultimately be determined by final judicial decision from which there is no further right to appeal that such person is not entitled to be indemnified for such expenses under this Article IX or otherwise.</w:t>
      </w:r>
    </w:p>
    <w:p>
      <w:pPr>
        <w:spacing w:after="0" w:line="186" w:lineRule="exact"/>
        <w:rPr>
          <w:sz w:val="20"/>
          <w:szCs w:val="20"/>
          <w:color w:val="auto"/>
        </w:rPr>
      </w:pPr>
    </w:p>
    <w:p>
      <w:pPr>
        <w:jc w:val="both"/>
        <w:ind w:firstLine="1066"/>
        <w:spacing w:after="0" w:line="249" w:lineRule="auto"/>
        <w:tabs>
          <w:tab w:leader="none" w:pos="1793"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 respect to any person made or threatened to be made a party to any proceeding, by reason of the fact that such person is or was an employee or agent of the Corporation, or is or was serving at the request of the Corporation as an employee or agent of another enterprise, the Corporation may, in its discretion and upon such terms and conditions, if any, as the Corporation deems appropriate, pay the expenses (including attorneys’ fees) incurred by such person in defending any such proceeding in advance of its final disposition.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Actions Initiated Against the Corporation</w:t>
      </w:r>
    </w:p>
    <w:p>
      <w:pPr>
        <w:spacing w:after="0" w:line="185" w:lineRule="exact"/>
        <w:rPr>
          <w:sz w:val="20"/>
          <w:szCs w:val="20"/>
          <w:color w:val="auto"/>
        </w:rPr>
      </w:pPr>
    </w:p>
    <w:p>
      <w:pPr>
        <w:jc w:val="both"/>
        <w:ind w:firstLine="529"/>
        <w:spacing w:after="0" w:line="265" w:lineRule="auto"/>
        <w:rPr>
          <w:sz w:val="20"/>
          <w:szCs w:val="20"/>
          <w:color w:val="auto"/>
        </w:rPr>
      </w:pPr>
      <w:r>
        <w:rPr>
          <w:rFonts w:ascii="Arial" w:cs="Arial" w:eastAsia="Arial" w:hAnsi="Arial"/>
          <w:sz w:val="17"/>
          <w:szCs w:val="17"/>
          <w:color w:val="auto"/>
        </w:rPr>
        <w:t>Section 3. Notwithstanding anything contained in Section 1(a) or Section 2(a) of this Article IX to the contrary, and except as provided in Section 5(b) of this Article IX with respect to a proceeding initiated against the Corporation by a Director or officer of the Corporation (or by a person serving at the request of the Corporation as a Director or officer of another enterprise), the Corporation shall not be required to indemnify or to advance expenses (including attorneys’ fees) to such person in connection with prosecuting the proceeding (or part thereof) or in defending any counterclaim, cross- claim, affirmative defense or like claim of the Corporation in such proceeding (or part thereof) unless the proceeding was authorized by the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Rights</w:t>
      </w:r>
    </w:p>
    <w:p>
      <w:pPr>
        <w:spacing w:after="0" w:line="218" w:lineRule="exact"/>
        <w:rPr>
          <w:sz w:val="20"/>
          <w:szCs w:val="20"/>
          <w:color w:val="auto"/>
        </w:rPr>
      </w:pPr>
    </w:p>
    <w:p>
      <w:pPr>
        <w:jc w:val="both"/>
        <w:ind w:firstLine="529"/>
        <w:spacing w:after="0" w:line="245" w:lineRule="auto"/>
        <w:rPr>
          <w:sz w:val="20"/>
          <w:szCs w:val="20"/>
          <w:color w:val="auto"/>
        </w:rPr>
      </w:pPr>
      <w:r>
        <w:rPr>
          <w:rFonts w:ascii="Arial" w:cs="Arial" w:eastAsia="Arial" w:hAnsi="Arial"/>
          <w:sz w:val="18"/>
          <w:szCs w:val="18"/>
          <w:color w:val="auto"/>
        </w:rPr>
        <w:t>Section 4. With respect to any person made or threatened to be made a party to any proceeding, by reason of the fact that the person is or was a Director or officer of the Corporation or is or was serving at the request of the Corporation as a Director or officer of another enterprise, the rights to indemnification and to the advancement of expenses conferred in Sections 1(a) and 2(a) of this Article IX shall be contract rights. Any amendment, repeal, modification, or adoption of any provision inconsistent with this Article IX shall not adversely affect any right to indemnification or advancement of expenses granted to any person pursuant to this Article IX with respect to any act or omission of the person occurring prior to the time of such amendment, repeal, modification, or adoption (regardless of whether the proceeding relating to such acts or omissions is commenced before or after the time of such amendment, repeal, modification, or adoption).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Claims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Section 5.</w:t>
      </w:r>
    </w:p>
    <w:p>
      <w:pPr>
        <w:spacing w:after="0" w:line="179" w:lineRule="exact"/>
        <w:rPr>
          <w:sz w:val="20"/>
          <w:szCs w:val="20"/>
          <w:color w:val="auto"/>
        </w:rPr>
      </w:pPr>
    </w:p>
    <w:p>
      <w:pPr>
        <w:jc w:val="both"/>
        <w:ind w:firstLine="1066"/>
        <w:spacing w:after="0" w:line="247" w:lineRule="auto"/>
        <w:tabs>
          <w:tab w:leader="none" w:pos="1783"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 claim under Section 1(a) of this Article IX with respect to any right to indemnification is not paid in full by the Corporation within 60 days after a written demand has been received by the Corporation or a claim under Section 2(a) of this Article IX with respect to any right to the advancement of expenses is not paid in full by the Corporation within 20 days after a written demand has been received by the Corporation, then the person seeking to enforce a right to indemnification or to an advancement of expenses may at any time thereafter bring a lawsuit against the Corporation to recover the unpaid amount of the claim.</w:t>
      </w:r>
    </w:p>
    <w:p>
      <w:pPr>
        <w:spacing w:after="0" w:line="191" w:lineRule="exact"/>
        <w:rPr>
          <w:rFonts w:ascii="Arial" w:cs="Arial" w:eastAsia="Arial" w:hAnsi="Arial"/>
          <w:sz w:val="18"/>
          <w:szCs w:val="18"/>
          <w:color w:val="auto"/>
        </w:rPr>
      </w:pPr>
    </w:p>
    <w:p>
      <w:pPr>
        <w:ind w:firstLine="1066"/>
        <w:spacing w:after="0" w:line="261" w:lineRule="auto"/>
        <w:tabs>
          <w:tab w:leader="none" w:pos="1793"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successful in whole or in part in any lawsuit brought pursuant to Section 5(a) of this Article IX, or in a lawsuit brought by the Corporation to recover an advancement of expenses, the person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1460"/>
          </w:cols>
          <w:pgMar w:left="220" w:top="508" w:right="219" w:bottom="1440" w:gutter="0" w:footer="0" w:header="0"/>
        </w:sectPr>
      </w:pPr>
    </w:p>
    <w:bookmarkStart w:id="59" w:name="page60"/>
    <w:bookmarkEnd w:id="59"/>
    <w:p>
      <w:pPr>
        <w:spacing w:after="0" w:line="361" w:lineRule="auto"/>
        <w:rPr>
          <w:sz w:val="20"/>
          <w:szCs w:val="20"/>
          <w:color w:val="auto"/>
        </w:rPr>
      </w:pPr>
      <w:r>
        <w:rPr>
          <w:rFonts w:ascii="Arial" w:cs="Arial" w:eastAsia="Arial" w:hAnsi="Arial"/>
          <w:sz w:val="15"/>
          <w:szCs w:val="15"/>
          <w:color w:val="auto"/>
        </w:rPr>
        <w:t>seeking to enforce a right to indemnification or an advancement of expenses or the person from whom the Corporation sought to recover an advancement of expenses shall be entitled to be paid by the Corporation the reasonable expenses (including attorneys’ fees) of prosecuting or defending such lawsuit.</w:t>
      </w:r>
    </w:p>
    <w:p>
      <w:pPr>
        <w:spacing w:after="0" w:line="109" w:lineRule="exact"/>
        <w:rPr>
          <w:sz w:val="20"/>
          <w:szCs w:val="20"/>
          <w:color w:val="auto"/>
        </w:rPr>
      </w:pPr>
    </w:p>
    <w:p>
      <w:pPr>
        <w:jc w:val="both"/>
        <w:ind w:firstLine="1066"/>
        <w:spacing w:after="0" w:line="261" w:lineRule="auto"/>
        <w:tabs>
          <w:tab w:leader="none" w:pos="1783"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 any lawsuit brought by a person seeking to enforce a right to indemnification (but not a lawsuit brought by a person seeking to enforce a right to an advancement of expenses), it shall be a defense that the person seeking to enforce a right to indemnification has not met any applicable standard for indemnification under applicable law. With respect to any lawsuit brought by a person seeking to enforce a right to indemnification or right to advancement of expenses, or any lawsuit brought by the Corporation to recover an advancement of expenses, neither the failure of the Corporation to have made a determination prior to commencement of such lawsuit that indemnification of such person is proper in the circumstances because such person has met the applicable standards of conduct under applicable law, nor an actual determination by the Corporation that such person has not met such applicable standards of conduct, shall create a presumption that such person has not met the applicable standards of conduct or, in a case brought by such person seeking to enforce a right to indemnification, be a defense to such lawsuit.</w:t>
      </w:r>
    </w:p>
    <w:p>
      <w:pPr>
        <w:spacing w:after="0" w:line="184" w:lineRule="exact"/>
        <w:rPr>
          <w:rFonts w:ascii="Arial" w:cs="Arial" w:eastAsia="Arial" w:hAnsi="Arial"/>
          <w:sz w:val="17"/>
          <w:szCs w:val="17"/>
          <w:color w:val="auto"/>
        </w:rPr>
      </w:pPr>
    </w:p>
    <w:p>
      <w:pPr>
        <w:jc w:val="both"/>
        <w:ind w:firstLine="1066"/>
        <w:spacing w:after="0" w:line="249" w:lineRule="auto"/>
        <w:tabs>
          <w:tab w:leader="none" w:pos="1793"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any lawsuit brought by a person seeking to enforce a right to indemnification or to an advancement of expenses or by the Corporation to recover an advancement of expenses, the burden shall be on the Corporation to prove that the person seeking to enforce a right to indemnification or to an advancement of expenses or the person from whom the Corporation seeks to recover an advancement of expenses is not entitled to be indemnified, or to such an advancement of expenses, under this Article IX or otherwise.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Entitlement to Indemnification</w:t>
      </w:r>
    </w:p>
    <w:p>
      <w:pPr>
        <w:spacing w:after="0" w:line="185" w:lineRule="exact"/>
        <w:rPr>
          <w:sz w:val="20"/>
          <w:szCs w:val="20"/>
          <w:color w:val="auto"/>
        </w:rPr>
      </w:pPr>
    </w:p>
    <w:p>
      <w:pPr>
        <w:jc w:val="both"/>
        <w:ind w:firstLine="529"/>
        <w:spacing w:after="0" w:line="260" w:lineRule="auto"/>
        <w:rPr>
          <w:sz w:val="20"/>
          <w:szCs w:val="20"/>
          <w:color w:val="auto"/>
        </w:rPr>
      </w:pPr>
      <w:r>
        <w:rPr>
          <w:rFonts w:ascii="Arial" w:cs="Arial" w:eastAsia="Arial" w:hAnsi="Arial"/>
          <w:sz w:val="17"/>
          <w:szCs w:val="17"/>
          <w:color w:val="auto"/>
        </w:rPr>
        <w:t>Section 6. Any indemnification required or permitted under this Article IX (unless ordered by a court) shall be made by the Corporation only as authorized in the specific case upon a determination that indemnification of the present or former Director, officer, employee, or agent is proper in the circumstances because he or she has met all applicable standards of conduct set forth in this Article IX and Section 145 of the Delaware General Corporation Law. Such determination shall be made, with respect to a person who is a Director or officer of the Corporation at the time of the determination: (1) by a majority vote of the Directors who are not parties to such action, lawsuit or proceeding, even though less than a quorum; (2) by a committee of such Directors designated by majority vote of such Directors, even though less than a quorum; (3) if there are no such Directors, or if such Directors so direct, by independent legal counsel in a written opinion; or (4) by the stockholders. Such determination shall be made, with respect to any person who is not a Director or officer of the Corporation at the time of such determination, in the manner determined by the Board of Directors (including in such manner as may be set forth in any general or specific action of the Board of Directors applicable to indemnification claims by such person) or in the manner set forth in any agreement to which such person and the Corporation are parties.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 Exclusive Rights</w:t>
      </w:r>
    </w:p>
    <w:p>
      <w:pPr>
        <w:spacing w:after="0" w:line="218" w:lineRule="exact"/>
        <w:rPr>
          <w:sz w:val="20"/>
          <w:szCs w:val="20"/>
          <w:color w:val="auto"/>
        </w:rPr>
      </w:pPr>
    </w:p>
    <w:p>
      <w:pPr>
        <w:jc w:val="both"/>
        <w:ind w:firstLine="529"/>
        <w:spacing w:after="0" w:line="249" w:lineRule="auto"/>
        <w:rPr>
          <w:sz w:val="20"/>
          <w:szCs w:val="20"/>
          <w:color w:val="auto"/>
        </w:rPr>
      </w:pPr>
      <w:r>
        <w:rPr>
          <w:rFonts w:ascii="Arial" w:cs="Arial" w:eastAsia="Arial" w:hAnsi="Arial"/>
          <w:sz w:val="18"/>
          <w:szCs w:val="18"/>
          <w:color w:val="auto"/>
        </w:rPr>
        <w:t>Section 7. The indemnification and advancement of expenses provided in this Article IX shall not be deemed exclusive of any other rights to which any person may be entitled under any bylaw, agreement, vote of stockholders or disinterested Directors, or otherwise, both as to action in such person’s official capacity and as to action in another capacity while holding such office, and shall continue as to a person who has ceased to be such Director, officer, employee, or agent and shall inure to the benefit of the heirs, executors, and administrators of such person.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1460"/>
          </w:cols>
          <w:pgMar w:left="220" w:top="508" w:right="21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Insurance</w:t>
      </w:r>
    </w:p>
    <w:p>
      <w:pPr>
        <w:spacing w:after="0" w:line="185" w:lineRule="exact"/>
        <w:rPr>
          <w:sz w:val="20"/>
          <w:szCs w:val="20"/>
          <w:color w:val="auto"/>
        </w:rPr>
      </w:pPr>
    </w:p>
    <w:p>
      <w:pPr>
        <w:jc w:val="both"/>
        <w:ind w:firstLine="529"/>
        <w:spacing w:after="0" w:line="268" w:lineRule="auto"/>
        <w:rPr>
          <w:sz w:val="20"/>
          <w:szCs w:val="20"/>
          <w:color w:val="auto"/>
        </w:rPr>
      </w:pPr>
      <w:r>
        <w:rPr>
          <w:rFonts w:ascii="Arial" w:cs="Arial" w:eastAsia="Arial" w:hAnsi="Arial"/>
          <w:sz w:val="17"/>
          <w:szCs w:val="17"/>
          <w:color w:val="auto"/>
        </w:rPr>
        <w:t>Section 8. The Corporation may purchase and maintain insurance on behalf of any person who is or was a Director, officer, employee, or agent of the Corporation or is or was serving at the request of the Corporation as a Director, officer, employee, or agent of another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IX or otherwise.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Severability</w:t>
      </w:r>
    </w:p>
    <w:p>
      <w:pPr>
        <w:spacing w:after="0" w:line="218" w:lineRule="exact"/>
        <w:rPr>
          <w:sz w:val="20"/>
          <w:szCs w:val="20"/>
          <w:color w:val="auto"/>
        </w:rPr>
      </w:pPr>
    </w:p>
    <w:p>
      <w:pPr>
        <w:jc w:val="both"/>
        <w:ind w:firstLine="529"/>
        <w:spacing w:after="0" w:line="246" w:lineRule="auto"/>
        <w:rPr>
          <w:sz w:val="20"/>
          <w:szCs w:val="20"/>
          <w:color w:val="auto"/>
        </w:rPr>
      </w:pPr>
      <w:r>
        <w:rPr>
          <w:rFonts w:ascii="Arial" w:cs="Arial" w:eastAsia="Arial" w:hAnsi="Arial"/>
          <w:sz w:val="18"/>
          <w:szCs w:val="18"/>
          <w:color w:val="auto"/>
        </w:rPr>
        <w:t>Section 9. If any provision or provisions of this Article IX shall be held to be invalid, illegal, or unenforceable for any reason whatsoever: (1) the validity, legality, and enforceability of the remaining provisions of this Article IX (including, without limitation, each portion of any paragraph or clause containing any such provision held to be invalid, illegal, or unenforceable, that is not itself held to be invalid, illegal, or unenforceable) shall not in any way be affected or impaired; and (2) to the fullest extent possible, the provisions of this Article IX (including, without limitation, each such portion of any paragraph or clause containing any such provision held to be invalid, illegal, or unenforceable) shall be construed so as to give effect to the intent manifested by the provision held invalid, illegal, or unenforceable.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1460"/>
          </w:cols>
          <w:pgMar w:left="220" w:top="502" w:right="21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10.1</w:t>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color w:val="FFFFFF"/>
        </w:rPr>
        <w:t>HOU:3754193.10</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rPr>
          <w:sz w:val="20"/>
          <w:szCs w:val="20"/>
          <w:color w:val="auto"/>
        </w:rPr>
      </w:pPr>
      <w:r>
        <w:rPr>
          <w:rFonts w:ascii="Arial" w:cs="Arial" w:eastAsia="Arial" w:hAnsi="Arial"/>
          <w:sz w:val="12"/>
          <w:szCs w:val="12"/>
          <w:color w:val="FFFFFF"/>
        </w:rPr>
        <w:t>HOU:3754193.10</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AMENDED AND RESTATED</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AGREEMENT</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8, 2017</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Other Borrowers Party Hereto,</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Lenders Party Hereto,</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JPMORGAN CHASE BANK, N.A.,</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Administrative Agent</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WELLS FARGO BANK, N.A.,</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 OF MONTREAL</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 OF AMERICA, N.A.,</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Co-Syndication Agents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BOKF NA, BANK OF OKLAHOMA,</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 THIRD BANK</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BRANCH BANKING AND TRUST COMPANY,</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Co-Documentation Agents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JPMORGAN CHASE BANK, N.A.,</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Sole Bookrunner and Sole Lead Arranger</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2"/>
          <w:szCs w:val="12"/>
          <w:color w:val="FFFFFF"/>
        </w:rPr>
        <w:t>HOU:3754193.10</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460"/>
          </w:cols>
          <w:pgMar w:left="220" w:top="679" w:right="219" w:bottom="1440" w:gutter="0" w:footer="0" w:header="0"/>
        </w:sectPr>
      </w:pPr>
    </w:p>
    <w:bookmarkStart w:id="62" w:name="page63"/>
    <w:bookmarkEnd w:id="62"/>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80" w:type="dxa"/>
            <w:vAlign w:val="bottom"/>
          </w:tcPr>
          <w:p>
            <w:pPr>
              <w:spacing w:after="0"/>
              <w:rPr>
                <w:sz w:val="20"/>
                <w:szCs w:val="20"/>
                <w:color w:val="auto"/>
              </w:rPr>
            </w:pPr>
            <w:r>
              <w:rPr>
                <w:rFonts w:ascii="Arial" w:cs="Arial" w:eastAsia="Arial" w:hAnsi="Arial"/>
                <w:sz w:val="15"/>
                <w:szCs w:val="15"/>
                <w:color w:val="auto"/>
              </w:rPr>
              <w:t>Article I Definitions</w:t>
            </w:r>
          </w:p>
        </w:tc>
        <w:tc>
          <w:tcPr>
            <w:tcW w:w="2520" w:type="dxa"/>
            <w:vAlign w:val="bottom"/>
          </w:tcPr>
          <w:p>
            <w:pPr>
              <w:ind w:left="2360"/>
              <w:spacing w:after="0"/>
              <w:rPr>
                <w:sz w:val="20"/>
                <w:szCs w:val="20"/>
                <w:color w:val="auto"/>
              </w:rPr>
            </w:pPr>
            <w:r>
              <w:rPr>
                <w:rFonts w:ascii="Arial" w:cs="Arial" w:eastAsia="Arial" w:hAnsi="Arial"/>
                <w:sz w:val="15"/>
                <w:szCs w:val="15"/>
                <w:color w:val="auto"/>
              </w:rPr>
              <w:t>6</w:t>
            </w:r>
          </w:p>
        </w:tc>
      </w:tr>
      <w:tr>
        <w:trPr>
          <w:trHeight w:val="220"/>
        </w:trPr>
        <w:tc>
          <w:tcPr>
            <w:tcW w:w="7480" w:type="dxa"/>
            <w:vAlign w:val="bottom"/>
          </w:tcPr>
          <w:p>
            <w:pPr>
              <w:ind w:left="160"/>
              <w:spacing w:after="0"/>
              <w:rPr>
                <w:sz w:val="20"/>
                <w:szCs w:val="20"/>
                <w:color w:val="auto"/>
              </w:rPr>
            </w:pPr>
            <w:r>
              <w:rPr>
                <w:rFonts w:ascii="Arial" w:cs="Arial" w:eastAsia="Arial" w:hAnsi="Arial"/>
                <w:sz w:val="15"/>
                <w:szCs w:val="15"/>
                <w:color w:val="auto"/>
              </w:rPr>
              <w:t>Section 1.01 Defined Terms</w:t>
            </w:r>
          </w:p>
        </w:tc>
        <w:tc>
          <w:tcPr>
            <w:tcW w:w="2520" w:type="dxa"/>
            <w:vAlign w:val="bottom"/>
          </w:tcPr>
          <w:p>
            <w:pPr>
              <w:ind w:left="2360"/>
              <w:spacing w:after="0"/>
              <w:rPr>
                <w:sz w:val="20"/>
                <w:szCs w:val="20"/>
                <w:color w:val="auto"/>
              </w:rPr>
            </w:pPr>
            <w:r>
              <w:rPr>
                <w:rFonts w:ascii="Arial" w:cs="Arial" w:eastAsia="Arial" w:hAnsi="Arial"/>
                <w:sz w:val="15"/>
                <w:szCs w:val="15"/>
                <w:color w:val="auto"/>
              </w:rPr>
              <w:t>6</w:t>
            </w:r>
          </w:p>
        </w:tc>
      </w:tr>
      <w:tr>
        <w:trPr>
          <w:trHeight w:val="220"/>
        </w:trPr>
        <w:tc>
          <w:tcPr>
            <w:tcW w:w="7480" w:type="dxa"/>
            <w:vAlign w:val="bottom"/>
          </w:tcPr>
          <w:p>
            <w:pPr>
              <w:ind w:left="160"/>
              <w:spacing w:after="0"/>
              <w:rPr>
                <w:sz w:val="20"/>
                <w:szCs w:val="20"/>
                <w:color w:val="auto"/>
              </w:rPr>
            </w:pPr>
            <w:r>
              <w:rPr>
                <w:rFonts w:ascii="Arial" w:cs="Arial" w:eastAsia="Arial" w:hAnsi="Arial"/>
                <w:sz w:val="15"/>
                <w:szCs w:val="15"/>
                <w:color w:val="auto"/>
              </w:rPr>
              <w:t>Section 1.02 Classification of Loans and Borrowings</w:t>
            </w:r>
          </w:p>
        </w:tc>
        <w:tc>
          <w:tcPr>
            <w:tcW w:w="2520" w:type="dxa"/>
            <w:vAlign w:val="bottom"/>
          </w:tcPr>
          <w:p>
            <w:pPr>
              <w:ind w:left="2360"/>
              <w:spacing w:after="0"/>
              <w:rPr>
                <w:sz w:val="20"/>
                <w:szCs w:val="20"/>
                <w:color w:val="auto"/>
              </w:rPr>
            </w:pPr>
            <w:r>
              <w:rPr>
                <w:rFonts w:ascii="Arial" w:cs="Arial" w:eastAsia="Arial" w:hAnsi="Arial"/>
                <w:sz w:val="15"/>
                <w:szCs w:val="15"/>
                <w:color w:val="auto"/>
                <w:w w:val="83"/>
              </w:rPr>
              <w:t>30</w:t>
            </w:r>
          </w:p>
        </w:tc>
      </w:tr>
      <w:tr>
        <w:trPr>
          <w:trHeight w:val="220"/>
        </w:trPr>
        <w:tc>
          <w:tcPr>
            <w:tcW w:w="7480" w:type="dxa"/>
            <w:vAlign w:val="bottom"/>
          </w:tcPr>
          <w:p>
            <w:pPr>
              <w:ind w:left="160"/>
              <w:spacing w:after="0"/>
              <w:rPr>
                <w:sz w:val="20"/>
                <w:szCs w:val="20"/>
                <w:color w:val="auto"/>
              </w:rPr>
            </w:pPr>
            <w:r>
              <w:rPr>
                <w:rFonts w:ascii="Arial" w:cs="Arial" w:eastAsia="Arial" w:hAnsi="Arial"/>
                <w:sz w:val="15"/>
                <w:szCs w:val="15"/>
                <w:color w:val="auto"/>
              </w:rPr>
              <w:t>Section 1.03 Terms Generally</w:t>
            </w:r>
          </w:p>
        </w:tc>
        <w:tc>
          <w:tcPr>
            <w:tcW w:w="2520" w:type="dxa"/>
            <w:vAlign w:val="bottom"/>
          </w:tcPr>
          <w:p>
            <w:pPr>
              <w:ind w:left="2360"/>
              <w:spacing w:after="0"/>
              <w:rPr>
                <w:sz w:val="20"/>
                <w:szCs w:val="20"/>
                <w:color w:val="auto"/>
              </w:rPr>
            </w:pPr>
            <w:r>
              <w:rPr>
                <w:rFonts w:ascii="Arial" w:cs="Arial" w:eastAsia="Arial" w:hAnsi="Arial"/>
                <w:sz w:val="15"/>
                <w:szCs w:val="15"/>
                <w:color w:val="auto"/>
                <w:w w:val="83"/>
              </w:rPr>
              <w:t>30</w:t>
            </w:r>
          </w:p>
        </w:tc>
      </w:tr>
      <w:tr>
        <w:trPr>
          <w:trHeight w:val="220"/>
        </w:trPr>
        <w:tc>
          <w:tcPr>
            <w:tcW w:w="7480" w:type="dxa"/>
            <w:vAlign w:val="bottom"/>
          </w:tcPr>
          <w:p>
            <w:pPr>
              <w:ind w:left="160"/>
              <w:spacing w:after="0"/>
              <w:rPr>
                <w:sz w:val="20"/>
                <w:szCs w:val="20"/>
                <w:color w:val="auto"/>
              </w:rPr>
            </w:pPr>
            <w:r>
              <w:rPr>
                <w:rFonts w:ascii="Arial" w:cs="Arial" w:eastAsia="Arial" w:hAnsi="Arial"/>
                <w:sz w:val="15"/>
                <w:szCs w:val="15"/>
                <w:color w:val="auto"/>
              </w:rPr>
              <w:t>Section 1.04 Accounting Terms; GAAP</w:t>
            </w:r>
          </w:p>
        </w:tc>
        <w:tc>
          <w:tcPr>
            <w:tcW w:w="2520" w:type="dxa"/>
            <w:vAlign w:val="bottom"/>
          </w:tcPr>
          <w:p>
            <w:pPr>
              <w:ind w:left="2360"/>
              <w:spacing w:after="0"/>
              <w:rPr>
                <w:sz w:val="20"/>
                <w:szCs w:val="20"/>
                <w:color w:val="auto"/>
              </w:rPr>
            </w:pPr>
            <w:r>
              <w:rPr>
                <w:rFonts w:ascii="Arial" w:cs="Arial" w:eastAsia="Arial" w:hAnsi="Arial"/>
                <w:sz w:val="15"/>
                <w:szCs w:val="15"/>
                <w:color w:val="auto"/>
                <w:w w:val="83"/>
              </w:rPr>
              <w:t>30</w:t>
            </w:r>
          </w:p>
        </w:tc>
      </w:tr>
      <w:tr>
        <w:trPr>
          <w:trHeight w:val="220"/>
        </w:trPr>
        <w:tc>
          <w:tcPr>
            <w:tcW w:w="7480" w:type="dxa"/>
            <w:vAlign w:val="bottom"/>
          </w:tcPr>
          <w:p>
            <w:pPr>
              <w:ind w:left="160"/>
              <w:spacing w:after="0"/>
              <w:rPr>
                <w:sz w:val="20"/>
                <w:szCs w:val="20"/>
                <w:color w:val="auto"/>
              </w:rPr>
            </w:pPr>
            <w:r>
              <w:rPr>
                <w:rFonts w:ascii="Arial" w:cs="Arial" w:eastAsia="Arial" w:hAnsi="Arial"/>
                <w:sz w:val="15"/>
                <w:szCs w:val="15"/>
                <w:color w:val="auto"/>
              </w:rPr>
              <w:t>Section 1.05 Currency Matters; Determination of U.S. Dollar Amounts</w:t>
            </w:r>
          </w:p>
        </w:tc>
        <w:tc>
          <w:tcPr>
            <w:tcW w:w="2520" w:type="dxa"/>
            <w:vAlign w:val="bottom"/>
          </w:tcPr>
          <w:p>
            <w:pPr>
              <w:ind w:left="2360"/>
              <w:spacing w:after="0"/>
              <w:rPr>
                <w:sz w:val="20"/>
                <w:szCs w:val="20"/>
                <w:color w:val="auto"/>
              </w:rPr>
            </w:pPr>
            <w:r>
              <w:rPr>
                <w:rFonts w:ascii="Arial" w:cs="Arial" w:eastAsia="Arial" w:hAnsi="Arial"/>
                <w:sz w:val="15"/>
                <w:szCs w:val="15"/>
                <w:color w:val="auto"/>
                <w:w w:val="83"/>
              </w:rPr>
              <w:t>31</w:t>
            </w:r>
          </w:p>
        </w:tc>
      </w:tr>
      <w:tr>
        <w:trPr>
          <w:trHeight w:val="639"/>
        </w:trPr>
        <w:tc>
          <w:tcPr>
            <w:tcW w:w="7480" w:type="dxa"/>
            <w:vAlign w:val="bottom"/>
          </w:tcPr>
          <w:p>
            <w:pPr>
              <w:spacing w:after="0"/>
              <w:rPr>
                <w:sz w:val="20"/>
                <w:szCs w:val="20"/>
                <w:color w:val="auto"/>
              </w:rPr>
            </w:pPr>
            <w:r>
              <w:rPr>
                <w:rFonts w:ascii="Arial" w:cs="Arial" w:eastAsia="Arial" w:hAnsi="Arial"/>
                <w:sz w:val="15"/>
                <w:szCs w:val="15"/>
                <w:color w:val="auto"/>
              </w:rPr>
              <w:t>Article II The Credits</w:t>
            </w:r>
          </w:p>
        </w:tc>
        <w:tc>
          <w:tcPr>
            <w:tcW w:w="2520" w:type="dxa"/>
            <w:vAlign w:val="bottom"/>
          </w:tcPr>
          <w:p>
            <w:pPr>
              <w:ind w:left="2360"/>
              <w:spacing w:after="0"/>
              <w:rPr>
                <w:sz w:val="20"/>
                <w:szCs w:val="20"/>
                <w:color w:val="auto"/>
              </w:rPr>
            </w:pPr>
            <w:r>
              <w:rPr>
                <w:rFonts w:ascii="Arial" w:cs="Arial" w:eastAsia="Arial" w:hAnsi="Arial"/>
                <w:sz w:val="15"/>
                <w:szCs w:val="15"/>
                <w:color w:val="auto"/>
                <w:w w:val="83"/>
              </w:rPr>
              <w:t>31</w:t>
            </w:r>
          </w:p>
        </w:tc>
      </w:tr>
      <w:tr>
        <w:trPr>
          <w:trHeight w:val="220"/>
        </w:trPr>
        <w:tc>
          <w:tcPr>
            <w:tcW w:w="7480" w:type="dxa"/>
            <w:vAlign w:val="bottom"/>
          </w:tcPr>
          <w:p>
            <w:pPr>
              <w:ind w:left="160"/>
              <w:spacing w:after="0"/>
              <w:rPr>
                <w:sz w:val="20"/>
                <w:szCs w:val="20"/>
                <w:color w:val="auto"/>
              </w:rPr>
            </w:pPr>
            <w:r>
              <w:rPr>
                <w:rFonts w:ascii="Arial" w:cs="Arial" w:eastAsia="Arial" w:hAnsi="Arial"/>
                <w:sz w:val="15"/>
                <w:szCs w:val="15"/>
                <w:color w:val="auto"/>
              </w:rPr>
              <w:t>Section 2.01 Loans and Revolving Commitments</w:t>
            </w:r>
          </w:p>
        </w:tc>
        <w:tc>
          <w:tcPr>
            <w:tcW w:w="2520" w:type="dxa"/>
            <w:vAlign w:val="bottom"/>
          </w:tcPr>
          <w:p>
            <w:pPr>
              <w:ind w:left="2360"/>
              <w:spacing w:after="0"/>
              <w:rPr>
                <w:sz w:val="20"/>
                <w:szCs w:val="20"/>
                <w:color w:val="auto"/>
              </w:rPr>
            </w:pPr>
            <w:r>
              <w:rPr>
                <w:rFonts w:ascii="Arial" w:cs="Arial" w:eastAsia="Arial" w:hAnsi="Arial"/>
                <w:sz w:val="15"/>
                <w:szCs w:val="15"/>
                <w:color w:val="auto"/>
                <w:w w:val="83"/>
              </w:rPr>
              <w:t>31</w:t>
            </w:r>
          </w:p>
        </w:tc>
      </w:tr>
      <w:tr>
        <w:trPr>
          <w:trHeight w:val="220"/>
        </w:trPr>
        <w:tc>
          <w:tcPr>
            <w:tcW w:w="7480" w:type="dxa"/>
            <w:vAlign w:val="bottom"/>
          </w:tcPr>
          <w:p>
            <w:pPr>
              <w:ind w:left="160"/>
              <w:spacing w:after="0"/>
              <w:rPr>
                <w:sz w:val="20"/>
                <w:szCs w:val="20"/>
                <w:color w:val="auto"/>
              </w:rPr>
            </w:pPr>
            <w:r>
              <w:rPr>
                <w:rFonts w:ascii="Arial" w:cs="Arial" w:eastAsia="Arial" w:hAnsi="Arial"/>
                <w:sz w:val="15"/>
                <w:szCs w:val="15"/>
                <w:color w:val="auto"/>
              </w:rPr>
              <w:t>Section 2.02 Loans and Borrowings</w:t>
            </w:r>
          </w:p>
        </w:tc>
        <w:tc>
          <w:tcPr>
            <w:tcW w:w="2520" w:type="dxa"/>
            <w:vAlign w:val="bottom"/>
          </w:tcPr>
          <w:p>
            <w:pPr>
              <w:ind w:left="2360"/>
              <w:spacing w:after="0"/>
              <w:rPr>
                <w:sz w:val="20"/>
                <w:szCs w:val="20"/>
                <w:color w:val="auto"/>
              </w:rPr>
            </w:pPr>
            <w:r>
              <w:rPr>
                <w:rFonts w:ascii="Arial" w:cs="Arial" w:eastAsia="Arial" w:hAnsi="Arial"/>
                <w:sz w:val="15"/>
                <w:szCs w:val="15"/>
                <w:color w:val="auto"/>
                <w:w w:val="83"/>
              </w:rPr>
              <w:t>32</w:t>
            </w:r>
          </w:p>
        </w:tc>
      </w:tr>
      <w:tr>
        <w:trPr>
          <w:trHeight w:val="220"/>
        </w:trPr>
        <w:tc>
          <w:tcPr>
            <w:tcW w:w="7480" w:type="dxa"/>
            <w:vAlign w:val="bottom"/>
          </w:tcPr>
          <w:p>
            <w:pPr>
              <w:ind w:left="160"/>
              <w:spacing w:after="0"/>
              <w:rPr>
                <w:sz w:val="20"/>
                <w:szCs w:val="20"/>
                <w:color w:val="auto"/>
              </w:rPr>
            </w:pPr>
            <w:r>
              <w:rPr>
                <w:rFonts w:ascii="Arial" w:cs="Arial" w:eastAsia="Arial" w:hAnsi="Arial"/>
                <w:sz w:val="15"/>
                <w:szCs w:val="15"/>
                <w:color w:val="auto"/>
              </w:rPr>
              <w:t>Section 2.03 Requests for Revolving Borrowings</w:t>
            </w:r>
          </w:p>
        </w:tc>
        <w:tc>
          <w:tcPr>
            <w:tcW w:w="2520" w:type="dxa"/>
            <w:vAlign w:val="bottom"/>
          </w:tcPr>
          <w:p>
            <w:pPr>
              <w:ind w:left="2360"/>
              <w:spacing w:after="0"/>
              <w:rPr>
                <w:sz w:val="20"/>
                <w:szCs w:val="20"/>
                <w:color w:val="auto"/>
              </w:rPr>
            </w:pPr>
            <w:r>
              <w:rPr>
                <w:rFonts w:ascii="Arial" w:cs="Arial" w:eastAsia="Arial" w:hAnsi="Arial"/>
                <w:sz w:val="15"/>
                <w:szCs w:val="15"/>
                <w:color w:val="auto"/>
                <w:w w:val="83"/>
              </w:rPr>
              <w:t>32</w:t>
            </w:r>
          </w:p>
        </w:tc>
      </w:tr>
      <w:tr>
        <w:trPr>
          <w:trHeight w:val="220"/>
        </w:trPr>
        <w:tc>
          <w:tcPr>
            <w:tcW w:w="7480" w:type="dxa"/>
            <w:vAlign w:val="bottom"/>
          </w:tcPr>
          <w:p>
            <w:pPr>
              <w:ind w:left="160"/>
              <w:spacing w:after="0"/>
              <w:rPr>
                <w:sz w:val="20"/>
                <w:szCs w:val="20"/>
                <w:color w:val="auto"/>
              </w:rPr>
            </w:pPr>
            <w:r>
              <w:rPr>
                <w:rFonts w:ascii="Arial" w:cs="Arial" w:eastAsia="Arial" w:hAnsi="Arial"/>
                <w:sz w:val="15"/>
                <w:szCs w:val="15"/>
                <w:color w:val="auto"/>
              </w:rPr>
              <w:t>Section 2.04 Increase in Revolving Commitments</w:t>
            </w:r>
          </w:p>
        </w:tc>
        <w:tc>
          <w:tcPr>
            <w:tcW w:w="2520" w:type="dxa"/>
            <w:vAlign w:val="bottom"/>
          </w:tcPr>
          <w:p>
            <w:pPr>
              <w:ind w:left="2360"/>
              <w:spacing w:after="0"/>
              <w:rPr>
                <w:sz w:val="20"/>
                <w:szCs w:val="20"/>
                <w:color w:val="auto"/>
              </w:rPr>
            </w:pPr>
            <w:r>
              <w:rPr>
                <w:rFonts w:ascii="Arial" w:cs="Arial" w:eastAsia="Arial" w:hAnsi="Arial"/>
                <w:sz w:val="15"/>
                <w:szCs w:val="15"/>
                <w:color w:val="auto"/>
                <w:w w:val="83"/>
              </w:rPr>
              <w:t>33</w:t>
            </w:r>
          </w:p>
        </w:tc>
      </w:tr>
      <w:tr>
        <w:trPr>
          <w:trHeight w:val="220"/>
        </w:trPr>
        <w:tc>
          <w:tcPr>
            <w:tcW w:w="7480" w:type="dxa"/>
            <w:vAlign w:val="bottom"/>
          </w:tcPr>
          <w:p>
            <w:pPr>
              <w:ind w:left="160"/>
              <w:spacing w:after="0"/>
              <w:rPr>
                <w:sz w:val="20"/>
                <w:szCs w:val="20"/>
                <w:color w:val="auto"/>
              </w:rPr>
            </w:pPr>
            <w:r>
              <w:rPr>
                <w:rFonts w:ascii="Arial" w:cs="Arial" w:eastAsia="Arial" w:hAnsi="Arial"/>
                <w:sz w:val="15"/>
                <w:szCs w:val="15"/>
                <w:color w:val="auto"/>
              </w:rPr>
              <w:t>Section 2.05 Swingline Loans</w:t>
            </w:r>
          </w:p>
        </w:tc>
        <w:tc>
          <w:tcPr>
            <w:tcW w:w="2520" w:type="dxa"/>
            <w:vAlign w:val="bottom"/>
          </w:tcPr>
          <w:p>
            <w:pPr>
              <w:ind w:left="2360"/>
              <w:spacing w:after="0"/>
              <w:rPr>
                <w:sz w:val="20"/>
                <w:szCs w:val="20"/>
                <w:color w:val="auto"/>
              </w:rPr>
            </w:pPr>
            <w:r>
              <w:rPr>
                <w:rFonts w:ascii="Arial" w:cs="Arial" w:eastAsia="Arial" w:hAnsi="Arial"/>
                <w:sz w:val="15"/>
                <w:szCs w:val="15"/>
                <w:color w:val="auto"/>
                <w:w w:val="83"/>
              </w:rPr>
              <w:t>35</w:t>
            </w:r>
          </w:p>
        </w:tc>
      </w:tr>
      <w:tr>
        <w:trPr>
          <w:trHeight w:val="220"/>
        </w:trPr>
        <w:tc>
          <w:tcPr>
            <w:tcW w:w="7480" w:type="dxa"/>
            <w:vAlign w:val="bottom"/>
          </w:tcPr>
          <w:p>
            <w:pPr>
              <w:ind w:left="160"/>
              <w:spacing w:after="0"/>
              <w:rPr>
                <w:sz w:val="20"/>
                <w:szCs w:val="20"/>
                <w:color w:val="auto"/>
              </w:rPr>
            </w:pPr>
            <w:r>
              <w:rPr>
                <w:rFonts w:ascii="Arial" w:cs="Arial" w:eastAsia="Arial" w:hAnsi="Arial"/>
                <w:sz w:val="15"/>
                <w:szCs w:val="15"/>
                <w:color w:val="auto"/>
              </w:rPr>
              <w:t>Section 2.06 Letters of Credit</w:t>
            </w:r>
          </w:p>
        </w:tc>
        <w:tc>
          <w:tcPr>
            <w:tcW w:w="2520" w:type="dxa"/>
            <w:vAlign w:val="bottom"/>
          </w:tcPr>
          <w:p>
            <w:pPr>
              <w:ind w:left="2360"/>
              <w:spacing w:after="0"/>
              <w:rPr>
                <w:sz w:val="20"/>
                <w:szCs w:val="20"/>
                <w:color w:val="auto"/>
              </w:rPr>
            </w:pPr>
            <w:r>
              <w:rPr>
                <w:rFonts w:ascii="Arial" w:cs="Arial" w:eastAsia="Arial" w:hAnsi="Arial"/>
                <w:sz w:val="15"/>
                <w:szCs w:val="15"/>
                <w:color w:val="auto"/>
                <w:w w:val="83"/>
              </w:rPr>
              <w:t>36</w:t>
            </w:r>
          </w:p>
        </w:tc>
      </w:tr>
      <w:tr>
        <w:trPr>
          <w:trHeight w:val="220"/>
        </w:trPr>
        <w:tc>
          <w:tcPr>
            <w:tcW w:w="7480" w:type="dxa"/>
            <w:vAlign w:val="bottom"/>
          </w:tcPr>
          <w:p>
            <w:pPr>
              <w:ind w:left="160"/>
              <w:spacing w:after="0"/>
              <w:rPr>
                <w:sz w:val="20"/>
                <w:szCs w:val="20"/>
                <w:color w:val="auto"/>
              </w:rPr>
            </w:pPr>
            <w:r>
              <w:rPr>
                <w:rFonts w:ascii="Arial" w:cs="Arial" w:eastAsia="Arial" w:hAnsi="Arial"/>
                <w:sz w:val="15"/>
                <w:szCs w:val="15"/>
                <w:color w:val="auto"/>
              </w:rPr>
              <w:t>Section 2.07 Funding of Borrowings</w:t>
            </w:r>
          </w:p>
        </w:tc>
        <w:tc>
          <w:tcPr>
            <w:tcW w:w="2520" w:type="dxa"/>
            <w:vAlign w:val="bottom"/>
          </w:tcPr>
          <w:p>
            <w:pPr>
              <w:ind w:left="2360"/>
              <w:spacing w:after="0"/>
              <w:rPr>
                <w:sz w:val="20"/>
                <w:szCs w:val="20"/>
                <w:color w:val="auto"/>
              </w:rPr>
            </w:pPr>
            <w:r>
              <w:rPr>
                <w:rFonts w:ascii="Arial" w:cs="Arial" w:eastAsia="Arial" w:hAnsi="Arial"/>
                <w:sz w:val="15"/>
                <w:szCs w:val="15"/>
                <w:color w:val="auto"/>
                <w:w w:val="83"/>
              </w:rPr>
              <w:t>40</w:t>
            </w:r>
          </w:p>
        </w:tc>
      </w:tr>
      <w:tr>
        <w:trPr>
          <w:trHeight w:val="220"/>
        </w:trPr>
        <w:tc>
          <w:tcPr>
            <w:tcW w:w="7480" w:type="dxa"/>
            <w:vAlign w:val="bottom"/>
          </w:tcPr>
          <w:p>
            <w:pPr>
              <w:ind w:left="160"/>
              <w:spacing w:after="0"/>
              <w:rPr>
                <w:sz w:val="20"/>
                <w:szCs w:val="20"/>
                <w:color w:val="auto"/>
              </w:rPr>
            </w:pPr>
            <w:r>
              <w:rPr>
                <w:rFonts w:ascii="Arial" w:cs="Arial" w:eastAsia="Arial" w:hAnsi="Arial"/>
                <w:sz w:val="15"/>
                <w:szCs w:val="15"/>
                <w:color w:val="auto"/>
              </w:rPr>
              <w:t>Section 2.08 Interest Elections</w:t>
            </w:r>
          </w:p>
        </w:tc>
        <w:tc>
          <w:tcPr>
            <w:tcW w:w="2520" w:type="dxa"/>
            <w:vAlign w:val="bottom"/>
          </w:tcPr>
          <w:p>
            <w:pPr>
              <w:ind w:left="2360"/>
              <w:spacing w:after="0"/>
              <w:rPr>
                <w:sz w:val="20"/>
                <w:szCs w:val="20"/>
                <w:color w:val="auto"/>
              </w:rPr>
            </w:pPr>
            <w:r>
              <w:rPr>
                <w:rFonts w:ascii="Arial" w:cs="Arial" w:eastAsia="Arial" w:hAnsi="Arial"/>
                <w:sz w:val="15"/>
                <w:szCs w:val="15"/>
                <w:color w:val="auto"/>
                <w:w w:val="83"/>
              </w:rPr>
              <w:t>40</w:t>
            </w:r>
          </w:p>
        </w:tc>
      </w:tr>
      <w:tr>
        <w:trPr>
          <w:trHeight w:val="220"/>
        </w:trPr>
        <w:tc>
          <w:tcPr>
            <w:tcW w:w="7480" w:type="dxa"/>
            <w:vAlign w:val="bottom"/>
          </w:tcPr>
          <w:p>
            <w:pPr>
              <w:ind w:left="160"/>
              <w:spacing w:after="0"/>
              <w:rPr>
                <w:sz w:val="20"/>
                <w:szCs w:val="20"/>
                <w:color w:val="auto"/>
              </w:rPr>
            </w:pPr>
            <w:r>
              <w:rPr>
                <w:rFonts w:ascii="Arial" w:cs="Arial" w:eastAsia="Arial" w:hAnsi="Arial"/>
                <w:sz w:val="15"/>
                <w:szCs w:val="15"/>
                <w:color w:val="auto"/>
              </w:rPr>
              <w:t>Section 2.09 Termination and Reduction of Revolving Commitments</w:t>
            </w:r>
          </w:p>
        </w:tc>
        <w:tc>
          <w:tcPr>
            <w:tcW w:w="2520" w:type="dxa"/>
            <w:vAlign w:val="bottom"/>
          </w:tcPr>
          <w:p>
            <w:pPr>
              <w:ind w:left="2360"/>
              <w:spacing w:after="0"/>
              <w:rPr>
                <w:sz w:val="20"/>
                <w:szCs w:val="20"/>
                <w:color w:val="auto"/>
              </w:rPr>
            </w:pPr>
            <w:r>
              <w:rPr>
                <w:rFonts w:ascii="Arial" w:cs="Arial" w:eastAsia="Arial" w:hAnsi="Arial"/>
                <w:sz w:val="15"/>
                <w:szCs w:val="15"/>
                <w:color w:val="auto"/>
                <w:w w:val="83"/>
              </w:rPr>
              <w:t>42</w:t>
            </w:r>
          </w:p>
        </w:tc>
      </w:tr>
      <w:tr>
        <w:trPr>
          <w:trHeight w:val="220"/>
        </w:trPr>
        <w:tc>
          <w:tcPr>
            <w:tcW w:w="7480" w:type="dxa"/>
            <w:vAlign w:val="bottom"/>
          </w:tcPr>
          <w:p>
            <w:pPr>
              <w:ind w:left="160"/>
              <w:spacing w:after="0"/>
              <w:rPr>
                <w:sz w:val="20"/>
                <w:szCs w:val="20"/>
                <w:color w:val="auto"/>
              </w:rPr>
            </w:pPr>
            <w:r>
              <w:rPr>
                <w:rFonts w:ascii="Arial" w:cs="Arial" w:eastAsia="Arial" w:hAnsi="Arial"/>
                <w:sz w:val="15"/>
                <w:szCs w:val="15"/>
                <w:color w:val="auto"/>
              </w:rPr>
              <w:t>Section 2.10 Repayment of Loans; Evidence of Debt</w:t>
            </w:r>
          </w:p>
        </w:tc>
        <w:tc>
          <w:tcPr>
            <w:tcW w:w="2520" w:type="dxa"/>
            <w:vAlign w:val="bottom"/>
          </w:tcPr>
          <w:p>
            <w:pPr>
              <w:ind w:left="2360"/>
              <w:spacing w:after="0"/>
              <w:rPr>
                <w:sz w:val="20"/>
                <w:szCs w:val="20"/>
                <w:color w:val="auto"/>
              </w:rPr>
            </w:pPr>
            <w:r>
              <w:rPr>
                <w:rFonts w:ascii="Arial" w:cs="Arial" w:eastAsia="Arial" w:hAnsi="Arial"/>
                <w:sz w:val="15"/>
                <w:szCs w:val="15"/>
                <w:color w:val="auto"/>
                <w:w w:val="83"/>
              </w:rPr>
              <w:t>42</w:t>
            </w:r>
          </w:p>
        </w:tc>
      </w:tr>
      <w:tr>
        <w:trPr>
          <w:trHeight w:val="220"/>
        </w:trPr>
        <w:tc>
          <w:tcPr>
            <w:tcW w:w="7480" w:type="dxa"/>
            <w:vAlign w:val="bottom"/>
          </w:tcPr>
          <w:p>
            <w:pPr>
              <w:ind w:left="160"/>
              <w:spacing w:after="0"/>
              <w:rPr>
                <w:sz w:val="20"/>
                <w:szCs w:val="20"/>
                <w:color w:val="auto"/>
              </w:rPr>
            </w:pPr>
            <w:r>
              <w:rPr>
                <w:rFonts w:ascii="Arial" w:cs="Arial" w:eastAsia="Arial" w:hAnsi="Arial"/>
                <w:sz w:val="15"/>
                <w:szCs w:val="15"/>
                <w:color w:val="auto"/>
              </w:rPr>
              <w:t>Section 2.11 Prepayment of Loans</w:t>
            </w:r>
          </w:p>
        </w:tc>
        <w:tc>
          <w:tcPr>
            <w:tcW w:w="2520" w:type="dxa"/>
            <w:vAlign w:val="bottom"/>
          </w:tcPr>
          <w:p>
            <w:pPr>
              <w:ind w:left="2360"/>
              <w:spacing w:after="0"/>
              <w:rPr>
                <w:sz w:val="20"/>
                <w:szCs w:val="20"/>
                <w:color w:val="auto"/>
              </w:rPr>
            </w:pPr>
            <w:r>
              <w:rPr>
                <w:rFonts w:ascii="Arial" w:cs="Arial" w:eastAsia="Arial" w:hAnsi="Arial"/>
                <w:sz w:val="15"/>
                <w:szCs w:val="15"/>
                <w:color w:val="auto"/>
                <w:w w:val="83"/>
              </w:rPr>
              <w:t>43</w:t>
            </w:r>
          </w:p>
        </w:tc>
      </w:tr>
      <w:tr>
        <w:trPr>
          <w:trHeight w:val="220"/>
        </w:trPr>
        <w:tc>
          <w:tcPr>
            <w:tcW w:w="7480" w:type="dxa"/>
            <w:vAlign w:val="bottom"/>
          </w:tcPr>
          <w:p>
            <w:pPr>
              <w:ind w:left="160"/>
              <w:spacing w:after="0"/>
              <w:rPr>
                <w:sz w:val="20"/>
                <w:szCs w:val="20"/>
                <w:color w:val="auto"/>
              </w:rPr>
            </w:pPr>
            <w:r>
              <w:rPr>
                <w:rFonts w:ascii="Arial" w:cs="Arial" w:eastAsia="Arial" w:hAnsi="Arial"/>
                <w:sz w:val="15"/>
                <w:szCs w:val="15"/>
                <w:color w:val="auto"/>
              </w:rPr>
              <w:t>Section 2.12 Fees; Cost of Audits</w:t>
            </w:r>
          </w:p>
        </w:tc>
        <w:tc>
          <w:tcPr>
            <w:tcW w:w="2520" w:type="dxa"/>
            <w:vAlign w:val="bottom"/>
          </w:tcPr>
          <w:p>
            <w:pPr>
              <w:ind w:left="2360"/>
              <w:spacing w:after="0"/>
              <w:rPr>
                <w:sz w:val="20"/>
                <w:szCs w:val="20"/>
                <w:color w:val="auto"/>
              </w:rPr>
            </w:pPr>
            <w:r>
              <w:rPr>
                <w:rFonts w:ascii="Arial" w:cs="Arial" w:eastAsia="Arial" w:hAnsi="Arial"/>
                <w:sz w:val="15"/>
                <w:szCs w:val="15"/>
                <w:color w:val="auto"/>
                <w:w w:val="83"/>
              </w:rPr>
              <w:t>44</w:t>
            </w:r>
          </w:p>
        </w:tc>
      </w:tr>
      <w:tr>
        <w:trPr>
          <w:trHeight w:val="220"/>
        </w:trPr>
        <w:tc>
          <w:tcPr>
            <w:tcW w:w="7480" w:type="dxa"/>
            <w:vAlign w:val="bottom"/>
          </w:tcPr>
          <w:p>
            <w:pPr>
              <w:ind w:left="160"/>
              <w:spacing w:after="0"/>
              <w:rPr>
                <w:sz w:val="20"/>
                <w:szCs w:val="20"/>
                <w:color w:val="auto"/>
              </w:rPr>
            </w:pPr>
            <w:r>
              <w:rPr>
                <w:rFonts w:ascii="Arial" w:cs="Arial" w:eastAsia="Arial" w:hAnsi="Arial"/>
                <w:sz w:val="15"/>
                <w:szCs w:val="15"/>
                <w:color w:val="auto"/>
              </w:rPr>
              <w:t>Section 2.13 Interest</w:t>
            </w:r>
          </w:p>
        </w:tc>
        <w:tc>
          <w:tcPr>
            <w:tcW w:w="2520" w:type="dxa"/>
            <w:vAlign w:val="bottom"/>
          </w:tcPr>
          <w:p>
            <w:pPr>
              <w:ind w:left="2360"/>
              <w:spacing w:after="0"/>
              <w:rPr>
                <w:sz w:val="20"/>
                <w:szCs w:val="20"/>
                <w:color w:val="auto"/>
              </w:rPr>
            </w:pPr>
            <w:r>
              <w:rPr>
                <w:rFonts w:ascii="Arial" w:cs="Arial" w:eastAsia="Arial" w:hAnsi="Arial"/>
                <w:sz w:val="15"/>
                <w:szCs w:val="15"/>
                <w:color w:val="auto"/>
                <w:w w:val="83"/>
              </w:rPr>
              <w:t>45</w:t>
            </w:r>
          </w:p>
        </w:tc>
      </w:tr>
      <w:tr>
        <w:trPr>
          <w:trHeight w:val="220"/>
        </w:trPr>
        <w:tc>
          <w:tcPr>
            <w:tcW w:w="7480" w:type="dxa"/>
            <w:vAlign w:val="bottom"/>
          </w:tcPr>
          <w:p>
            <w:pPr>
              <w:ind w:left="160"/>
              <w:spacing w:after="0"/>
              <w:rPr>
                <w:sz w:val="20"/>
                <w:szCs w:val="20"/>
                <w:color w:val="auto"/>
              </w:rPr>
            </w:pPr>
            <w:r>
              <w:rPr>
                <w:rFonts w:ascii="Arial" w:cs="Arial" w:eastAsia="Arial" w:hAnsi="Arial"/>
                <w:sz w:val="15"/>
                <w:szCs w:val="15"/>
                <w:color w:val="auto"/>
              </w:rPr>
              <w:t>Section 2.14 Market Disruption; Alternate Rate of Interest</w:t>
            </w:r>
          </w:p>
        </w:tc>
        <w:tc>
          <w:tcPr>
            <w:tcW w:w="2520" w:type="dxa"/>
            <w:vAlign w:val="bottom"/>
          </w:tcPr>
          <w:p>
            <w:pPr>
              <w:ind w:left="2360"/>
              <w:spacing w:after="0"/>
              <w:rPr>
                <w:sz w:val="20"/>
                <w:szCs w:val="20"/>
                <w:color w:val="auto"/>
              </w:rPr>
            </w:pPr>
            <w:r>
              <w:rPr>
                <w:rFonts w:ascii="Arial" w:cs="Arial" w:eastAsia="Arial" w:hAnsi="Arial"/>
                <w:sz w:val="15"/>
                <w:szCs w:val="15"/>
                <w:color w:val="auto"/>
                <w:w w:val="83"/>
              </w:rPr>
              <w:t>46</w:t>
            </w:r>
          </w:p>
        </w:tc>
      </w:tr>
      <w:tr>
        <w:trPr>
          <w:trHeight w:val="220"/>
        </w:trPr>
        <w:tc>
          <w:tcPr>
            <w:tcW w:w="7480" w:type="dxa"/>
            <w:vAlign w:val="bottom"/>
          </w:tcPr>
          <w:p>
            <w:pPr>
              <w:ind w:left="160"/>
              <w:spacing w:after="0"/>
              <w:rPr>
                <w:sz w:val="20"/>
                <w:szCs w:val="20"/>
                <w:color w:val="auto"/>
              </w:rPr>
            </w:pPr>
            <w:r>
              <w:rPr>
                <w:rFonts w:ascii="Arial" w:cs="Arial" w:eastAsia="Arial" w:hAnsi="Arial"/>
                <w:sz w:val="15"/>
                <w:szCs w:val="15"/>
                <w:color w:val="auto"/>
              </w:rPr>
              <w:t>Section 2.15 Increased Costs</w:t>
            </w:r>
          </w:p>
        </w:tc>
        <w:tc>
          <w:tcPr>
            <w:tcW w:w="2520" w:type="dxa"/>
            <w:vAlign w:val="bottom"/>
          </w:tcPr>
          <w:p>
            <w:pPr>
              <w:ind w:left="2360"/>
              <w:spacing w:after="0"/>
              <w:rPr>
                <w:sz w:val="20"/>
                <w:szCs w:val="20"/>
                <w:color w:val="auto"/>
              </w:rPr>
            </w:pPr>
            <w:r>
              <w:rPr>
                <w:rFonts w:ascii="Arial" w:cs="Arial" w:eastAsia="Arial" w:hAnsi="Arial"/>
                <w:sz w:val="15"/>
                <w:szCs w:val="15"/>
                <w:color w:val="auto"/>
                <w:w w:val="83"/>
              </w:rPr>
              <w:t>47</w:t>
            </w:r>
          </w:p>
        </w:tc>
      </w:tr>
      <w:tr>
        <w:trPr>
          <w:trHeight w:val="220"/>
        </w:trPr>
        <w:tc>
          <w:tcPr>
            <w:tcW w:w="7480" w:type="dxa"/>
            <w:vAlign w:val="bottom"/>
          </w:tcPr>
          <w:p>
            <w:pPr>
              <w:ind w:left="160"/>
              <w:spacing w:after="0"/>
              <w:rPr>
                <w:sz w:val="20"/>
                <w:szCs w:val="20"/>
                <w:color w:val="auto"/>
              </w:rPr>
            </w:pPr>
            <w:r>
              <w:rPr>
                <w:rFonts w:ascii="Arial" w:cs="Arial" w:eastAsia="Arial" w:hAnsi="Arial"/>
                <w:sz w:val="15"/>
                <w:szCs w:val="15"/>
                <w:color w:val="auto"/>
              </w:rPr>
              <w:t>Section 2.16 Break Funding Payments</w:t>
            </w:r>
          </w:p>
        </w:tc>
        <w:tc>
          <w:tcPr>
            <w:tcW w:w="2520" w:type="dxa"/>
            <w:vAlign w:val="bottom"/>
          </w:tcPr>
          <w:p>
            <w:pPr>
              <w:ind w:left="2360"/>
              <w:spacing w:after="0"/>
              <w:rPr>
                <w:sz w:val="20"/>
                <w:szCs w:val="20"/>
                <w:color w:val="auto"/>
              </w:rPr>
            </w:pPr>
            <w:r>
              <w:rPr>
                <w:rFonts w:ascii="Arial" w:cs="Arial" w:eastAsia="Arial" w:hAnsi="Arial"/>
                <w:sz w:val="15"/>
                <w:szCs w:val="15"/>
                <w:color w:val="auto"/>
                <w:w w:val="83"/>
              </w:rPr>
              <w:t>48</w:t>
            </w:r>
          </w:p>
        </w:tc>
      </w:tr>
      <w:tr>
        <w:trPr>
          <w:trHeight w:val="220"/>
        </w:trPr>
        <w:tc>
          <w:tcPr>
            <w:tcW w:w="7480" w:type="dxa"/>
            <w:vAlign w:val="bottom"/>
          </w:tcPr>
          <w:p>
            <w:pPr>
              <w:ind w:left="160"/>
              <w:spacing w:after="0"/>
              <w:rPr>
                <w:sz w:val="20"/>
                <w:szCs w:val="20"/>
                <w:color w:val="auto"/>
              </w:rPr>
            </w:pPr>
            <w:r>
              <w:rPr>
                <w:rFonts w:ascii="Arial" w:cs="Arial" w:eastAsia="Arial" w:hAnsi="Arial"/>
                <w:sz w:val="15"/>
                <w:szCs w:val="15"/>
                <w:color w:val="auto"/>
              </w:rPr>
              <w:t>Section 2.17 Taxes</w:t>
            </w:r>
          </w:p>
        </w:tc>
        <w:tc>
          <w:tcPr>
            <w:tcW w:w="2520" w:type="dxa"/>
            <w:vAlign w:val="bottom"/>
          </w:tcPr>
          <w:p>
            <w:pPr>
              <w:ind w:left="2360"/>
              <w:spacing w:after="0"/>
              <w:rPr>
                <w:sz w:val="20"/>
                <w:szCs w:val="20"/>
                <w:color w:val="auto"/>
              </w:rPr>
            </w:pPr>
            <w:r>
              <w:rPr>
                <w:rFonts w:ascii="Arial" w:cs="Arial" w:eastAsia="Arial" w:hAnsi="Arial"/>
                <w:sz w:val="15"/>
                <w:szCs w:val="15"/>
                <w:color w:val="auto"/>
                <w:w w:val="83"/>
              </w:rPr>
              <w:t>49</w:t>
            </w:r>
          </w:p>
        </w:tc>
      </w:tr>
      <w:tr>
        <w:trPr>
          <w:trHeight w:val="220"/>
        </w:trPr>
        <w:tc>
          <w:tcPr>
            <w:tcW w:w="7480" w:type="dxa"/>
            <w:vAlign w:val="bottom"/>
          </w:tcPr>
          <w:p>
            <w:pPr>
              <w:ind w:left="160"/>
              <w:spacing w:after="0"/>
              <w:rPr>
                <w:sz w:val="20"/>
                <w:szCs w:val="20"/>
                <w:color w:val="auto"/>
              </w:rPr>
            </w:pPr>
            <w:r>
              <w:rPr>
                <w:rFonts w:ascii="Arial" w:cs="Arial" w:eastAsia="Arial" w:hAnsi="Arial"/>
                <w:sz w:val="15"/>
                <w:szCs w:val="15"/>
                <w:color w:val="auto"/>
              </w:rPr>
              <w:t>Section 2.18 Payments Generally; Pro Rata Treatment; Sharing of Set-offs</w:t>
            </w:r>
          </w:p>
        </w:tc>
        <w:tc>
          <w:tcPr>
            <w:tcW w:w="2520" w:type="dxa"/>
            <w:vAlign w:val="bottom"/>
          </w:tcPr>
          <w:p>
            <w:pPr>
              <w:ind w:left="2360"/>
              <w:spacing w:after="0"/>
              <w:rPr>
                <w:sz w:val="20"/>
                <w:szCs w:val="20"/>
                <w:color w:val="auto"/>
              </w:rPr>
            </w:pPr>
            <w:r>
              <w:rPr>
                <w:rFonts w:ascii="Arial" w:cs="Arial" w:eastAsia="Arial" w:hAnsi="Arial"/>
                <w:sz w:val="15"/>
                <w:szCs w:val="15"/>
                <w:color w:val="auto"/>
                <w:w w:val="83"/>
              </w:rPr>
              <w:t>53</w:t>
            </w:r>
          </w:p>
        </w:tc>
      </w:tr>
      <w:tr>
        <w:trPr>
          <w:trHeight w:val="220"/>
        </w:trPr>
        <w:tc>
          <w:tcPr>
            <w:tcW w:w="7480" w:type="dxa"/>
            <w:vAlign w:val="bottom"/>
          </w:tcPr>
          <w:p>
            <w:pPr>
              <w:ind w:left="160"/>
              <w:spacing w:after="0"/>
              <w:rPr>
                <w:sz w:val="20"/>
                <w:szCs w:val="20"/>
                <w:color w:val="auto"/>
              </w:rPr>
            </w:pPr>
            <w:r>
              <w:rPr>
                <w:rFonts w:ascii="Arial" w:cs="Arial" w:eastAsia="Arial" w:hAnsi="Arial"/>
                <w:sz w:val="15"/>
                <w:szCs w:val="15"/>
                <w:color w:val="auto"/>
              </w:rPr>
              <w:t>Section 2.19 Mitigation Obligations; Replacement of the Lenders</w:t>
            </w:r>
          </w:p>
        </w:tc>
        <w:tc>
          <w:tcPr>
            <w:tcW w:w="2520" w:type="dxa"/>
            <w:vAlign w:val="bottom"/>
          </w:tcPr>
          <w:p>
            <w:pPr>
              <w:ind w:left="2360"/>
              <w:spacing w:after="0"/>
              <w:rPr>
                <w:sz w:val="20"/>
                <w:szCs w:val="20"/>
                <w:color w:val="auto"/>
              </w:rPr>
            </w:pPr>
            <w:r>
              <w:rPr>
                <w:rFonts w:ascii="Arial" w:cs="Arial" w:eastAsia="Arial" w:hAnsi="Arial"/>
                <w:sz w:val="15"/>
                <w:szCs w:val="15"/>
                <w:color w:val="auto"/>
                <w:w w:val="83"/>
              </w:rPr>
              <w:t>55</w:t>
            </w:r>
          </w:p>
        </w:tc>
      </w:tr>
      <w:tr>
        <w:trPr>
          <w:trHeight w:val="220"/>
        </w:trPr>
        <w:tc>
          <w:tcPr>
            <w:tcW w:w="7480" w:type="dxa"/>
            <w:vAlign w:val="bottom"/>
          </w:tcPr>
          <w:p>
            <w:pPr>
              <w:ind w:left="160"/>
              <w:spacing w:after="0"/>
              <w:rPr>
                <w:sz w:val="20"/>
                <w:szCs w:val="20"/>
                <w:color w:val="auto"/>
              </w:rPr>
            </w:pPr>
            <w:r>
              <w:rPr>
                <w:rFonts w:ascii="Arial" w:cs="Arial" w:eastAsia="Arial" w:hAnsi="Arial"/>
                <w:sz w:val="15"/>
                <w:szCs w:val="15"/>
                <w:color w:val="auto"/>
              </w:rPr>
              <w:t>Section 2.20 Defaulting Lenders</w:t>
            </w:r>
          </w:p>
        </w:tc>
        <w:tc>
          <w:tcPr>
            <w:tcW w:w="2520" w:type="dxa"/>
            <w:vAlign w:val="bottom"/>
          </w:tcPr>
          <w:p>
            <w:pPr>
              <w:ind w:left="2360"/>
              <w:spacing w:after="0"/>
              <w:rPr>
                <w:sz w:val="20"/>
                <w:szCs w:val="20"/>
                <w:color w:val="auto"/>
              </w:rPr>
            </w:pPr>
            <w:r>
              <w:rPr>
                <w:rFonts w:ascii="Arial" w:cs="Arial" w:eastAsia="Arial" w:hAnsi="Arial"/>
                <w:sz w:val="15"/>
                <w:szCs w:val="15"/>
                <w:color w:val="auto"/>
                <w:w w:val="83"/>
              </w:rPr>
              <w:t>56</w:t>
            </w:r>
          </w:p>
        </w:tc>
      </w:tr>
      <w:tr>
        <w:trPr>
          <w:trHeight w:val="220"/>
        </w:trPr>
        <w:tc>
          <w:tcPr>
            <w:tcW w:w="7480" w:type="dxa"/>
            <w:vAlign w:val="bottom"/>
          </w:tcPr>
          <w:p>
            <w:pPr>
              <w:ind w:left="160"/>
              <w:spacing w:after="0"/>
              <w:rPr>
                <w:sz w:val="20"/>
                <w:szCs w:val="20"/>
                <w:color w:val="auto"/>
              </w:rPr>
            </w:pPr>
            <w:r>
              <w:rPr>
                <w:rFonts w:ascii="Arial" w:cs="Arial" w:eastAsia="Arial" w:hAnsi="Arial"/>
                <w:sz w:val="15"/>
                <w:szCs w:val="15"/>
                <w:color w:val="auto"/>
              </w:rPr>
              <w:t>Section 2.21 Illegality</w:t>
            </w:r>
          </w:p>
        </w:tc>
        <w:tc>
          <w:tcPr>
            <w:tcW w:w="2520" w:type="dxa"/>
            <w:vAlign w:val="bottom"/>
          </w:tcPr>
          <w:p>
            <w:pPr>
              <w:ind w:left="2360"/>
              <w:spacing w:after="0"/>
              <w:rPr>
                <w:sz w:val="20"/>
                <w:szCs w:val="20"/>
                <w:color w:val="auto"/>
              </w:rPr>
            </w:pPr>
            <w:r>
              <w:rPr>
                <w:rFonts w:ascii="Arial" w:cs="Arial" w:eastAsia="Arial" w:hAnsi="Arial"/>
                <w:sz w:val="15"/>
                <w:szCs w:val="15"/>
                <w:color w:val="auto"/>
                <w:w w:val="83"/>
              </w:rPr>
              <w:t>58</w:t>
            </w:r>
          </w:p>
        </w:tc>
      </w:tr>
      <w:tr>
        <w:trPr>
          <w:trHeight w:val="220"/>
        </w:trPr>
        <w:tc>
          <w:tcPr>
            <w:tcW w:w="7480" w:type="dxa"/>
            <w:vAlign w:val="bottom"/>
          </w:tcPr>
          <w:p>
            <w:pPr>
              <w:ind w:left="160"/>
              <w:spacing w:after="0"/>
              <w:rPr>
                <w:sz w:val="20"/>
                <w:szCs w:val="20"/>
                <w:color w:val="auto"/>
              </w:rPr>
            </w:pPr>
            <w:r>
              <w:rPr>
                <w:rFonts w:ascii="Arial" w:cs="Arial" w:eastAsia="Arial" w:hAnsi="Arial"/>
                <w:sz w:val="15"/>
                <w:szCs w:val="15"/>
                <w:color w:val="auto"/>
              </w:rPr>
              <w:t>Section 2.22 Borrower Representative</w:t>
            </w:r>
          </w:p>
        </w:tc>
        <w:tc>
          <w:tcPr>
            <w:tcW w:w="2520" w:type="dxa"/>
            <w:vAlign w:val="bottom"/>
          </w:tcPr>
          <w:p>
            <w:pPr>
              <w:ind w:left="2360"/>
              <w:spacing w:after="0"/>
              <w:rPr>
                <w:sz w:val="20"/>
                <w:szCs w:val="20"/>
                <w:color w:val="auto"/>
              </w:rPr>
            </w:pPr>
            <w:r>
              <w:rPr>
                <w:rFonts w:ascii="Arial" w:cs="Arial" w:eastAsia="Arial" w:hAnsi="Arial"/>
                <w:sz w:val="15"/>
                <w:szCs w:val="15"/>
                <w:color w:val="auto"/>
                <w:w w:val="83"/>
              </w:rPr>
              <w:t>58</w:t>
            </w:r>
          </w:p>
        </w:tc>
      </w:tr>
      <w:tr>
        <w:trPr>
          <w:trHeight w:val="639"/>
        </w:trPr>
        <w:tc>
          <w:tcPr>
            <w:tcW w:w="7480" w:type="dxa"/>
            <w:vAlign w:val="bottom"/>
          </w:tcPr>
          <w:p>
            <w:pPr>
              <w:spacing w:after="0"/>
              <w:rPr>
                <w:sz w:val="20"/>
                <w:szCs w:val="20"/>
                <w:color w:val="auto"/>
              </w:rPr>
            </w:pPr>
            <w:r>
              <w:rPr>
                <w:rFonts w:ascii="Arial" w:cs="Arial" w:eastAsia="Arial" w:hAnsi="Arial"/>
                <w:sz w:val="15"/>
                <w:szCs w:val="15"/>
                <w:color w:val="auto"/>
              </w:rPr>
              <w:t>Article III Representations and Warranties</w:t>
            </w:r>
          </w:p>
        </w:tc>
        <w:tc>
          <w:tcPr>
            <w:tcW w:w="2520" w:type="dxa"/>
            <w:vAlign w:val="bottom"/>
          </w:tcPr>
          <w:p>
            <w:pPr>
              <w:ind w:left="2360"/>
              <w:spacing w:after="0"/>
              <w:rPr>
                <w:sz w:val="20"/>
                <w:szCs w:val="20"/>
                <w:color w:val="auto"/>
              </w:rPr>
            </w:pPr>
            <w:r>
              <w:rPr>
                <w:rFonts w:ascii="Arial" w:cs="Arial" w:eastAsia="Arial" w:hAnsi="Arial"/>
                <w:sz w:val="15"/>
                <w:szCs w:val="15"/>
                <w:color w:val="auto"/>
                <w:w w:val="83"/>
              </w:rPr>
              <w:t>58</w:t>
            </w:r>
          </w:p>
        </w:tc>
      </w:tr>
      <w:tr>
        <w:trPr>
          <w:trHeight w:val="220"/>
        </w:trPr>
        <w:tc>
          <w:tcPr>
            <w:tcW w:w="7480" w:type="dxa"/>
            <w:vAlign w:val="bottom"/>
          </w:tcPr>
          <w:p>
            <w:pPr>
              <w:ind w:left="160"/>
              <w:spacing w:after="0"/>
              <w:rPr>
                <w:sz w:val="20"/>
                <w:szCs w:val="20"/>
                <w:color w:val="auto"/>
              </w:rPr>
            </w:pPr>
            <w:r>
              <w:rPr>
                <w:rFonts w:ascii="Arial" w:cs="Arial" w:eastAsia="Arial" w:hAnsi="Arial"/>
                <w:sz w:val="15"/>
                <w:szCs w:val="15"/>
                <w:color w:val="auto"/>
              </w:rPr>
              <w:t>Section 3.01 Organization; Powers</w:t>
            </w:r>
          </w:p>
        </w:tc>
        <w:tc>
          <w:tcPr>
            <w:tcW w:w="2520" w:type="dxa"/>
            <w:vAlign w:val="bottom"/>
          </w:tcPr>
          <w:p>
            <w:pPr>
              <w:ind w:left="2360"/>
              <w:spacing w:after="0"/>
              <w:rPr>
                <w:sz w:val="20"/>
                <w:szCs w:val="20"/>
                <w:color w:val="auto"/>
              </w:rPr>
            </w:pPr>
            <w:r>
              <w:rPr>
                <w:rFonts w:ascii="Arial" w:cs="Arial" w:eastAsia="Arial" w:hAnsi="Arial"/>
                <w:sz w:val="15"/>
                <w:szCs w:val="15"/>
                <w:color w:val="auto"/>
                <w:w w:val="83"/>
              </w:rPr>
              <w:t>58</w:t>
            </w:r>
          </w:p>
        </w:tc>
      </w:tr>
      <w:tr>
        <w:trPr>
          <w:trHeight w:val="220"/>
        </w:trPr>
        <w:tc>
          <w:tcPr>
            <w:tcW w:w="7480" w:type="dxa"/>
            <w:vAlign w:val="bottom"/>
          </w:tcPr>
          <w:p>
            <w:pPr>
              <w:ind w:left="160"/>
              <w:spacing w:after="0"/>
              <w:rPr>
                <w:sz w:val="20"/>
                <w:szCs w:val="20"/>
                <w:color w:val="auto"/>
              </w:rPr>
            </w:pPr>
            <w:r>
              <w:rPr>
                <w:rFonts w:ascii="Arial" w:cs="Arial" w:eastAsia="Arial" w:hAnsi="Arial"/>
                <w:sz w:val="15"/>
                <w:szCs w:val="15"/>
                <w:color w:val="auto"/>
              </w:rPr>
              <w:t>Section 3.02 Authorization; Enforceability</w:t>
            </w:r>
          </w:p>
        </w:tc>
        <w:tc>
          <w:tcPr>
            <w:tcW w:w="2520" w:type="dxa"/>
            <w:vAlign w:val="bottom"/>
          </w:tcPr>
          <w:p>
            <w:pPr>
              <w:ind w:left="2360"/>
              <w:spacing w:after="0"/>
              <w:rPr>
                <w:sz w:val="20"/>
                <w:szCs w:val="20"/>
                <w:color w:val="auto"/>
              </w:rPr>
            </w:pPr>
            <w:r>
              <w:rPr>
                <w:rFonts w:ascii="Arial" w:cs="Arial" w:eastAsia="Arial" w:hAnsi="Arial"/>
                <w:sz w:val="15"/>
                <w:szCs w:val="15"/>
                <w:color w:val="auto"/>
                <w:w w:val="83"/>
              </w:rPr>
              <w:t>58</w:t>
            </w:r>
          </w:p>
        </w:tc>
      </w:tr>
      <w:tr>
        <w:trPr>
          <w:trHeight w:val="220"/>
        </w:trPr>
        <w:tc>
          <w:tcPr>
            <w:tcW w:w="7480" w:type="dxa"/>
            <w:vAlign w:val="bottom"/>
          </w:tcPr>
          <w:p>
            <w:pPr>
              <w:ind w:left="160"/>
              <w:spacing w:after="0"/>
              <w:rPr>
                <w:sz w:val="20"/>
                <w:szCs w:val="20"/>
                <w:color w:val="auto"/>
              </w:rPr>
            </w:pPr>
            <w:r>
              <w:rPr>
                <w:rFonts w:ascii="Arial" w:cs="Arial" w:eastAsia="Arial" w:hAnsi="Arial"/>
                <w:sz w:val="15"/>
                <w:szCs w:val="15"/>
                <w:color w:val="auto"/>
              </w:rPr>
              <w:t>Section 3.03 Governmental Approvals; No Conflicts</w:t>
            </w:r>
          </w:p>
        </w:tc>
        <w:tc>
          <w:tcPr>
            <w:tcW w:w="2520" w:type="dxa"/>
            <w:vAlign w:val="bottom"/>
          </w:tcPr>
          <w:p>
            <w:pPr>
              <w:ind w:left="2360"/>
              <w:spacing w:after="0"/>
              <w:rPr>
                <w:sz w:val="20"/>
                <w:szCs w:val="20"/>
                <w:color w:val="auto"/>
              </w:rPr>
            </w:pPr>
            <w:r>
              <w:rPr>
                <w:rFonts w:ascii="Arial" w:cs="Arial" w:eastAsia="Arial" w:hAnsi="Arial"/>
                <w:sz w:val="15"/>
                <w:szCs w:val="15"/>
                <w:color w:val="auto"/>
                <w:w w:val="83"/>
              </w:rPr>
              <w:t>58</w:t>
            </w:r>
          </w:p>
        </w:tc>
      </w:tr>
      <w:tr>
        <w:trPr>
          <w:trHeight w:val="220"/>
        </w:trPr>
        <w:tc>
          <w:tcPr>
            <w:tcW w:w="7480" w:type="dxa"/>
            <w:vAlign w:val="bottom"/>
          </w:tcPr>
          <w:p>
            <w:pPr>
              <w:ind w:left="160"/>
              <w:spacing w:after="0"/>
              <w:rPr>
                <w:sz w:val="20"/>
                <w:szCs w:val="20"/>
                <w:color w:val="auto"/>
              </w:rPr>
            </w:pPr>
            <w:r>
              <w:rPr>
                <w:rFonts w:ascii="Arial" w:cs="Arial" w:eastAsia="Arial" w:hAnsi="Arial"/>
                <w:sz w:val="15"/>
                <w:szCs w:val="15"/>
                <w:color w:val="auto"/>
              </w:rPr>
              <w:t>Section 3.04 Financial Condition; No Material Adverse Change; Absence of Default</w:t>
            </w:r>
          </w:p>
        </w:tc>
        <w:tc>
          <w:tcPr>
            <w:tcW w:w="2520" w:type="dxa"/>
            <w:vAlign w:val="bottom"/>
          </w:tcPr>
          <w:p>
            <w:pPr>
              <w:ind w:left="2360"/>
              <w:spacing w:after="0"/>
              <w:rPr>
                <w:sz w:val="20"/>
                <w:szCs w:val="20"/>
                <w:color w:val="auto"/>
              </w:rPr>
            </w:pPr>
            <w:r>
              <w:rPr>
                <w:rFonts w:ascii="Arial" w:cs="Arial" w:eastAsia="Arial" w:hAnsi="Arial"/>
                <w:sz w:val="15"/>
                <w:szCs w:val="15"/>
                <w:color w:val="auto"/>
                <w:w w:val="83"/>
              </w:rPr>
              <w:t>59</w:t>
            </w:r>
          </w:p>
        </w:tc>
      </w:tr>
      <w:tr>
        <w:trPr>
          <w:trHeight w:val="220"/>
        </w:trPr>
        <w:tc>
          <w:tcPr>
            <w:tcW w:w="7480" w:type="dxa"/>
            <w:vAlign w:val="bottom"/>
          </w:tcPr>
          <w:p>
            <w:pPr>
              <w:ind w:left="160"/>
              <w:spacing w:after="0"/>
              <w:rPr>
                <w:sz w:val="20"/>
                <w:szCs w:val="20"/>
                <w:color w:val="auto"/>
              </w:rPr>
            </w:pPr>
            <w:r>
              <w:rPr>
                <w:rFonts w:ascii="Arial" w:cs="Arial" w:eastAsia="Arial" w:hAnsi="Arial"/>
                <w:sz w:val="15"/>
                <w:szCs w:val="15"/>
                <w:color w:val="auto"/>
              </w:rPr>
              <w:t>Section 3.05 Properties</w:t>
            </w:r>
          </w:p>
        </w:tc>
        <w:tc>
          <w:tcPr>
            <w:tcW w:w="2520" w:type="dxa"/>
            <w:vAlign w:val="bottom"/>
          </w:tcPr>
          <w:p>
            <w:pPr>
              <w:ind w:left="2360"/>
              <w:spacing w:after="0"/>
              <w:rPr>
                <w:sz w:val="20"/>
                <w:szCs w:val="20"/>
                <w:color w:val="auto"/>
              </w:rPr>
            </w:pPr>
            <w:r>
              <w:rPr>
                <w:rFonts w:ascii="Arial" w:cs="Arial" w:eastAsia="Arial" w:hAnsi="Arial"/>
                <w:sz w:val="15"/>
                <w:szCs w:val="15"/>
                <w:color w:val="auto"/>
                <w:w w:val="83"/>
              </w:rPr>
              <w:t>59</w:t>
            </w:r>
          </w:p>
        </w:tc>
      </w:tr>
      <w:tr>
        <w:trPr>
          <w:trHeight w:val="220"/>
        </w:trPr>
        <w:tc>
          <w:tcPr>
            <w:tcW w:w="7480" w:type="dxa"/>
            <w:vAlign w:val="bottom"/>
          </w:tcPr>
          <w:p>
            <w:pPr>
              <w:ind w:left="160"/>
              <w:spacing w:after="0"/>
              <w:rPr>
                <w:sz w:val="20"/>
                <w:szCs w:val="20"/>
                <w:color w:val="auto"/>
              </w:rPr>
            </w:pPr>
            <w:r>
              <w:rPr>
                <w:rFonts w:ascii="Arial" w:cs="Arial" w:eastAsia="Arial" w:hAnsi="Arial"/>
                <w:sz w:val="15"/>
                <w:szCs w:val="15"/>
                <w:color w:val="auto"/>
              </w:rPr>
              <w:t>Section 3.06 Litigation and Environmental Matters</w:t>
            </w:r>
          </w:p>
        </w:tc>
        <w:tc>
          <w:tcPr>
            <w:tcW w:w="2520" w:type="dxa"/>
            <w:vAlign w:val="bottom"/>
          </w:tcPr>
          <w:p>
            <w:pPr>
              <w:ind w:left="2360"/>
              <w:spacing w:after="0"/>
              <w:rPr>
                <w:sz w:val="20"/>
                <w:szCs w:val="20"/>
                <w:color w:val="auto"/>
              </w:rPr>
            </w:pPr>
            <w:r>
              <w:rPr>
                <w:rFonts w:ascii="Arial" w:cs="Arial" w:eastAsia="Arial" w:hAnsi="Arial"/>
                <w:sz w:val="15"/>
                <w:szCs w:val="15"/>
                <w:color w:val="auto"/>
                <w:w w:val="83"/>
              </w:rPr>
              <w:t>59</w:t>
            </w:r>
          </w:p>
        </w:tc>
      </w:tr>
      <w:tr>
        <w:trPr>
          <w:trHeight w:val="220"/>
        </w:trPr>
        <w:tc>
          <w:tcPr>
            <w:tcW w:w="7480" w:type="dxa"/>
            <w:vAlign w:val="bottom"/>
          </w:tcPr>
          <w:p>
            <w:pPr>
              <w:ind w:left="160"/>
              <w:spacing w:after="0"/>
              <w:rPr>
                <w:sz w:val="20"/>
                <w:szCs w:val="20"/>
                <w:color w:val="auto"/>
              </w:rPr>
            </w:pPr>
            <w:r>
              <w:rPr>
                <w:rFonts w:ascii="Arial" w:cs="Arial" w:eastAsia="Arial" w:hAnsi="Arial"/>
                <w:sz w:val="15"/>
                <w:szCs w:val="15"/>
                <w:color w:val="auto"/>
              </w:rPr>
              <w:t>Section 3.07 Compliance with Laws and Agreements</w:t>
            </w:r>
          </w:p>
        </w:tc>
        <w:tc>
          <w:tcPr>
            <w:tcW w:w="2520" w:type="dxa"/>
            <w:vAlign w:val="bottom"/>
          </w:tcPr>
          <w:p>
            <w:pPr>
              <w:ind w:left="2360"/>
              <w:spacing w:after="0"/>
              <w:rPr>
                <w:sz w:val="20"/>
                <w:szCs w:val="20"/>
                <w:color w:val="auto"/>
              </w:rPr>
            </w:pPr>
            <w:r>
              <w:rPr>
                <w:rFonts w:ascii="Arial" w:cs="Arial" w:eastAsia="Arial" w:hAnsi="Arial"/>
                <w:sz w:val="15"/>
                <w:szCs w:val="15"/>
                <w:color w:val="auto"/>
                <w:w w:val="83"/>
              </w:rPr>
              <w:t>60</w:t>
            </w:r>
          </w:p>
        </w:tc>
      </w:tr>
      <w:tr>
        <w:trPr>
          <w:trHeight w:val="220"/>
        </w:trPr>
        <w:tc>
          <w:tcPr>
            <w:tcW w:w="7480" w:type="dxa"/>
            <w:vAlign w:val="bottom"/>
          </w:tcPr>
          <w:p>
            <w:pPr>
              <w:ind w:left="160"/>
              <w:spacing w:after="0"/>
              <w:rPr>
                <w:sz w:val="20"/>
                <w:szCs w:val="20"/>
                <w:color w:val="auto"/>
              </w:rPr>
            </w:pPr>
            <w:r>
              <w:rPr>
                <w:rFonts w:ascii="Arial" w:cs="Arial" w:eastAsia="Arial" w:hAnsi="Arial"/>
                <w:sz w:val="15"/>
                <w:szCs w:val="15"/>
                <w:color w:val="auto"/>
              </w:rPr>
              <w:t>Section 3.08 Investment Company Status</w:t>
            </w:r>
          </w:p>
        </w:tc>
        <w:tc>
          <w:tcPr>
            <w:tcW w:w="2520" w:type="dxa"/>
            <w:vAlign w:val="bottom"/>
          </w:tcPr>
          <w:p>
            <w:pPr>
              <w:ind w:left="2360"/>
              <w:spacing w:after="0"/>
              <w:rPr>
                <w:sz w:val="20"/>
                <w:szCs w:val="20"/>
                <w:color w:val="auto"/>
              </w:rPr>
            </w:pPr>
            <w:r>
              <w:rPr>
                <w:rFonts w:ascii="Arial" w:cs="Arial" w:eastAsia="Arial" w:hAnsi="Arial"/>
                <w:sz w:val="15"/>
                <w:szCs w:val="15"/>
                <w:color w:val="auto"/>
                <w:w w:val="83"/>
              </w:rPr>
              <w:t>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0199"/>
          </w:cols>
          <w:pgMar w:left="260" w:top="502" w:right="1440"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87"/>
        </w:trPr>
        <w:tc>
          <w:tcPr>
            <w:tcW w:w="7160" w:type="dxa"/>
            <w:vAlign w:val="bottom"/>
          </w:tcPr>
          <w:p>
            <w:pPr>
              <w:ind w:left="160"/>
              <w:spacing w:after="0"/>
              <w:rPr>
                <w:sz w:val="20"/>
                <w:szCs w:val="20"/>
                <w:color w:val="auto"/>
              </w:rPr>
            </w:pPr>
            <w:r>
              <w:rPr>
                <w:rFonts w:ascii="Arial" w:cs="Arial" w:eastAsia="Arial" w:hAnsi="Arial"/>
                <w:sz w:val="15"/>
                <w:szCs w:val="15"/>
                <w:color w:val="auto"/>
              </w:rPr>
              <w:t>Section 3.09 Taxes</w:t>
            </w:r>
          </w:p>
        </w:tc>
        <w:tc>
          <w:tcPr>
            <w:tcW w:w="2840" w:type="dxa"/>
            <w:vAlign w:val="bottom"/>
          </w:tcPr>
          <w:p>
            <w:pPr>
              <w:jc w:val="right"/>
              <w:spacing w:after="0"/>
              <w:rPr>
                <w:sz w:val="20"/>
                <w:szCs w:val="20"/>
                <w:color w:val="auto"/>
              </w:rPr>
            </w:pPr>
            <w:r>
              <w:rPr>
                <w:rFonts w:ascii="Arial" w:cs="Arial" w:eastAsia="Arial" w:hAnsi="Arial"/>
                <w:sz w:val="15"/>
                <w:szCs w:val="15"/>
                <w:color w:val="auto"/>
              </w:rPr>
              <w:t>60</w:t>
            </w:r>
          </w:p>
        </w:tc>
      </w:tr>
      <w:tr>
        <w:trPr>
          <w:trHeight w:val="220"/>
        </w:trPr>
        <w:tc>
          <w:tcPr>
            <w:tcW w:w="7160" w:type="dxa"/>
            <w:vAlign w:val="bottom"/>
          </w:tcPr>
          <w:p>
            <w:pPr>
              <w:ind w:left="160"/>
              <w:spacing w:after="0"/>
              <w:rPr>
                <w:sz w:val="20"/>
                <w:szCs w:val="20"/>
                <w:color w:val="auto"/>
              </w:rPr>
            </w:pPr>
            <w:r>
              <w:rPr>
                <w:rFonts w:ascii="Arial" w:cs="Arial" w:eastAsia="Arial" w:hAnsi="Arial"/>
                <w:sz w:val="15"/>
                <w:szCs w:val="15"/>
                <w:color w:val="auto"/>
              </w:rPr>
              <w:t>Section 3.10 ERISA; Canadian Pension and Benefit Plans</w:t>
            </w:r>
          </w:p>
        </w:tc>
        <w:tc>
          <w:tcPr>
            <w:tcW w:w="2840" w:type="dxa"/>
            <w:vAlign w:val="bottom"/>
          </w:tcPr>
          <w:p>
            <w:pPr>
              <w:jc w:val="right"/>
              <w:spacing w:after="0"/>
              <w:rPr>
                <w:sz w:val="20"/>
                <w:szCs w:val="20"/>
                <w:color w:val="auto"/>
              </w:rPr>
            </w:pPr>
            <w:r>
              <w:rPr>
                <w:rFonts w:ascii="Arial" w:cs="Arial" w:eastAsia="Arial" w:hAnsi="Arial"/>
                <w:sz w:val="15"/>
                <w:szCs w:val="15"/>
                <w:color w:val="auto"/>
              </w:rPr>
              <w:t>60</w:t>
            </w:r>
          </w:p>
        </w:tc>
      </w:tr>
      <w:tr>
        <w:trPr>
          <w:trHeight w:val="220"/>
        </w:trPr>
        <w:tc>
          <w:tcPr>
            <w:tcW w:w="7160" w:type="dxa"/>
            <w:vAlign w:val="bottom"/>
          </w:tcPr>
          <w:p>
            <w:pPr>
              <w:ind w:left="160"/>
              <w:spacing w:after="0"/>
              <w:rPr>
                <w:sz w:val="20"/>
                <w:szCs w:val="20"/>
                <w:color w:val="auto"/>
              </w:rPr>
            </w:pPr>
            <w:r>
              <w:rPr>
                <w:rFonts w:ascii="Arial" w:cs="Arial" w:eastAsia="Arial" w:hAnsi="Arial"/>
                <w:sz w:val="15"/>
                <w:szCs w:val="15"/>
                <w:color w:val="auto"/>
              </w:rPr>
              <w:t>Section 3.11 Plan Assets; Prohibited Transactions; ERISA</w:t>
            </w:r>
          </w:p>
        </w:tc>
        <w:tc>
          <w:tcPr>
            <w:tcW w:w="2840" w:type="dxa"/>
            <w:vAlign w:val="bottom"/>
          </w:tcPr>
          <w:p>
            <w:pPr>
              <w:jc w:val="right"/>
              <w:spacing w:after="0"/>
              <w:rPr>
                <w:sz w:val="20"/>
                <w:szCs w:val="20"/>
                <w:color w:val="auto"/>
              </w:rPr>
            </w:pPr>
            <w:r>
              <w:rPr>
                <w:rFonts w:ascii="Arial" w:cs="Arial" w:eastAsia="Arial" w:hAnsi="Arial"/>
                <w:sz w:val="15"/>
                <w:szCs w:val="15"/>
                <w:color w:val="auto"/>
              </w:rPr>
              <w:t>61</w:t>
            </w:r>
          </w:p>
        </w:tc>
      </w:tr>
      <w:tr>
        <w:trPr>
          <w:trHeight w:val="220"/>
        </w:trPr>
        <w:tc>
          <w:tcPr>
            <w:tcW w:w="7160" w:type="dxa"/>
            <w:vAlign w:val="bottom"/>
          </w:tcPr>
          <w:p>
            <w:pPr>
              <w:ind w:left="160"/>
              <w:spacing w:after="0"/>
              <w:rPr>
                <w:sz w:val="20"/>
                <w:szCs w:val="20"/>
                <w:color w:val="auto"/>
              </w:rPr>
            </w:pPr>
            <w:r>
              <w:rPr>
                <w:rFonts w:ascii="Arial" w:cs="Arial" w:eastAsia="Arial" w:hAnsi="Arial"/>
                <w:sz w:val="15"/>
                <w:szCs w:val="15"/>
                <w:color w:val="auto"/>
              </w:rPr>
              <w:t>Section 3.12 Disclosure</w:t>
            </w:r>
          </w:p>
        </w:tc>
        <w:tc>
          <w:tcPr>
            <w:tcW w:w="2840" w:type="dxa"/>
            <w:vAlign w:val="bottom"/>
          </w:tcPr>
          <w:p>
            <w:pPr>
              <w:jc w:val="right"/>
              <w:spacing w:after="0"/>
              <w:rPr>
                <w:sz w:val="20"/>
                <w:szCs w:val="20"/>
                <w:color w:val="auto"/>
              </w:rPr>
            </w:pPr>
            <w:r>
              <w:rPr>
                <w:rFonts w:ascii="Arial" w:cs="Arial" w:eastAsia="Arial" w:hAnsi="Arial"/>
                <w:sz w:val="15"/>
                <w:szCs w:val="15"/>
                <w:color w:val="auto"/>
              </w:rPr>
              <w:t>61</w:t>
            </w:r>
          </w:p>
        </w:tc>
      </w:tr>
      <w:tr>
        <w:trPr>
          <w:trHeight w:val="220"/>
        </w:trPr>
        <w:tc>
          <w:tcPr>
            <w:tcW w:w="7160" w:type="dxa"/>
            <w:vAlign w:val="bottom"/>
          </w:tcPr>
          <w:p>
            <w:pPr>
              <w:ind w:left="160"/>
              <w:spacing w:after="0"/>
              <w:rPr>
                <w:sz w:val="20"/>
                <w:szCs w:val="20"/>
                <w:color w:val="auto"/>
              </w:rPr>
            </w:pPr>
            <w:r>
              <w:rPr>
                <w:rFonts w:ascii="Arial" w:cs="Arial" w:eastAsia="Arial" w:hAnsi="Arial"/>
                <w:sz w:val="15"/>
                <w:szCs w:val="15"/>
                <w:color w:val="auto"/>
              </w:rPr>
              <w:t>Section 3.13 Subsidiaries</w:t>
            </w:r>
          </w:p>
        </w:tc>
        <w:tc>
          <w:tcPr>
            <w:tcW w:w="2840" w:type="dxa"/>
            <w:vAlign w:val="bottom"/>
          </w:tcPr>
          <w:p>
            <w:pPr>
              <w:jc w:val="right"/>
              <w:spacing w:after="0"/>
              <w:rPr>
                <w:sz w:val="20"/>
                <w:szCs w:val="20"/>
                <w:color w:val="auto"/>
              </w:rPr>
            </w:pPr>
            <w:r>
              <w:rPr>
                <w:rFonts w:ascii="Arial" w:cs="Arial" w:eastAsia="Arial" w:hAnsi="Arial"/>
                <w:sz w:val="15"/>
                <w:szCs w:val="15"/>
                <w:color w:val="auto"/>
              </w:rPr>
              <w:t>61</w:t>
            </w:r>
          </w:p>
        </w:tc>
      </w:tr>
      <w:tr>
        <w:trPr>
          <w:trHeight w:val="220"/>
        </w:trPr>
        <w:tc>
          <w:tcPr>
            <w:tcW w:w="7160" w:type="dxa"/>
            <w:vAlign w:val="bottom"/>
          </w:tcPr>
          <w:p>
            <w:pPr>
              <w:ind w:left="160"/>
              <w:spacing w:after="0"/>
              <w:rPr>
                <w:sz w:val="20"/>
                <w:szCs w:val="20"/>
                <w:color w:val="auto"/>
              </w:rPr>
            </w:pPr>
            <w:r>
              <w:rPr>
                <w:rFonts w:ascii="Arial" w:cs="Arial" w:eastAsia="Arial" w:hAnsi="Arial"/>
                <w:sz w:val="15"/>
                <w:szCs w:val="15"/>
                <w:color w:val="auto"/>
              </w:rPr>
              <w:t>Section 3.14 Material Agreements</w:t>
            </w:r>
          </w:p>
        </w:tc>
        <w:tc>
          <w:tcPr>
            <w:tcW w:w="2840" w:type="dxa"/>
            <w:vAlign w:val="bottom"/>
          </w:tcPr>
          <w:p>
            <w:pPr>
              <w:jc w:val="right"/>
              <w:spacing w:after="0"/>
              <w:rPr>
                <w:sz w:val="20"/>
                <w:szCs w:val="20"/>
                <w:color w:val="auto"/>
              </w:rPr>
            </w:pPr>
            <w:r>
              <w:rPr>
                <w:rFonts w:ascii="Arial" w:cs="Arial" w:eastAsia="Arial" w:hAnsi="Arial"/>
                <w:sz w:val="15"/>
                <w:szCs w:val="15"/>
                <w:color w:val="auto"/>
              </w:rPr>
              <w:t>61</w:t>
            </w:r>
          </w:p>
        </w:tc>
      </w:tr>
      <w:tr>
        <w:trPr>
          <w:trHeight w:val="220"/>
        </w:trPr>
        <w:tc>
          <w:tcPr>
            <w:tcW w:w="7160" w:type="dxa"/>
            <w:vAlign w:val="bottom"/>
          </w:tcPr>
          <w:p>
            <w:pPr>
              <w:ind w:left="160"/>
              <w:spacing w:after="0"/>
              <w:rPr>
                <w:sz w:val="20"/>
                <w:szCs w:val="20"/>
                <w:color w:val="auto"/>
              </w:rPr>
            </w:pPr>
            <w:r>
              <w:rPr>
                <w:rFonts w:ascii="Arial" w:cs="Arial" w:eastAsia="Arial" w:hAnsi="Arial"/>
                <w:sz w:val="15"/>
                <w:szCs w:val="15"/>
                <w:color w:val="auto"/>
              </w:rPr>
              <w:t>Section 3.15 Post-Retirement Benefits</w:t>
            </w:r>
          </w:p>
        </w:tc>
        <w:tc>
          <w:tcPr>
            <w:tcW w:w="2840" w:type="dxa"/>
            <w:vAlign w:val="bottom"/>
          </w:tcPr>
          <w:p>
            <w:pPr>
              <w:jc w:val="right"/>
              <w:spacing w:after="0"/>
              <w:rPr>
                <w:sz w:val="20"/>
                <w:szCs w:val="20"/>
                <w:color w:val="auto"/>
              </w:rPr>
            </w:pPr>
            <w:r>
              <w:rPr>
                <w:rFonts w:ascii="Arial" w:cs="Arial" w:eastAsia="Arial" w:hAnsi="Arial"/>
                <w:sz w:val="15"/>
                <w:szCs w:val="15"/>
                <w:color w:val="auto"/>
              </w:rPr>
              <w:t>62</w:t>
            </w:r>
          </w:p>
        </w:tc>
      </w:tr>
      <w:tr>
        <w:trPr>
          <w:trHeight w:val="220"/>
        </w:trPr>
        <w:tc>
          <w:tcPr>
            <w:tcW w:w="7160" w:type="dxa"/>
            <w:vAlign w:val="bottom"/>
          </w:tcPr>
          <w:p>
            <w:pPr>
              <w:ind w:left="160"/>
              <w:spacing w:after="0"/>
              <w:rPr>
                <w:sz w:val="20"/>
                <w:szCs w:val="20"/>
                <w:color w:val="auto"/>
              </w:rPr>
            </w:pPr>
            <w:r>
              <w:rPr>
                <w:rFonts w:ascii="Arial" w:cs="Arial" w:eastAsia="Arial" w:hAnsi="Arial"/>
                <w:sz w:val="15"/>
                <w:szCs w:val="15"/>
                <w:color w:val="auto"/>
              </w:rPr>
              <w:t>Section 3.16 Solvency</w:t>
            </w:r>
          </w:p>
        </w:tc>
        <w:tc>
          <w:tcPr>
            <w:tcW w:w="2840" w:type="dxa"/>
            <w:vAlign w:val="bottom"/>
          </w:tcPr>
          <w:p>
            <w:pPr>
              <w:jc w:val="right"/>
              <w:spacing w:after="0"/>
              <w:rPr>
                <w:sz w:val="20"/>
                <w:szCs w:val="20"/>
                <w:color w:val="auto"/>
              </w:rPr>
            </w:pPr>
            <w:r>
              <w:rPr>
                <w:rFonts w:ascii="Arial" w:cs="Arial" w:eastAsia="Arial" w:hAnsi="Arial"/>
                <w:sz w:val="15"/>
                <w:szCs w:val="15"/>
                <w:color w:val="auto"/>
              </w:rPr>
              <w:t>62</w:t>
            </w:r>
          </w:p>
        </w:tc>
      </w:tr>
      <w:tr>
        <w:trPr>
          <w:trHeight w:val="220"/>
        </w:trPr>
        <w:tc>
          <w:tcPr>
            <w:tcW w:w="7160" w:type="dxa"/>
            <w:vAlign w:val="bottom"/>
          </w:tcPr>
          <w:p>
            <w:pPr>
              <w:ind w:left="160"/>
              <w:spacing w:after="0"/>
              <w:rPr>
                <w:sz w:val="20"/>
                <w:szCs w:val="20"/>
                <w:color w:val="auto"/>
              </w:rPr>
            </w:pPr>
            <w:r>
              <w:rPr>
                <w:rFonts w:ascii="Arial" w:cs="Arial" w:eastAsia="Arial" w:hAnsi="Arial"/>
                <w:sz w:val="15"/>
                <w:szCs w:val="15"/>
                <w:color w:val="auto"/>
              </w:rPr>
              <w:t>Section 3.17 Payment and Performance Bonds</w:t>
            </w:r>
          </w:p>
        </w:tc>
        <w:tc>
          <w:tcPr>
            <w:tcW w:w="2840" w:type="dxa"/>
            <w:vAlign w:val="bottom"/>
          </w:tcPr>
          <w:p>
            <w:pPr>
              <w:jc w:val="right"/>
              <w:spacing w:after="0"/>
              <w:rPr>
                <w:sz w:val="20"/>
                <w:szCs w:val="20"/>
                <w:color w:val="auto"/>
              </w:rPr>
            </w:pPr>
            <w:r>
              <w:rPr>
                <w:rFonts w:ascii="Arial" w:cs="Arial" w:eastAsia="Arial" w:hAnsi="Arial"/>
                <w:sz w:val="15"/>
                <w:szCs w:val="15"/>
                <w:color w:val="auto"/>
              </w:rPr>
              <w:t>62</w:t>
            </w:r>
          </w:p>
        </w:tc>
      </w:tr>
      <w:tr>
        <w:trPr>
          <w:trHeight w:val="220"/>
        </w:trPr>
        <w:tc>
          <w:tcPr>
            <w:tcW w:w="7160" w:type="dxa"/>
            <w:vAlign w:val="bottom"/>
          </w:tcPr>
          <w:p>
            <w:pPr>
              <w:ind w:left="160"/>
              <w:spacing w:after="0"/>
              <w:rPr>
                <w:sz w:val="20"/>
                <w:szCs w:val="20"/>
                <w:color w:val="auto"/>
              </w:rPr>
            </w:pPr>
            <w:r>
              <w:rPr>
                <w:rFonts w:ascii="Arial" w:cs="Arial" w:eastAsia="Arial" w:hAnsi="Arial"/>
                <w:sz w:val="15"/>
                <w:szCs w:val="15"/>
                <w:color w:val="auto"/>
              </w:rPr>
              <w:t>Section 3.18 Commercial Tort Claims</w:t>
            </w:r>
          </w:p>
        </w:tc>
        <w:tc>
          <w:tcPr>
            <w:tcW w:w="2840" w:type="dxa"/>
            <w:vAlign w:val="bottom"/>
          </w:tcPr>
          <w:p>
            <w:pPr>
              <w:jc w:val="right"/>
              <w:spacing w:after="0"/>
              <w:rPr>
                <w:sz w:val="20"/>
                <w:szCs w:val="20"/>
                <w:color w:val="auto"/>
              </w:rPr>
            </w:pPr>
            <w:r>
              <w:rPr>
                <w:rFonts w:ascii="Arial" w:cs="Arial" w:eastAsia="Arial" w:hAnsi="Arial"/>
                <w:sz w:val="15"/>
                <w:szCs w:val="15"/>
                <w:color w:val="auto"/>
              </w:rPr>
              <w:t>62</w:t>
            </w:r>
          </w:p>
        </w:tc>
      </w:tr>
      <w:tr>
        <w:trPr>
          <w:trHeight w:val="220"/>
        </w:trPr>
        <w:tc>
          <w:tcPr>
            <w:tcW w:w="7160" w:type="dxa"/>
            <w:vAlign w:val="bottom"/>
          </w:tcPr>
          <w:p>
            <w:pPr>
              <w:ind w:left="160"/>
              <w:spacing w:after="0"/>
              <w:rPr>
                <w:sz w:val="20"/>
                <w:szCs w:val="20"/>
                <w:color w:val="auto"/>
              </w:rPr>
            </w:pPr>
            <w:r>
              <w:rPr>
                <w:rFonts w:ascii="Arial" w:cs="Arial" w:eastAsia="Arial" w:hAnsi="Arial"/>
                <w:sz w:val="15"/>
                <w:szCs w:val="15"/>
                <w:color w:val="auto"/>
              </w:rPr>
              <w:t>Section 3.19 Anti-Corruption Laws and Sanctions</w:t>
            </w:r>
          </w:p>
        </w:tc>
        <w:tc>
          <w:tcPr>
            <w:tcW w:w="2840" w:type="dxa"/>
            <w:vAlign w:val="bottom"/>
          </w:tcPr>
          <w:p>
            <w:pPr>
              <w:jc w:val="right"/>
              <w:spacing w:after="0"/>
              <w:rPr>
                <w:sz w:val="20"/>
                <w:szCs w:val="20"/>
                <w:color w:val="auto"/>
              </w:rPr>
            </w:pPr>
            <w:r>
              <w:rPr>
                <w:rFonts w:ascii="Arial" w:cs="Arial" w:eastAsia="Arial" w:hAnsi="Arial"/>
                <w:sz w:val="15"/>
                <w:szCs w:val="15"/>
                <w:color w:val="auto"/>
              </w:rPr>
              <w:t>62</w:t>
            </w:r>
          </w:p>
        </w:tc>
      </w:tr>
      <w:tr>
        <w:trPr>
          <w:trHeight w:val="220"/>
        </w:trPr>
        <w:tc>
          <w:tcPr>
            <w:tcW w:w="7160" w:type="dxa"/>
            <w:vAlign w:val="bottom"/>
          </w:tcPr>
          <w:p>
            <w:pPr>
              <w:ind w:left="160"/>
              <w:spacing w:after="0"/>
              <w:rPr>
                <w:sz w:val="20"/>
                <w:szCs w:val="20"/>
                <w:color w:val="auto"/>
              </w:rPr>
            </w:pPr>
            <w:r>
              <w:rPr>
                <w:rFonts w:ascii="Arial" w:cs="Arial" w:eastAsia="Arial" w:hAnsi="Arial"/>
                <w:sz w:val="15"/>
                <w:szCs w:val="15"/>
                <w:color w:val="auto"/>
              </w:rPr>
              <w:t>Section 3.20 EEA Financial Institution</w:t>
            </w:r>
          </w:p>
        </w:tc>
        <w:tc>
          <w:tcPr>
            <w:tcW w:w="2840" w:type="dxa"/>
            <w:vAlign w:val="bottom"/>
          </w:tcPr>
          <w:p>
            <w:pPr>
              <w:jc w:val="right"/>
              <w:spacing w:after="0"/>
              <w:rPr>
                <w:sz w:val="20"/>
                <w:szCs w:val="20"/>
                <w:color w:val="auto"/>
              </w:rPr>
            </w:pPr>
            <w:r>
              <w:rPr>
                <w:rFonts w:ascii="Arial" w:cs="Arial" w:eastAsia="Arial" w:hAnsi="Arial"/>
                <w:sz w:val="15"/>
                <w:szCs w:val="15"/>
                <w:color w:val="auto"/>
              </w:rPr>
              <w:t>63</w:t>
            </w:r>
          </w:p>
        </w:tc>
      </w:tr>
      <w:tr>
        <w:trPr>
          <w:trHeight w:val="639"/>
        </w:trPr>
        <w:tc>
          <w:tcPr>
            <w:tcW w:w="7160" w:type="dxa"/>
            <w:vAlign w:val="bottom"/>
          </w:tcPr>
          <w:p>
            <w:pPr>
              <w:spacing w:after="0"/>
              <w:rPr>
                <w:sz w:val="20"/>
                <w:szCs w:val="20"/>
                <w:color w:val="auto"/>
              </w:rPr>
            </w:pPr>
            <w:r>
              <w:rPr>
                <w:rFonts w:ascii="Arial" w:cs="Arial" w:eastAsia="Arial" w:hAnsi="Arial"/>
                <w:sz w:val="15"/>
                <w:szCs w:val="15"/>
                <w:color w:val="auto"/>
              </w:rPr>
              <w:t>Article IV Conditions</w:t>
            </w:r>
          </w:p>
        </w:tc>
        <w:tc>
          <w:tcPr>
            <w:tcW w:w="2840" w:type="dxa"/>
            <w:vAlign w:val="bottom"/>
          </w:tcPr>
          <w:p>
            <w:pPr>
              <w:jc w:val="right"/>
              <w:spacing w:after="0"/>
              <w:rPr>
                <w:sz w:val="20"/>
                <w:szCs w:val="20"/>
                <w:color w:val="auto"/>
              </w:rPr>
            </w:pPr>
            <w:r>
              <w:rPr>
                <w:rFonts w:ascii="Arial" w:cs="Arial" w:eastAsia="Arial" w:hAnsi="Arial"/>
                <w:sz w:val="15"/>
                <w:szCs w:val="15"/>
                <w:color w:val="auto"/>
              </w:rPr>
              <w:t>63</w:t>
            </w:r>
          </w:p>
        </w:tc>
      </w:tr>
      <w:tr>
        <w:trPr>
          <w:trHeight w:val="220"/>
        </w:trPr>
        <w:tc>
          <w:tcPr>
            <w:tcW w:w="7160" w:type="dxa"/>
            <w:vAlign w:val="bottom"/>
          </w:tcPr>
          <w:p>
            <w:pPr>
              <w:ind w:left="160"/>
              <w:spacing w:after="0"/>
              <w:rPr>
                <w:sz w:val="20"/>
                <w:szCs w:val="20"/>
                <w:color w:val="auto"/>
              </w:rPr>
            </w:pPr>
            <w:r>
              <w:rPr>
                <w:rFonts w:ascii="Arial" w:cs="Arial" w:eastAsia="Arial" w:hAnsi="Arial"/>
                <w:sz w:val="15"/>
                <w:szCs w:val="15"/>
                <w:color w:val="auto"/>
              </w:rPr>
              <w:t>Section 4.01 Effective Date</w:t>
            </w:r>
          </w:p>
        </w:tc>
        <w:tc>
          <w:tcPr>
            <w:tcW w:w="2840" w:type="dxa"/>
            <w:vAlign w:val="bottom"/>
          </w:tcPr>
          <w:p>
            <w:pPr>
              <w:jc w:val="right"/>
              <w:spacing w:after="0"/>
              <w:rPr>
                <w:sz w:val="20"/>
                <w:szCs w:val="20"/>
                <w:color w:val="auto"/>
              </w:rPr>
            </w:pPr>
            <w:r>
              <w:rPr>
                <w:rFonts w:ascii="Arial" w:cs="Arial" w:eastAsia="Arial" w:hAnsi="Arial"/>
                <w:sz w:val="15"/>
                <w:szCs w:val="15"/>
                <w:color w:val="auto"/>
              </w:rPr>
              <w:t>63</w:t>
            </w:r>
          </w:p>
        </w:tc>
      </w:tr>
      <w:tr>
        <w:trPr>
          <w:trHeight w:val="220"/>
        </w:trPr>
        <w:tc>
          <w:tcPr>
            <w:tcW w:w="7160" w:type="dxa"/>
            <w:vAlign w:val="bottom"/>
          </w:tcPr>
          <w:p>
            <w:pPr>
              <w:ind w:left="160"/>
              <w:spacing w:after="0"/>
              <w:rPr>
                <w:sz w:val="20"/>
                <w:szCs w:val="20"/>
                <w:color w:val="auto"/>
              </w:rPr>
            </w:pPr>
            <w:r>
              <w:rPr>
                <w:rFonts w:ascii="Arial" w:cs="Arial" w:eastAsia="Arial" w:hAnsi="Arial"/>
                <w:sz w:val="15"/>
                <w:szCs w:val="15"/>
                <w:color w:val="auto"/>
              </w:rPr>
              <w:t>Section 4.02 Each Credit Event</w:t>
            </w:r>
          </w:p>
        </w:tc>
        <w:tc>
          <w:tcPr>
            <w:tcW w:w="2840" w:type="dxa"/>
            <w:vAlign w:val="bottom"/>
          </w:tcPr>
          <w:p>
            <w:pPr>
              <w:jc w:val="right"/>
              <w:spacing w:after="0"/>
              <w:rPr>
                <w:sz w:val="20"/>
                <w:szCs w:val="20"/>
                <w:color w:val="auto"/>
              </w:rPr>
            </w:pPr>
            <w:r>
              <w:rPr>
                <w:rFonts w:ascii="Arial" w:cs="Arial" w:eastAsia="Arial" w:hAnsi="Arial"/>
                <w:sz w:val="15"/>
                <w:szCs w:val="15"/>
                <w:color w:val="auto"/>
              </w:rPr>
              <w:t>64</w:t>
            </w:r>
          </w:p>
        </w:tc>
      </w:tr>
      <w:tr>
        <w:trPr>
          <w:trHeight w:val="639"/>
        </w:trPr>
        <w:tc>
          <w:tcPr>
            <w:tcW w:w="7160" w:type="dxa"/>
            <w:vAlign w:val="bottom"/>
          </w:tcPr>
          <w:p>
            <w:pPr>
              <w:spacing w:after="0"/>
              <w:rPr>
                <w:sz w:val="20"/>
                <w:szCs w:val="20"/>
                <w:color w:val="auto"/>
              </w:rPr>
            </w:pPr>
            <w:r>
              <w:rPr>
                <w:rFonts w:ascii="Arial" w:cs="Arial" w:eastAsia="Arial" w:hAnsi="Arial"/>
                <w:sz w:val="15"/>
                <w:szCs w:val="15"/>
                <w:color w:val="auto"/>
              </w:rPr>
              <w:t>Article V Affirmative Covenants</w:t>
            </w:r>
          </w:p>
        </w:tc>
        <w:tc>
          <w:tcPr>
            <w:tcW w:w="2840" w:type="dxa"/>
            <w:vAlign w:val="bottom"/>
          </w:tcPr>
          <w:p>
            <w:pPr>
              <w:jc w:val="right"/>
              <w:spacing w:after="0"/>
              <w:rPr>
                <w:sz w:val="20"/>
                <w:szCs w:val="20"/>
                <w:color w:val="auto"/>
              </w:rPr>
            </w:pPr>
            <w:r>
              <w:rPr>
                <w:rFonts w:ascii="Arial" w:cs="Arial" w:eastAsia="Arial" w:hAnsi="Arial"/>
                <w:sz w:val="15"/>
                <w:szCs w:val="15"/>
                <w:color w:val="auto"/>
              </w:rPr>
              <w:t>65</w:t>
            </w:r>
          </w:p>
        </w:tc>
      </w:tr>
      <w:tr>
        <w:trPr>
          <w:trHeight w:val="220"/>
        </w:trPr>
        <w:tc>
          <w:tcPr>
            <w:tcW w:w="7160" w:type="dxa"/>
            <w:vAlign w:val="bottom"/>
          </w:tcPr>
          <w:p>
            <w:pPr>
              <w:ind w:left="160"/>
              <w:spacing w:after="0"/>
              <w:rPr>
                <w:sz w:val="20"/>
                <w:szCs w:val="20"/>
                <w:color w:val="auto"/>
              </w:rPr>
            </w:pPr>
            <w:r>
              <w:rPr>
                <w:rFonts w:ascii="Arial" w:cs="Arial" w:eastAsia="Arial" w:hAnsi="Arial"/>
                <w:sz w:val="15"/>
                <w:szCs w:val="15"/>
                <w:color w:val="auto"/>
              </w:rPr>
              <w:t>Section 5.01 Financial Statements; Other Information</w:t>
            </w:r>
          </w:p>
        </w:tc>
        <w:tc>
          <w:tcPr>
            <w:tcW w:w="2840" w:type="dxa"/>
            <w:vAlign w:val="bottom"/>
          </w:tcPr>
          <w:p>
            <w:pPr>
              <w:jc w:val="right"/>
              <w:spacing w:after="0"/>
              <w:rPr>
                <w:sz w:val="20"/>
                <w:szCs w:val="20"/>
                <w:color w:val="auto"/>
              </w:rPr>
            </w:pPr>
            <w:r>
              <w:rPr>
                <w:rFonts w:ascii="Arial" w:cs="Arial" w:eastAsia="Arial" w:hAnsi="Arial"/>
                <w:sz w:val="15"/>
                <w:szCs w:val="15"/>
                <w:color w:val="auto"/>
              </w:rPr>
              <w:t>65</w:t>
            </w:r>
          </w:p>
        </w:tc>
      </w:tr>
      <w:tr>
        <w:trPr>
          <w:trHeight w:val="220"/>
        </w:trPr>
        <w:tc>
          <w:tcPr>
            <w:tcW w:w="7160" w:type="dxa"/>
            <w:vAlign w:val="bottom"/>
          </w:tcPr>
          <w:p>
            <w:pPr>
              <w:ind w:left="160"/>
              <w:spacing w:after="0"/>
              <w:rPr>
                <w:sz w:val="20"/>
                <w:szCs w:val="20"/>
                <w:color w:val="auto"/>
              </w:rPr>
            </w:pPr>
            <w:r>
              <w:rPr>
                <w:rFonts w:ascii="Arial" w:cs="Arial" w:eastAsia="Arial" w:hAnsi="Arial"/>
                <w:sz w:val="15"/>
                <w:szCs w:val="15"/>
                <w:color w:val="auto"/>
              </w:rPr>
              <w:t>Section 5.02 Notices of Material Events</w:t>
            </w:r>
          </w:p>
        </w:tc>
        <w:tc>
          <w:tcPr>
            <w:tcW w:w="2840" w:type="dxa"/>
            <w:vAlign w:val="bottom"/>
          </w:tcPr>
          <w:p>
            <w:pPr>
              <w:jc w:val="right"/>
              <w:spacing w:after="0"/>
              <w:rPr>
                <w:sz w:val="20"/>
                <w:szCs w:val="20"/>
                <w:color w:val="auto"/>
              </w:rPr>
            </w:pPr>
            <w:r>
              <w:rPr>
                <w:rFonts w:ascii="Arial" w:cs="Arial" w:eastAsia="Arial" w:hAnsi="Arial"/>
                <w:sz w:val="15"/>
                <w:szCs w:val="15"/>
                <w:color w:val="auto"/>
              </w:rPr>
              <w:t>67</w:t>
            </w:r>
          </w:p>
        </w:tc>
      </w:tr>
      <w:tr>
        <w:trPr>
          <w:trHeight w:val="220"/>
        </w:trPr>
        <w:tc>
          <w:tcPr>
            <w:tcW w:w="7160" w:type="dxa"/>
            <w:vAlign w:val="bottom"/>
          </w:tcPr>
          <w:p>
            <w:pPr>
              <w:ind w:left="160"/>
              <w:spacing w:after="0"/>
              <w:rPr>
                <w:sz w:val="20"/>
                <w:szCs w:val="20"/>
                <w:color w:val="auto"/>
              </w:rPr>
            </w:pPr>
            <w:r>
              <w:rPr>
                <w:rFonts w:ascii="Arial" w:cs="Arial" w:eastAsia="Arial" w:hAnsi="Arial"/>
                <w:sz w:val="15"/>
                <w:szCs w:val="15"/>
                <w:color w:val="auto"/>
              </w:rPr>
              <w:t>Section 5.03 Existence; Conduct of Business</w:t>
            </w:r>
          </w:p>
        </w:tc>
        <w:tc>
          <w:tcPr>
            <w:tcW w:w="2840" w:type="dxa"/>
            <w:vAlign w:val="bottom"/>
          </w:tcPr>
          <w:p>
            <w:pPr>
              <w:jc w:val="right"/>
              <w:spacing w:after="0"/>
              <w:rPr>
                <w:sz w:val="20"/>
                <w:szCs w:val="20"/>
                <w:color w:val="auto"/>
              </w:rPr>
            </w:pPr>
            <w:r>
              <w:rPr>
                <w:rFonts w:ascii="Arial" w:cs="Arial" w:eastAsia="Arial" w:hAnsi="Arial"/>
                <w:sz w:val="15"/>
                <w:szCs w:val="15"/>
                <w:color w:val="auto"/>
              </w:rPr>
              <w:t>67</w:t>
            </w:r>
          </w:p>
        </w:tc>
      </w:tr>
      <w:tr>
        <w:trPr>
          <w:trHeight w:val="220"/>
        </w:trPr>
        <w:tc>
          <w:tcPr>
            <w:tcW w:w="7160" w:type="dxa"/>
            <w:vAlign w:val="bottom"/>
          </w:tcPr>
          <w:p>
            <w:pPr>
              <w:ind w:left="160"/>
              <w:spacing w:after="0"/>
              <w:rPr>
                <w:sz w:val="20"/>
                <w:szCs w:val="20"/>
                <w:color w:val="auto"/>
              </w:rPr>
            </w:pPr>
            <w:r>
              <w:rPr>
                <w:rFonts w:ascii="Arial" w:cs="Arial" w:eastAsia="Arial" w:hAnsi="Arial"/>
                <w:sz w:val="15"/>
                <w:szCs w:val="15"/>
                <w:color w:val="auto"/>
              </w:rPr>
              <w:t>Section 5.04 Payment of Obligations</w:t>
            </w:r>
          </w:p>
        </w:tc>
        <w:tc>
          <w:tcPr>
            <w:tcW w:w="2840" w:type="dxa"/>
            <w:vAlign w:val="bottom"/>
          </w:tcPr>
          <w:p>
            <w:pPr>
              <w:jc w:val="right"/>
              <w:spacing w:after="0"/>
              <w:rPr>
                <w:sz w:val="20"/>
                <w:szCs w:val="20"/>
                <w:color w:val="auto"/>
              </w:rPr>
            </w:pPr>
            <w:r>
              <w:rPr>
                <w:rFonts w:ascii="Arial" w:cs="Arial" w:eastAsia="Arial" w:hAnsi="Arial"/>
                <w:sz w:val="15"/>
                <w:szCs w:val="15"/>
                <w:color w:val="auto"/>
              </w:rPr>
              <w:t>67</w:t>
            </w:r>
          </w:p>
        </w:tc>
      </w:tr>
      <w:tr>
        <w:trPr>
          <w:trHeight w:val="220"/>
        </w:trPr>
        <w:tc>
          <w:tcPr>
            <w:tcW w:w="7160" w:type="dxa"/>
            <w:vAlign w:val="bottom"/>
          </w:tcPr>
          <w:p>
            <w:pPr>
              <w:ind w:left="160"/>
              <w:spacing w:after="0"/>
              <w:rPr>
                <w:sz w:val="20"/>
                <w:szCs w:val="20"/>
                <w:color w:val="auto"/>
              </w:rPr>
            </w:pPr>
            <w:r>
              <w:rPr>
                <w:rFonts w:ascii="Arial" w:cs="Arial" w:eastAsia="Arial" w:hAnsi="Arial"/>
                <w:sz w:val="15"/>
                <w:szCs w:val="15"/>
                <w:color w:val="auto"/>
              </w:rPr>
              <w:t>Section 5.05 Maintenance of Properties; Insurance</w:t>
            </w:r>
          </w:p>
        </w:tc>
        <w:tc>
          <w:tcPr>
            <w:tcW w:w="2840" w:type="dxa"/>
            <w:vAlign w:val="bottom"/>
          </w:tcPr>
          <w:p>
            <w:pPr>
              <w:jc w:val="right"/>
              <w:spacing w:after="0"/>
              <w:rPr>
                <w:sz w:val="20"/>
                <w:szCs w:val="20"/>
                <w:color w:val="auto"/>
              </w:rPr>
            </w:pPr>
            <w:r>
              <w:rPr>
                <w:rFonts w:ascii="Arial" w:cs="Arial" w:eastAsia="Arial" w:hAnsi="Arial"/>
                <w:sz w:val="15"/>
                <w:szCs w:val="15"/>
                <w:color w:val="auto"/>
              </w:rPr>
              <w:t>67</w:t>
            </w:r>
          </w:p>
        </w:tc>
      </w:tr>
      <w:tr>
        <w:trPr>
          <w:trHeight w:val="220"/>
        </w:trPr>
        <w:tc>
          <w:tcPr>
            <w:tcW w:w="7160" w:type="dxa"/>
            <w:vAlign w:val="bottom"/>
          </w:tcPr>
          <w:p>
            <w:pPr>
              <w:ind w:left="160"/>
              <w:spacing w:after="0"/>
              <w:rPr>
                <w:sz w:val="20"/>
                <w:szCs w:val="20"/>
                <w:color w:val="auto"/>
              </w:rPr>
            </w:pPr>
            <w:r>
              <w:rPr>
                <w:rFonts w:ascii="Arial" w:cs="Arial" w:eastAsia="Arial" w:hAnsi="Arial"/>
                <w:sz w:val="15"/>
                <w:szCs w:val="15"/>
                <w:color w:val="auto"/>
              </w:rPr>
              <w:t>Section 5.06 Books and Records; Inspection Rights</w:t>
            </w:r>
          </w:p>
        </w:tc>
        <w:tc>
          <w:tcPr>
            <w:tcW w:w="2840" w:type="dxa"/>
            <w:vAlign w:val="bottom"/>
          </w:tcPr>
          <w:p>
            <w:pPr>
              <w:jc w:val="right"/>
              <w:spacing w:after="0"/>
              <w:rPr>
                <w:sz w:val="20"/>
                <w:szCs w:val="20"/>
                <w:color w:val="auto"/>
              </w:rPr>
            </w:pPr>
            <w:r>
              <w:rPr>
                <w:rFonts w:ascii="Arial" w:cs="Arial" w:eastAsia="Arial" w:hAnsi="Arial"/>
                <w:sz w:val="15"/>
                <w:szCs w:val="15"/>
                <w:color w:val="auto"/>
              </w:rPr>
              <w:t>68</w:t>
            </w:r>
          </w:p>
        </w:tc>
      </w:tr>
      <w:tr>
        <w:trPr>
          <w:trHeight w:val="220"/>
        </w:trPr>
        <w:tc>
          <w:tcPr>
            <w:tcW w:w="7160" w:type="dxa"/>
            <w:vAlign w:val="bottom"/>
          </w:tcPr>
          <w:p>
            <w:pPr>
              <w:ind w:left="160"/>
              <w:spacing w:after="0"/>
              <w:rPr>
                <w:sz w:val="20"/>
                <w:szCs w:val="20"/>
                <w:color w:val="auto"/>
              </w:rPr>
            </w:pPr>
            <w:r>
              <w:rPr>
                <w:rFonts w:ascii="Arial" w:cs="Arial" w:eastAsia="Arial" w:hAnsi="Arial"/>
                <w:sz w:val="15"/>
                <w:szCs w:val="15"/>
                <w:color w:val="auto"/>
              </w:rPr>
              <w:t>Section 5.07 Compliance with Laws</w:t>
            </w:r>
          </w:p>
        </w:tc>
        <w:tc>
          <w:tcPr>
            <w:tcW w:w="2840" w:type="dxa"/>
            <w:vAlign w:val="bottom"/>
          </w:tcPr>
          <w:p>
            <w:pPr>
              <w:jc w:val="right"/>
              <w:spacing w:after="0"/>
              <w:rPr>
                <w:sz w:val="20"/>
                <w:szCs w:val="20"/>
                <w:color w:val="auto"/>
              </w:rPr>
            </w:pPr>
            <w:r>
              <w:rPr>
                <w:rFonts w:ascii="Arial" w:cs="Arial" w:eastAsia="Arial" w:hAnsi="Arial"/>
                <w:sz w:val="15"/>
                <w:szCs w:val="15"/>
                <w:color w:val="auto"/>
              </w:rPr>
              <w:t>68</w:t>
            </w:r>
          </w:p>
        </w:tc>
      </w:tr>
      <w:tr>
        <w:trPr>
          <w:trHeight w:val="220"/>
        </w:trPr>
        <w:tc>
          <w:tcPr>
            <w:tcW w:w="7160" w:type="dxa"/>
            <w:vAlign w:val="bottom"/>
          </w:tcPr>
          <w:p>
            <w:pPr>
              <w:ind w:left="160"/>
              <w:spacing w:after="0"/>
              <w:rPr>
                <w:sz w:val="20"/>
                <w:szCs w:val="20"/>
                <w:color w:val="auto"/>
              </w:rPr>
            </w:pPr>
            <w:r>
              <w:rPr>
                <w:rFonts w:ascii="Arial" w:cs="Arial" w:eastAsia="Arial" w:hAnsi="Arial"/>
                <w:sz w:val="15"/>
                <w:szCs w:val="15"/>
                <w:color w:val="auto"/>
              </w:rPr>
              <w:t>Section 5.08 Use of Proceeds and Letters of Credit</w:t>
            </w:r>
          </w:p>
        </w:tc>
        <w:tc>
          <w:tcPr>
            <w:tcW w:w="2840" w:type="dxa"/>
            <w:vAlign w:val="bottom"/>
          </w:tcPr>
          <w:p>
            <w:pPr>
              <w:jc w:val="right"/>
              <w:spacing w:after="0"/>
              <w:rPr>
                <w:sz w:val="20"/>
                <w:szCs w:val="20"/>
                <w:color w:val="auto"/>
              </w:rPr>
            </w:pPr>
            <w:r>
              <w:rPr>
                <w:rFonts w:ascii="Arial" w:cs="Arial" w:eastAsia="Arial" w:hAnsi="Arial"/>
                <w:sz w:val="15"/>
                <w:szCs w:val="15"/>
                <w:color w:val="auto"/>
              </w:rPr>
              <w:t>68</w:t>
            </w:r>
          </w:p>
        </w:tc>
      </w:tr>
      <w:tr>
        <w:trPr>
          <w:trHeight w:val="220"/>
        </w:trPr>
        <w:tc>
          <w:tcPr>
            <w:tcW w:w="7160" w:type="dxa"/>
            <w:vAlign w:val="bottom"/>
          </w:tcPr>
          <w:p>
            <w:pPr>
              <w:ind w:left="160"/>
              <w:spacing w:after="0"/>
              <w:rPr>
                <w:sz w:val="20"/>
                <w:szCs w:val="20"/>
                <w:color w:val="auto"/>
              </w:rPr>
            </w:pPr>
            <w:r>
              <w:rPr>
                <w:rFonts w:ascii="Arial" w:cs="Arial" w:eastAsia="Arial" w:hAnsi="Arial"/>
                <w:sz w:val="15"/>
                <w:szCs w:val="15"/>
                <w:color w:val="auto"/>
              </w:rPr>
              <w:t>Section 5.09 Additional Subsidiaries; Subsidiary Guarantors</w:t>
            </w:r>
          </w:p>
        </w:tc>
        <w:tc>
          <w:tcPr>
            <w:tcW w:w="2840" w:type="dxa"/>
            <w:vAlign w:val="bottom"/>
          </w:tcPr>
          <w:p>
            <w:pPr>
              <w:jc w:val="right"/>
              <w:spacing w:after="0"/>
              <w:rPr>
                <w:sz w:val="20"/>
                <w:szCs w:val="20"/>
                <w:color w:val="auto"/>
              </w:rPr>
            </w:pPr>
            <w:r>
              <w:rPr>
                <w:rFonts w:ascii="Arial" w:cs="Arial" w:eastAsia="Arial" w:hAnsi="Arial"/>
                <w:sz w:val="15"/>
                <w:szCs w:val="15"/>
                <w:color w:val="auto"/>
              </w:rPr>
              <w:t>68</w:t>
            </w:r>
          </w:p>
        </w:tc>
      </w:tr>
      <w:tr>
        <w:trPr>
          <w:trHeight w:val="220"/>
        </w:trPr>
        <w:tc>
          <w:tcPr>
            <w:tcW w:w="7160" w:type="dxa"/>
            <w:vAlign w:val="bottom"/>
          </w:tcPr>
          <w:p>
            <w:pPr>
              <w:ind w:left="160"/>
              <w:spacing w:after="0"/>
              <w:rPr>
                <w:sz w:val="20"/>
                <w:szCs w:val="20"/>
                <w:color w:val="auto"/>
              </w:rPr>
            </w:pPr>
            <w:r>
              <w:rPr>
                <w:rFonts w:ascii="Arial" w:cs="Arial" w:eastAsia="Arial" w:hAnsi="Arial"/>
                <w:sz w:val="15"/>
                <w:szCs w:val="15"/>
                <w:color w:val="auto"/>
              </w:rPr>
              <w:t>Section 5.10 Collateral Records</w:t>
            </w:r>
          </w:p>
        </w:tc>
        <w:tc>
          <w:tcPr>
            <w:tcW w:w="2840" w:type="dxa"/>
            <w:vAlign w:val="bottom"/>
          </w:tcPr>
          <w:p>
            <w:pPr>
              <w:jc w:val="right"/>
              <w:spacing w:after="0"/>
              <w:rPr>
                <w:sz w:val="20"/>
                <w:szCs w:val="20"/>
                <w:color w:val="auto"/>
              </w:rPr>
            </w:pPr>
            <w:r>
              <w:rPr>
                <w:rFonts w:ascii="Arial" w:cs="Arial" w:eastAsia="Arial" w:hAnsi="Arial"/>
                <w:sz w:val="15"/>
                <w:szCs w:val="15"/>
                <w:color w:val="auto"/>
              </w:rPr>
              <w:t>69</w:t>
            </w:r>
          </w:p>
        </w:tc>
      </w:tr>
      <w:tr>
        <w:trPr>
          <w:trHeight w:val="220"/>
        </w:trPr>
        <w:tc>
          <w:tcPr>
            <w:tcW w:w="7160" w:type="dxa"/>
            <w:vAlign w:val="bottom"/>
          </w:tcPr>
          <w:p>
            <w:pPr>
              <w:ind w:left="160"/>
              <w:spacing w:after="0"/>
              <w:rPr>
                <w:sz w:val="20"/>
                <w:szCs w:val="20"/>
                <w:color w:val="auto"/>
              </w:rPr>
            </w:pPr>
            <w:r>
              <w:rPr>
                <w:rFonts w:ascii="Arial" w:cs="Arial" w:eastAsia="Arial" w:hAnsi="Arial"/>
                <w:sz w:val="15"/>
                <w:szCs w:val="15"/>
                <w:color w:val="auto"/>
              </w:rPr>
              <w:t>Section 5.11 Security Interests</w:t>
            </w:r>
          </w:p>
        </w:tc>
        <w:tc>
          <w:tcPr>
            <w:tcW w:w="2840" w:type="dxa"/>
            <w:vAlign w:val="bottom"/>
          </w:tcPr>
          <w:p>
            <w:pPr>
              <w:jc w:val="right"/>
              <w:spacing w:after="0"/>
              <w:rPr>
                <w:sz w:val="20"/>
                <w:szCs w:val="20"/>
                <w:color w:val="auto"/>
              </w:rPr>
            </w:pPr>
            <w:r>
              <w:rPr>
                <w:rFonts w:ascii="Arial" w:cs="Arial" w:eastAsia="Arial" w:hAnsi="Arial"/>
                <w:sz w:val="15"/>
                <w:szCs w:val="15"/>
                <w:color w:val="auto"/>
              </w:rPr>
              <w:t>69</w:t>
            </w:r>
          </w:p>
        </w:tc>
      </w:tr>
      <w:tr>
        <w:trPr>
          <w:trHeight w:val="220"/>
        </w:trPr>
        <w:tc>
          <w:tcPr>
            <w:tcW w:w="7160" w:type="dxa"/>
            <w:vAlign w:val="bottom"/>
          </w:tcPr>
          <w:p>
            <w:pPr>
              <w:ind w:left="160"/>
              <w:spacing w:after="0"/>
              <w:rPr>
                <w:sz w:val="20"/>
                <w:szCs w:val="20"/>
                <w:color w:val="auto"/>
              </w:rPr>
            </w:pPr>
            <w:r>
              <w:rPr>
                <w:rFonts w:ascii="Arial" w:cs="Arial" w:eastAsia="Arial" w:hAnsi="Arial"/>
                <w:sz w:val="15"/>
                <w:szCs w:val="15"/>
                <w:color w:val="auto"/>
              </w:rPr>
              <w:t>Section 5.12 Canadian Benefit Plans</w:t>
            </w:r>
          </w:p>
        </w:tc>
        <w:tc>
          <w:tcPr>
            <w:tcW w:w="2840" w:type="dxa"/>
            <w:vAlign w:val="bottom"/>
          </w:tcPr>
          <w:p>
            <w:pPr>
              <w:jc w:val="right"/>
              <w:spacing w:after="0"/>
              <w:rPr>
                <w:sz w:val="20"/>
                <w:szCs w:val="20"/>
                <w:color w:val="auto"/>
              </w:rPr>
            </w:pPr>
            <w:r>
              <w:rPr>
                <w:rFonts w:ascii="Arial" w:cs="Arial" w:eastAsia="Arial" w:hAnsi="Arial"/>
                <w:sz w:val="15"/>
                <w:szCs w:val="15"/>
                <w:color w:val="auto"/>
              </w:rPr>
              <w:t>70</w:t>
            </w:r>
          </w:p>
        </w:tc>
      </w:tr>
      <w:tr>
        <w:trPr>
          <w:trHeight w:val="220"/>
        </w:trPr>
        <w:tc>
          <w:tcPr>
            <w:tcW w:w="7160" w:type="dxa"/>
            <w:vAlign w:val="bottom"/>
          </w:tcPr>
          <w:p>
            <w:pPr>
              <w:ind w:left="160"/>
              <w:spacing w:after="0"/>
              <w:rPr>
                <w:sz w:val="20"/>
                <w:szCs w:val="20"/>
                <w:color w:val="auto"/>
              </w:rPr>
            </w:pPr>
            <w:r>
              <w:rPr>
                <w:rFonts w:ascii="Arial" w:cs="Arial" w:eastAsia="Arial" w:hAnsi="Arial"/>
                <w:sz w:val="15"/>
                <w:szCs w:val="15"/>
                <w:color w:val="auto"/>
              </w:rPr>
              <w:t>Section 5.13 Post-Closing Obligations</w:t>
            </w:r>
          </w:p>
        </w:tc>
        <w:tc>
          <w:tcPr>
            <w:tcW w:w="2840" w:type="dxa"/>
            <w:vAlign w:val="bottom"/>
          </w:tcPr>
          <w:p>
            <w:pPr>
              <w:jc w:val="right"/>
              <w:spacing w:after="0"/>
              <w:rPr>
                <w:sz w:val="20"/>
                <w:szCs w:val="20"/>
                <w:color w:val="auto"/>
              </w:rPr>
            </w:pPr>
            <w:r>
              <w:rPr>
                <w:rFonts w:ascii="Arial" w:cs="Arial" w:eastAsia="Arial" w:hAnsi="Arial"/>
                <w:sz w:val="15"/>
                <w:szCs w:val="15"/>
                <w:color w:val="auto"/>
              </w:rPr>
              <w:t>70</w:t>
            </w:r>
          </w:p>
        </w:tc>
      </w:tr>
      <w:tr>
        <w:trPr>
          <w:trHeight w:val="639"/>
        </w:trPr>
        <w:tc>
          <w:tcPr>
            <w:tcW w:w="7160" w:type="dxa"/>
            <w:vAlign w:val="bottom"/>
          </w:tcPr>
          <w:p>
            <w:pPr>
              <w:spacing w:after="0"/>
              <w:rPr>
                <w:sz w:val="20"/>
                <w:szCs w:val="20"/>
                <w:color w:val="auto"/>
              </w:rPr>
            </w:pPr>
            <w:r>
              <w:rPr>
                <w:rFonts w:ascii="Arial" w:cs="Arial" w:eastAsia="Arial" w:hAnsi="Arial"/>
                <w:sz w:val="15"/>
                <w:szCs w:val="15"/>
                <w:color w:val="auto"/>
              </w:rPr>
              <w:t>Article VI Negative Covenants</w:t>
            </w:r>
          </w:p>
        </w:tc>
        <w:tc>
          <w:tcPr>
            <w:tcW w:w="2840" w:type="dxa"/>
            <w:vAlign w:val="bottom"/>
          </w:tcPr>
          <w:p>
            <w:pPr>
              <w:jc w:val="right"/>
              <w:spacing w:after="0"/>
              <w:rPr>
                <w:sz w:val="20"/>
                <w:szCs w:val="20"/>
                <w:color w:val="auto"/>
              </w:rPr>
            </w:pPr>
            <w:r>
              <w:rPr>
                <w:rFonts w:ascii="Arial" w:cs="Arial" w:eastAsia="Arial" w:hAnsi="Arial"/>
                <w:sz w:val="15"/>
                <w:szCs w:val="15"/>
                <w:color w:val="auto"/>
              </w:rPr>
              <w:t>71</w:t>
            </w:r>
          </w:p>
        </w:tc>
      </w:tr>
      <w:tr>
        <w:trPr>
          <w:trHeight w:val="220"/>
        </w:trPr>
        <w:tc>
          <w:tcPr>
            <w:tcW w:w="7160" w:type="dxa"/>
            <w:vAlign w:val="bottom"/>
          </w:tcPr>
          <w:p>
            <w:pPr>
              <w:ind w:left="160"/>
              <w:spacing w:after="0"/>
              <w:rPr>
                <w:sz w:val="20"/>
                <w:szCs w:val="20"/>
                <w:color w:val="auto"/>
              </w:rPr>
            </w:pPr>
            <w:r>
              <w:rPr>
                <w:rFonts w:ascii="Arial" w:cs="Arial" w:eastAsia="Arial" w:hAnsi="Arial"/>
                <w:sz w:val="15"/>
                <w:szCs w:val="15"/>
                <w:color w:val="auto"/>
              </w:rPr>
              <w:t>Section 6.01 Indebtedness</w:t>
            </w:r>
          </w:p>
        </w:tc>
        <w:tc>
          <w:tcPr>
            <w:tcW w:w="2840" w:type="dxa"/>
            <w:vAlign w:val="bottom"/>
          </w:tcPr>
          <w:p>
            <w:pPr>
              <w:jc w:val="right"/>
              <w:spacing w:after="0"/>
              <w:rPr>
                <w:sz w:val="20"/>
                <w:szCs w:val="20"/>
                <w:color w:val="auto"/>
              </w:rPr>
            </w:pPr>
            <w:r>
              <w:rPr>
                <w:rFonts w:ascii="Arial" w:cs="Arial" w:eastAsia="Arial" w:hAnsi="Arial"/>
                <w:sz w:val="15"/>
                <w:szCs w:val="15"/>
                <w:color w:val="auto"/>
              </w:rPr>
              <w:t>71</w:t>
            </w:r>
          </w:p>
        </w:tc>
      </w:tr>
      <w:tr>
        <w:trPr>
          <w:trHeight w:val="220"/>
        </w:trPr>
        <w:tc>
          <w:tcPr>
            <w:tcW w:w="7160" w:type="dxa"/>
            <w:vAlign w:val="bottom"/>
          </w:tcPr>
          <w:p>
            <w:pPr>
              <w:ind w:left="160"/>
              <w:spacing w:after="0"/>
              <w:rPr>
                <w:sz w:val="20"/>
                <w:szCs w:val="20"/>
                <w:color w:val="auto"/>
              </w:rPr>
            </w:pPr>
            <w:r>
              <w:rPr>
                <w:rFonts w:ascii="Arial" w:cs="Arial" w:eastAsia="Arial" w:hAnsi="Arial"/>
                <w:sz w:val="15"/>
                <w:szCs w:val="15"/>
                <w:color w:val="auto"/>
              </w:rPr>
              <w:t>Section 6.02 Liens</w:t>
            </w:r>
          </w:p>
        </w:tc>
        <w:tc>
          <w:tcPr>
            <w:tcW w:w="2840" w:type="dxa"/>
            <w:vAlign w:val="bottom"/>
          </w:tcPr>
          <w:p>
            <w:pPr>
              <w:jc w:val="right"/>
              <w:spacing w:after="0"/>
              <w:rPr>
                <w:sz w:val="20"/>
                <w:szCs w:val="20"/>
                <w:color w:val="auto"/>
              </w:rPr>
            </w:pPr>
            <w:r>
              <w:rPr>
                <w:rFonts w:ascii="Arial" w:cs="Arial" w:eastAsia="Arial" w:hAnsi="Arial"/>
                <w:sz w:val="15"/>
                <w:szCs w:val="15"/>
                <w:color w:val="auto"/>
              </w:rPr>
              <w:t>72</w:t>
            </w:r>
          </w:p>
        </w:tc>
      </w:tr>
      <w:tr>
        <w:trPr>
          <w:trHeight w:val="220"/>
        </w:trPr>
        <w:tc>
          <w:tcPr>
            <w:tcW w:w="7160" w:type="dxa"/>
            <w:vAlign w:val="bottom"/>
          </w:tcPr>
          <w:p>
            <w:pPr>
              <w:ind w:left="160"/>
              <w:spacing w:after="0"/>
              <w:rPr>
                <w:sz w:val="20"/>
                <w:szCs w:val="20"/>
                <w:color w:val="auto"/>
              </w:rPr>
            </w:pPr>
            <w:r>
              <w:rPr>
                <w:rFonts w:ascii="Arial" w:cs="Arial" w:eastAsia="Arial" w:hAnsi="Arial"/>
                <w:sz w:val="15"/>
                <w:szCs w:val="15"/>
                <w:color w:val="auto"/>
              </w:rPr>
              <w:t>Section 6.03 Fundamental Changes</w:t>
            </w:r>
          </w:p>
        </w:tc>
        <w:tc>
          <w:tcPr>
            <w:tcW w:w="2840" w:type="dxa"/>
            <w:vAlign w:val="bottom"/>
          </w:tcPr>
          <w:p>
            <w:pPr>
              <w:jc w:val="right"/>
              <w:spacing w:after="0"/>
              <w:rPr>
                <w:sz w:val="20"/>
                <w:szCs w:val="20"/>
                <w:color w:val="auto"/>
              </w:rPr>
            </w:pPr>
            <w:r>
              <w:rPr>
                <w:rFonts w:ascii="Arial" w:cs="Arial" w:eastAsia="Arial" w:hAnsi="Arial"/>
                <w:sz w:val="15"/>
                <w:szCs w:val="15"/>
                <w:color w:val="auto"/>
              </w:rPr>
              <w:t>73</w:t>
            </w:r>
          </w:p>
        </w:tc>
      </w:tr>
      <w:tr>
        <w:trPr>
          <w:trHeight w:val="220"/>
        </w:trPr>
        <w:tc>
          <w:tcPr>
            <w:tcW w:w="7160" w:type="dxa"/>
            <w:vAlign w:val="bottom"/>
          </w:tcPr>
          <w:p>
            <w:pPr>
              <w:ind w:left="160"/>
              <w:spacing w:after="0"/>
              <w:rPr>
                <w:sz w:val="20"/>
                <w:szCs w:val="20"/>
                <w:color w:val="auto"/>
              </w:rPr>
            </w:pPr>
            <w:r>
              <w:rPr>
                <w:rFonts w:ascii="Arial" w:cs="Arial" w:eastAsia="Arial" w:hAnsi="Arial"/>
                <w:sz w:val="15"/>
                <w:szCs w:val="15"/>
                <w:color w:val="auto"/>
              </w:rPr>
              <w:t>Section 6.04 Investments, Loans, Advances, Guarantees and Acquisitions</w:t>
            </w:r>
          </w:p>
        </w:tc>
        <w:tc>
          <w:tcPr>
            <w:tcW w:w="2840" w:type="dxa"/>
            <w:vAlign w:val="bottom"/>
          </w:tcPr>
          <w:p>
            <w:pPr>
              <w:jc w:val="right"/>
              <w:spacing w:after="0"/>
              <w:rPr>
                <w:sz w:val="20"/>
                <w:szCs w:val="20"/>
                <w:color w:val="auto"/>
              </w:rPr>
            </w:pPr>
            <w:r>
              <w:rPr>
                <w:rFonts w:ascii="Arial" w:cs="Arial" w:eastAsia="Arial" w:hAnsi="Arial"/>
                <w:sz w:val="15"/>
                <w:szCs w:val="15"/>
                <w:color w:val="auto"/>
              </w:rPr>
              <w:t>74</w:t>
            </w:r>
          </w:p>
        </w:tc>
      </w:tr>
      <w:tr>
        <w:trPr>
          <w:trHeight w:val="220"/>
        </w:trPr>
        <w:tc>
          <w:tcPr>
            <w:tcW w:w="7160" w:type="dxa"/>
            <w:vAlign w:val="bottom"/>
          </w:tcPr>
          <w:p>
            <w:pPr>
              <w:ind w:left="160"/>
              <w:spacing w:after="0"/>
              <w:rPr>
                <w:sz w:val="20"/>
                <w:szCs w:val="20"/>
                <w:color w:val="auto"/>
              </w:rPr>
            </w:pPr>
            <w:r>
              <w:rPr>
                <w:rFonts w:ascii="Arial" w:cs="Arial" w:eastAsia="Arial" w:hAnsi="Arial"/>
                <w:sz w:val="15"/>
                <w:szCs w:val="15"/>
                <w:color w:val="auto"/>
              </w:rPr>
              <w:t>Section 6.05 Swap Agreements</w:t>
            </w:r>
          </w:p>
        </w:tc>
        <w:tc>
          <w:tcPr>
            <w:tcW w:w="2840" w:type="dxa"/>
            <w:vAlign w:val="bottom"/>
          </w:tcPr>
          <w:p>
            <w:pPr>
              <w:jc w:val="right"/>
              <w:spacing w:after="0"/>
              <w:rPr>
                <w:sz w:val="20"/>
                <w:szCs w:val="20"/>
                <w:color w:val="auto"/>
              </w:rPr>
            </w:pPr>
            <w:r>
              <w:rPr>
                <w:rFonts w:ascii="Arial" w:cs="Arial" w:eastAsia="Arial" w:hAnsi="Arial"/>
                <w:sz w:val="15"/>
                <w:szCs w:val="15"/>
                <w:color w:val="auto"/>
              </w:rPr>
              <w:t>76</w:t>
            </w:r>
          </w:p>
        </w:tc>
      </w:tr>
      <w:tr>
        <w:trPr>
          <w:trHeight w:val="220"/>
        </w:trPr>
        <w:tc>
          <w:tcPr>
            <w:tcW w:w="7160" w:type="dxa"/>
            <w:vAlign w:val="bottom"/>
          </w:tcPr>
          <w:p>
            <w:pPr>
              <w:ind w:left="160"/>
              <w:spacing w:after="0"/>
              <w:rPr>
                <w:sz w:val="20"/>
                <w:szCs w:val="20"/>
                <w:color w:val="auto"/>
              </w:rPr>
            </w:pPr>
            <w:r>
              <w:rPr>
                <w:rFonts w:ascii="Arial" w:cs="Arial" w:eastAsia="Arial" w:hAnsi="Arial"/>
                <w:sz w:val="15"/>
                <w:szCs w:val="15"/>
                <w:color w:val="auto"/>
              </w:rPr>
              <w:t>Section 6.06 Restricted Payments</w:t>
            </w:r>
          </w:p>
        </w:tc>
        <w:tc>
          <w:tcPr>
            <w:tcW w:w="2840" w:type="dxa"/>
            <w:vAlign w:val="bottom"/>
          </w:tcPr>
          <w:p>
            <w:pPr>
              <w:jc w:val="right"/>
              <w:spacing w:after="0"/>
              <w:rPr>
                <w:sz w:val="20"/>
                <w:szCs w:val="20"/>
                <w:color w:val="auto"/>
              </w:rPr>
            </w:pPr>
            <w:r>
              <w:rPr>
                <w:rFonts w:ascii="Arial" w:cs="Arial" w:eastAsia="Arial" w:hAnsi="Arial"/>
                <w:sz w:val="15"/>
                <w:szCs w:val="15"/>
                <w:color w:val="auto"/>
              </w:rPr>
              <w:t>76</w:t>
            </w:r>
          </w:p>
        </w:tc>
      </w:tr>
      <w:tr>
        <w:trPr>
          <w:trHeight w:val="220"/>
        </w:trPr>
        <w:tc>
          <w:tcPr>
            <w:tcW w:w="7160" w:type="dxa"/>
            <w:vAlign w:val="bottom"/>
          </w:tcPr>
          <w:p>
            <w:pPr>
              <w:ind w:left="160"/>
              <w:spacing w:after="0"/>
              <w:rPr>
                <w:sz w:val="20"/>
                <w:szCs w:val="20"/>
                <w:color w:val="auto"/>
              </w:rPr>
            </w:pPr>
            <w:r>
              <w:rPr>
                <w:rFonts w:ascii="Arial" w:cs="Arial" w:eastAsia="Arial" w:hAnsi="Arial"/>
                <w:sz w:val="15"/>
                <w:szCs w:val="15"/>
                <w:color w:val="auto"/>
              </w:rPr>
              <w:t>Section 6.07 Transactions with Affiliates</w:t>
            </w:r>
          </w:p>
        </w:tc>
        <w:tc>
          <w:tcPr>
            <w:tcW w:w="2840" w:type="dxa"/>
            <w:vAlign w:val="bottom"/>
          </w:tcPr>
          <w:p>
            <w:pPr>
              <w:jc w:val="right"/>
              <w:spacing w:after="0"/>
              <w:rPr>
                <w:sz w:val="20"/>
                <w:szCs w:val="20"/>
                <w:color w:val="auto"/>
              </w:rPr>
            </w:pPr>
            <w:r>
              <w:rPr>
                <w:rFonts w:ascii="Arial" w:cs="Arial" w:eastAsia="Arial" w:hAnsi="Arial"/>
                <w:sz w:val="15"/>
                <w:szCs w:val="15"/>
                <w:color w:val="auto"/>
              </w:rPr>
              <w:t>76</w:t>
            </w:r>
          </w:p>
        </w:tc>
      </w:tr>
      <w:tr>
        <w:trPr>
          <w:trHeight w:val="220"/>
        </w:trPr>
        <w:tc>
          <w:tcPr>
            <w:tcW w:w="7160" w:type="dxa"/>
            <w:vAlign w:val="bottom"/>
          </w:tcPr>
          <w:p>
            <w:pPr>
              <w:ind w:left="160"/>
              <w:spacing w:after="0"/>
              <w:rPr>
                <w:sz w:val="20"/>
                <w:szCs w:val="20"/>
                <w:color w:val="auto"/>
              </w:rPr>
            </w:pPr>
            <w:r>
              <w:rPr>
                <w:rFonts w:ascii="Arial" w:cs="Arial" w:eastAsia="Arial" w:hAnsi="Arial"/>
                <w:sz w:val="15"/>
                <w:szCs w:val="15"/>
                <w:color w:val="auto"/>
              </w:rPr>
              <w:t>Section 6.08 Restrictive Agreements</w:t>
            </w:r>
          </w:p>
        </w:tc>
        <w:tc>
          <w:tcPr>
            <w:tcW w:w="2840" w:type="dxa"/>
            <w:vAlign w:val="bottom"/>
          </w:tcPr>
          <w:p>
            <w:pPr>
              <w:jc w:val="right"/>
              <w:spacing w:after="0"/>
              <w:rPr>
                <w:sz w:val="20"/>
                <w:szCs w:val="20"/>
                <w:color w:val="auto"/>
              </w:rPr>
            </w:pPr>
            <w:r>
              <w:rPr>
                <w:rFonts w:ascii="Arial" w:cs="Arial" w:eastAsia="Arial" w:hAnsi="Arial"/>
                <w:sz w:val="15"/>
                <w:szCs w:val="15"/>
                <w:color w:val="auto"/>
              </w:rPr>
              <w:t>76</w:t>
            </w:r>
          </w:p>
        </w:tc>
      </w:tr>
      <w:tr>
        <w:trPr>
          <w:trHeight w:val="220"/>
        </w:trPr>
        <w:tc>
          <w:tcPr>
            <w:tcW w:w="7160" w:type="dxa"/>
            <w:vAlign w:val="bottom"/>
          </w:tcPr>
          <w:p>
            <w:pPr>
              <w:ind w:left="160"/>
              <w:spacing w:after="0"/>
              <w:rPr>
                <w:sz w:val="20"/>
                <w:szCs w:val="20"/>
                <w:color w:val="auto"/>
              </w:rPr>
            </w:pPr>
            <w:r>
              <w:rPr>
                <w:rFonts w:ascii="Arial" w:cs="Arial" w:eastAsia="Arial" w:hAnsi="Arial"/>
                <w:sz w:val="15"/>
                <w:szCs w:val="15"/>
                <w:color w:val="auto"/>
              </w:rPr>
              <w:t>Section 6.09 Amendments to Agreements</w:t>
            </w:r>
          </w:p>
        </w:tc>
        <w:tc>
          <w:tcPr>
            <w:tcW w:w="2840" w:type="dxa"/>
            <w:vAlign w:val="bottom"/>
          </w:tcPr>
          <w:p>
            <w:pPr>
              <w:jc w:val="right"/>
              <w:spacing w:after="0"/>
              <w:rPr>
                <w:sz w:val="20"/>
                <w:szCs w:val="20"/>
                <w:color w:val="auto"/>
              </w:rPr>
            </w:pPr>
            <w:r>
              <w:rPr>
                <w:rFonts w:ascii="Arial" w:cs="Arial" w:eastAsia="Arial" w:hAnsi="Arial"/>
                <w:sz w:val="15"/>
                <w:szCs w:val="15"/>
                <w:color w:val="auto"/>
              </w:rPr>
              <w:t>77</w:t>
            </w:r>
          </w:p>
        </w:tc>
      </w:tr>
      <w:tr>
        <w:trPr>
          <w:trHeight w:val="220"/>
        </w:trPr>
        <w:tc>
          <w:tcPr>
            <w:tcW w:w="7160" w:type="dxa"/>
            <w:vAlign w:val="bottom"/>
          </w:tcPr>
          <w:p>
            <w:pPr>
              <w:ind w:left="160"/>
              <w:spacing w:after="0"/>
              <w:rPr>
                <w:sz w:val="20"/>
                <w:szCs w:val="20"/>
                <w:color w:val="auto"/>
              </w:rPr>
            </w:pPr>
            <w:r>
              <w:rPr>
                <w:rFonts w:ascii="Arial" w:cs="Arial" w:eastAsia="Arial" w:hAnsi="Arial"/>
                <w:sz w:val="15"/>
                <w:szCs w:val="15"/>
                <w:color w:val="auto"/>
              </w:rPr>
              <w:t>Section 6.10 Sale of Accounts</w:t>
            </w:r>
          </w:p>
        </w:tc>
        <w:tc>
          <w:tcPr>
            <w:tcW w:w="2840" w:type="dxa"/>
            <w:vAlign w:val="bottom"/>
          </w:tcPr>
          <w:p>
            <w:pPr>
              <w:jc w:val="right"/>
              <w:spacing w:after="0"/>
              <w:rPr>
                <w:sz w:val="20"/>
                <w:szCs w:val="20"/>
                <w:color w:val="auto"/>
              </w:rPr>
            </w:pPr>
            <w:r>
              <w:rPr>
                <w:rFonts w:ascii="Arial" w:cs="Arial" w:eastAsia="Arial" w:hAnsi="Arial"/>
                <w:sz w:val="15"/>
                <w:szCs w:val="15"/>
                <w:color w:val="auto"/>
              </w:rPr>
              <w:t>77</w:t>
            </w:r>
          </w:p>
        </w:tc>
      </w:tr>
      <w:tr>
        <w:trPr>
          <w:trHeight w:val="220"/>
        </w:trPr>
        <w:tc>
          <w:tcPr>
            <w:tcW w:w="7160" w:type="dxa"/>
            <w:vAlign w:val="bottom"/>
          </w:tcPr>
          <w:p>
            <w:pPr>
              <w:ind w:left="160"/>
              <w:spacing w:after="0"/>
              <w:rPr>
                <w:sz w:val="20"/>
                <w:szCs w:val="20"/>
                <w:color w:val="auto"/>
              </w:rPr>
            </w:pPr>
            <w:r>
              <w:rPr>
                <w:rFonts w:ascii="Arial" w:cs="Arial" w:eastAsia="Arial" w:hAnsi="Arial"/>
                <w:sz w:val="15"/>
                <w:szCs w:val="15"/>
                <w:color w:val="auto"/>
              </w:rPr>
              <w:t>Section 6.11 Sale and Leaseback Transactions</w:t>
            </w:r>
          </w:p>
        </w:tc>
        <w:tc>
          <w:tcPr>
            <w:tcW w:w="2840" w:type="dxa"/>
            <w:vAlign w:val="bottom"/>
          </w:tcPr>
          <w:p>
            <w:pPr>
              <w:jc w:val="right"/>
              <w:spacing w:after="0"/>
              <w:rPr>
                <w:sz w:val="20"/>
                <w:szCs w:val="20"/>
                <w:color w:val="auto"/>
              </w:rPr>
            </w:pPr>
            <w:r>
              <w:rPr>
                <w:rFonts w:ascii="Arial" w:cs="Arial" w:eastAsia="Arial" w:hAnsi="Arial"/>
                <w:sz w:val="15"/>
                <w:szCs w:val="15"/>
                <w:color w:val="auto"/>
              </w:rPr>
              <w:t>77</w:t>
            </w:r>
          </w:p>
        </w:tc>
      </w:tr>
      <w:tr>
        <w:trPr>
          <w:trHeight w:val="220"/>
        </w:trPr>
        <w:tc>
          <w:tcPr>
            <w:tcW w:w="7160" w:type="dxa"/>
            <w:vAlign w:val="bottom"/>
          </w:tcPr>
          <w:p>
            <w:pPr>
              <w:ind w:left="160"/>
              <w:spacing w:after="0"/>
              <w:rPr>
                <w:sz w:val="20"/>
                <w:szCs w:val="20"/>
                <w:color w:val="auto"/>
              </w:rPr>
            </w:pPr>
            <w:r>
              <w:rPr>
                <w:rFonts w:ascii="Arial" w:cs="Arial" w:eastAsia="Arial" w:hAnsi="Arial"/>
                <w:sz w:val="15"/>
                <w:szCs w:val="15"/>
                <w:color w:val="auto"/>
              </w:rPr>
              <w:t>Section 6.12 Leverage Ratio</w:t>
            </w:r>
          </w:p>
        </w:tc>
        <w:tc>
          <w:tcPr>
            <w:tcW w:w="2840" w:type="dxa"/>
            <w:vAlign w:val="bottom"/>
          </w:tcPr>
          <w:p>
            <w:pPr>
              <w:jc w:val="right"/>
              <w:spacing w:after="0"/>
              <w:rPr>
                <w:sz w:val="20"/>
                <w:szCs w:val="20"/>
                <w:color w:val="auto"/>
              </w:rPr>
            </w:pPr>
            <w:r>
              <w:rPr>
                <w:rFonts w:ascii="Arial" w:cs="Arial" w:eastAsia="Arial" w:hAnsi="Arial"/>
                <w:sz w:val="15"/>
                <w:szCs w:val="15"/>
                <w:color w:val="auto"/>
              </w:rPr>
              <w:t>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0199"/>
          </w:cols>
          <w:pgMar w:left="260" w:top="812" w:right="1440"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87"/>
        </w:trPr>
        <w:tc>
          <w:tcPr>
            <w:tcW w:w="7460" w:type="dxa"/>
            <w:vAlign w:val="bottom"/>
          </w:tcPr>
          <w:p>
            <w:pPr>
              <w:ind w:left="180"/>
              <w:spacing w:after="0"/>
              <w:rPr>
                <w:sz w:val="20"/>
                <w:szCs w:val="20"/>
                <w:color w:val="auto"/>
              </w:rPr>
            </w:pPr>
            <w:r>
              <w:rPr>
                <w:rFonts w:ascii="Arial" w:cs="Arial" w:eastAsia="Arial" w:hAnsi="Arial"/>
                <w:sz w:val="15"/>
                <w:szCs w:val="15"/>
                <w:color w:val="auto"/>
              </w:rPr>
              <w:t>Section 6.13 Fixed Charge Coverage Ratio</w:t>
            </w:r>
          </w:p>
        </w:tc>
        <w:tc>
          <w:tcPr>
            <w:tcW w:w="2400" w:type="dxa"/>
            <w:vAlign w:val="bottom"/>
          </w:tcPr>
          <w:p>
            <w:pPr>
              <w:jc w:val="right"/>
              <w:spacing w:after="0"/>
              <w:rPr>
                <w:sz w:val="20"/>
                <w:szCs w:val="20"/>
                <w:color w:val="auto"/>
              </w:rPr>
            </w:pPr>
            <w:r>
              <w:rPr>
                <w:rFonts w:ascii="Arial" w:cs="Arial" w:eastAsia="Arial" w:hAnsi="Arial"/>
                <w:sz w:val="15"/>
                <w:szCs w:val="15"/>
                <w:color w:val="auto"/>
              </w:rPr>
              <w:t>77</w:t>
            </w:r>
          </w:p>
        </w:tc>
      </w:tr>
      <w:tr>
        <w:trPr>
          <w:trHeight w:val="220"/>
        </w:trPr>
        <w:tc>
          <w:tcPr>
            <w:tcW w:w="7460" w:type="dxa"/>
            <w:vAlign w:val="bottom"/>
          </w:tcPr>
          <w:p>
            <w:pPr>
              <w:ind w:left="180"/>
              <w:spacing w:after="0"/>
              <w:rPr>
                <w:sz w:val="20"/>
                <w:szCs w:val="20"/>
                <w:color w:val="auto"/>
              </w:rPr>
            </w:pPr>
            <w:r>
              <w:rPr>
                <w:rFonts w:ascii="Arial" w:cs="Arial" w:eastAsia="Arial" w:hAnsi="Arial"/>
                <w:sz w:val="15"/>
                <w:szCs w:val="15"/>
                <w:color w:val="auto"/>
              </w:rPr>
              <w:t>Section 6.14 Employee Pension Benefit Plan; Canadian Pension Plans</w:t>
            </w:r>
          </w:p>
        </w:tc>
        <w:tc>
          <w:tcPr>
            <w:tcW w:w="2400" w:type="dxa"/>
            <w:vAlign w:val="bottom"/>
          </w:tcPr>
          <w:p>
            <w:pPr>
              <w:jc w:val="right"/>
              <w:spacing w:after="0"/>
              <w:rPr>
                <w:sz w:val="20"/>
                <w:szCs w:val="20"/>
                <w:color w:val="auto"/>
              </w:rPr>
            </w:pPr>
            <w:r>
              <w:rPr>
                <w:rFonts w:ascii="Arial" w:cs="Arial" w:eastAsia="Arial" w:hAnsi="Arial"/>
                <w:sz w:val="15"/>
                <w:szCs w:val="15"/>
                <w:color w:val="auto"/>
              </w:rPr>
              <w:t>77</w:t>
            </w:r>
          </w:p>
        </w:tc>
      </w:tr>
      <w:tr>
        <w:trPr>
          <w:trHeight w:val="639"/>
        </w:trPr>
        <w:tc>
          <w:tcPr>
            <w:tcW w:w="7460" w:type="dxa"/>
            <w:vAlign w:val="bottom"/>
          </w:tcPr>
          <w:p>
            <w:pPr>
              <w:spacing w:after="0"/>
              <w:rPr>
                <w:sz w:val="20"/>
                <w:szCs w:val="20"/>
                <w:color w:val="auto"/>
              </w:rPr>
            </w:pPr>
            <w:r>
              <w:rPr>
                <w:rFonts w:ascii="Arial" w:cs="Arial" w:eastAsia="Arial" w:hAnsi="Arial"/>
                <w:sz w:val="15"/>
                <w:szCs w:val="15"/>
                <w:color w:val="auto"/>
              </w:rPr>
              <w:t>Article VII Events of Default</w:t>
            </w:r>
          </w:p>
        </w:tc>
        <w:tc>
          <w:tcPr>
            <w:tcW w:w="2400" w:type="dxa"/>
            <w:vAlign w:val="bottom"/>
          </w:tcPr>
          <w:p>
            <w:pPr>
              <w:jc w:val="right"/>
              <w:spacing w:after="0"/>
              <w:rPr>
                <w:sz w:val="20"/>
                <w:szCs w:val="20"/>
                <w:color w:val="auto"/>
              </w:rPr>
            </w:pPr>
            <w:r>
              <w:rPr>
                <w:rFonts w:ascii="Arial" w:cs="Arial" w:eastAsia="Arial" w:hAnsi="Arial"/>
                <w:sz w:val="15"/>
                <w:szCs w:val="15"/>
                <w:color w:val="auto"/>
              </w:rPr>
              <w:t>78</w:t>
            </w:r>
          </w:p>
        </w:tc>
      </w:tr>
      <w:tr>
        <w:trPr>
          <w:trHeight w:val="220"/>
        </w:trPr>
        <w:tc>
          <w:tcPr>
            <w:tcW w:w="7460" w:type="dxa"/>
            <w:vAlign w:val="bottom"/>
          </w:tcPr>
          <w:p>
            <w:pPr>
              <w:ind w:left="180"/>
              <w:spacing w:after="0"/>
              <w:rPr>
                <w:sz w:val="20"/>
                <w:szCs w:val="20"/>
                <w:color w:val="auto"/>
              </w:rPr>
            </w:pPr>
            <w:r>
              <w:rPr>
                <w:rFonts w:ascii="Arial" w:cs="Arial" w:eastAsia="Arial" w:hAnsi="Arial"/>
                <w:sz w:val="15"/>
                <w:szCs w:val="15"/>
                <w:color w:val="auto"/>
              </w:rPr>
              <w:t>Section 7.01 Events of Default</w:t>
            </w:r>
          </w:p>
        </w:tc>
        <w:tc>
          <w:tcPr>
            <w:tcW w:w="2400" w:type="dxa"/>
            <w:vAlign w:val="bottom"/>
          </w:tcPr>
          <w:p>
            <w:pPr>
              <w:jc w:val="right"/>
              <w:spacing w:after="0"/>
              <w:rPr>
                <w:sz w:val="20"/>
                <w:szCs w:val="20"/>
                <w:color w:val="auto"/>
              </w:rPr>
            </w:pPr>
            <w:r>
              <w:rPr>
                <w:rFonts w:ascii="Arial" w:cs="Arial" w:eastAsia="Arial" w:hAnsi="Arial"/>
                <w:sz w:val="15"/>
                <w:szCs w:val="15"/>
                <w:color w:val="auto"/>
              </w:rPr>
              <w:t>78</w:t>
            </w:r>
          </w:p>
        </w:tc>
      </w:tr>
      <w:tr>
        <w:trPr>
          <w:trHeight w:val="220"/>
        </w:trPr>
        <w:tc>
          <w:tcPr>
            <w:tcW w:w="7460" w:type="dxa"/>
            <w:vAlign w:val="bottom"/>
          </w:tcPr>
          <w:p>
            <w:pPr>
              <w:ind w:left="180"/>
              <w:spacing w:after="0"/>
              <w:rPr>
                <w:sz w:val="20"/>
                <w:szCs w:val="20"/>
                <w:color w:val="auto"/>
              </w:rPr>
            </w:pPr>
            <w:r>
              <w:rPr>
                <w:rFonts w:ascii="Arial" w:cs="Arial" w:eastAsia="Arial" w:hAnsi="Arial"/>
                <w:sz w:val="15"/>
                <w:szCs w:val="15"/>
                <w:color w:val="auto"/>
              </w:rPr>
              <w:t>Section 7.02 Cash Collateral</w:t>
            </w:r>
          </w:p>
        </w:tc>
        <w:tc>
          <w:tcPr>
            <w:tcW w:w="2400" w:type="dxa"/>
            <w:vAlign w:val="bottom"/>
          </w:tcPr>
          <w:p>
            <w:pPr>
              <w:jc w:val="right"/>
              <w:spacing w:after="0"/>
              <w:rPr>
                <w:sz w:val="20"/>
                <w:szCs w:val="20"/>
                <w:color w:val="auto"/>
              </w:rPr>
            </w:pPr>
            <w:r>
              <w:rPr>
                <w:rFonts w:ascii="Arial" w:cs="Arial" w:eastAsia="Arial" w:hAnsi="Arial"/>
                <w:sz w:val="15"/>
                <w:szCs w:val="15"/>
                <w:color w:val="auto"/>
              </w:rPr>
              <w:t>80</w:t>
            </w:r>
          </w:p>
        </w:tc>
      </w:tr>
      <w:tr>
        <w:trPr>
          <w:trHeight w:val="639"/>
        </w:trPr>
        <w:tc>
          <w:tcPr>
            <w:tcW w:w="7460" w:type="dxa"/>
            <w:vAlign w:val="bottom"/>
          </w:tcPr>
          <w:p>
            <w:pPr>
              <w:spacing w:after="0"/>
              <w:rPr>
                <w:sz w:val="20"/>
                <w:szCs w:val="20"/>
                <w:color w:val="auto"/>
              </w:rPr>
            </w:pPr>
            <w:r>
              <w:rPr>
                <w:rFonts w:ascii="Arial" w:cs="Arial" w:eastAsia="Arial" w:hAnsi="Arial"/>
                <w:sz w:val="15"/>
                <w:szCs w:val="15"/>
                <w:color w:val="auto"/>
              </w:rPr>
              <w:t>Article VIII The Administrative Agent</w:t>
            </w:r>
          </w:p>
        </w:tc>
        <w:tc>
          <w:tcPr>
            <w:tcW w:w="2400" w:type="dxa"/>
            <w:vAlign w:val="bottom"/>
          </w:tcPr>
          <w:p>
            <w:pPr>
              <w:jc w:val="right"/>
              <w:spacing w:after="0"/>
              <w:rPr>
                <w:sz w:val="20"/>
                <w:szCs w:val="20"/>
                <w:color w:val="auto"/>
              </w:rPr>
            </w:pPr>
            <w:r>
              <w:rPr>
                <w:rFonts w:ascii="Arial" w:cs="Arial" w:eastAsia="Arial" w:hAnsi="Arial"/>
                <w:sz w:val="15"/>
                <w:szCs w:val="15"/>
                <w:color w:val="auto"/>
              </w:rPr>
              <w:t>80</w:t>
            </w:r>
          </w:p>
        </w:tc>
      </w:tr>
      <w:tr>
        <w:trPr>
          <w:trHeight w:val="220"/>
        </w:trPr>
        <w:tc>
          <w:tcPr>
            <w:tcW w:w="7460" w:type="dxa"/>
            <w:vAlign w:val="bottom"/>
          </w:tcPr>
          <w:p>
            <w:pPr>
              <w:ind w:left="180"/>
              <w:spacing w:after="0"/>
              <w:rPr>
                <w:sz w:val="20"/>
                <w:szCs w:val="20"/>
                <w:color w:val="auto"/>
              </w:rPr>
            </w:pPr>
            <w:r>
              <w:rPr>
                <w:rFonts w:ascii="Arial" w:cs="Arial" w:eastAsia="Arial" w:hAnsi="Arial"/>
                <w:sz w:val="15"/>
                <w:szCs w:val="15"/>
                <w:color w:val="auto"/>
              </w:rPr>
              <w:t>Section 8.01 Appointment</w:t>
            </w:r>
          </w:p>
        </w:tc>
        <w:tc>
          <w:tcPr>
            <w:tcW w:w="2400" w:type="dxa"/>
            <w:vAlign w:val="bottom"/>
          </w:tcPr>
          <w:p>
            <w:pPr>
              <w:jc w:val="right"/>
              <w:spacing w:after="0"/>
              <w:rPr>
                <w:sz w:val="20"/>
                <w:szCs w:val="20"/>
                <w:color w:val="auto"/>
              </w:rPr>
            </w:pPr>
            <w:r>
              <w:rPr>
                <w:rFonts w:ascii="Arial" w:cs="Arial" w:eastAsia="Arial" w:hAnsi="Arial"/>
                <w:sz w:val="15"/>
                <w:szCs w:val="15"/>
                <w:color w:val="auto"/>
              </w:rPr>
              <w:t>80</w:t>
            </w:r>
          </w:p>
        </w:tc>
      </w:tr>
      <w:tr>
        <w:trPr>
          <w:trHeight w:val="220"/>
        </w:trPr>
        <w:tc>
          <w:tcPr>
            <w:tcW w:w="7460" w:type="dxa"/>
            <w:vAlign w:val="bottom"/>
          </w:tcPr>
          <w:p>
            <w:pPr>
              <w:ind w:left="180"/>
              <w:spacing w:after="0"/>
              <w:rPr>
                <w:sz w:val="20"/>
                <w:szCs w:val="20"/>
                <w:color w:val="auto"/>
              </w:rPr>
            </w:pPr>
            <w:r>
              <w:rPr>
                <w:rFonts w:ascii="Arial" w:cs="Arial" w:eastAsia="Arial" w:hAnsi="Arial"/>
                <w:sz w:val="15"/>
                <w:szCs w:val="15"/>
                <w:color w:val="auto"/>
              </w:rPr>
              <w:t>Section 8.02 Administrative Agent and Lender</w:t>
            </w:r>
          </w:p>
        </w:tc>
        <w:tc>
          <w:tcPr>
            <w:tcW w:w="2400" w:type="dxa"/>
            <w:vAlign w:val="bottom"/>
          </w:tcPr>
          <w:p>
            <w:pPr>
              <w:jc w:val="right"/>
              <w:spacing w:after="0"/>
              <w:rPr>
                <w:sz w:val="20"/>
                <w:szCs w:val="20"/>
                <w:color w:val="auto"/>
              </w:rPr>
            </w:pPr>
            <w:r>
              <w:rPr>
                <w:rFonts w:ascii="Arial" w:cs="Arial" w:eastAsia="Arial" w:hAnsi="Arial"/>
                <w:sz w:val="15"/>
                <w:szCs w:val="15"/>
                <w:color w:val="auto"/>
              </w:rPr>
              <w:t>81</w:t>
            </w:r>
          </w:p>
        </w:tc>
      </w:tr>
      <w:tr>
        <w:trPr>
          <w:trHeight w:val="220"/>
        </w:trPr>
        <w:tc>
          <w:tcPr>
            <w:tcW w:w="7460" w:type="dxa"/>
            <w:vAlign w:val="bottom"/>
          </w:tcPr>
          <w:p>
            <w:pPr>
              <w:ind w:left="180"/>
              <w:spacing w:after="0"/>
              <w:rPr>
                <w:sz w:val="20"/>
                <w:szCs w:val="20"/>
                <w:color w:val="auto"/>
              </w:rPr>
            </w:pPr>
            <w:r>
              <w:rPr>
                <w:rFonts w:ascii="Arial" w:cs="Arial" w:eastAsia="Arial" w:hAnsi="Arial"/>
                <w:sz w:val="15"/>
                <w:szCs w:val="15"/>
                <w:color w:val="auto"/>
              </w:rPr>
              <w:t>Section 8.03 Collateral; Required Lenders</w:t>
            </w:r>
          </w:p>
        </w:tc>
        <w:tc>
          <w:tcPr>
            <w:tcW w:w="2400" w:type="dxa"/>
            <w:vAlign w:val="bottom"/>
          </w:tcPr>
          <w:p>
            <w:pPr>
              <w:jc w:val="right"/>
              <w:spacing w:after="0"/>
              <w:rPr>
                <w:sz w:val="20"/>
                <w:szCs w:val="20"/>
                <w:color w:val="auto"/>
              </w:rPr>
            </w:pPr>
            <w:r>
              <w:rPr>
                <w:rFonts w:ascii="Arial" w:cs="Arial" w:eastAsia="Arial" w:hAnsi="Arial"/>
                <w:sz w:val="15"/>
                <w:szCs w:val="15"/>
                <w:color w:val="auto"/>
              </w:rPr>
              <w:t>81</w:t>
            </w:r>
          </w:p>
        </w:tc>
      </w:tr>
      <w:tr>
        <w:trPr>
          <w:trHeight w:val="220"/>
        </w:trPr>
        <w:tc>
          <w:tcPr>
            <w:tcW w:w="7460" w:type="dxa"/>
            <w:vAlign w:val="bottom"/>
          </w:tcPr>
          <w:p>
            <w:pPr>
              <w:ind w:left="180"/>
              <w:spacing w:after="0"/>
              <w:rPr>
                <w:sz w:val="20"/>
                <w:szCs w:val="20"/>
                <w:color w:val="auto"/>
              </w:rPr>
            </w:pPr>
            <w:r>
              <w:rPr>
                <w:rFonts w:ascii="Arial" w:cs="Arial" w:eastAsia="Arial" w:hAnsi="Arial"/>
                <w:sz w:val="15"/>
                <w:szCs w:val="15"/>
                <w:color w:val="auto"/>
              </w:rPr>
              <w:t>Section 8.04 Duties</w:t>
            </w:r>
          </w:p>
        </w:tc>
        <w:tc>
          <w:tcPr>
            <w:tcW w:w="2400" w:type="dxa"/>
            <w:vAlign w:val="bottom"/>
          </w:tcPr>
          <w:p>
            <w:pPr>
              <w:jc w:val="right"/>
              <w:spacing w:after="0"/>
              <w:rPr>
                <w:sz w:val="20"/>
                <w:szCs w:val="20"/>
                <w:color w:val="auto"/>
              </w:rPr>
            </w:pPr>
            <w:r>
              <w:rPr>
                <w:rFonts w:ascii="Arial" w:cs="Arial" w:eastAsia="Arial" w:hAnsi="Arial"/>
                <w:sz w:val="15"/>
                <w:szCs w:val="15"/>
                <w:color w:val="auto"/>
              </w:rPr>
              <w:t>82</w:t>
            </w:r>
          </w:p>
        </w:tc>
      </w:tr>
      <w:tr>
        <w:trPr>
          <w:trHeight w:val="220"/>
        </w:trPr>
        <w:tc>
          <w:tcPr>
            <w:tcW w:w="7460" w:type="dxa"/>
            <w:vAlign w:val="bottom"/>
          </w:tcPr>
          <w:p>
            <w:pPr>
              <w:ind w:left="180"/>
              <w:spacing w:after="0"/>
              <w:rPr>
                <w:sz w:val="20"/>
                <w:szCs w:val="20"/>
                <w:color w:val="auto"/>
              </w:rPr>
            </w:pPr>
            <w:r>
              <w:rPr>
                <w:rFonts w:ascii="Arial" w:cs="Arial" w:eastAsia="Arial" w:hAnsi="Arial"/>
                <w:sz w:val="15"/>
                <w:szCs w:val="15"/>
                <w:color w:val="auto"/>
              </w:rPr>
              <w:t>Section 8.05 Communications; Counsel</w:t>
            </w:r>
          </w:p>
        </w:tc>
        <w:tc>
          <w:tcPr>
            <w:tcW w:w="2400" w:type="dxa"/>
            <w:vAlign w:val="bottom"/>
          </w:tcPr>
          <w:p>
            <w:pPr>
              <w:jc w:val="right"/>
              <w:spacing w:after="0"/>
              <w:rPr>
                <w:sz w:val="20"/>
                <w:szCs w:val="20"/>
                <w:color w:val="auto"/>
              </w:rPr>
            </w:pPr>
            <w:r>
              <w:rPr>
                <w:rFonts w:ascii="Arial" w:cs="Arial" w:eastAsia="Arial" w:hAnsi="Arial"/>
                <w:sz w:val="15"/>
                <w:szCs w:val="15"/>
                <w:color w:val="auto"/>
              </w:rPr>
              <w:t>82</w:t>
            </w:r>
          </w:p>
        </w:tc>
      </w:tr>
      <w:tr>
        <w:trPr>
          <w:trHeight w:val="220"/>
        </w:trPr>
        <w:tc>
          <w:tcPr>
            <w:tcW w:w="7460" w:type="dxa"/>
            <w:vAlign w:val="bottom"/>
          </w:tcPr>
          <w:p>
            <w:pPr>
              <w:ind w:left="180"/>
              <w:spacing w:after="0"/>
              <w:rPr>
                <w:sz w:val="20"/>
                <w:szCs w:val="20"/>
                <w:color w:val="auto"/>
              </w:rPr>
            </w:pPr>
            <w:r>
              <w:rPr>
                <w:rFonts w:ascii="Arial" w:cs="Arial" w:eastAsia="Arial" w:hAnsi="Arial"/>
                <w:sz w:val="15"/>
                <w:szCs w:val="15"/>
                <w:color w:val="auto"/>
              </w:rPr>
              <w:t>Section 8.06 Sub-Agents</w:t>
            </w:r>
          </w:p>
        </w:tc>
        <w:tc>
          <w:tcPr>
            <w:tcW w:w="2400" w:type="dxa"/>
            <w:vAlign w:val="bottom"/>
          </w:tcPr>
          <w:p>
            <w:pPr>
              <w:jc w:val="right"/>
              <w:spacing w:after="0"/>
              <w:rPr>
                <w:sz w:val="20"/>
                <w:szCs w:val="20"/>
                <w:color w:val="auto"/>
              </w:rPr>
            </w:pPr>
            <w:r>
              <w:rPr>
                <w:rFonts w:ascii="Arial" w:cs="Arial" w:eastAsia="Arial" w:hAnsi="Arial"/>
                <w:sz w:val="15"/>
                <w:szCs w:val="15"/>
                <w:color w:val="auto"/>
              </w:rPr>
              <w:t>83</w:t>
            </w:r>
          </w:p>
        </w:tc>
      </w:tr>
      <w:tr>
        <w:trPr>
          <w:trHeight w:val="220"/>
        </w:trPr>
        <w:tc>
          <w:tcPr>
            <w:tcW w:w="7460" w:type="dxa"/>
            <w:vAlign w:val="bottom"/>
          </w:tcPr>
          <w:p>
            <w:pPr>
              <w:ind w:left="180"/>
              <w:spacing w:after="0"/>
              <w:rPr>
                <w:sz w:val="20"/>
                <w:szCs w:val="20"/>
                <w:color w:val="auto"/>
              </w:rPr>
            </w:pPr>
            <w:r>
              <w:rPr>
                <w:rFonts w:ascii="Arial" w:cs="Arial" w:eastAsia="Arial" w:hAnsi="Arial"/>
                <w:sz w:val="15"/>
                <w:szCs w:val="15"/>
                <w:color w:val="auto"/>
              </w:rPr>
              <w:t>Section 8.07 Successor</w:t>
            </w:r>
          </w:p>
        </w:tc>
        <w:tc>
          <w:tcPr>
            <w:tcW w:w="2400" w:type="dxa"/>
            <w:vAlign w:val="bottom"/>
          </w:tcPr>
          <w:p>
            <w:pPr>
              <w:jc w:val="right"/>
              <w:spacing w:after="0"/>
              <w:rPr>
                <w:sz w:val="20"/>
                <w:szCs w:val="20"/>
                <w:color w:val="auto"/>
              </w:rPr>
            </w:pPr>
            <w:r>
              <w:rPr>
                <w:rFonts w:ascii="Arial" w:cs="Arial" w:eastAsia="Arial" w:hAnsi="Arial"/>
                <w:sz w:val="15"/>
                <w:szCs w:val="15"/>
                <w:color w:val="auto"/>
              </w:rPr>
              <w:t>83</w:t>
            </w:r>
          </w:p>
        </w:tc>
      </w:tr>
      <w:tr>
        <w:trPr>
          <w:trHeight w:val="220"/>
        </w:trPr>
        <w:tc>
          <w:tcPr>
            <w:tcW w:w="7460" w:type="dxa"/>
            <w:vAlign w:val="bottom"/>
          </w:tcPr>
          <w:p>
            <w:pPr>
              <w:ind w:left="180"/>
              <w:spacing w:after="0"/>
              <w:rPr>
                <w:sz w:val="20"/>
                <w:szCs w:val="20"/>
                <w:color w:val="auto"/>
              </w:rPr>
            </w:pPr>
            <w:r>
              <w:rPr>
                <w:rFonts w:ascii="Arial" w:cs="Arial" w:eastAsia="Arial" w:hAnsi="Arial"/>
                <w:sz w:val="15"/>
                <w:szCs w:val="15"/>
                <w:color w:val="auto"/>
              </w:rPr>
              <w:t>Section 8.08 Lenders’ Reliance; Decisions</w:t>
            </w:r>
          </w:p>
        </w:tc>
        <w:tc>
          <w:tcPr>
            <w:tcW w:w="2400" w:type="dxa"/>
            <w:vAlign w:val="bottom"/>
          </w:tcPr>
          <w:p>
            <w:pPr>
              <w:jc w:val="right"/>
              <w:spacing w:after="0"/>
              <w:rPr>
                <w:sz w:val="20"/>
                <w:szCs w:val="20"/>
                <w:color w:val="auto"/>
              </w:rPr>
            </w:pPr>
            <w:r>
              <w:rPr>
                <w:rFonts w:ascii="Arial" w:cs="Arial" w:eastAsia="Arial" w:hAnsi="Arial"/>
                <w:sz w:val="15"/>
                <w:szCs w:val="15"/>
                <w:color w:val="auto"/>
              </w:rPr>
              <w:t>83</w:t>
            </w:r>
          </w:p>
        </w:tc>
      </w:tr>
      <w:tr>
        <w:trPr>
          <w:trHeight w:val="639"/>
        </w:trPr>
        <w:tc>
          <w:tcPr>
            <w:tcW w:w="7460" w:type="dxa"/>
            <w:vAlign w:val="bottom"/>
          </w:tcPr>
          <w:p>
            <w:pPr>
              <w:spacing w:after="0"/>
              <w:rPr>
                <w:sz w:val="20"/>
                <w:szCs w:val="20"/>
                <w:color w:val="auto"/>
              </w:rPr>
            </w:pPr>
            <w:r>
              <w:rPr>
                <w:rFonts w:ascii="Arial" w:cs="Arial" w:eastAsia="Arial" w:hAnsi="Arial"/>
                <w:sz w:val="15"/>
                <w:szCs w:val="15"/>
                <w:color w:val="auto"/>
              </w:rPr>
              <w:t>Article IX Miscellaneous</w:t>
            </w:r>
          </w:p>
        </w:tc>
        <w:tc>
          <w:tcPr>
            <w:tcW w:w="2400" w:type="dxa"/>
            <w:vAlign w:val="bottom"/>
          </w:tcPr>
          <w:p>
            <w:pPr>
              <w:jc w:val="right"/>
              <w:spacing w:after="0"/>
              <w:rPr>
                <w:sz w:val="20"/>
                <w:szCs w:val="20"/>
                <w:color w:val="auto"/>
              </w:rPr>
            </w:pPr>
            <w:r>
              <w:rPr>
                <w:rFonts w:ascii="Arial" w:cs="Arial" w:eastAsia="Arial" w:hAnsi="Arial"/>
                <w:sz w:val="15"/>
                <w:szCs w:val="15"/>
                <w:color w:val="auto"/>
              </w:rPr>
              <w:t>83</w:t>
            </w:r>
          </w:p>
        </w:tc>
      </w:tr>
      <w:tr>
        <w:trPr>
          <w:trHeight w:val="220"/>
        </w:trPr>
        <w:tc>
          <w:tcPr>
            <w:tcW w:w="7460" w:type="dxa"/>
            <w:vAlign w:val="bottom"/>
          </w:tcPr>
          <w:p>
            <w:pPr>
              <w:ind w:left="180"/>
              <w:spacing w:after="0"/>
              <w:rPr>
                <w:sz w:val="20"/>
                <w:szCs w:val="20"/>
                <w:color w:val="auto"/>
              </w:rPr>
            </w:pPr>
            <w:r>
              <w:rPr>
                <w:rFonts w:ascii="Arial" w:cs="Arial" w:eastAsia="Arial" w:hAnsi="Arial"/>
                <w:sz w:val="15"/>
                <w:szCs w:val="15"/>
                <w:color w:val="auto"/>
              </w:rPr>
              <w:t>Section 9.01 Notices</w:t>
            </w:r>
          </w:p>
        </w:tc>
        <w:tc>
          <w:tcPr>
            <w:tcW w:w="2400" w:type="dxa"/>
            <w:vAlign w:val="bottom"/>
          </w:tcPr>
          <w:p>
            <w:pPr>
              <w:jc w:val="right"/>
              <w:spacing w:after="0"/>
              <w:rPr>
                <w:sz w:val="20"/>
                <w:szCs w:val="20"/>
                <w:color w:val="auto"/>
              </w:rPr>
            </w:pPr>
            <w:r>
              <w:rPr>
                <w:rFonts w:ascii="Arial" w:cs="Arial" w:eastAsia="Arial" w:hAnsi="Arial"/>
                <w:sz w:val="15"/>
                <w:szCs w:val="15"/>
                <w:color w:val="auto"/>
              </w:rPr>
              <w:t>83</w:t>
            </w:r>
          </w:p>
        </w:tc>
      </w:tr>
      <w:tr>
        <w:trPr>
          <w:trHeight w:val="220"/>
        </w:trPr>
        <w:tc>
          <w:tcPr>
            <w:tcW w:w="7460" w:type="dxa"/>
            <w:vAlign w:val="bottom"/>
          </w:tcPr>
          <w:p>
            <w:pPr>
              <w:ind w:left="180"/>
              <w:spacing w:after="0"/>
              <w:rPr>
                <w:sz w:val="20"/>
                <w:szCs w:val="20"/>
                <w:color w:val="auto"/>
              </w:rPr>
            </w:pPr>
            <w:r>
              <w:rPr>
                <w:rFonts w:ascii="Arial" w:cs="Arial" w:eastAsia="Arial" w:hAnsi="Arial"/>
                <w:sz w:val="15"/>
                <w:szCs w:val="15"/>
                <w:color w:val="auto"/>
              </w:rPr>
              <w:t>Section 9.02 Waivers; Amendments</w:t>
            </w:r>
          </w:p>
        </w:tc>
        <w:tc>
          <w:tcPr>
            <w:tcW w:w="2400" w:type="dxa"/>
            <w:vAlign w:val="bottom"/>
          </w:tcPr>
          <w:p>
            <w:pPr>
              <w:jc w:val="right"/>
              <w:spacing w:after="0"/>
              <w:rPr>
                <w:sz w:val="20"/>
                <w:szCs w:val="20"/>
                <w:color w:val="auto"/>
              </w:rPr>
            </w:pPr>
            <w:r>
              <w:rPr>
                <w:rFonts w:ascii="Arial" w:cs="Arial" w:eastAsia="Arial" w:hAnsi="Arial"/>
                <w:sz w:val="15"/>
                <w:szCs w:val="15"/>
                <w:color w:val="auto"/>
              </w:rPr>
              <w:t>84</w:t>
            </w:r>
          </w:p>
        </w:tc>
      </w:tr>
      <w:tr>
        <w:trPr>
          <w:trHeight w:val="220"/>
        </w:trPr>
        <w:tc>
          <w:tcPr>
            <w:tcW w:w="7460" w:type="dxa"/>
            <w:vAlign w:val="bottom"/>
          </w:tcPr>
          <w:p>
            <w:pPr>
              <w:ind w:left="180"/>
              <w:spacing w:after="0"/>
              <w:rPr>
                <w:sz w:val="20"/>
                <w:szCs w:val="20"/>
                <w:color w:val="auto"/>
              </w:rPr>
            </w:pPr>
            <w:r>
              <w:rPr>
                <w:rFonts w:ascii="Arial" w:cs="Arial" w:eastAsia="Arial" w:hAnsi="Arial"/>
                <w:sz w:val="15"/>
                <w:szCs w:val="15"/>
                <w:color w:val="auto"/>
              </w:rPr>
              <w:t>Section 9.03 Expenses; Indemnity; Damage Waiver</w:t>
            </w:r>
          </w:p>
        </w:tc>
        <w:tc>
          <w:tcPr>
            <w:tcW w:w="2400" w:type="dxa"/>
            <w:vAlign w:val="bottom"/>
          </w:tcPr>
          <w:p>
            <w:pPr>
              <w:jc w:val="right"/>
              <w:spacing w:after="0"/>
              <w:rPr>
                <w:sz w:val="20"/>
                <w:szCs w:val="20"/>
                <w:color w:val="auto"/>
              </w:rPr>
            </w:pPr>
            <w:r>
              <w:rPr>
                <w:rFonts w:ascii="Arial" w:cs="Arial" w:eastAsia="Arial" w:hAnsi="Arial"/>
                <w:sz w:val="15"/>
                <w:szCs w:val="15"/>
                <w:color w:val="auto"/>
              </w:rPr>
              <w:t>85</w:t>
            </w:r>
          </w:p>
        </w:tc>
      </w:tr>
      <w:tr>
        <w:trPr>
          <w:trHeight w:val="220"/>
        </w:trPr>
        <w:tc>
          <w:tcPr>
            <w:tcW w:w="7460" w:type="dxa"/>
            <w:vAlign w:val="bottom"/>
          </w:tcPr>
          <w:p>
            <w:pPr>
              <w:ind w:left="180"/>
              <w:spacing w:after="0"/>
              <w:rPr>
                <w:sz w:val="20"/>
                <w:szCs w:val="20"/>
                <w:color w:val="auto"/>
              </w:rPr>
            </w:pPr>
            <w:r>
              <w:rPr>
                <w:rFonts w:ascii="Arial" w:cs="Arial" w:eastAsia="Arial" w:hAnsi="Arial"/>
                <w:sz w:val="15"/>
                <w:szCs w:val="15"/>
                <w:color w:val="auto"/>
              </w:rPr>
              <w:t>Section 9.04 Successors and Assigns</w:t>
            </w:r>
          </w:p>
        </w:tc>
        <w:tc>
          <w:tcPr>
            <w:tcW w:w="2400" w:type="dxa"/>
            <w:vAlign w:val="bottom"/>
          </w:tcPr>
          <w:p>
            <w:pPr>
              <w:jc w:val="right"/>
              <w:spacing w:after="0"/>
              <w:rPr>
                <w:sz w:val="20"/>
                <w:szCs w:val="20"/>
                <w:color w:val="auto"/>
              </w:rPr>
            </w:pPr>
            <w:r>
              <w:rPr>
                <w:rFonts w:ascii="Arial" w:cs="Arial" w:eastAsia="Arial" w:hAnsi="Arial"/>
                <w:sz w:val="15"/>
                <w:szCs w:val="15"/>
                <w:color w:val="auto"/>
              </w:rPr>
              <w:t>86</w:t>
            </w:r>
          </w:p>
        </w:tc>
      </w:tr>
      <w:tr>
        <w:trPr>
          <w:trHeight w:val="220"/>
        </w:trPr>
        <w:tc>
          <w:tcPr>
            <w:tcW w:w="7460" w:type="dxa"/>
            <w:vAlign w:val="bottom"/>
          </w:tcPr>
          <w:p>
            <w:pPr>
              <w:ind w:left="180"/>
              <w:spacing w:after="0"/>
              <w:rPr>
                <w:sz w:val="20"/>
                <w:szCs w:val="20"/>
                <w:color w:val="auto"/>
              </w:rPr>
            </w:pPr>
            <w:r>
              <w:rPr>
                <w:rFonts w:ascii="Arial" w:cs="Arial" w:eastAsia="Arial" w:hAnsi="Arial"/>
                <w:sz w:val="15"/>
                <w:szCs w:val="15"/>
                <w:color w:val="auto"/>
              </w:rPr>
              <w:t>Section 9.05 Disclosure</w:t>
            </w:r>
          </w:p>
        </w:tc>
        <w:tc>
          <w:tcPr>
            <w:tcW w:w="2400" w:type="dxa"/>
            <w:vAlign w:val="bottom"/>
          </w:tcPr>
          <w:p>
            <w:pPr>
              <w:jc w:val="right"/>
              <w:spacing w:after="0"/>
              <w:rPr>
                <w:sz w:val="20"/>
                <w:szCs w:val="20"/>
                <w:color w:val="auto"/>
              </w:rPr>
            </w:pPr>
            <w:r>
              <w:rPr>
                <w:rFonts w:ascii="Arial" w:cs="Arial" w:eastAsia="Arial" w:hAnsi="Arial"/>
                <w:sz w:val="15"/>
                <w:szCs w:val="15"/>
                <w:color w:val="auto"/>
              </w:rPr>
              <w:t>90</w:t>
            </w:r>
          </w:p>
        </w:tc>
      </w:tr>
      <w:tr>
        <w:trPr>
          <w:trHeight w:val="220"/>
        </w:trPr>
        <w:tc>
          <w:tcPr>
            <w:tcW w:w="7460" w:type="dxa"/>
            <w:vAlign w:val="bottom"/>
          </w:tcPr>
          <w:p>
            <w:pPr>
              <w:ind w:left="180"/>
              <w:spacing w:after="0"/>
              <w:rPr>
                <w:sz w:val="20"/>
                <w:szCs w:val="20"/>
                <w:color w:val="auto"/>
              </w:rPr>
            </w:pPr>
            <w:r>
              <w:rPr>
                <w:rFonts w:ascii="Arial" w:cs="Arial" w:eastAsia="Arial" w:hAnsi="Arial"/>
                <w:sz w:val="15"/>
                <w:szCs w:val="15"/>
                <w:color w:val="auto"/>
              </w:rPr>
              <w:t>Section 9.06 Survival</w:t>
            </w:r>
          </w:p>
        </w:tc>
        <w:tc>
          <w:tcPr>
            <w:tcW w:w="2400" w:type="dxa"/>
            <w:vAlign w:val="bottom"/>
          </w:tcPr>
          <w:p>
            <w:pPr>
              <w:jc w:val="right"/>
              <w:spacing w:after="0"/>
              <w:rPr>
                <w:sz w:val="20"/>
                <w:szCs w:val="20"/>
                <w:color w:val="auto"/>
              </w:rPr>
            </w:pPr>
            <w:r>
              <w:rPr>
                <w:rFonts w:ascii="Arial" w:cs="Arial" w:eastAsia="Arial" w:hAnsi="Arial"/>
                <w:sz w:val="15"/>
                <w:szCs w:val="15"/>
                <w:color w:val="auto"/>
              </w:rPr>
              <w:t>90</w:t>
            </w:r>
          </w:p>
        </w:tc>
      </w:tr>
      <w:tr>
        <w:trPr>
          <w:trHeight w:val="220"/>
        </w:trPr>
        <w:tc>
          <w:tcPr>
            <w:tcW w:w="7460" w:type="dxa"/>
            <w:vAlign w:val="bottom"/>
          </w:tcPr>
          <w:p>
            <w:pPr>
              <w:ind w:left="180"/>
              <w:spacing w:after="0"/>
              <w:rPr>
                <w:sz w:val="20"/>
                <w:szCs w:val="20"/>
                <w:color w:val="auto"/>
              </w:rPr>
            </w:pPr>
            <w:r>
              <w:rPr>
                <w:rFonts w:ascii="Arial" w:cs="Arial" w:eastAsia="Arial" w:hAnsi="Arial"/>
                <w:sz w:val="15"/>
                <w:szCs w:val="15"/>
                <w:color w:val="auto"/>
              </w:rPr>
              <w:t>Section 9.07 Counterparts; Integration; Effectiveness</w:t>
            </w:r>
          </w:p>
        </w:tc>
        <w:tc>
          <w:tcPr>
            <w:tcW w:w="2400" w:type="dxa"/>
            <w:vAlign w:val="bottom"/>
          </w:tcPr>
          <w:p>
            <w:pPr>
              <w:jc w:val="right"/>
              <w:spacing w:after="0"/>
              <w:rPr>
                <w:sz w:val="20"/>
                <w:szCs w:val="20"/>
                <w:color w:val="auto"/>
              </w:rPr>
            </w:pPr>
            <w:r>
              <w:rPr>
                <w:rFonts w:ascii="Arial" w:cs="Arial" w:eastAsia="Arial" w:hAnsi="Arial"/>
                <w:sz w:val="15"/>
                <w:szCs w:val="15"/>
                <w:color w:val="auto"/>
              </w:rPr>
              <w:t>90</w:t>
            </w:r>
          </w:p>
        </w:tc>
      </w:tr>
      <w:tr>
        <w:trPr>
          <w:trHeight w:val="220"/>
        </w:trPr>
        <w:tc>
          <w:tcPr>
            <w:tcW w:w="7460" w:type="dxa"/>
            <w:vAlign w:val="bottom"/>
          </w:tcPr>
          <w:p>
            <w:pPr>
              <w:ind w:left="180"/>
              <w:spacing w:after="0"/>
              <w:rPr>
                <w:sz w:val="20"/>
                <w:szCs w:val="20"/>
                <w:color w:val="auto"/>
              </w:rPr>
            </w:pPr>
            <w:r>
              <w:rPr>
                <w:rFonts w:ascii="Arial" w:cs="Arial" w:eastAsia="Arial" w:hAnsi="Arial"/>
                <w:sz w:val="15"/>
                <w:szCs w:val="15"/>
                <w:color w:val="auto"/>
              </w:rPr>
              <w:t>Section 9.08 Severability</w:t>
            </w:r>
          </w:p>
        </w:tc>
        <w:tc>
          <w:tcPr>
            <w:tcW w:w="2400" w:type="dxa"/>
            <w:vAlign w:val="bottom"/>
          </w:tcPr>
          <w:p>
            <w:pPr>
              <w:jc w:val="right"/>
              <w:spacing w:after="0"/>
              <w:rPr>
                <w:sz w:val="20"/>
                <w:szCs w:val="20"/>
                <w:color w:val="auto"/>
              </w:rPr>
            </w:pPr>
            <w:r>
              <w:rPr>
                <w:rFonts w:ascii="Arial" w:cs="Arial" w:eastAsia="Arial" w:hAnsi="Arial"/>
                <w:sz w:val="15"/>
                <w:szCs w:val="15"/>
                <w:color w:val="auto"/>
              </w:rPr>
              <w:t>90</w:t>
            </w:r>
          </w:p>
        </w:tc>
      </w:tr>
      <w:tr>
        <w:trPr>
          <w:trHeight w:val="220"/>
        </w:trPr>
        <w:tc>
          <w:tcPr>
            <w:tcW w:w="7460" w:type="dxa"/>
            <w:vAlign w:val="bottom"/>
          </w:tcPr>
          <w:p>
            <w:pPr>
              <w:ind w:left="180"/>
              <w:spacing w:after="0"/>
              <w:rPr>
                <w:sz w:val="20"/>
                <w:szCs w:val="20"/>
                <w:color w:val="auto"/>
              </w:rPr>
            </w:pPr>
            <w:r>
              <w:rPr>
                <w:rFonts w:ascii="Arial" w:cs="Arial" w:eastAsia="Arial" w:hAnsi="Arial"/>
                <w:sz w:val="15"/>
                <w:szCs w:val="15"/>
                <w:color w:val="auto"/>
              </w:rPr>
              <w:t>Section 9.09 Right of Set-off</w:t>
            </w:r>
          </w:p>
        </w:tc>
        <w:tc>
          <w:tcPr>
            <w:tcW w:w="2400" w:type="dxa"/>
            <w:vAlign w:val="bottom"/>
          </w:tcPr>
          <w:p>
            <w:pPr>
              <w:jc w:val="right"/>
              <w:spacing w:after="0"/>
              <w:rPr>
                <w:sz w:val="20"/>
                <w:szCs w:val="20"/>
                <w:color w:val="auto"/>
              </w:rPr>
            </w:pPr>
            <w:r>
              <w:rPr>
                <w:rFonts w:ascii="Arial" w:cs="Arial" w:eastAsia="Arial" w:hAnsi="Arial"/>
                <w:sz w:val="15"/>
                <w:szCs w:val="15"/>
                <w:color w:val="auto"/>
              </w:rPr>
              <w:t>91</w:t>
            </w:r>
          </w:p>
        </w:tc>
      </w:tr>
      <w:tr>
        <w:trPr>
          <w:trHeight w:val="220"/>
        </w:trPr>
        <w:tc>
          <w:tcPr>
            <w:tcW w:w="7460" w:type="dxa"/>
            <w:vAlign w:val="bottom"/>
          </w:tcPr>
          <w:p>
            <w:pPr>
              <w:ind w:left="180"/>
              <w:spacing w:after="0"/>
              <w:rPr>
                <w:sz w:val="20"/>
                <w:szCs w:val="20"/>
                <w:color w:val="auto"/>
              </w:rPr>
            </w:pPr>
            <w:r>
              <w:rPr>
                <w:rFonts w:ascii="Arial" w:cs="Arial" w:eastAsia="Arial" w:hAnsi="Arial"/>
                <w:sz w:val="15"/>
                <w:szCs w:val="15"/>
                <w:color w:val="auto"/>
              </w:rPr>
              <w:t>Section 9.10 Governing Law; Jurisdiction; Consent to Service of Process</w:t>
            </w:r>
          </w:p>
        </w:tc>
        <w:tc>
          <w:tcPr>
            <w:tcW w:w="2400" w:type="dxa"/>
            <w:vAlign w:val="bottom"/>
          </w:tcPr>
          <w:p>
            <w:pPr>
              <w:jc w:val="right"/>
              <w:spacing w:after="0"/>
              <w:rPr>
                <w:sz w:val="20"/>
                <w:szCs w:val="20"/>
                <w:color w:val="auto"/>
              </w:rPr>
            </w:pPr>
            <w:r>
              <w:rPr>
                <w:rFonts w:ascii="Arial" w:cs="Arial" w:eastAsia="Arial" w:hAnsi="Arial"/>
                <w:sz w:val="15"/>
                <w:szCs w:val="15"/>
                <w:color w:val="auto"/>
              </w:rPr>
              <w:t>91</w:t>
            </w:r>
          </w:p>
        </w:tc>
      </w:tr>
      <w:tr>
        <w:trPr>
          <w:trHeight w:val="220"/>
        </w:trPr>
        <w:tc>
          <w:tcPr>
            <w:tcW w:w="7460" w:type="dxa"/>
            <w:vAlign w:val="bottom"/>
          </w:tcPr>
          <w:p>
            <w:pPr>
              <w:ind w:left="180"/>
              <w:spacing w:after="0"/>
              <w:rPr>
                <w:sz w:val="20"/>
                <w:szCs w:val="20"/>
                <w:color w:val="auto"/>
              </w:rPr>
            </w:pPr>
            <w:r>
              <w:rPr>
                <w:rFonts w:ascii="Arial" w:cs="Arial" w:eastAsia="Arial" w:hAnsi="Arial"/>
                <w:sz w:val="15"/>
                <w:szCs w:val="15"/>
                <w:color w:val="auto"/>
              </w:rPr>
              <w:t>Section 9.11 WAIVER OF JURY TRIAL</w:t>
            </w:r>
          </w:p>
        </w:tc>
        <w:tc>
          <w:tcPr>
            <w:tcW w:w="2400" w:type="dxa"/>
            <w:vAlign w:val="bottom"/>
          </w:tcPr>
          <w:p>
            <w:pPr>
              <w:jc w:val="right"/>
              <w:spacing w:after="0"/>
              <w:rPr>
                <w:sz w:val="20"/>
                <w:szCs w:val="20"/>
                <w:color w:val="auto"/>
              </w:rPr>
            </w:pPr>
            <w:r>
              <w:rPr>
                <w:rFonts w:ascii="Arial" w:cs="Arial" w:eastAsia="Arial" w:hAnsi="Arial"/>
                <w:sz w:val="15"/>
                <w:szCs w:val="15"/>
                <w:color w:val="auto"/>
              </w:rPr>
              <w:t>92</w:t>
            </w:r>
          </w:p>
        </w:tc>
      </w:tr>
      <w:tr>
        <w:trPr>
          <w:trHeight w:val="220"/>
        </w:trPr>
        <w:tc>
          <w:tcPr>
            <w:tcW w:w="7460" w:type="dxa"/>
            <w:vAlign w:val="bottom"/>
          </w:tcPr>
          <w:p>
            <w:pPr>
              <w:ind w:left="180"/>
              <w:spacing w:after="0"/>
              <w:rPr>
                <w:sz w:val="20"/>
                <w:szCs w:val="20"/>
                <w:color w:val="auto"/>
              </w:rPr>
            </w:pPr>
            <w:r>
              <w:rPr>
                <w:rFonts w:ascii="Arial" w:cs="Arial" w:eastAsia="Arial" w:hAnsi="Arial"/>
                <w:sz w:val="15"/>
                <w:szCs w:val="15"/>
                <w:color w:val="auto"/>
              </w:rPr>
              <w:t>Section 9.12 Headings</w:t>
            </w:r>
          </w:p>
        </w:tc>
        <w:tc>
          <w:tcPr>
            <w:tcW w:w="2400" w:type="dxa"/>
            <w:vAlign w:val="bottom"/>
          </w:tcPr>
          <w:p>
            <w:pPr>
              <w:jc w:val="right"/>
              <w:spacing w:after="0"/>
              <w:rPr>
                <w:sz w:val="20"/>
                <w:szCs w:val="20"/>
                <w:color w:val="auto"/>
              </w:rPr>
            </w:pPr>
            <w:r>
              <w:rPr>
                <w:rFonts w:ascii="Arial" w:cs="Arial" w:eastAsia="Arial" w:hAnsi="Arial"/>
                <w:sz w:val="15"/>
                <w:szCs w:val="15"/>
                <w:color w:val="auto"/>
              </w:rPr>
              <w:t>92</w:t>
            </w:r>
          </w:p>
        </w:tc>
      </w:tr>
      <w:tr>
        <w:trPr>
          <w:trHeight w:val="220"/>
        </w:trPr>
        <w:tc>
          <w:tcPr>
            <w:tcW w:w="7460" w:type="dxa"/>
            <w:vAlign w:val="bottom"/>
          </w:tcPr>
          <w:p>
            <w:pPr>
              <w:ind w:left="180"/>
              <w:spacing w:after="0"/>
              <w:rPr>
                <w:sz w:val="20"/>
                <w:szCs w:val="20"/>
                <w:color w:val="auto"/>
              </w:rPr>
            </w:pPr>
            <w:r>
              <w:rPr>
                <w:rFonts w:ascii="Arial" w:cs="Arial" w:eastAsia="Arial" w:hAnsi="Arial"/>
                <w:sz w:val="15"/>
                <w:szCs w:val="15"/>
                <w:color w:val="auto"/>
              </w:rPr>
              <w:t>Section 9.13 Confidentiality</w:t>
            </w:r>
          </w:p>
        </w:tc>
        <w:tc>
          <w:tcPr>
            <w:tcW w:w="2400" w:type="dxa"/>
            <w:vAlign w:val="bottom"/>
          </w:tcPr>
          <w:p>
            <w:pPr>
              <w:jc w:val="right"/>
              <w:spacing w:after="0"/>
              <w:rPr>
                <w:sz w:val="20"/>
                <w:szCs w:val="20"/>
                <w:color w:val="auto"/>
              </w:rPr>
            </w:pPr>
            <w:r>
              <w:rPr>
                <w:rFonts w:ascii="Arial" w:cs="Arial" w:eastAsia="Arial" w:hAnsi="Arial"/>
                <w:sz w:val="15"/>
                <w:szCs w:val="15"/>
                <w:color w:val="auto"/>
              </w:rPr>
              <w:t>92</w:t>
            </w:r>
          </w:p>
        </w:tc>
      </w:tr>
      <w:tr>
        <w:trPr>
          <w:trHeight w:val="220"/>
        </w:trPr>
        <w:tc>
          <w:tcPr>
            <w:tcW w:w="7460" w:type="dxa"/>
            <w:vAlign w:val="bottom"/>
          </w:tcPr>
          <w:p>
            <w:pPr>
              <w:ind w:left="180"/>
              <w:spacing w:after="0"/>
              <w:rPr>
                <w:sz w:val="20"/>
                <w:szCs w:val="20"/>
                <w:color w:val="auto"/>
              </w:rPr>
            </w:pPr>
            <w:r>
              <w:rPr>
                <w:rFonts w:ascii="Arial" w:cs="Arial" w:eastAsia="Arial" w:hAnsi="Arial"/>
                <w:sz w:val="15"/>
                <w:szCs w:val="15"/>
                <w:color w:val="auto"/>
              </w:rPr>
              <w:t>Section 9.14 Interest Rate Limitation</w:t>
            </w:r>
          </w:p>
        </w:tc>
        <w:tc>
          <w:tcPr>
            <w:tcW w:w="2400" w:type="dxa"/>
            <w:vAlign w:val="bottom"/>
          </w:tcPr>
          <w:p>
            <w:pPr>
              <w:jc w:val="right"/>
              <w:spacing w:after="0"/>
              <w:rPr>
                <w:sz w:val="20"/>
                <w:szCs w:val="20"/>
                <w:color w:val="auto"/>
              </w:rPr>
            </w:pPr>
            <w:r>
              <w:rPr>
                <w:rFonts w:ascii="Arial" w:cs="Arial" w:eastAsia="Arial" w:hAnsi="Arial"/>
                <w:sz w:val="15"/>
                <w:szCs w:val="15"/>
                <w:color w:val="auto"/>
              </w:rPr>
              <w:t>93</w:t>
            </w:r>
          </w:p>
        </w:tc>
      </w:tr>
      <w:tr>
        <w:trPr>
          <w:trHeight w:val="220"/>
        </w:trPr>
        <w:tc>
          <w:tcPr>
            <w:tcW w:w="7460" w:type="dxa"/>
            <w:vAlign w:val="bottom"/>
          </w:tcPr>
          <w:p>
            <w:pPr>
              <w:ind w:left="180"/>
              <w:spacing w:after="0"/>
              <w:rPr>
                <w:sz w:val="20"/>
                <w:szCs w:val="20"/>
                <w:color w:val="auto"/>
              </w:rPr>
            </w:pPr>
            <w:r>
              <w:rPr>
                <w:rFonts w:ascii="Arial" w:cs="Arial" w:eastAsia="Arial" w:hAnsi="Arial"/>
                <w:sz w:val="15"/>
                <w:szCs w:val="15"/>
                <w:color w:val="auto"/>
              </w:rPr>
              <w:t>Section 9.15 No Fiduciary Duty</w:t>
            </w:r>
          </w:p>
        </w:tc>
        <w:tc>
          <w:tcPr>
            <w:tcW w:w="2400" w:type="dxa"/>
            <w:vAlign w:val="bottom"/>
          </w:tcPr>
          <w:p>
            <w:pPr>
              <w:jc w:val="right"/>
              <w:spacing w:after="0"/>
              <w:rPr>
                <w:sz w:val="20"/>
                <w:szCs w:val="20"/>
                <w:color w:val="auto"/>
              </w:rPr>
            </w:pPr>
            <w:r>
              <w:rPr>
                <w:rFonts w:ascii="Arial" w:cs="Arial" w:eastAsia="Arial" w:hAnsi="Arial"/>
                <w:sz w:val="15"/>
                <w:szCs w:val="15"/>
                <w:color w:val="auto"/>
              </w:rPr>
              <w:t>93</w:t>
            </w:r>
          </w:p>
        </w:tc>
      </w:tr>
      <w:tr>
        <w:trPr>
          <w:trHeight w:val="220"/>
        </w:trPr>
        <w:tc>
          <w:tcPr>
            <w:tcW w:w="7460" w:type="dxa"/>
            <w:vAlign w:val="bottom"/>
          </w:tcPr>
          <w:p>
            <w:pPr>
              <w:ind w:left="180"/>
              <w:spacing w:after="0"/>
              <w:rPr>
                <w:sz w:val="20"/>
                <w:szCs w:val="20"/>
                <w:color w:val="auto"/>
              </w:rPr>
            </w:pPr>
            <w:r>
              <w:rPr>
                <w:rFonts w:ascii="Arial" w:cs="Arial" w:eastAsia="Arial" w:hAnsi="Arial"/>
                <w:sz w:val="15"/>
                <w:szCs w:val="15"/>
                <w:color w:val="auto"/>
              </w:rPr>
              <w:t>Section 9.16 USA PATRIOT Act</w:t>
            </w:r>
          </w:p>
        </w:tc>
        <w:tc>
          <w:tcPr>
            <w:tcW w:w="2400" w:type="dxa"/>
            <w:vAlign w:val="bottom"/>
          </w:tcPr>
          <w:p>
            <w:pPr>
              <w:jc w:val="right"/>
              <w:spacing w:after="0"/>
              <w:rPr>
                <w:sz w:val="20"/>
                <w:szCs w:val="20"/>
                <w:color w:val="auto"/>
              </w:rPr>
            </w:pPr>
            <w:r>
              <w:rPr>
                <w:rFonts w:ascii="Arial" w:cs="Arial" w:eastAsia="Arial" w:hAnsi="Arial"/>
                <w:sz w:val="15"/>
                <w:szCs w:val="15"/>
                <w:color w:val="auto"/>
              </w:rPr>
              <w:t>93</w:t>
            </w:r>
          </w:p>
        </w:tc>
      </w:tr>
      <w:tr>
        <w:trPr>
          <w:trHeight w:val="220"/>
        </w:trPr>
        <w:tc>
          <w:tcPr>
            <w:tcW w:w="7460" w:type="dxa"/>
            <w:vAlign w:val="bottom"/>
          </w:tcPr>
          <w:p>
            <w:pPr>
              <w:ind w:left="180"/>
              <w:spacing w:after="0"/>
              <w:rPr>
                <w:sz w:val="20"/>
                <w:szCs w:val="20"/>
                <w:color w:val="auto"/>
              </w:rPr>
            </w:pPr>
            <w:r>
              <w:rPr>
                <w:rFonts w:ascii="Arial" w:cs="Arial" w:eastAsia="Arial" w:hAnsi="Arial"/>
                <w:sz w:val="15"/>
                <w:szCs w:val="15"/>
                <w:color w:val="auto"/>
              </w:rPr>
              <w:t>Section 9.17 Judgment Currency Conversion</w:t>
            </w:r>
          </w:p>
        </w:tc>
        <w:tc>
          <w:tcPr>
            <w:tcW w:w="2400" w:type="dxa"/>
            <w:vAlign w:val="bottom"/>
          </w:tcPr>
          <w:p>
            <w:pPr>
              <w:jc w:val="right"/>
              <w:spacing w:after="0"/>
              <w:rPr>
                <w:sz w:val="20"/>
                <w:szCs w:val="20"/>
                <w:color w:val="auto"/>
              </w:rPr>
            </w:pPr>
            <w:r>
              <w:rPr>
                <w:rFonts w:ascii="Arial" w:cs="Arial" w:eastAsia="Arial" w:hAnsi="Arial"/>
                <w:sz w:val="15"/>
                <w:szCs w:val="15"/>
                <w:color w:val="auto"/>
              </w:rPr>
              <w:t>93</w:t>
            </w:r>
          </w:p>
        </w:tc>
      </w:tr>
      <w:tr>
        <w:trPr>
          <w:trHeight w:val="220"/>
        </w:trPr>
        <w:tc>
          <w:tcPr>
            <w:tcW w:w="7460" w:type="dxa"/>
            <w:vAlign w:val="bottom"/>
          </w:tcPr>
          <w:p>
            <w:pPr>
              <w:ind w:left="180"/>
              <w:spacing w:after="0"/>
              <w:rPr>
                <w:sz w:val="20"/>
                <w:szCs w:val="20"/>
                <w:color w:val="auto"/>
              </w:rPr>
            </w:pPr>
            <w:r>
              <w:rPr>
                <w:rFonts w:ascii="Arial" w:cs="Arial" w:eastAsia="Arial" w:hAnsi="Arial"/>
                <w:sz w:val="15"/>
                <w:szCs w:val="15"/>
                <w:color w:val="auto"/>
              </w:rPr>
              <w:t>Section 9.18 MIRE Events</w:t>
            </w:r>
          </w:p>
        </w:tc>
        <w:tc>
          <w:tcPr>
            <w:tcW w:w="2400" w:type="dxa"/>
            <w:vAlign w:val="bottom"/>
          </w:tcPr>
          <w:p>
            <w:pPr>
              <w:jc w:val="right"/>
              <w:spacing w:after="0"/>
              <w:rPr>
                <w:sz w:val="20"/>
                <w:szCs w:val="20"/>
                <w:color w:val="auto"/>
              </w:rPr>
            </w:pPr>
            <w:r>
              <w:rPr>
                <w:rFonts w:ascii="Arial" w:cs="Arial" w:eastAsia="Arial" w:hAnsi="Arial"/>
                <w:sz w:val="15"/>
                <w:szCs w:val="15"/>
                <w:color w:val="auto"/>
              </w:rPr>
              <w:t>94</w:t>
            </w:r>
          </w:p>
        </w:tc>
      </w:tr>
      <w:tr>
        <w:trPr>
          <w:trHeight w:val="220"/>
        </w:trPr>
        <w:tc>
          <w:tcPr>
            <w:tcW w:w="7460" w:type="dxa"/>
            <w:vAlign w:val="bottom"/>
          </w:tcPr>
          <w:p>
            <w:pPr>
              <w:ind w:left="180"/>
              <w:spacing w:after="0"/>
              <w:rPr>
                <w:sz w:val="20"/>
                <w:szCs w:val="20"/>
                <w:color w:val="auto"/>
              </w:rPr>
            </w:pPr>
            <w:r>
              <w:rPr>
                <w:rFonts w:ascii="Arial" w:cs="Arial" w:eastAsia="Arial" w:hAnsi="Arial"/>
                <w:sz w:val="15"/>
                <w:szCs w:val="15"/>
                <w:color w:val="auto"/>
              </w:rPr>
              <w:t>Section 9.19 Acknowledgement and Consent to Bail-In of EEA Financial Institutions</w:t>
            </w:r>
          </w:p>
        </w:tc>
        <w:tc>
          <w:tcPr>
            <w:tcW w:w="2400" w:type="dxa"/>
            <w:vAlign w:val="bottom"/>
          </w:tcPr>
          <w:p>
            <w:pPr>
              <w:jc w:val="right"/>
              <w:spacing w:after="0"/>
              <w:rPr>
                <w:sz w:val="20"/>
                <w:szCs w:val="20"/>
                <w:color w:val="auto"/>
              </w:rPr>
            </w:pPr>
            <w:r>
              <w:rPr>
                <w:rFonts w:ascii="Arial" w:cs="Arial" w:eastAsia="Arial" w:hAnsi="Arial"/>
                <w:sz w:val="15"/>
                <w:szCs w:val="15"/>
                <w:color w:val="auto"/>
              </w:rPr>
              <w:t>94</w:t>
            </w:r>
          </w:p>
        </w:tc>
      </w:tr>
      <w:tr>
        <w:trPr>
          <w:trHeight w:val="220"/>
        </w:trPr>
        <w:tc>
          <w:tcPr>
            <w:tcW w:w="7460" w:type="dxa"/>
            <w:vAlign w:val="bottom"/>
          </w:tcPr>
          <w:p>
            <w:pPr>
              <w:ind w:left="180"/>
              <w:spacing w:after="0"/>
              <w:rPr>
                <w:sz w:val="20"/>
                <w:szCs w:val="20"/>
                <w:color w:val="auto"/>
              </w:rPr>
            </w:pPr>
            <w:r>
              <w:rPr>
                <w:rFonts w:ascii="Arial" w:cs="Arial" w:eastAsia="Arial" w:hAnsi="Arial"/>
                <w:sz w:val="15"/>
                <w:szCs w:val="15"/>
                <w:color w:val="auto"/>
              </w:rPr>
              <w:t>Section 9.20 Limitation of Liability of Foreign Borrowers</w:t>
            </w:r>
          </w:p>
        </w:tc>
        <w:tc>
          <w:tcPr>
            <w:tcW w:w="2400" w:type="dxa"/>
            <w:vAlign w:val="bottom"/>
          </w:tcPr>
          <w:p>
            <w:pPr>
              <w:jc w:val="right"/>
              <w:spacing w:after="0"/>
              <w:rPr>
                <w:sz w:val="20"/>
                <w:szCs w:val="20"/>
                <w:color w:val="auto"/>
              </w:rPr>
            </w:pPr>
            <w:r>
              <w:rPr>
                <w:rFonts w:ascii="Arial" w:cs="Arial" w:eastAsia="Arial" w:hAnsi="Arial"/>
                <w:sz w:val="15"/>
                <w:szCs w:val="15"/>
                <w:color w:val="auto"/>
              </w:rPr>
              <w:t>95</w:t>
            </w:r>
          </w:p>
        </w:tc>
      </w:tr>
      <w:tr>
        <w:trPr>
          <w:trHeight w:val="220"/>
        </w:trPr>
        <w:tc>
          <w:tcPr>
            <w:tcW w:w="7460" w:type="dxa"/>
            <w:vAlign w:val="bottom"/>
          </w:tcPr>
          <w:p>
            <w:pPr>
              <w:ind w:left="180"/>
              <w:spacing w:after="0"/>
              <w:rPr>
                <w:sz w:val="20"/>
                <w:szCs w:val="20"/>
                <w:color w:val="auto"/>
              </w:rPr>
            </w:pPr>
            <w:r>
              <w:rPr>
                <w:rFonts w:ascii="Arial" w:cs="Arial" w:eastAsia="Arial" w:hAnsi="Arial"/>
                <w:sz w:val="15"/>
                <w:szCs w:val="15"/>
                <w:color w:val="auto"/>
              </w:rPr>
              <w:t>Section 9.21 Amendment and Restatement</w:t>
            </w:r>
          </w:p>
        </w:tc>
        <w:tc>
          <w:tcPr>
            <w:tcW w:w="2400" w:type="dxa"/>
            <w:vAlign w:val="bottom"/>
          </w:tcPr>
          <w:p>
            <w:pPr>
              <w:jc w:val="right"/>
              <w:spacing w:after="0"/>
              <w:rPr>
                <w:sz w:val="20"/>
                <w:szCs w:val="20"/>
                <w:color w:val="auto"/>
              </w:rPr>
            </w:pPr>
            <w:r>
              <w:rPr>
                <w:rFonts w:ascii="Arial" w:cs="Arial" w:eastAsia="Arial" w:hAnsi="Arial"/>
                <w:sz w:val="15"/>
                <w:szCs w:val="15"/>
                <w:color w:val="auto"/>
              </w:rPr>
              <w:t>95</w:t>
            </w:r>
          </w:p>
        </w:tc>
      </w:tr>
      <w:tr>
        <w:trPr>
          <w:trHeight w:val="220"/>
        </w:trPr>
        <w:tc>
          <w:tcPr>
            <w:tcW w:w="7460" w:type="dxa"/>
            <w:vAlign w:val="bottom"/>
          </w:tcPr>
          <w:p>
            <w:pPr>
              <w:ind w:left="180"/>
              <w:spacing w:after="0"/>
              <w:rPr>
                <w:sz w:val="20"/>
                <w:szCs w:val="20"/>
                <w:color w:val="auto"/>
              </w:rPr>
            </w:pPr>
            <w:r>
              <w:rPr>
                <w:rFonts w:ascii="Arial" w:cs="Arial" w:eastAsia="Arial" w:hAnsi="Arial"/>
                <w:sz w:val="15"/>
                <w:szCs w:val="15"/>
                <w:color w:val="auto"/>
              </w:rPr>
              <w:t>Section 9.22 Release of Subsidiaries Constituting Immaterial Subsidiaries</w:t>
            </w:r>
          </w:p>
        </w:tc>
        <w:tc>
          <w:tcPr>
            <w:tcW w:w="2400" w:type="dxa"/>
            <w:vAlign w:val="bottom"/>
          </w:tcPr>
          <w:p>
            <w:pPr>
              <w:jc w:val="right"/>
              <w:spacing w:after="0"/>
              <w:rPr>
                <w:sz w:val="20"/>
                <w:szCs w:val="20"/>
                <w:color w:val="auto"/>
              </w:rPr>
            </w:pPr>
            <w:r>
              <w:rPr>
                <w:rFonts w:ascii="Arial" w:cs="Arial" w:eastAsia="Arial" w:hAnsi="Arial"/>
                <w:sz w:val="15"/>
                <w:szCs w:val="15"/>
                <w:color w:val="auto"/>
              </w:rPr>
              <w:t>95</w:t>
            </w:r>
          </w:p>
        </w:tc>
      </w:tr>
      <w:tr>
        <w:trPr>
          <w:trHeight w:val="220"/>
        </w:trPr>
        <w:tc>
          <w:tcPr>
            <w:tcW w:w="7460" w:type="dxa"/>
            <w:vAlign w:val="bottom"/>
          </w:tcPr>
          <w:p>
            <w:pPr>
              <w:ind w:left="180"/>
              <w:spacing w:after="0"/>
              <w:rPr>
                <w:sz w:val="20"/>
                <w:szCs w:val="20"/>
                <w:color w:val="auto"/>
              </w:rPr>
            </w:pPr>
            <w:r>
              <w:rPr>
                <w:rFonts w:ascii="Arial" w:cs="Arial" w:eastAsia="Arial" w:hAnsi="Arial"/>
                <w:sz w:val="15"/>
                <w:szCs w:val="15"/>
                <w:color w:val="auto"/>
              </w:rPr>
              <w:t>Section 9.23 Keepwell</w:t>
            </w:r>
          </w:p>
        </w:tc>
        <w:tc>
          <w:tcPr>
            <w:tcW w:w="2400" w:type="dxa"/>
            <w:vAlign w:val="bottom"/>
          </w:tcPr>
          <w:p>
            <w:pPr>
              <w:jc w:val="right"/>
              <w:spacing w:after="0"/>
              <w:rPr>
                <w:sz w:val="20"/>
                <w:szCs w:val="20"/>
                <w:color w:val="auto"/>
              </w:rPr>
            </w:pPr>
            <w:r>
              <w:rPr>
                <w:rFonts w:ascii="Arial" w:cs="Arial" w:eastAsia="Arial" w:hAnsi="Arial"/>
                <w:sz w:val="15"/>
                <w:szCs w:val="15"/>
                <w:color w:val="auto"/>
              </w:rPr>
              <w:t>96</w:t>
            </w:r>
          </w:p>
        </w:tc>
      </w:tr>
      <w:tr>
        <w:trPr>
          <w:trHeight w:val="639"/>
        </w:trPr>
        <w:tc>
          <w:tcPr>
            <w:tcW w:w="7460" w:type="dxa"/>
            <w:vAlign w:val="bottom"/>
          </w:tcPr>
          <w:p>
            <w:pPr>
              <w:spacing w:after="0"/>
              <w:rPr>
                <w:sz w:val="20"/>
                <w:szCs w:val="20"/>
                <w:color w:val="auto"/>
              </w:rPr>
            </w:pPr>
            <w:r>
              <w:rPr>
                <w:rFonts w:ascii="Arial" w:cs="Arial" w:eastAsia="Arial" w:hAnsi="Arial"/>
                <w:sz w:val="15"/>
                <w:szCs w:val="15"/>
                <w:color w:val="auto"/>
              </w:rPr>
              <w:t>Article X BORROWER GUARANTEES</w:t>
            </w:r>
          </w:p>
        </w:tc>
        <w:tc>
          <w:tcPr>
            <w:tcW w:w="2400" w:type="dxa"/>
            <w:vAlign w:val="bottom"/>
          </w:tcPr>
          <w:p>
            <w:pPr>
              <w:jc w:val="right"/>
              <w:spacing w:after="0"/>
              <w:rPr>
                <w:sz w:val="20"/>
                <w:szCs w:val="20"/>
                <w:color w:val="auto"/>
              </w:rPr>
            </w:pPr>
            <w:r>
              <w:rPr>
                <w:rFonts w:ascii="Arial" w:cs="Arial" w:eastAsia="Arial" w:hAnsi="Arial"/>
                <w:sz w:val="15"/>
                <w:szCs w:val="15"/>
                <w:color w:val="auto"/>
              </w:rPr>
              <w:t>96</w:t>
            </w:r>
          </w:p>
        </w:tc>
      </w:tr>
      <w:tr>
        <w:trPr>
          <w:trHeight w:val="220"/>
        </w:trPr>
        <w:tc>
          <w:tcPr>
            <w:tcW w:w="7460" w:type="dxa"/>
            <w:vAlign w:val="bottom"/>
          </w:tcPr>
          <w:p>
            <w:pPr>
              <w:ind w:left="180"/>
              <w:spacing w:after="0"/>
              <w:rPr>
                <w:sz w:val="20"/>
                <w:szCs w:val="20"/>
                <w:color w:val="auto"/>
              </w:rPr>
            </w:pPr>
            <w:r>
              <w:rPr>
                <w:rFonts w:ascii="Arial" w:cs="Arial" w:eastAsia="Arial" w:hAnsi="Arial"/>
                <w:sz w:val="15"/>
                <w:szCs w:val="15"/>
                <w:color w:val="auto"/>
              </w:rPr>
              <w:t>Section 10.01 Guarantee of the Company</w:t>
            </w:r>
          </w:p>
        </w:tc>
        <w:tc>
          <w:tcPr>
            <w:tcW w:w="2400" w:type="dxa"/>
            <w:vAlign w:val="bottom"/>
          </w:tcPr>
          <w:p>
            <w:pPr>
              <w:jc w:val="right"/>
              <w:spacing w:after="0"/>
              <w:rPr>
                <w:sz w:val="20"/>
                <w:szCs w:val="20"/>
                <w:color w:val="auto"/>
              </w:rPr>
            </w:pPr>
            <w:r>
              <w:rPr>
                <w:rFonts w:ascii="Arial" w:cs="Arial" w:eastAsia="Arial" w:hAnsi="Arial"/>
                <w:sz w:val="15"/>
                <w:szCs w:val="15"/>
                <w:color w:val="auto"/>
              </w:rPr>
              <w:t>96</w:t>
            </w:r>
          </w:p>
        </w:tc>
      </w:tr>
      <w:tr>
        <w:trPr>
          <w:trHeight w:val="220"/>
        </w:trPr>
        <w:tc>
          <w:tcPr>
            <w:tcW w:w="7460" w:type="dxa"/>
            <w:vAlign w:val="bottom"/>
          </w:tcPr>
          <w:p>
            <w:pPr>
              <w:ind w:left="180"/>
              <w:spacing w:after="0"/>
              <w:rPr>
                <w:sz w:val="20"/>
                <w:szCs w:val="20"/>
                <w:color w:val="auto"/>
              </w:rPr>
            </w:pPr>
            <w:r>
              <w:rPr>
                <w:rFonts w:ascii="Arial" w:cs="Arial" w:eastAsia="Arial" w:hAnsi="Arial"/>
                <w:sz w:val="15"/>
                <w:szCs w:val="15"/>
                <w:color w:val="auto"/>
              </w:rPr>
              <w:t>Section 10.02 Guarantee of the Foreign Borrowers</w:t>
            </w:r>
          </w:p>
        </w:tc>
        <w:tc>
          <w:tcPr>
            <w:tcW w:w="2400" w:type="dxa"/>
            <w:vAlign w:val="bottom"/>
          </w:tcPr>
          <w:p>
            <w:pPr>
              <w:jc w:val="right"/>
              <w:spacing w:after="0"/>
              <w:rPr>
                <w:sz w:val="20"/>
                <w:szCs w:val="20"/>
                <w:color w:val="auto"/>
              </w:rPr>
            </w:pPr>
            <w:r>
              <w:rPr>
                <w:rFonts w:ascii="Arial" w:cs="Arial" w:eastAsia="Arial" w:hAnsi="Arial"/>
                <w:sz w:val="15"/>
                <w:szCs w:val="15"/>
                <w:color w:val="auto"/>
              </w:rPr>
              <w:t>97</w:t>
            </w:r>
          </w:p>
        </w:tc>
      </w:tr>
      <w:tr>
        <w:trPr>
          <w:trHeight w:val="220"/>
        </w:trPr>
        <w:tc>
          <w:tcPr>
            <w:tcW w:w="7460" w:type="dxa"/>
            <w:vAlign w:val="bottom"/>
          </w:tcPr>
          <w:p>
            <w:pPr>
              <w:ind w:left="180"/>
              <w:spacing w:after="0"/>
              <w:rPr>
                <w:sz w:val="20"/>
                <w:szCs w:val="20"/>
                <w:color w:val="auto"/>
              </w:rPr>
            </w:pPr>
            <w:r>
              <w:rPr>
                <w:rFonts w:ascii="Arial" w:cs="Arial" w:eastAsia="Arial" w:hAnsi="Arial"/>
                <w:sz w:val="15"/>
                <w:szCs w:val="15"/>
                <w:color w:val="auto"/>
              </w:rPr>
              <w:t>Section 10.03 Limitation on Foreign Guarantees</w:t>
            </w:r>
          </w:p>
        </w:tc>
        <w:tc>
          <w:tcPr>
            <w:tcW w:w="2400" w:type="dxa"/>
            <w:vAlign w:val="bottom"/>
          </w:tcPr>
          <w:p>
            <w:pPr>
              <w:jc w:val="right"/>
              <w:spacing w:after="0"/>
              <w:rPr>
                <w:sz w:val="20"/>
                <w:szCs w:val="20"/>
                <w:color w:val="auto"/>
              </w:rPr>
            </w:pPr>
            <w:r>
              <w:rPr>
                <w:rFonts w:ascii="Arial" w:cs="Arial" w:eastAsia="Arial" w:hAnsi="Arial"/>
                <w:sz w:val="15"/>
                <w:szCs w:val="15"/>
                <w:color w:val="auto"/>
              </w:rPr>
              <w:t>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0039"/>
          </w:cols>
          <w:pgMar w:left="420" w:top="636" w:right="1440" w:bottom="1440" w:gutter="0" w:footer="0" w:header="0"/>
        </w:sectPr>
      </w:pPr>
    </w:p>
    <w:bookmarkStart w:id="65" w:name="page66"/>
    <w:bookmarkEnd w:id="65"/>
    <w:p>
      <w:pPr>
        <w:spacing w:after="0"/>
        <w:rPr>
          <w:sz w:val="20"/>
          <w:szCs w:val="20"/>
          <w:color w:val="auto"/>
        </w:rPr>
      </w:pPr>
      <w:r>
        <w:rPr>
          <w:rFonts w:ascii="Arial" w:cs="Arial" w:eastAsia="Arial" w:hAnsi="Arial"/>
          <w:sz w:val="15"/>
          <w:szCs w:val="15"/>
          <w:u w:val="single" w:color="auto"/>
          <w:color w:val="auto"/>
        </w:rPr>
        <w:t>SCHEDULES</w:t>
      </w:r>
      <w:r>
        <w:rPr>
          <w:rFonts w:ascii="Arial" w:cs="Arial" w:eastAsia="Arial" w:hAnsi="Arial"/>
          <w:sz w:val="15"/>
          <w:szCs w:val="15"/>
          <w:color w:val="auto"/>
        </w:rPr>
        <w:t>:</w:t>
      </w:r>
    </w:p>
    <w:p>
      <w:pPr>
        <w:sectPr>
          <w:pgSz w:w="11900" w:h="16838" w:orient="portrait"/>
          <w:cols w:equalWidth="0" w:num="1">
            <w:col w:w="10239"/>
          </w:cols>
          <w:pgMar w:left="220" w:top="5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Schedule 2.01</w:t>
      </w:r>
    </w:p>
    <w:p>
      <w:pPr>
        <w:spacing w:after="0" w:line="7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Schedule 3.13</w:t>
      </w:r>
    </w:p>
    <w:p>
      <w:pPr>
        <w:spacing w:after="0" w:line="7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Schedule 3.17</w:t>
      </w:r>
    </w:p>
    <w:p>
      <w:pPr>
        <w:spacing w:after="0" w:line="7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Schedule 5.13</w:t>
      </w:r>
    </w:p>
    <w:p>
      <w:pPr>
        <w:spacing w:after="0" w:line="7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Schedule 6.01</w:t>
      </w:r>
    </w:p>
    <w:p>
      <w:pPr>
        <w:spacing w:after="0" w:line="7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Schedule 6.02</w:t>
      </w:r>
    </w:p>
    <w:p>
      <w:pPr>
        <w:spacing w:after="0" w:line="7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Schedule 6.08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Lenders and Revolving Commitments</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Subsidiaries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Payment and Performance Bonds</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Post-Closing Obligations</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Existing Indebtedness</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Existing Liens</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Existing Restrictions</w:t>
      </w:r>
    </w:p>
    <w:p>
      <w:pPr>
        <w:spacing w:after="0" w:line="200" w:lineRule="exact"/>
        <w:rPr>
          <w:sz w:val="20"/>
          <w:szCs w:val="20"/>
          <w:color w:val="auto"/>
        </w:rPr>
      </w:pPr>
    </w:p>
    <w:p>
      <w:pPr>
        <w:sectPr>
          <w:pgSz w:w="11900" w:h="16838" w:orient="portrait"/>
          <w:cols w:equalWidth="0" w:num="2">
            <w:col w:w="2020" w:space="720"/>
            <w:col w:w="7499"/>
          </w:cols>
          <w:pgMar w:left="220" w:top="50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EXHIBITS</w:t>
      </w:r>
      <w:r>
        <w:rPr>
          <w:rFonts w:ascii="Arial" w:cs="Arial" w:eastAsia="Arial" w:hAnsi="Arial"/>
          <w:sz w:val="17"/>
          <w:szCs w:val="17"/>
          <w:color w:val="auto"/>
        </w:rPr>
        <w:t>:</w:t>
      </w:r>
    </w:p>
    <w:p>
      <w:pPr>
        <w:sectPr>
          <w:pgSz w:w="11900" w:h="16838" w:orient="portrait"/>
          <w:cols w:equalWidth="0" w:num="1">
            <w:col w:w="10239"/>
          </w:cols>
          <w:pgMar w:left="220" w:top="50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Exhibit A</w:t>
      </w:r>
    </w:p>
    <w:p>
      <w:pPr>
        <w:spacing w:after="0" w:line="5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Exhibit B</w:t>
      </w:r>
    </w:p>
    <w:p>
      <w:pPr>
        <w:spacing w:after="0" w:line="5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Exhibit C</w:t>
      </w:r>
    </w:p>
    <w:p>
      <w:pPr>
        <w:spacing w:after="0" w:line="5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Exhibit D</w:t>
      </w:r>
    </w:p>
    <w:p>
      <w:pPr>
        <w:spacing w:after="0" w:line="5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Exhibit E</w:t>
      </w:r>
    </w:p>
    <w:p>
      <w:pPr>
        <w:spacing w:after="0" w:line="5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Exhibit F</w:t>
      </w:r>
    </w:p>
    <w:p>
      <w:pPr>
        <w:spacing w:after="0" w:line="5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Exhibit G</w:t>
      </w:r>
    </w:p>
    <w:p>
      <w:pPr>
        <w:spacing w:after="0" w:line="5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Exhibit 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color w:val="auto"/>
        </w:rPr>
        <w:t>Form of Assignment and Assumption Agreement</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Existing Letters of Credit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Existing Security Agreements</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Existing Mortgages</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Matrix Service Company Investment Policy</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Forms of Subsidiary Guaranties</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Forms of U.S. Tax Compliance Certificates</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Form of Compliance Certificate</w:t>
      </w:r>
    </w:p>
    <w:p>
      <w:pPr>
        <w:spacing w:after="0" w:line="200" w:lineRule="exact"/>
        <w:rPr>
          <w:sz w:val="20"/>
          <w:szCs w:val="20"/>
          <w:color w:val="auto"/>
        </w:rPr>
      </w:pPr>
    </w:p>
    <w:p>
      <w:pPr>
        <w:sectPr>
          <w:pgSz w:w="11900" w:h="16838" w:orient="portrait"/>
          <w:cols w:equalWidth="0" w:num="2">
            <w:col w:w="2020" w:space="720"/>
            <w:col w:w="7499"/>
          </w:cols>
          <w:pgMar w:left="220" w:top="508" w:right="1440" w:bottom="1440" w:gutter="0" w:footer="0" w:header="0"/>
          <w:type w:val="continuous"/>
        </w:sectPr>
      </w:pP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color w:val="FFFFFF"/>
        </w:rPr>
        <w:t>HOU:3754193.10</w:t>
      </w:r>
    </w:p>
    <w:p>
      <w:pPr>
        <w:spacing w:after="0" w:line="198" w:lineRule="exact"/>
        <w:rPr>
          <w:sz w:val="20"/>
          <w:szCs w:val="20"/>
          <w:color w:val="auto"/>
        </w:rPr>
      </w:pPr>
    </w:p>
    <w:p>
      <w:pPr>
        <w:jc w:val="right"/>
        <w:ind w:right="4459"/>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0239"/>
          </w:cols>
          <w:pgMar w:left="220" w:top="508" w:right="1440" w:bottom="1440" w:gutter="0" w:footer="0" w:header="0"/>
          <w:type w:val="continuous"/>
        </w:sectPr>
      </w:pPr>
    </w:p>
    <w:bookmarkStart w:id="66" w:name="page67"/>
    <w:bookmarkEnd w:id="66"/>
    <w:p>
      <w:pPr>
        <w:jc w:val="both"/>
        <w:ind w:firstLine="529"/>
        <w:spacing w:after="0" w:line="252" w:lineRule="auto"/>
        <w:rPr>
          <w:sz w:val="20"/>
          <w:szCs w:val="20"/>
          <w:color w:val="auto"/>
        </w:rPr>
      </w:pPr>
      <w:r>
        <w:rPr>
          <w:rFonts w:ascii="Arial" w:cs="Arial" w:eastAsia="Arial" w:hAnsi="Arial"/>
          <w:sz w:val="18"/>
          <w:szCs w:val="18"/>
          <w:color w:val="auto"/>
        </w:rPr>
        <w:t>This FOURTH AMENDED AND RESTATED CREDIT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February 8, 2017 (the “</w:t>
      </w:r>
      <w:r>
        <w:rPr>
          <w:rFonts w:ascii="Arial" w:cs="Arial" w:eastAsia="Arial" w:hAnsi="Arial"/>
          <w:sz w:val="18"/>
          <w:szCs w:val="18"/>
          <w:u w:val="single" w:color="auto"/>
          <w:color w:val="auto"/>
        </w:rPr>
        <w:t>Effective Date</w:t>
      </w:r>
      <w:r>
        <w:rPr>
          <w:rFonts w:ascii="Arial" w:cs="Arial" w:eastAsia="Arial" w:hAnsi="Arial"/>
          <w:sz w:val="18"/>
          <w:szCs w:val="18"/>
          <w:color w:val="auto"/>
        </w:rPr>
        <w:t>”), among MATRIX SERVICE COMPANY,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the other Borrowers party hereto, the Lenders party hereto, and JPMORGAN CHASE BANK, N.A., as Administrative Agent.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85" w:lineRule="exact"/>
        <w:rPr>
          <w:sz w:val="20"/>
          <w:szCs w:val="20"/>
          <w:color w:val="auto"/>
        </w:rPr>
      </w:pPr>
    </w:p>
    <w:p>
      <w:pPr>
        <w:jc w:val="both"/>
        <w:ind w:firstLine="529"/>
        <w:spacing w:after="0" w:line="361" w:lineRule="auto"/>
        <w:rPr>
          <w:sz w:val="20"/>
          <w:szCs w:val="20"/>
          <w:color w:val="auto"/>
        </w:rPr>
      </w:pPr>
      <w:r>
        <w:rPr>
          <w:rFonts w:ascii="Arial" w:cs="Arial" w:eastAsia="Arial" w:hAnsi="Arial"/>
          <w:sz w:val="15"/>
          <w:szCs w:val="15"/>
          <w:color w:val="auto"/>
        </w:rPr>
        <w:t>WHEREAS, the Company, the Canadian Borrowers, the lenders party thereto and JPMorgan Chase Bank, N.A., as administrative agent, are parties to that certain Third Amended and Restated Credit Agreement dated as of November 7, 2011 (as amended prior to the Effective Date, the “</w:t>
      </w:r>
      <w:r>
        <w:rPr>
          <w:rFonts w:ascii="Arial" w:cs="Arial" w:eastAsia="Arial" w:hAnsi="Arial"/>
          <w:sz w:val="15"/>
          <w:szCs w:val="15"/>
          <w:u w:val="single" w:color="auto"/>
          <w:color w:val="auto"/>
        </w:rPr>
        <w:t>Existing Credit Agreement</w:t>
      </w:r>
      <w:r>
        <w:rPr>
          <w:rFonts w:ascii="Arial" w:cs="Arial" w:eastAsia="Arial" w:hAnsi="Arial"/>
          <w:sz w:val="15"/>
          <w:szCs w:val="15"/>
          <w:color w:val="auto"/>
        </w:rPr>
        <w:t>”).</w:t>
      </w:r>
    </w:p>
    <w:p>
      <w:pPr>
        <w:spacing w:after="0" w:line="76"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WHEREAS, it is the intent of the parties hereto that this Agreement not constitute a novation of the obligations and liabilities of the parties under the Existing Credit Agreement and that this Agreement amend and restate the Existing Credit Agreement in its entirety.</w:t>
      </w:r>
    </w:p>
    <w:p>
      <w:pPr>
        <w:spacing w:after="0" w:line="145" w:lineRule="exact"/>
        <w:rPr>
          <w:sz w:val="20"/>
          <w:szCs w:val="20"/>
          <w:color w:val="auto"/>
        </w:rPr>
      </w:pPr>
    </w:p>
    <w:p>
      <w:pPr>
        <w:jc w:val="both"/>
        <w:ind w:right="20" w:firstLine="529"/>
        <w:spacing w:after="0" w:line="261" w:lineRule="auto"/>
        <w:rPr>
          <w:sz w:val="20"/>
          <w:szCs w:val="20"/>
          <w:color w:val="auto"/>
        </w:rPr>
      </w:pPr>
      <w:r>
        <w:rPr>
          <w:rFonts w:ascii="Arial" w:cs="Arial" w:eastAsia="Arial" w:hAnsi="Arial"/>
          <w:sz w:val="18"/>
          <w:szCs w:val="18"/>
          <w:color w:val="auto"/>
        </w:rPr>
        <w:t>NOW THEREFORE, in consideration of the mutual agreements, provisions and covenants contained herein, the parties hereto agree that the Existing Credit Agreement is amended and restated in its entirety as follows:</w:t>
      </w:r>
    </w:p>
    <w:p>
      <w:pPr>
        <w:spacing w:after="0" w:line="13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ARTICLE I</w:t>
      </w:r>
    </w:p>
    <w:p>
      <w:pPr>
        <w:spacing w:after="0" w:line="22"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Definitions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w:t>
      </w:r>
    </w:p>
    <w:p>
      <w:pPr>
        <w:spacing w:after="0" w:line="212"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Alternate Base Rate.</w:t>
      </w:r>
    </w:p>
    <w:p>
      <w:pPr>
        <w:spacing w:after="0" w:line="145" w:lineRule="exact"/>
        <w:rPr>
          <w:sz w:val="20"/>
          <w:szCs w:val="20"/>
          <w:color w:val="auto"/>
        </w:rPr>
      </w:pPr>
    </w:p>
    <w:p>
      <w:pPr>
        <w:jc w:val="both"/>
        <w:ind w:firstLine="529"/>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(a) the purchase or other acquisition by the Company or a Subsidiary of the Equity Interests in any other Person pursuant to which such Person shall become a Subsidiary or shall be merged into, amalgamated with or consolidated with the Company or any Subsidiary or (b) the purchase or other acquisition (in one transaction or a series of transactions) of all or substantially all of the assets of any other Person (other than a Subsidiary) or division thereof constituting a business unit or ongoing business.</w:t>
      </w:r>
    </w:p>
    <w:p>
      <w:pPr>
        <w:spacing w:after="0" w:line="155" w:lineRule="exact"/>
        <w:rPr>
          <w:sz w:val="20"/>
          <w:szCs w:val="20"/>
          <w:color w:val="auto"/>
        </w:rPr>
      </w:pPr>
    </w:p>
    <w:p>
      <w:pPr>
        <w:jc w:val="both"/>
        <w:ind w:firstLine="529"/>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LIBO Rate</w:t>
      </w:r>
      <w:r>
        <w:rPr>
          <w:rFonts w:ascii="Arial" w:cs="Arial" w:eastAsia="Arial" w:hAnsi="Arial"/>
          <w:sz w:val="18"/>
          <w:szCs w:val="18"/>
          <w:color w:val="auto"/>
        </w:rPr>
        <w:t>” means (a) with respect to any Eurocurrency Borrowing denominated in U.S. Dollars for any Interest Period, an interest rate per annum (rounded upwards, if necessary, to the next 1/16 of 1%) equal to (i) the LIBO Rate for such Interest Period multiplied by (ii) the Statutory Reserve Rate and (b) with respect to any Eurocurrency Borrowing denominated in a Foreign Currency for any Interest Period, an interest rate per annum (rounded upwards, if necessary, to the next 1/16 of 1%) equal to the LIBO Rate for such Interest Period.</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JPMorgan Chase, in its capacity as administrative agent for the Lenders hereunder.</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179"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4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introductory paragraph hereto.</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60"/>
          </w:cols>
          <w:pgMar w:left="220" w:top="508" w:right="219" w:bottom="1440" w:gutter="0" w:footer="0" w:header="0"/>
        </w:sectPr>
      </w:pPr>
    </w:p>
    <w:bookmarkStart w:id="67" w:name="page68"/>
    <w:bookmarkEnd w:id="67"/>
    <w:p>
      <w:pPr>
        <w:jc w:val="both"/>
        <w:ind w:firstLine="52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 Accounting Principles</w:t>
      </w:r>
      <w:r>
        <w:rPr>
          <w:rFonts w:ascii="Arial" w:cs="Arial" w:eastAsia="Arial" w:hAnsi="Arial"/>
          <w:sz w:val="18"/>
          <w:szCs w:val="18"/>
          <w:color w:val="auto"/>
        </w:rPr>
        <w:t xml:space="preserve">” means generally accepted accounting principles as in effect from time to time, applied in a manner consistent with those used in preparing the financial statements referred to in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of this Agreement.</w:t>
      </w:r>
    </w:p>
    <w:p>
      <w:pPr>
        <w:spacing w:after="0" w:line="145" w:lineRule="exact"/>
        <w:rPr>
          <w:sz w:val="20"/>
          <w:szCs w:val="20"/>
          <w:color w:val="auto"/>
        </w:rPr>
      </w:pPr>
    </w:p>
    <w:p>
      <w:pPr>
        <w:jc w:val="both"/>
        <w:ind w:firstLine="529"/>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Alternate Base Rate</w:t>
      </w:r>
      <w:r>
        <w:rPr>
          <w:rFonts w:ascii="Arial" w:cs="Arial" w:eastAsia="Arial" w:hAnsi="Arial"/>
          <w:sz w:val="17"/>
          <w:szCs w:val="17"/>
          <w:color w:val="auto"/>
        </w:rPr>
        <w:t xml:space="preserve">” means, for any day, a rate per annum equal to the greatest of (a) the Prime Rate in effect on such day, (b) the FRBNY Rate in effect on such day plus 1/2 of 1% and (c) the Adjusted LIBO Rate for a one month Interest Period on such day (or if such day is not a Business Day, the immediately preceding Business Day) plus 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purposes of this definition, the Adjusted LIBO Rate for any day shall be based on the LIBO Screen Rate (or if the LIBO Screen Rate is not available for such one month Interest Period, the Interpolated Rate), at approximately 11:00 a.m. London time on such day. Any change in the Alternate Base Rate due to a change in the Prime Rate, the FRBNY Rate or the Adjusted LIBO Rate shall be effective from and including the effective date of such change in the Prime Rate, the FRBNY Rate or the Adjusted LIBO Rate, respectively.</w:t>
      </w:r>
    </w:p>
    <w:p>
      <w:pPr>
        <w:spacing w:after="0" w:line="148"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of any jurisdiction applicable to the Company or its Subsidiaries from time to time concerning or relating to bribery or corruption.</w:t>
      </w:r>
    </w:p>
    <w:p>
      <w:pPr>
        <w:spacing w:after="0" w:line="145" w:lineRule="exact"/>
        <w:rPr>
          <w:sz w:val="20"/>
          <w:szCs w:val="20"/>
          <w:color w:val="auto"/>
        </w:rPr>
      </w:pPr>
    </w:p>
    <w:p>
      <w:pPr>
        <w:jc w:val="both"/>
        <w:ind w:firstLine="529"/>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xml:space="preserve">” means, for any day, with respect to any Loan, or with respect to the Unused Fees, the applicable per annum rate in the table set forth below based upon the Leverage Ratio for the most recently ended trailing four-quarter period with respect to which the Company is required to have delivered the financial statements pursuant to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(as such Leverage Ratio is reflected in the Compliance Certificate delivered under </w:t>
      </w:r>
      <w:r>
        <w:rPr>
          <w:rFonts w:ascii="Arial" w:cs="Arial" w:eastAsia="Arial" w:hAnsi="Arial"/>
          <w:sz w:val="18"/>
          <w:szCs w:val="18"/>
          <w:u w:val="single" w:color="auto"/>
          <w:color w:val="auto"/>
        </w:rPr>
        <w:t>Section 5.01(c)</w:t>
      </w:r>
      <w:r>
        <w:rPr>
          <w:rFonts w:ascii="Arial" w:cs="Arial" w:eastAsia="Arial" w:hAnsi="Arial"/>
          <w:sz w:val="18"/>
          <w:szCs w:val="18"/>
          <w:color w:val="auto"/>
        </w:rPr>
        <w:t xml:space="preserve"> by the Company in connection with the financial statements for such fiscal quarter):</w:t>
      </w:r>
    </w:p>
    <w:p>
      <w:pPr>
        <w:spacing w:after="0" w:line="251" w:lineRule="exact"/>
        <w:rPr>
          <w:sz w:val="20"/>
          <w:szCs w:val="20"/>
          <w:color w:val="auto"/>
        </w:rPr>
      </w:pPr>
    </w:p>
    <w:tbl>
      <w:tblPr>
        <w:tblLayout w:type="fixed"/>
        <w:tblInd w:w="510" w:type="dxa"/>
        <w:tblCellMar>
          <w:top w:w="0" w:type="dxa"/>
          <w:left w:w="0" w:type="dxa"/>
          <w:bottom w:w="0" w:type="dxa"/>
          <w:right w:w="0" w:type="dxa"/>
        </w:tblCellMar>
      </w:tblPr>
      <w:tr>
        <w:trPr>
          <w:trHeight w:val="187"/>
        </w:trPr>
        <w:tc>
          <w:tcPr>
            <w:tcW w:w="180" w:type="dxa"/>
            <w:vAlign w:val="bottom"/>
            <w:tcBorders>
              <w:top w:val="single" w:sz="8" w:color="auto"/>
              <w:left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00" w:type="dxa"/>
            <w:vAlign w:val="bottom"/>
            <w:tcBorders>
              <w:top w:val="single" w:sz="8" w:color="auto"/>
              <w:right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auto"/>
              <w:right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6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6"/>
                <w:szCs w:val="16"/>
                <w:color w:val="auto"/>
                <w:w w:val="97"/>
              </w:rPr>
              <w:t>Applicable Margin for</w:t>
            </w:r>
          </w:p>
        </w:tc>
        <w:tc>
          <w:tcPr>
            <w:tcW w:w="340" w:type="dxa"/>
            <w:vAlign w:val="bottom"/>
            <w:tcBorders>
              <w:top w:val="single" w:sz="8" w:color="auto"/>
              <w:right w:val="single" w:sz="8" w:color="auto"/>
            </w:tcBorders>
            <w:gridSpan w:val="2"/>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40" w:type="dxa"/>
            <w:vAlign w:val="bottom"/>
            <w:tcBorders>
              <w:top w:val="single" w:sz="8" w:color="auto"/>
              <w:right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right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Borders>
              <w:top w:val="single" w:sz="8" w:color="auto"/>
              <w:right w:val="single" w:sz="8" w:color="auto"/>
            </w:tcBorders>
          </w:tcPr>
          <w:p>
            <w:pPr>
              <w:spacing w:after="0"/>
              <w:rPr>
                <w:sz w:val="16"/>
                <w:szCs w:val="16"/>
                <w:color w:val="auto"/>
              </w:rPr>
            </w:pPr>
          </w:p>
        </w:tc>
      </w:tr>
      <w:tr>
        <w:trPr>
          <w:trHeight w:val="167"/>
        </w:trPr>
        <w:tc>
          <w:tcPr>
            <w:tcW w:w="180" w:type="dxa"/>
            <w:vAlign w:val="bottom"/>
            <w:tcBorders>
              <w:lef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5"/>
          </w:tcPr>
          <w:p>
            <w:pPr>
              <w:jc w:val="center"/>
              <w:spacing w:after="0" w:line="168" w:lineRule="exact"/>
              <w:rPr>
                <w:sz w:val="20"/>
                <w:szCs w:val="20"/>
                <w:color w:val="auto"/>
              </w:rPr>
            </w:pPr>
            <w:r>
              <w:rPr>
                <w:rFonts w:ascii="Arial" w:cs="Arial" w:eastAsia="Arial" w:hAnsi="Arial"/>
                <w:sz w:val="16"/>
                <w:szCs w:val="16"/>
                <w:color w:val="auto"/>
                <w:w w:val="93"/>
              </w:rPr>
              <w:t>Eurocurrency, EURIBOR and</w:t>
            </w:r>
          </w:p>
        </w:tc>
        <w:tc>
          <w:tcPr>
            <w:tcW w:w="100" w:type="dxa"/>
            <w:vAlign w:val="bottom"/>
            <w:tcBorders>
              <w:right w:val="single" w:sz="8" w:color="auto"/>
            </w:tcBorders>
          </w:tcPr>
          <w:p>
            <w:pPr>
              <w:spacing w:after="0"/>
              <w:rPr>
                <w:sz w:val="14"/>
                <w:szCs w:val="14"/>
                <w:color w:val="auto"/>
              </w:rPr>
            </w:pPr>
          </w:p>
        </w:tc>
        <w:tc>
          <w:tcPr>
            <w:tcW w:w="2080" w:type="dxa"/>
            <w:vAlign w:val="bottom"/>
            <w:tcBorders>
              <w:right w:val="single" w:sz="8" w:color="auto"/>
            </w:tcBorders>
            <w:gridSpan w:val="5"/>
          </w:tcPr>
          <w:p>
            <w:pPr>
              <w:jc w:val="center"/>
              <w:ind w:right="20"/>
              <w:spacing w:after="0" w:line="168" w:lineRule="exact"/>
              <w:rPr>
                <w:sz w:val="20"/>
                <w:szCs w:val="20"/>
                <w:color w:val="auto"/>
              </w:rPr>
            </w:pPr>
            <w:r>
              <w:rPr>
                <w:rFonts w:ascii="Arial" w:cs="Arial" w:eastAsia="Arial" w:hAnsi="Arial"/>
                <w:sz w:val="16"/>
                <w:szCs w:val="16"/>
                <w:color w:val="auto"/>
                <w:w w:val="96"/>
              </w:rPr>
              <w:t>Applicable Margin for ABR</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Borders>
              <w:right w:val="single" w:sz="8" w:color="auto"/>
            </w:tcBorders>
            <w:gridSpan w:val="3"/>
          </w:tcPr>
          <w:p>
            <w:pPr>
              <w:jc w:val="center"/>
              <w:ind w:right="340"/>
              <w:spacing w:after="0" w:line="168" w:lineRule="exact"/>
              <w:rPr>
                <w:sz w:val="20"/>
                <w:szCs w:val="20"/>
                <w:color w:val="auto"/>
              </w:rPr>
            </w:pPr>
            <w:r>
              <w:rPr>
                <w:rFonts w:ascii="Arial" w:cs="Arial" w:eastAsia="Arial" w:hAnsi="Arial"/>
                <w:sz w:val="16"/>
                <w:szCs w:val="16"/>
                <w:color w:val="auto"/>
                <w:w w:val="95"/>
              </w:rPr>
              <w:t>Applicable Margin for</w:t>
            </w:r>
          </w:p>
        </w:tc>
        <w:tc>
          <w:tcPr>
            <w:tcW w:w="40" w:type="dxa"/>
            <w:vAlign w:val="bottom"/>
          </w:tcPr>
          <w:p>
            <w:pPr>
              <w:spacing w:after="0"/>
              <w:rPr>
                <w:sz w:val="14"/>
                <w:szCs w:val="14"/>
                <w:color w:val="auto"/>
              </w:rPr>
            </w:pPr>
          </w:p>
        </w:tc>
        <w:tc>
          <w:tcPr>
            <w:tcW w:w="2060" w:type="dxa"/>
            <w:vAlign w:val="bottom"/>
            <w:tcBorders>
              <w:right w:val="single" w:sz="8" w:color="auto"/>
            </w:tcBorders>
            <w:gridSpan w:val="4"/>
          </w:tcPr>
          <w:p>
            <w:pPr>
              <w:jc w:val="center"/>
              <w:ind w:right="80"/>
              <w:spacing w:after="0" w:line="168" w:lineRule="exact"/>
              <w:rPr>
                <w:sz w:val="20"/>
                <w:szCs w:val="20"/>
                <w:color w:val="auto"/>
              </w:rPr>
            </w:pPr>
            <w:r>
              <w:rPr>
                <w:rFonts w:ascii="Arial" w:cs="Arial" w:eastAsia="Arial" w:hAnsi="Arial"/>
                <w:sz w:val="16"/>
                <w:szCs w:val="16"/>
                <w:color w:val="auto"/>
                <w:w w:val="94"/>
              </w:rPr>
              <w:t>Applicable Margin for Unused</w:t>
            </w: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580" w:type="dxa"/>
            <w:vAlign w:val="bottom"/>
            <w:tcBorders>
              <w:right w:val="single" w:sz="8" w:color="auto"/>
            </w:tcBorders>
            <w:gridSpan w:val="2"/>
          </w:tcPr>
          <w:p>
            <w:pPr>
              <w:spacing w:after="0" w:line="20" w:lineRule="exact"/>
              <w:rPr>
                <w:sz w:val="1"/>
                <w:szCs w:val="1"/>
                <w:color w:val="auto"/>
              </w:rPr>
            </w:pPr>
          </w:p>
        </w:tc>
        <w:tc>
          <w:tcPr>
            <w:tcW w:w="1360" w:type="dxa"/>
            <w:vAlign w:val="bottom"/>
            <w:tcBorders>
              <w:right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r>
      <w:tr>
        <w:trPr>
          <w:trHeight w:val="167"/>
        </w:trPr>
        <w:tc>
          <w:tcPr>
            <w:tcW w:w="180" w:type="dxa"/>
            <w:vAlign w:val="bottom"/>
            <w:tcBorders>
              <w:left w:val="single" w:sz="8" w:color="auto"/>
            </w:tcBorders>
          </w:tcPr>
          <w:p>
            <w:pPr>
              <w:spacing w:after="0"/>
              <w:rPr>
                <w:sz w:val="14"/>
                <w:szCs w:val="14"/>
                <w:color w:val="auto"/>
              </w:rPr>
            </w:pPr>
          </w:p>
        </w:tc>
        <w:tc>
          <w:tcPr>
            <w:tcW w:w="580" w:type="dxa"/>
            <w:vAlign w:val="bottom"/>
            <w:tcBorders>
              <w:right w:val="single" w:sz="8" w:color="auto"/>
            </w:tcBorders>
            <w:gridSpan w:val="2"/>
          </w:tcPr>
          <w:p>
            <w:pPr>
              <w:jc w:val="center"/>
              <w:ind w:right="200"/>
              <w:spacing w:after="0" w:line="168" w:lineRule="exact"/>
              <w:rPr>
                <w:sz w:val="20"/>
                <w:szCs w:val="20"/>
                <w:color w:val="auto"/>
              </w:rPr>
            </w:pPr>
            <w:r>
              <w:rPr>
                <w:rFonts w:ascii="Arial" w:cs="Arial" w:eastAsia="Arial" w:hAnsi="Arial"/>
                <w:sz w:val="16"/>
                <w:szCs w:val="16"/>
                <w:color w:val="auto"/>
                <w:w w:val="99"/>
              </w:rPr>
              <w:t>Level</w:t>
            </w:r>
          </w:p>
        </w:tc>
        <w:tc>
          <w:tcPr>
            <w:tcW w:w="1360" w:type="dxa"/>
            <w:vAlign w:val="bottom"/>
            <w:tcBorders>
              <w:right w:val="single" w:sz="8" w:color="auto"/>
            </w:tcBorders>
            <w:gridSpan w:val="3"/>
          </w:tcPr>
          <w:p>
            <w:pPr>
              <w:jc w:val="center"/>
              <w:ind w:right="40"/>
              <w:spacing w:after="0" w:line="168" w:lineRule="exact"/>
              <w:rPr>
                <w:sz w:val="20"/>
                <w:szCs w:val="20"/>
                <w:color w:val="auto"/>
              </w:rPr>
            </w:pPr>
            <w:r>
              <w:rPr>
                <w:rFonts w:ascii="Arial" w:cs="Arial" w:eastAsia="Arial" w:hAnsi="Arial"/>
                <w:sz w:val="16"/>
                <w:szCs w:val="16"/>
                <w:color w:val="auto"/>
                <w:w w:val="92"/>
              </w:rPr>
              <w:t>Leverage Ratio</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3"/>
          </w:tcPr>
          <w:p>
            <w:pPr>
              <w:jc w:val="center"/>
              <w:ind w:right="520"/>
              <w:spacing w:after="0" w:line="168" w:lineRule="exact"/>
              <w:rPr>
                <w:sz w:val="20"/>
                <w:szCs w:val="20"/>
                <w:color w:val="auto"/>
              </w:rPr>
            </w:pPr>
            <w:r>
              <w:rPr>
                <w:rFonts w:ascii="Arial" w:cs="Arial" w:eastAsia="Arial" w:hAnsi="Arial"/>
                <w:sz w:val="16"/>
                <w:szCs w:val="16"/>
                <w:color w:val="auto"/>
                <w:w w:val="94"/>
              </w:rPr>
              <w:t>CDOR Loans</w:t>
            </w:r>
          </w:p>
        </w:tc>
        <w:tc>
          <w:tcPr>
            <w:tcW w:w="10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3"/>
          </w:tcPr>
          <w:p>
            <w:pPr>
              <w:jc w:val="center"/>
              <w:ind w:right="20"/>
              <w:spacing w:after="0" w:line="168" w:lineRule="exact"/>
              <w:rPr>
                <w:sz w:val="20"/>
                <w:szCs w:val="20"/>
                <w:color w:val="auto"/>
              </w:rPr>
            </w:pPr>
            <w:r>
              <w:rPr>
                <w:rFonts w:ascii="Arial" w:cs="Arial" w:eastAsia="Arial" w:hAnsi="Arial"/>
                <w:sz w:val="16"/>
                <w:szCs w:val="16"/>
                <w:color w:val="auto"/>
                <w:w w:val="91"/>
              </w:rPr>
              <w:t>Loans</w:t>
            </w:r>
          </w:p>
        </w:tc>
        <w:tc>
          <w:tcPr>
            <w:tcW w:w="140" w:type="dxa"/>
            <w:vAlign w:val="bottom"/>
            <w:tcBorders>
              <w:right w:val="single" w:sz="8" w:color="auto"/>
            </w:tcBorders>
          </w:tcPr>
          <w:p>
            <w:pPr>
              <w:spacing w:after="0"/>
              <w:rPr>
                <w:sz w:val="14"/>
                <w:szCs w:val="14"/>
                <w:color w:val="auto"/>
              </w:rPr>
            </w:pPr>
          </w:p>
        </w:tc>
        <w:tc>
          <w:tcPr>
            <w:tcW w:w="2100" w:type="dxa"/>
            <w:vAlign w:val="bottom"/>
            <w:tcBorders>
              <w:right w:val="single" w:sz="8" w:color="auto"/>
            </w:tcBorders>
            <w:gridSpan w:val="5"/>
          </w:tcPr>
          <w:p>
            <w:pPr>
              <w:jc w:val="center"/>
              <w:ind w:right="20"/>
              <w:spacing w:after="0" w:line="168" w:lineRule="exact"/>
              <w:rPr>
                <w:sz w:val="20"/>
                <w:szCs w:val="20"/>
                <w:color w:val="auto"/>
              </w:rPr>
            </w:pPr>
            <w:r>
              <w:rPr>
                <w:rFonts w:ascii="Arial" w:cs="Arial" w:eastAsia="Arial" w:hAnsi="Arial"/>
                <w:sz w:val="16"/>
                <w:szCs w:val="16"/>
                <w:color w:val="auto"/>
                <w:w w:val="89"/>
              </w:rPr>
              <w:t>Canadian Prime Rate Loans</w:t>
            </w: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tcBorders>
              <w:right w:val="single" w:sz="8" w:color="auto"/>
            </w:tcBorders>
            <w:gridSpan w:val="3"/>
          </w:tcPr>
          <w:p>
            <w:pPr>
              <w:jc w:val="center"/>
              <w:ind w:right="920"/>
              <w:spacing w:after="0" w:line="168" w:lineRule="exact"/>
              <w:rPr>
                <w:sz w:val="20"/>
                <w:szCs w:val="20"/>
                <w:color w:val="auto"/>
              </w:rPr>
            </w:pPr>
            <w:r>
              <w:rPr>
                <w:rFonts w:ascii="Arial" w:cs="Arial" w:eastAsia="Arial" w:hAnsi="Arial"/>
                <w:sz w:val="16"/>
                <w:szCs w:val="16"/>
                <w:color w:val="auto"/>
                <w:w w:val="84"/>
              </w:rPr>
              <w:t>Fees</w:t>
            </w:r>
          </w:p>
        </w:tc>
      </w:tr>
      <w:tr>
        <w:trPr>
          <w:trHeight w:val="35"/>
        </w:trPr>
        <w:tc>
          <w:tcPr>
            <w:tcW w:w="180" w:type="dxa"/>
            <w:vAlign w:val="bottom"/>
            <w:tcBorders>
              <w:left w:val="single" w:sz="8" w:color="auto"/>
              <w:bottom w:val="single" w:sz="8" w:color="auto"/>
            </w:tcBorders>
          </w:tcPr>
          <w:p>
            <w:pPr>
              <w:spacing w:after="0"/>
              <w:rPr>
                <w:sz w:val="3"/>
                <w:szCs w:val="3"/>
                <w:color w:val="auto"/>
              </w:rPr>
            </w:pPr>
          </w:p>
        </w:tc>
        <w:tc>
          <w:tcPr>
            <w:tcW w:w="380" w:type="dxa"/>
            <w:vAlign w:val="bottom"/>
            <w:tcBorders>
              <w:top w:val="single" w:sz="8" w:color="auto"/>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0" w:type="dxa"/>
            <w:vAlign w:val="bottom"/>
            <w:tcBorders>
              <w:top w:val="single" w:sz="8" w:color="auto"/>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1440" w:type="dxa"/>
            <w:vAlign w:val="bottom"/>
            <w:tcBorders>
              <w:top w:val="single" w:sz="8" w:color="auto"/>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00" w:type="dxa"/>
            <w:vAlign w:val="bottom"/>
            <w:tcBorders>
              <w:top w:val="single" w:sz="8" w:color="auto"/>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r>
      <w:tr>
        <w:trPr>
          <w:trHeight w:val="214"/>
        </w:trPr>
        <w:tc>
          <w:tcPr>
            <w:tcW w:w="18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gridSpan w:val="2"/>
          </w:tcPr>
          <w:p>
            <w:pPr>
              <w:jc w:val="center"/>
              <w:ind w:right="200"/>
              <w:spacing w:after="0"/>
              <w:rPr>
                <w:sz w:val="20"/>
                <w:szCs w:val="20"/>
                <w:color w:val="auto"/>
              </w:rPr>
            </w:pPr>
            <w:r>
              <w:rPr>
                <w:rFonts w:ascii="Arial" w:cs="Arial" w:eastAsia="Arial" w:hAnsi="Arial"/>
                <w:sz w:val="16"/>
                <w:szCs w:val="16"/>
                <w:color w:val="auto"/>
              </w:rPr>
              <w:t>I</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gridSpan w:val="2"/>
          </w:tcPr>
          <w:p>
            <w:pPr>
              <w:jc w:val="center"/>
              <w:ind w:right="200"/>
              <w:spacing w:after="0"/>
              <w:rPr>
                <w:sz w:val="20"/>
                <w:szCs w:val="20"/>
                <w:color w:val="auto"/>
              </w:rPr>
            </w:pPr>
            <w:r>
              <w:rPr>
                <w:rFonts w:ascii="Arial" w:cs="Arial" w:eastAsia="Arial" w:hAnsi="Arial"/>
                <w:sz w:val="16"/>
                <w:szCs w:val="16"/>
                <w:color w:val="auto"/>
                <w:w w:val="90"/>
              </w:rPr>
              <w:t>&lt; 1.00x</w:t>
            </w:r>
          </w:p>
        </w:tc>
        <w:tc>
          <w:tcPr>
            <w:tcW w:w="1480" w:type="dxa"/>
            <w:vAlign w:val="bottom"/>
            <w:tcBorders>
              <w:bottom w:val="single" w:sz="8" w:color="auto"/>
            </w:tcBorders>
            <w:gridSpan w:val="4"/>
          </w:tcPr>
          <w:p>
            <w:pPr>
              <w:jc w:val="center"/>
              <w:ind w:left="499"/>
              <w:spacing w:after="0"/>
              <w:rPr>
                <w:sz w:val="20"/>
                <w:szCs w:val="20"/>
                <w:color w:val="auto"/>
              </w:rPr>
            </w:pPr>
            <w:r>
              <w:rPr>
                <w:rFonts w:ascii="Arial" w:cs="Arial" w:eastAsia="Arial" w:hAnsi="Arial"/>
                <w:sz w:val="16"/>
                <w:szCs w:val="16"/>
                <w:color w:val="auto"/>
                <w:w w:val="92"/>
              </w:rPr>
              <w:t>1.625%</w:t>
            </w: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tcBorders>
            <w:gridSpan w:val="4"/>
          </w:tcPr>
          <w:p>
            <w:pPr>
              <w:jc w:val="center"/>
              <w:ind w:left="39"/>
              <w:spacing w:after="0"/>
              <w:rPr>
                <w:sz w:val="20"/>
                <w:szCs w:val="20"/>
                <w:color w:val="auto"/>
              </w:rPr>
            </w:pPr>
            <w:r>
              <w:rPr>
                <w:rFonts w:ascii="Arial" w:cs="Arial" w:eastAsia="Arial" w:hAnsi="Arial"/>
                <w:sz w:val="16"/>
                <w:szCs w:val="16"/>
                <w:color w:val="auto"/>
                <w:w w:val="92"/>
              </w:rPr>
              <w:t>0.625%</w:t>
            </w:r>
          </w:p>
        </w:tc>
        <w:tc>
          <w:tcPr>
            <w:tcW w:w="14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tcBorders>
            <w:gridSpan w:val="3"/>
          </w:tcPr>
          <w:p>
            <w:pPr>
              <w:jc w:val="center"/>
              <w:ind w:left="239"/>
              <w:spacing w:after="0"/>
              <w:rPr>
                <w:sz w:val="20"/>
                <w:szCs w:val="20"/>
                <w:color w:val="auto"/>
              </w:rPr>
            </w:pPr>
            <w:r>
              <w:rPr>
                <w:rFonts w:ascii="Arial" w:cs="Arial" w:eastAsia="Arial" w:hAnsi="Arial"/>
                <w:sz w:val="16"/>
                <w:szCs w:val="16"/>
                <w:color w:val="auto"/>
                <w:w w:val="88"/>
              </w:rPr>
              <w:t>2.125%</w:t>
            </w: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color w:val="auto"/>
                <w:w w:val="92"/>
              </w:rPr>
              <w:t>0.25%</w:t>
            </w:r>
          </w:p>
        </w:tc>
        <w:tc>
          <w:tcPr>
            <w:tcW w:w="80" w:type="dxa"/>
            <w:vAlign w:val="bottom"/>
            <w:tcBorders>
              <w:bottom w:val="single" w:sz="8" w:color="auto"/>
              <w:right w:val="single" w:sz="8" w:color="auto"/>
            </w:tcBorders>
          </w:tcPr>
          <w:p>
            <w:pPr>
              <w:spacing w:after="0"/>
              <w:rPr>
                <w:sz w:val="18"/>
                <w:szCs w:val="18"/>
                <w:color w:val="auto"/>
              </w:rPr>
            </w:pPr>
          </w:p>
        </w:tc>
      </w:tr>
      <w:tr>
        <w:trPr>
          <w:trHeight w:val="222"/>
        </w:trPr>
        <w:tc>
          <w:tcPr>
            <w:tcW w:w="180" w:type="dxa"/>
            <w:vAlign w:val="bottom"/>
            <w:tcBorders>
              <w:left w:val="single" w:sz="8" w:color="auto"/>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gridSpan w:val="2"/>
          </w:tcPr>
          <w:p>
            <w:pPr>
              <w:jc w:val="center"/>
              <w:ind w:right="200"/>
              <w:spacing w:after="0"/>
              <w:rPr>
                <w:sz w:val="20"/>
                <w:szCs w:val="20"/>
                <w:color w:val="auto"/>
              </w:rPr>
            </w:pPr>
            <w:r>
              <w:rPr>
                <w:rFonts w:ascii="Arial" w:cs="Arial" w:eastAsia="Arial" w:hAnsi="Arial"/>
                <w:sz w:val="16"/>
                <w:szCs w:val="16"/>
                <w:color w:val="auto"/>
              </w:rPr>
              <w:t>II</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gridSpan w:val="2"/>
          </w:tcPr>
          <w:p>
            <w:pPr>
              <w:jc w:val="center"/>
              <w:ind w:right="200"/>
              <w:spacing w:after="0"/>
              <w:rPr>
                <w:sz w:val="20"/>
                <w:szCs w:val="20"/>
                <w:color w:val="auto"/>
              </w:rPr>
            </w:pPr>
            <w:r>
              <w:rPr>
                <w:rFonts w:ascii="Arial" w:cs="Arial" w:eastAsia="Arial" w:hAnsi="Arial"/>
                <w:sz w:val="16"/>
                <w:szCs w:val="16"/>
                <w:color w:val="auto"/>
                <w:w w:val="90"/>
              </w:rPr>
              <w:t>&lt; 1.50x</w:t>
            </w:r>
          </w:p>
        </w:tc>
        <w:tc>
          <w:tcPr>
            <w:tcW w:w="1480" w:type="dxa"/>
            <w:vAlign w:val="bottom"/>
            <w:tcBorders>
              <w:bottom w:val="single" w:sz="8" w:color="auto"/>
            </w:tcBorders>
            <w:gridSpan w:val="4"/>
          </w:tcPr>
          <w:p>
            <w:pPr>
              <w:jc w:val="center"/>
              <w:ind w:left="499"/>
              <w:spacing w:after="0"/>
              <w:rPr>
                <w:sz w:val="20"/>
                <w:szCs w:val="20"/>
                <w:color w:val="auto"/>
              </w:rPr>
            </w:pPr>
            <w:r>
              <w:rPr>
                <w:rFonts w:ascii="Arial" w:cs="Arial" w:eastAsia="Arial" w:hAnsi="Arial"/>
                <w:sz w:val="16"/>
                <w:szCs w:val="16"/>
                <w:color w:val="auto"/>
                <w:w w:val="92"/>
              </w:rPr>
              <w:t>1.875%</w:t>
            </w:r>
          </w:p>
        </w:tc>
        <w:tc>
          <w:tcPr>
            <w:tcW w:w="2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940" w:type="dxa"/>
            <w:vAlign w:val="bottom"/>
            <w:tcBorders>
              <w:bottom w:val="single" w:sz="8" w:color="auto"/>
            </w:tcBorders>
            <w:gridSpan w:val="4"/>
          </w:tcPr>
          <w:p>
            <w:pPr>
              <w:jc w:val="center"/>
              <w:ind w:left="39"/>
              <w:spacing w:after="0"/>
              <w:rPr>
                <w:sz w:val="20"/>
                <w:szCs w:val="20"/>
                <w:color w:val="auto"/>
              </w:rPr>
            </w:pPr>
            <w:r>
              <w:rPr>
                <w:rFonts w:ascii="Arial" w:cs="Arial" w:eastAsia="Arial" w:hAnsi="Arial"/>
                <w:sz w:val="16"/>
                <w:szCs w:val="16"/>
                <w:color w:val="auto"/>
                <w:w w:val="92"/>
              </w:rPr>
              <w:t>0.875%</w:t>
            </w:r>
          </w:p>
        </w:tc>
        <w:tc>
          <w:tcPr>
            <w:tcW w:w="140" w:type="dxa"/>
            <w:vAlign w:val="bottom"/>
            <w:tcBorders>
              <w:bottom w:val="single" w:sz="8" w:color="auto"/>
              <w:right w:val="single" w:sz="8" w:color="auto"/>
            </w:tcBorders>
          </w:tcPr>
          <w:p>
            <w:pPr>
              <w:spacing w:after="0"/>
              <w:rPr>
                <w:sz w:val="19"/>
                <w:szCs w:val="19"/>
                <w:color w:val="auto"/>
              </w:rPr>
            </w:pPr>
          </w:p>
        </w:tc>
        <w:tc>
          <w:tcPr>
            <w:tcW w:w="1760" w:type="dxa"/>
            <w:vAlign w:val="bottom"/>
            <w:tcBorders>
              <w:bottom w:val="single" w:sz="8" w:color="auto"/>
            </w:tcBorders>
            <w:gridSpan w:val="3"/>
          </w:tcPr>
          <w:p>
            <w:pPr>
              <w:jc w:val="center"/>
              <w:ind w:left="239"/>
              <w:spacing w:after="0"/>
              <w:rPr>
                <w:sz w:val="20"/>
                <w:szCs w:val="20"/>
                <w:color w:val="auto"/>
              </w:rPr>
            </w:pPr>
            <w:r>
              <w:rPr>
                <w:rFonts w:ascii="Arial" w:cs="Arial" w:eastAsia="Arial" w:hAnsi="Arial"/>
                <w:sz w:val="16"/>
                <w:szCs w:val="16"/>
                <w:color w:val="auto"/>
                <w:w w:val="88"/>
              </w:rPr>
              <w:t>2.375%</w:t>
            </w: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color w:val="auto"/>
                <w:w w:val="92"/>
              </w:rPr>
              <w:t>0.30%</w:t>
            </w:r>
          </w:p>
        </w:tc>
        <w:tc>
          <w:tcPr>
            <w:tcW w:w="80" w:type="dxa"/>
            <w:vAlign w:val="bottom"/>
            <w:tcBorders>
              <w:bottom w:val="single" w:sz="8" w:color="auto"/>
              <w:right w:val="single" w:sz="8" w:color="auto"/>
            </w:tcBorders>
          </w:tcPr>
          <w:p>
            <w:pPr>
              <w:spacing w:after="0"/>
              <w:rPr>
                <w:sz w:val="19"/>
                <w:szCs w:val="19"/>
                <w:color w:val="auto"/>
              </w:rPr>
            </w:pPr>
          </w:p>
        </w:tc>
      </w:tr>
      <w:tr>
        <w:trPr>
          <w:trHeight w:val="222"/>
        </w:trPr>
        <w:tc>
          <w:tcPr>
            <w:tcW w:w="180" w:type="dxa"/>
            <w:vAlign w:val="bottom"/>
            <w:tcBorders>
              <w:left w:val="single" w:sz="8" w:color="auto"/>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gridSpan w:val="2"/>
          </w:tcPr>
          <w:p>
            <w:pPr>
              <w:jc w:val="center"/>
              <w:ind w:right="220"/>
              <w:spacing w:after="0"/>
              <w:rPr>
                <w:sz w:val="20"/>
                <w:szCs w:val="20"/>
                <w:color w:val="auto"/>
              </w:rPr>
            </w:pPr>
            <w:r>
              <w:rPr>
                <w:rFonts w:ascii="Arial" w:cs="Arial" w:eastAsia="Arial" w:hAnsi="Arial"/>
                <w:sz w:val="16"/>
                <w:szCs w:val="16"/>
                <w:color w:val="auto"/>
              </w:rPr>
              <w:t>III</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gridSpan w:val="2"/>
          </w:tcPr>
          <w:p>
            <w:pPr>
              <w:jc w:val="center"/>
              <w:ind w:right="200"/>
              <w:spacing w:after="0"/>
              <w:rPr>
                <w:sz w:val="20"/>
                <w:szCs w:val="20"/>
                <w:color w:val="auto"/>
              </w:rPr>
            </w:pPr>
            <w:r>
              <w:rPr>
                <w:rFonts w:ascii="Arial" w:cs="Arial" w:eastAsia="Arial" w:hAnsi="Arial"/>
                <w:sz w:val="16"/>
                <w:szCs w:val="16"/>
                <w:color w:val="auto"/>
                <w:w w:val="90"/>
              </w:rPr>
              <w:t>&lt; 2.00x</w:t>
            </w:r>
          </w:p>
        </w:tc>
        <w:tc>
          <w:tcPr>
            <w:tcW w:w="1480" w:type="dxa"/>
            <w:vAlign w:val="bottom"/>
            <w:tcBorders>
              <w:bottom w:val="single" w:sz="8" w:color="auto"/>
            </w:tcBorders>
            <w:gridSpan w:val="4"/>
          </w:tcPr>
          <w:p>
            <w:pPr>
              <w:jc w:val="center"/>
              <w:ind w:left="499"/>
              <w:spacing w:after="0"/>
              <w:rPr>
                <w:sz w:val="20"/>
                <w:szCs w:val="20"/>
                <w:color w:val="auto"/>
              </w:rPr>
            </w:pPr>
            <w:r>
              <w:rPr>
                <w:rFonts w:ascii="Arial" w:cs="Arial" w:eastAsia="Arial" w:hAnsi="Arial"/>
                <w:sz w:val="16"/>
                <w:szCs w:val="16"/>
                <w:color w:val="auto"/>
                <w:w w:val="92"/>
              </w:rPr>
              <w:t>2.125%</w:t>
            </w:r>
          </w:p>
        </w:tc>
        <w:tc>
          <w:tcPr>
            <w:tcW w:w="2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940" w:type="dxa"/>
            <w:vAlign w:val="bottom"/>
            <w:tcBorders>
              <w:bottom w:val="single" w:sz="8" w:color="auto"/>
            </w:tcBorders>
            <w:gridSpan w:val="4"/>
          </w:tcPr>
          <w:p>
            <w:pPr>
              <w:jc w:val="center"/>
              <w:ind w:left="39"/>
              <w:spacing w:after="0"/>
              <w:rPr>
                <w:sz w:val="20"/>
                <w:szCs w:val="20"/>
                <w:color w:val="auto"/>
              </w:rPr>
            </w:pPr>
            <w:r>
              <w:rPr>
                <w:rFonts w:ascii="Arial" w:cs="Arial" w:eastAsia="Arial" w:hAnsi="Arial"/>
                <w:sz w:val="16"/>
                <w:szCs w:val="16"/>
                <w:color w:val="auto"/>
                <w:w w:val="92"/>
              </w:rPr>
              <w:t>1.125%</w:t>
            </w:r>
          </w:p>
        </w:tc>
        <w:tc>
          <w:tcPr>
            <w:tcW w:w="140" w:type="dxa"/>
            <w:vAlign w:val="bottom"/>
            <w:tcBorders>
              <w:bottom w:val="single" w:sz="8" w:color="auto"/>
              <w:right w:val="single" w:sz="8" w:color="auto"/>
            </w:tcBorders>
          </w:tcPr>
          <w:p>
            <w:pPr>
              <w:spacing w:after="0"/>
              <w:rPr>
                <w:sz w:val="19"/>
                <w:szCs w:val="19"/>
                <w:color w:val="auto"/>
              </w:rPr>
            </w:pPr>
          </w:p>
        </w:tc>
        <w:tc>
          <w:tcPr>
            <w:tcW w:w="1760" w:type="dxa"/>
            <w:vAlign w:val="bottom"/>
            <w:tcBorders>
              <w:bottom w:val="single" w:sz="8" w:color="auto"/>
            </w:tcBorders>
            <w:gridSpan w:val="3"/>
          </w:tcPr>
          <w:p>
            <w:pPr>
              <w:jc w:val="center"/>
              <w:ind w:left="239"/>
              <w:spacing w:after="0"/>
              <w:rPr>
                <w:sz w:val="20"/>
                <w:szCs w:val="20"/>
                <w:color w:val="auto"/>
              </w:rPr>
            </w:pPr>
            <w:r>
              <w:rPr>
                <w:rFonts w:ascii="Arial" w:cs="Arial" w:eastAsia="Arial" w:hAnsi="Arial"/>
                <w:sz w:val="16"/>
                <w:szCs w:val="16"/>
                <w:color w:val="auto"/>
                <w:w w:val="88"/>
              </w:rPr>
              <w:t>2.625%</w:t>
            </w: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color w:val="auto"/>
                <w:w w:val="92"/>
              </w:rPr>
              <w:t>0.35%</w:t>
            </w:r>
          </w:p>
        </w:tc>
        <w:tc>
          <w:tcPr>
            <w:tcW w:w="80" w:type="dxa"/>
            <w:vAlign w:val="bottom"/>
            <w:tcBorders>
              <w:bottom w:val="single" w:sz="8" w:color="auto"/>
              <w:right w:val="single" w:sz="8" w:color="auto"/>
            </w:tcBorders>
          </w:tcPr>
          <w:p>
            <w:pPr>
              <w:spacing w:after="0"/>
              <w:rPr>
                <w:sz w:val="19"/>
                <w:szCs w:val="19"/>
                <w:color w:val="auto"/>
              </w:rPr>
            </w:pPr>
          </w:p>
        </w:tc>
      </w:tr>
      <w:tr>
        <w:trPr>
          <w:trHeight w:val="222"/>
        </w:trPr>
        <w:tc>
          <w:tcPr>
            <w:tcW w:w="180" w:type="dxa"/>
            <w:vAlign w:val="bottom"/>
            <w:tcBorders>
              <w:left w:val="single" w:sz="8" w:color="auto"/>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gridSpan w:val="2"/>
          </w:tcPr>
          <w:p>
            <w:pPr>
              <w:jc w:val="center"/>
              <w:ind w:right="200"/>
              <w:spacing w:after="0"/>
              <w:rPr>
                <w:sz w:val="20"/>
                <w:szCs w:val="20"/>
                <w:color w:val="auto"/>
              </w:rPr>
            </w:pPr>
            <w:r>
              <w:rPr>
                <w:rFonts w:ascii="Arial" w:cs="Arial" w:eastAsia="Arial" w:hAnsi="Arial"/>
                <w:sz w:val="16"/>
                <w:szCs w:val="16"/>
                <w:color w:val="auto"/>
              </w:rPr>
              <w:t>IV</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gridSpan w:val="2"/>
          </w:tcPr>
          <w:p>
            <w:pPr>
              <w:jc w:val="center"/>
              <w:ind w:right="200"/>
              <w:spacing w:after="0"/>
              <w:rPr>
                <w:sz w:val="20"/>
                <w:szCs w:val="20"/>
                <w:color w:val="auto"/>
              </w:rPr>
            </w:pPr>
            <w:r>
              <w:rPr>
                <w:rFonts w:ascii="Arial" w:cs="Arial" w:eastAsia="Arial" w:hAnsi="Arial"/>
                <w:sz w:val="16"/>
                <w:szCs w:val="16"/>
                <w:color w:val="auto"/>
                <w:w w:val="90"/>
              </w:rPr>
              <w:t>&lt; 2.50x</w:t>
            </w:r>
          </w:p>
        </w:tc>
        <w:tc>
          <w:tcPr>
            <w:tcW w:w="1480" w:type="dxa"/>
            <w:vAlign w:val="bottom"/>
            <w:tcBorders>
              <w:bottom w:val="single" w:sz="8" w:color="auto"/>
            </w:tcBorders>
            <w:gridSpan w:val="4"/>
          </w:tcPr>
          <w:p>
            <w:pPr>
              <w:jc w:val="center"/>
              <w:ind w:left="499"/>
              <w:spacing w:after="0"/>
              <w:rPr>
                <w:sz w:val="20"/>
                <w:szCs w:val="20"/>
                <w:color w:val="auto"/>
              </w:rPr>
            </w:pPr>
            <w:r>
              <w:rPr>
                <w:rFonts w:ascii="Arial" w:cs="Arial" w:eastAsia="Arial" w:hAnsi="Arial"/>
                <w:sz w:val="16"/>
                <w:szCs w:val="16"/>
                <w:color w:val="auto"/>
                <w:w w:val="92"/>
              </w:rPr>
              <w:t>2.375%</w:t>
            </w:r>
          </w:p>
        </w:tc>
        <w:tc>
          <w:tcPr>
            <w:tcW w:w="2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940" w:type="dxa"/>
            <w:vAlign w:val="bottom"/>
            <w:tcBorders>
              <w:bottom w:val="single" w:sz="8" w:color="auto"/>
            </w:tcBorders>
            <w:gridSpan w:val="4"/>
          </w:tcPr>
          <w:p>
            <w:pPr>
              <w:jc w:val="center"/>
              <w:ind w:left="39"/>
              <w:spacing w:after="0"/>
              <w:rPr>
                <w:sz w:val="20"/>
                <w:szCs w:val="20"/>
                <w:color w:val="auto"/>
              </w:rPr>
            </w:pPr>
            <w:r>
              <w:rPr>
                <w:rFonts w:ascii="Arial" w:cs="Arial" w:eastAsia="Arial" w:hAnsi="Arial"/>
                <w:sz w:val="16"/>
                <w:szCs w:val="16"/>
                <w:color w:val="auto"/>
                <w:w w:val="92"/>
              </w:rPr>
              <w:t>1.375%</w:t>
            </w:r>
          </w:p>
        </w:tc>
        <w:tc>
          <w:tcPr>
            <w:tcW w:w="140" w:type="dxa"/>
            <w:vAlign w:val="bottom"/>
            <w:tcBorders>
              <w:bottom w:val="single" w:sz="8" w:color="auto"/>
              <w:right w:val="single" w:sz="8" w:color="auto"/>
            </w:tcBorders>
          </w:tcPr>
          <w:p>
            <w:pPr>
              <w:spacing w:after="0"/>
              <w:rPr>
                <w:sz w:val="19"/>
                <w:szCs w:val="19"/>
                <w:color w:val="auto"/>
              </w:rPr>
            </w:pPr>
          </w:p>
        </w:tc>
        <w:tc>
          <w:tcPr>
            <w:tcW w:w="1760" w:type="dxa"/>
            <w:vAlign w:val="bottom"/>
            <w:tcBorders>
              <w:bottom w:val="single" w:sz="8" w:color="auto"/>
            </w:tcBorders>
            <w:gridSpan w:val="3"/>
          </w:tcPr>
          <w:p>
            <w:pPr>
              <w:jc w:val="center"/>
              <w:ind w:left="239"/>
              <w:spacing w:after="0"/>
              <w:rPr>
                <w:sz w:val="20"/>
                <w:szCs w:val="20"/>
                <w:color w:val="auto"/>
              </w:rPr>
            </w:pPr>
            <w:r>
              <w:rPr>
                <w:rFonts w:ascii="Arial" w:cs="Arial" w:eastAsia="Arial" w:hAnsi="Arial"/>
                <w:sz w:val="16"/>
                <w:szCs w:val="16"/>
                <w:color w:val="auto"/>
                <w:w w:val="88"/>
              </w:rPr>
              <w:t>2.875%</w:t>
            </w: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color w:val="auto"/>
                <w:w w:val="92"/>
              </w:rPr>
              <w:t>0.40%</w:t>
            </w:r>
          </w:p>
        </w:tc>
        <w:tc>
          <w:tcPr>
            <w:tcW w:w="80" w:type="dxa"/>
            <w:vAlign w:val="bottom"/>
            <w:tcBorders>
              <w:bottom w:val="single" w:sz="8" w:color="auto"/>
              <w:right w:val="single" w:sz="8" w:color="auto"/>
            </w:tcBorders>
          </w:tcPr>
          <w:p>
            <w:pPr>
              <w:spacing w:after="0"/>
              <w:rPr>
                <w:sz w:val="19"/>
                <w:szCs w:val="19"/>
                <w:color w:val="auto"/>
              </w:rPr>
            </w:pPr>
          </w:p>
        </w:tc>
      </w:tr>
      <w:tr>
        <w:trPr>
          <w:trHeight w:val="222"/>
        </w:trPr>
        <w:tc>
          <w:tcPr>
            <w:tcW w:w="180" w:type="dxa"/>
            <w:vAlign w:val="bottom"/>
            <w:tcBorders>
              <w:left w:val="single" w:sz="8" w:color="auto"/>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gridSpan w:val="2"/>
          </w:tcPr>
          <w:p>
            <w:pPr>
              <w:jc w:val="center"/>
              <w:ind w:right="220"/>
              <w:spacing w:after="0"/>
              <w:rPr>
                <w:sz w:val="20"/>
                <w:szCs w:val="20"/>
                <w:color w:val="auto"/>
              </w:rPr>
            </w:pPr>
            <w:r>
              <w:rPr>
                <w:rFonts w:ascii="Arial" w:cs="Arial" w:eastAsia="Arial" w:hAnsi="Arial"/>
                <w:sz w:val="16"/>
                <w:szCs w:val="16"/>
                <w:color w:val="auto"/>
              </w:rPr>
              <w:t>V</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gridSpan w:val="2"/>
          </w:tcPr>
          <w:p>
            <w:pPr>
              <w:jc w:val="center"/>
              <w:ind w:right="200"/>
              <w:spacing w:after="0"/>
              <w:rPr>
                <w:sz w:val="20"/>
                <w:szCs w:val="20"/>
                <w:color w:val="auto"/>
              </w:rPr>
            </w:pPr>
            <w:r>
              <w:rPr>
                <w:rFonts w:ascii="Arial" w:cs="Arial" w:eastAsia="Arial" w:hAnsi="Arial"/>
                <w:sz w:val="16"/>
                <w:szCs w:val="16"/>
                <w:color w:val="auto"/>
                <w:w w:val="91"/>
              </w:rPr>
              <w:t>≥ 2.50x</w:t>
            </w:r>
          </w:p>
        </w:tc>
        <w:tc>
          <w:tcPr>
            <w:tcW w:w="1480" w:type="dxa"/>
            <w:vAlign w:val="bottom"/>
            <w:tcBorders>
              <w:bottom w:val="single" w:sz="8" w:color="auto"/>
            </w:tcBorders>
            <w:gridSpan w:val="4"/>
          </w:tcPr>
          <w:p>
            <w:pPr>
              <w:jc w:val="center"/>
              <w:ind w:left="499"/>
              <w:spacing w:after="0"/>
              <w:rPr>
                <w:sz w:val="20"/>
                <w:szCs w:val="20"/>
                <w:color w:val="auto"/>
              </w:rPr>
            </w:pPr>
            <w:r>
              <w:rPr>
                <w:rFonts w:ascii="Arial" w:cs="Arial" w:eastAsia="Arial" w:hAnsi="Arial"/>
                <w:sz w:val="16"/>
                <w:szCs w:val="16"/>
                <w:color w:val="auto"/>
                <w:w w:val="92"/>
              </w:rPr>
              <w:t>2.625%</w:t>
            </w:r>
          </w:p>
        </w:tc>
        <w:tc>
          <w:tcPr>
            <w:tcW w:w="2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940" w:type="dxa"/>
            <w:vAlign w:val="bottom"/>
            <w:tcBorders>
              <w:bottom w:val="single" w:sz="8" w:color="auto"/>
            </w:tcBorders>
            <w:gridSpan w:val="4"/>
          </w:tcPr>
          <w:p>
            <w:pPr>
              <w:jc w:val="center"/>
              <w:ind w:left="39"/>
              <w:spacing w:after="0"/>
              <w:rPr>
                <w:sz w:val="20"/>
                <w:szCs w:val="20"/>
                <w:color w:val="auto"/>
              </w:rPr>
            </w:pPr>
            <w:r>
              <w:rPr>
                <w:rFonts w:ascii="Arial" w:cs="Arial" w:eastAsia="Arial" w:hAnsi="Arial"/>
                <w:sz w:val="16"/>
                <w:szCs w:val="16"/>
                <w:color w:val="auto"/>
                <w:w w:val="92"/>
              </w:rPr>
              <w:t>1.625%</w:t>
            </w:r>
          </w:p>
        </w:tc>
        <w:tc>
          <w:tcPr>
            <w:tcW w:w="140" w:type="dxa"/>
            <w:vAlign w:val="bottom"/>
            <w:tcBorders>
              <w:bottom w:val="single" w:sz="8" w:color="auto"/>
              <w:right w:val="single" w:sz="8" w:color="auto"/>
            </w:tcBorders>
          </w:tcPr>
          <w:p>
            <w:pPr>
              <w:spacing w:after="0"/>
              <w:rPr>
                <w:sz w:val="19"/>
                <w:szCs w:val="19"/>
                <w:color w:val="auto"/>
              </w:rPr>
            </w:pPr>
          </w:p>
        </w:tc>
        <w:tc>
          <w:tcPr>
            <w:tcW w:w="1760" w:type="dxa"/>
            <w:vAlign w:val="bottom"/>
            <w:tcBorders>
              <w:bottom w:val="single" w:sz="8" w:color="auto"/>
            </w:tcBorders>
            <w:gridSpan w:val="3"/>
          </w:tcPr>
          <w:p>
            <w:pPr>
              <w:jc w:val="center"/>
              <w:ind w:left="239"/>
              <w:spacing w:after="0"/>
              <w:rPr>
                <w:sz w:val="20"/>
                <w:szCs w:val="20"/>
                <w:color w:val="auto"/>
              </w:rPr>
            </w:pPr>
            <w:r>
              <w:rPr>
                <w:rFonts w:ascii="Arial" w:cs="Arial" w:eastAsia="Arial" w:hAnsi="Arial"/>
                <w:sz w:val="16"/>
                <w:szCs w:val="16"/>
                <w:color w:val="auto"/>
                <w:w w:val="88"/>
              </w:rPr>
              <w:t>3.125%</w:t>
            </w: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color w:val="auto"/>
                <w:w w:val="92"/>
              </w:rPr>
              <w:t>0.45%</w:t>
            </w:r>
          </w:p>
        </w:tc>
        <w:tc>
          <w:tcPr>
            <w:tcW w:w="80" w:type="dxa"/>
            <w:vAlign w:val="bottom"/>
            <w:tcBorders>
              <w:bottom w:val="single" w:sz="8" w:color="auto"/>
              <w:right w:val="single" w:sz="8" w:color="auto"/>
            </w:tcBorders>
          </w:tcPr>
          <w:p>
            <w:pPr>
              <w:spacing w:after="0"/>
              <w:rPr>
                <w:sz w:val="19"/>
                <w:szCs w:val="19"/>
                <w:color w:val="auto"/>
              </w:rPr>
            </w:pPr>
          </w:p>
        </w:tc>
      </w:tr>
    </w:tbl>
    <w:p>
      <w:pPr>
        <w:spacing w:after="0" w:line="17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 xml:space="preserve">Each change in the Applicable Margin shall take effect on each date on which such financial statements and Compliance Certificate are delivered pursuant to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commending with the date on which such financial statements and Compliance Certificate are delivered for the four-quarter period ended December 31, 2016. Notwithstanding the foregoing, for the period from the Effective Date through the date on which the financial statements and Compliance Certificate are delivered for the fiscal quarter ended December 31, 2016, the Applicable Margin shall be determined at Level I. In the event that any financial statement delivered pursuant to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is shown to be inaccurate when delivered (regardless of whether this Agreement or the Revolving Commitments are in effect when such inaccuracy is discovered), and such inaccuracy, if corrected, would have led to the application of a higher Applicable Margin for any period (an “</w:t>
      </w:r>
      <w:r>
        <w:rPr>
          <w:rFonts w:ascii="Arial" w:cs="Arial" w:eastAsia="Arial" w:hAnsi="Arial"/>
          <w:sz w:val="17"/>
          <w:szCs w:val="17"/>
          <w:u w:val="single" w:color="auto"/>
          <w:color w:val="auto"/>
        </w:rPr>
        <w:t>Applicable Period</w:t>
      </w:r>
      <w:r>
        <w:rPr>
          <w:rFonts w:ascii="Arial" w:cs="Arial" w:eastAsia="Arial" w:hAnsi="Arial"/>
          <w:sz w:val="17"/>
          <w:szCs w:val="17"/>
          <w:color w:val="auto"/>
        </w:rPr>
        <w:t xml:space="preserve">”) than the Applicable Margin applied for such Applicable Period, then the Company shall (a) deliver to the Administrative Agent corrected financial statements for such Applicable Period promptly after completion, (b) determine the Applicable Margin for such Applicable Period based upon such corrected financial statements and (c) promptly pay to the Administrative Agent the accrued additional interest and Unused Fees owing as a result of such increased Applicable Margin for such Applicable Period, which payment shall be promptly applied by the Administrative Agent in accordance with </w:t>
      </w:r>
      <w:r>
        <w:rPr>
          <w:rFonts w:ascii="Arial" w:cs="Arial" w:eastAsia="Arial" w:hAnsi="Arial"/>
          <w:sz w:val="17"/>
          <w:szCs w:val="17"/>
          <w:u w:val="single" w:color="auto"/>
          <w:color w:val="auto"/>
        </w:rPr>
        <w:t>Section 2.18</w:t>
      </w:r>
      <w:r>
        <w:rPr>
          <w:rFonts w:ascii="Arial" w:cs="Arial" w:eastAsia="Arial" w:hAnsi="Arial"/>
          <w:sz w:val="17"/>
          <w:szCs w:val="17"/>
          <w:color w:val="auto"/>
        </w:rPr>
        <w:t>. The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60"/>
          </w:cols>
          <w:pgMar w:left="220" w:top="508" w:right="219" w:bottom="1440" w:gutter="0" w:footer="0" w:header="0"/>
        </w:sectPr>
      </w:pPr>
    </w:p>
    <w:bookmarkStart w:id="68" w:name="page69"/>
    <w:bookmarkEnd w:id="68"/>
    <w:p>
      <w:pPr>
        <w:jc w:val="both"/>
        <w:spacing w:after="0" w:line="265" w:lineRule="auto"/>
        <w:rPr>
          <w:sz w:val="20"/>
          <w:szCs w:val="20"/>
          <w:color w:val="auto"/>
        </w:rPr>
      </w:pPr>
      <w:r>
        <w:rPr>
          <w:rFonts w:ascii="Arial" w:cs="Arial" w:eastAsia="Arial" w:hAnsi="Arial"/>
          <w:sz w:val="17"/>
          <w:szCs w:val="17"/>
          <w:color w:val="auto"/>
        </w:rPr>
        <w:t xml:space="preserve">provision in the previous sentence is in addition to the rights of the Administrative Agent and the Lenders with respect to </w:t>
      </w:r>
      <w:r>
        <w:rPr>
          <w:rFonts w:ascii="Arial" w:cs="Arial" w:eastAsia="Arial" w:hAnsi="Arial"/>
          <w:sz w:val="17"/>
          <w:szCs w:val="17"/>
          <w:u w:val="single" w:color="auto"/>
          <w:color w:val="auto"/>
        </w:rPr>
        <w:t>Section 2.13(e)</w:t>
      </w:r>
      <w:r>
        <w:rPr>
          <w:rFonts w:ascii="Arial" w:cs="Arial" w:eastAsia="Arial" w:hAnsi="Arial"/>
          <w:sz w:val="17"/>
          <w:szCs w:val="17"/>
          <w:color w:val="auto"/>
        </w:rPr>
        <w:t xml:space="preserve"> and their other respective rights under this Agreement. If the Company fails to deliver the financial statements and corresponding Compliance Certificate to the Administrative Agent at the time required pursuant to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then effective as of the date such financial statements and corresponding Compliance Certificate were required to be delivered pursuant to </w:t>
      </w:r>
      <w:r>
        <w:rPr>
          <w:rFonts w:ascii="Arial" w:cs="Arial" w:eastAsia="Arial" w:hAnsi="Arial"/>
          <w:sz w:val="17"/>
          <w:szCs w:val="17"/>
          <w:u w:val="single" w:color="auto"/>
          <w:color w:val="auto"/>
        </w:rPr>
        <w:t>Section 5.01</w:t>
      </w:r>
      <w:r>
        <w:rPr>
          <w:rFonts w:ascii="Arial" w:cs="Arial" w:eastAsia="Arial" w:hAnsi="Arial"/>
          <w:sz w:val="17"/>
          <w:szCs w:val="17"/>
          <w:color w:val="auto"/>
        </w:rPr>
        <w:t>, the Applicable Margin shall be determined at Level V and shall remain at such level until the date such financial statements and corresponding Compliance Certificate are so delivered by the Company.</w:t>
      </w:r>
    </w:p>
    <w:p>
      <w:pPr>
        <w:spacing w:after="0" w:line="144" w:lineRule="exact"/>
        <w:rPr>
          <w:sz w:val="20"/>
          <w:szCs w:val="20"/>
          <w:color w:val="auto"/>
        </w:rPr>
      </w:pPr>
    </w:p>
    <w:p>
      <w:pPr>
        <w:jc w:val="both"/>
        <w:ind w:firstLine="529"/>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means, with respect to any Lender, the percentage of the aggregate Revolving Commitments represented by such Lender’s Revolving Commitment. If the Revolving Commitments have terminated or expired, the Applicable Percentages shall be determined based upon the Revolving Commitments most recently in effect, giving effect to any assignments.</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w:t>
      </w:r>
      <w:r>
        <w:rPr>
          <w:rFonts w:ascii="Arial" w:cs="Arial" w:eastAsia="Arial" w:hAnsi="Arial"/>
          <w:sz w:val="18"/>
          <w:szCs w:val="18"/>
          <w:color w:val="auto"/>
        </w:rPr>
        <w:t>.</w:t>
      </w:r>
    </w:p>
    <w:p>
      <w:pPr>
        <w:spacing w:after="0" w:line="179" w:lineRule="exact"/>
        <w:rPr>
          <w:sz w:val="20"/>
          <w:szCs w:val="20"/>
          <w:color w:val="auto"/>
        </w:rPr>
      </w:pPr>
    </w:p>
    <w:p>
      <w:pPr>
        <w:jc w:val="both"/>
        <w:ind w:firstLine="529"/>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assignee (with the consent of any party whose consent is required by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and accepted by the Administrative Agent,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any other form approved by the Administrative Agent.</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Australian Borrower</w:t>
      </w:r>
      <w:r>
        <w:rPr>
          <w:rFonts w:ascii="Arial" w:cs="Arial" w:eastAsia="Arial" w:hAnsi="Arial"/>
          <w:sz w:val="18"/>
          <w:szCs w:val="18"/>
          <w:color w:val="auto"/>
        </w:rPr>
        <w:t>” means Matrix Applied Technologies Pty Ltd (ACN 089 397 982), an Australian corporation.</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Australian Dollars</w:t>
      </w:r>
      <w:r>
        <w:rPr>
          <w:rFonts w:ascii="Arial" w:cs="Arial" w:eastAsia="Arial" w:hAnsi="Arial"/>
          <w:sz w:val="18"/>
          <w:szCs w:val="18"/>
          <w:color w:val="auto"/>
        </w:rPr>
        <w:t>” or “</w:t>
      </w:r>
      <w:r>
        <w:rPr>
          <w:rFonts w:ascii="Arial" w:cs="Arial" w:eastAsia="Arial" w:hAnsi="Arial"/>
          <w:sz w:val="18"/>
          <w:szCs w:val="18"/>
          <w:u w:val="single" w:color="auto"/>
          <w:color w:val="auto"/>
        </w:rPr>
        <w:t>A$</w:t>
      </w:r>
      <w:r>
        <w:rPr>
          <w:rFonts w:ascii="Arial" w:cs="Arial" w:eastAsia="Arial" w:hAnsi="Arial"/>
          <w:sz w:val="18"/>
          <w:szCs w:val="18"/>
          <w:color w:val="auto"/>
        </w:rPr>
        <w:t>” means the lawful currency of Australia.</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Authorized Foreign Bank</w:t>
      </w:r>
      <w:r>
        <w:rPr>
          <w:rFonts w:ascii="Arial" w:cs="Arial" w:eastAsia="Arial" w:hAnsi="Arial"/>
          <w:sz w:val="18"/>
          <w:szCs w:val="18"/>
          <w:color w:val="auto"/>
        </w:rPr>
        <w:t>” means an “authorized foreign bank” as defined for the purposes of the ITA.</w:t>
      </w:r>
    </w:p>
    <w:p>
      <w:pPr>
        <w:spacing w:after="0" w:line="179" w:lineRule="exact"/>
        <w:rPr>
          <w:sz w:val="20"/>
          <w:szCs w:val="20"/>
          <w:color w:val="auto"/>
        </w:rPr>
      </w:pPr>
    </w:p>
    <w:p>
      <w:pPr>
        <w:jc w:val="both"/>
        <w:ind w:firstLine="52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Authorized Officer</w:t>
      </w:r>
      <w:r>
        <w:rPr>
          <w:rFonts w:ascii="Arial" w:cs="Arial" w:eastAsia="Arial" w:hAnsi="Arial"/>
          <w:sz w:val="18"/>
          <w:szCs w:val="18"/>
          <w:color w:val="auto"/>
        </w:rPr>
        <w:t xml:space="preserve">” means (a) as to the Company, the President or any Vice President or any other officer of the Company who is designated as an authorized officer in the certificate delivered pursuant to </w:t>
      </w:r>
      <w:r>
        <w:rPr>
          <w:rFonts w:ascii="Arial" w:cs="Arial" w:eastAsia="Arial" w:hAnsi="Arial"/>
          <w:sz w:val="18"/>
          <w:szCs w:val="18"/>
          <w:u w:val="single" w:color="auto"/>
          <w:color w:val="auto"/>
        </w:rPr>
        <w:t>Section 4.01(b)(ii)</w:t>
      </w:r>
      <w:r>
        <w:rPr>
          <w:rFonts w:ascii="Arial" w:cs="Arial" w:eastAsia="Arial" w:hAnsi="Arial"/>
          <w:sz w:val="18"/>
          <w:szCs w:val="18"/>
          <w:color w:val="auto"/>
        </w:rPr>
        <w:t xml:space="preserve"> or who is otherwise designated as such in a written certificate delivered by the Company to the Administrative Agent, and (b) as to any other Credit Party, the President or any Vice President of such Credit Party or any other officer of such Credit Party who is designated as an authorized officer in the certificate delivered pursuant to </w:t>
      </w:r>
      <w:r>
        <w:rPr>
          <w:rFonts w:ascii="Arial" w:cs="Arial" w:eastAsia="Arial" w:hAnsi="Arial"/>
          <w:sz w:val="18"/>
          <w:szCs w:val="18"/>
          <w:u w:val="single" w:color="auto"/>
          <w:color w:val="auto"/>
        </w:rPr>
        <w:t>Section 4.01(b)(ii)</w:t>
      </w:r>
      <w:r>
        <w:rPr>
          <w:rFonts w:ascii="Arial" w:cs="Arial" w:eastAsia="Arial" w:hAnsi="Arial"/>
          <w:sz w:val="18"/>
          <w:szCs w:val="18"/>
          <w:color w:val="auto"/>
        </w:rPr>
        <w:t xml:space="preserve"> or who is otherwise designated as such in a written certificate delivered by such Credit Party to the Administrative Agent.</w:t>
      </w:r>
    </w:p>
    <w:p>
      <w:pPr>
        <w:spacing w:after="0" w:line="158"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means the period from and including the Effective Date to but excluding the earlier of the Termination Date and the date of termination of the Revolving Commitments.</w:t>
      </w:r>
    </w:p>
    <w:p>
      <w:pPr>
        <w:spacing w:after="0" w:line="145"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45" w:lineRule="exact"/>
        <w:rPr>
          <w:sz w:val="20"/>
          <w:szCs w:val="20"/>
          <w:color w:val="auto"/>
        </w:rPr>
      </w:pPr>
    </w:p>
    <w:p>
      <w:pPr>
        <w:jc w:val="both"/>
        <w:ind w:firstLine="529"/>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of America.</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460"/>
          </w:cols>
          <w:pgMar w:left="220" w:top="509" w:right="219" w:bottom="1440" w:gutter="0" w:footer="0" w:header="0"/>
        </w:sectPr>
      </w:pPr>
    </w:p>
    <w:bookmarkStart w:id="69" w:name="page70"/>
    <w:bookmarkEnd w:id="69"/>
    <w:p>
      <w:pPr>
        <w:jc w:val="both"/>
        <w:ind w:firstLine="529"/>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Bonding Obligations</w:t>
      </w:r>
      <w:r>
        <w:rPr>
          <w:rFonts w:ascii="Arial" w:cs="Arial" w:eastAsia="Arial" w:hAnsi="Arial"/>
          <w:sz w:val="16"/>
          <w:szCs w:val="16"/>
          <w:color w:val="auto"/>
        </w:rPr>
        <w:t xml:space="preserve">” </w:t>
      </w:r>
      <w:r>
        <w:rPr>
          <w:rFonts w:ascii="Arial" w:cs="Arial" w:eastAsia="Arial" w:hAnsi="Arial"/>
          <w:sz w:val="17"/>
          <w:szCs w:val="17"/>
          <w:color w:val="auto"/>
        </w:rPr>
        <w:t>means any and all obligations of the Company or any of its Subsidiaries to any Person to secure or assure the performance of any</w:t>
      </w:r>
      <w:r>
        <w:rPr>
          <w:rFonts w:ascii="Arial" w:cs="Arial" w:eastAsia="Arial" w:hAnsi="Arial"/>
          <w:sz w:val="16"/>
          <w:szCs w:val="16"/>
          <w:color w:val="auto"/>
        </w:rPr>
        <w:t xml:space="preserve"> </w:t>
      </w:r>
      <w:r>
        <w:rPr>
          <w:rFonts w:ascii="Arial" w:cs="Arial" w:eastAsia="Arial" w:hAnsi="Arial"/>
          <w:sz w:val="17"/>
          <w:szCs w:val="17"/>
          <w:color w:val="auto"/>
        </w:rPr>
        <w:t>bid, contract, lease or statutory obligation, or otherwise constituting a bid, performance, return-of-money, surety, appeal or payment bond, contract or like undertaking, in each case, entered into by the Company or such Subsidiary in the ordinary course of business.</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w:t>
      </w:r>
      <w:r>
        <w:rPr>
          <w:rFonts w:ascii="Arial" w:cs="Arial" w:eastAsia="Arial" w:hAnsi="Arial"/>
          <w:sz w:val="17"/>
          <w:szCs w:val="17"/>
          <w:color w:val="auto"/>
        </w:rPr>
        <w:t>” means, individually or collectively, the Company, the Canadian Borrowers, the Euro/Sterling Borrower and the Australian Borrower.</w:t>
      </w:r>
    </w:p>
    <w:p>
      <w:pPr>
        <w:spacing w:after="0" w:line="190"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Revolving Loans of the same Type, made, converted or continued on the same date and, in the case of CDOR Loans, Eurocurrency Loans or EURIBOR Loans, as to which a single Interest Period is in effect, or (b) a Swingline Loan.</w:t>
      </w:r>
    </w:p>
    <w:p>
      <w:pPr>
        <w:spacing w:after="0" w:line="145" w:lineRule="exact"/>
        <w:rPr>
          <w:sz w:val="20"/>
          <w:szCs w:val="20"/>
          <w:color w:val="auto"/>
        </w:rPr>
      </w:pPr>
    </w:p>
    <w:p>
      <w:pPr>
        <w:jc w:val="both"/>
        <w:ind w:firstLine="529"/>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Minimum</w:t>
      </w:r>
      <w:r>
        <w:rPr>
          <w:rFonts w:ascii="Arial" w:cs="Arial" w:eastAsia="Arial" w:hAnsi="Arial"/>
          <w:sz w:val="18"/>
          <w:szCs w:val="18"/>
          <w:color w:val="auto"/>
        </w:rPr>
        <w:t>” means (a) in the case of a Borrowing denominated in U.S. Dollars, $500,000, (b) in the case of a Borrowing denominated in Canadian Dollars, Cdn$500,000, (c) in the case of a Borrowing denominated in Euros, €500,000, (d) in the case of a Borrowing denominated in Sterling, £500,000 and (e) in the case of a Borrowing denominated in Australian Dollars, A$500,000.</w:t>
      </w:r>
    </w:p>
    <w:p>
      <w:pPr>
        <w:spacing w:after="0" w:line="153" w:lineRule="exact"/>
        <w:rPr>
          <w:sz w:val="20"/>
          <w:szCs w:val="20"/>
          <w:color w:val="auto"/>
        </w:rPr>
      </w:pPr>
    </w:p>
    <w:p>
      <w:pPr>
        <w:jc w:val="both"/>
        <w:ind w:firstLine="529"/>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Multiple</w:t>
      </w:r>
      <w:r>
        <w:rPr>
          <w:rFonts w:ascii="Arial" w:cs="Arial" w:eastAsia="Arial" w:hAnsi="Arial"/>
          <w:sz w:val="17"/>
          <w:szCs w:val="17"/>
          <w:color w:val="auto"/>
        </w:rPr>
        <w:t>” means (a) in the case of a Borrowing denominated in U.S. Dollars, $100,000, (b) in the case of a Borrowing denominated in Canadian Dollars, Cdn$100,000 and (c) in the case of a Borrowing denominated in any other Foreign Currency, the smallest amount of such Foreign Currency that is an integral multiple of 100,000 units of such currency and that has an Equivalent Amount in U.S. Dollars in excess of $100,000.</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xml:space="preserve">” means a request by the Company for a Revolving Borrowing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79" w:lineRule="exact"/>
        <w:rPr>
          <w:sz w:val="20"/>
          <w:szCs w:val="20"/>
          <w:color w:val="auto"/>
        </w:rPr>
      </w:pPr>
    </w:p>
    <w:p>
      <w:pPr>
        <w:jc w:val="both"/>
        <w:ind w:firstLine="529"/>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xml:space="preserve">” means any day that is not a Saturday, Sunday or other day on which commercial banks in New York City are authorized or required by law to remain closed;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when used in connection with a Eurocurrency Loan, the term “</w:t>
      </w:r>
      <w:r>
        <w:rPr>
          <w:rFonts w:ascii="Arial" w:cs="Arial" w:eastAsia="Arial" w:hAnsi="Arial"/>
          <w:sz w:val="17"/>
          <w:szCs w:val="17"/>
          <w:u w:val="single" w:color="auto"/>
          <w:color w:val="auto"/>
        </w:rPr>
        <w:t>Business Day</w:t>
      </w:r>
      <w:r>
        <w:rPr>
          <w:rFonts w:ascii="Arial" w:cs="Arial" w:eastAsia="Arial" w:hAnsi="Arial"/>
          <w:sz w:val="17"/>
          <w:szCs w:val="17"/>
          <w:color w:val="auto"/>
        </w:rPr>
        <w:t>” shall also exclude any day on which banks are not open for dealings in deposits in the applicable currency in the London interbank market or the principal financial center of the country in which payment or purchase of such currency can be made, (b) when used in connection with a CDOR or Canadian Prime Rate Loan, the term “Business Day” shall also exclude any day on which commercial banks in Toronto are authorized or required by law to remain closed and (c) when used in connection with a EURIBOR Loan, the term “Business Day” shall also exclude any day that is not a TARGET Day.</w:t>
      </w:r>
    </w:p>
    <w:p>
      <w:pPr>
        <w:spacing w:after="0" w:line="148" w:lineRule="exact"/>
        <w:rPr>
          <w:sz w:val="20"/>
          <w:szCs w:val="20"/>
          <w:color w:val="auto"/>
        </w:rPr>
      </w:pPr>
    </w:p>
    <w:p>
      <w:pPr>
        <w:jc w:val="both"/>
        <w:ind w:firstLine="529"/>
        <w:spacing w:after="0" w:line="30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Canadian Benefit Plans</w:t>
      </w:r>
      <w:r>
        <w:rPr>
          <w:rFonts w:ascii="Arial" w:cs="Arial" w:eastAsia="Arial" w:hAnsi="Arial"/>
          <w:sz w:val="15"/>
          <w:szCs w:val="15"/>
          <w:color w:val="auto"/>
        </w:rPr>
        <w:t>” means all material employee benefit plans or arrangements subject to the application of any Canadian benefit plan statutes or regulations that are maintained or contributed to by the Company or any of its Subsidiaries that are not Canadian Pension Plans, including all profit sharing, savings, supplemental retirement, retiring allowance, severance, pension, deferred compensation, welfare, bonus, incentive compensation, phantom stock, legal services, supplementary unemployment benefit plans or arrangements and all life, health, dental and disability plans and arrangements in which the employees or former employees of the Company or any of its Subsidiaries participate or are eligible to participate but excluding all stock option or stock purchase plans.</w:t>
      </w:r>
    </w:p>
    <w:p>
      <w:pPr>
        <w:spacing w:after="0" w:line="113"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Borrowers</w:t>
      </w:r>
      <w:r>
        <w:rPr>
          <w:rFonts w:ascii="Arial" w:cs="Arial" w:eastAsia="Arial" w:hAnsi="Arial"/>
          <w:sz w:val="18"/>
          <w:szCs w:val="18"/>
          <w:color w:val="auto"/>
        </w:rPr>
        <w:t>” means, individually or collectively, Matrix Service Canada ULC, an Alberta unlimited liability corporation, Matrix SME Canada ULC, a Nova Scotia unlimited liability company, and Matrix North American Construction Ltd., an Ontario corporation.</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460"/>
          </w:cols>
          <w:pgMar w:left="220" w:top="509" w:right="219" w:bottom="1440" w:gutter="0" w:footer="0" w:header="0"/>
        </w:sectPr>
      </w:pPr>
    </w:p>
    <w:bookmarkStart w:id="70" w:name="page71"/>
    <w:bookmarkEnd w:id="70"/>
    <w:p>
      <w:pPr>
        <w:jc w:val="both"/>
        <w:ind w:firstLine="529"/>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Dealer Offered Rate</w:t>
      </w:r>
      <w:r>
        <w:rPr>
          <w:rFonts w:ascii="Arial" w:cs="Arial" w:eastAsia="Arial" w:hAnsi="Arial"/>
          <w:sz w:val="18"/>
          <w:szCs w:val="18"/>
          <w:color w:val="auto"/>
        </w:rPr>
        <w:t xml:space="preserve">” means, with respect to any Borrowing denominated in Canadian Dollars for any Interest Period, (a) the applicable Screen Rate at or about 10:00 a.m. Toronto time on the Quotation Day or (b) if no Screen Rate is available for such Interest Period, the applicable Interpolated Rate as of such time on the Quotation Day, or if applicable pursuant to </w:t>
      </w:r>
      <w:r>
        <w:rPr>
          <w:rFonts w:ascii="Arial" w:cs="Arial" w:eastAsia="Arial" w:hAnsi="Arial"/>
          <w:sz w:val="18"/>
          <w:szCs w:val="18"/>
          <w:u w:val="single" w:color="auto"/>
          <w:color w:val="auto"/>
        </w:rPr>
        <w:t>Section 2.14(a)</w:t>
      </w:r>
      <w:r>
        <w:rPr>
          <w:rFonts w:ascii="Arial" w:cs="Arial" w:eastAsia="Arial" w:hAnsi="Arial"/>
          <w:sz w:val="18"/>
          <w:szCs w:val="18"/>
          <w:color w:val="auto"/>
        </w:rPr>
        <w:t>, the applicable Reference Bank Rate as of such time on the Quotation Day, plus, in each case, 0.10% per annum.</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Dollars</w:t>
      </w:r>
      <w:r>
        <w:rPr>
          <w:rFonts w:ascii="Arial" w:cs="Arial" w:eastAsia="Arial" w:hAnsi="Arial"/>
          <w:sz w:val="18"/>
          <w:szCs w:val="18"/>
          <w:color w:val="auto"/>
        </w:rPr>
        <w:t>” or “</w:t>
      </w:r>
      <w:r>
        <w:rPr>
          <w:rFonts w:ascii="Arial" w:cs="Arial" w:eastAsia="Arial" w:hAnsi="Arial"/>
          <w:sz w:val="18"/>
          <w:szCs w:val="18"/>
          <w:u w:val="single" w:color="auto"/>
          <w:color w:val="auto"/>
        </w:rPr>
        <w:t>Cdn$</w:t>
      </w:r>
      <w:r>
        <w:rPr>
          <w:rFonts w:ascii="Arial" w:cs="Arial" w:eastAsia="Arial" w:hAnsi="Arial"/>
          <w:sz w:val="18"/>
          <w:szCs w:val="18"/>
          <w:color w:val="auto"/>
        </w:rPr>
        <w:t>” means the lawful currency of Canada.</w:t>
      </w:r>
    </w:p>
    <w:p>
      <w:pPr>
        <w:spacing w:after="0" w:line="179" w:lineRule="exact"/>
        <w:rPr>
          <w:sz w:val="20"/>
          <w:szCs w:val="20"/>
          <w:color w:val="auto"/>
        </w:rPr>
      </w:pPr>
    </w:p>
    <w:p>
      <w:pPr>
        <w:jc w:val="both"/>
        <w:ind w:firstLine="529"/>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Pension Plan</w:t>
      </w:r>
      <w:r>
        <w:rPr>
          <w:rFonts w:ascii="Arial" w:cs="Arial" w:eastAsia="Arial" w:hAnsi="Arial"/>
          <w:sz w:val="18"/>
          <w:szCs w:val="18"/>
          <w:color w:val="auto"/>
        </w:rPr>
        <w:t>” means all plans or arrangements which are considered to be pension plans under, and are subject to the application of, any applicable pension benefits standards statute or regulation in Canada established, maintained or contributed to by the Company or any of its Subsidiaries for its employees or former employees.</w:t>
      </w:r>
    </w:p>
    <w:p>
      <w:pPr>
        <w:spacing w:after="0" w:line="153"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Prime Rate</w:t>
      </w:r>
      <w:r>
        <w:rPr>
          <w:rFonts w:ascii="Arial" w:cs="Arial" w:eastAsia="Arial" w:hAnsi="Arial"/>
          <w:sz w:val="17"/>
          <w:szCs w:val="17"/>
          <w:color w:val="auto"/>
        </w:rPr>
        <w:t xml:space="preserve">” means, on any day, the rate determined by the Administrative Agent to be the higher of (a) the rate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 and (ii) the average rate for 30 day Canadian Dollar bankers’ acceptances that appears on the Reuters Screen CDOR Page (or, in the event such rate does not appear on such page or screen, on any successor or substitute page or screen that displays such rate, or on the appropriate page of such other information service that publishes such rate from time to time, as selected by the Administrative Agent in its reasonable discretion) at 10:15 a.m. Toronto time on such day, plus 1% per annum; </w:t>
      </w:r>
      <w:r>
        <w:rPr>
          <w:rFonts w:ascii="Arial" w:cs="Arial" w:eastAsia="Arial" w:hAnsi="Arial"/>
          <w:sz w:val="17"/>
          <w:szCs w:val="17"/>
          <w:u w:val="single" w:color="auto"/>
          <w:color w:val="auto"/>
        </w:rPr>
        <w:t>provided</w:t>
      </w:r>
      <w:r>
        <w:rPr>
          <w:rFonts w:ascii="Arial" w:cs="Arial" w:eastAsia="Arial" w:hAnsi="Arial"/>
          <w:sz w:val="17"/>
          <w:szCs w:val="17"/>
          <w:color w:val="auto"/>
        </w:rPr>
        <w:t>, that if any of the above rates shall be less than zero, such rate shall be deemed to be zero for purposes of this Agreement. Any change in the Canadian Prime Rate due to a change in the PRIMCAN Index or the CDOR Rate shall be effective from and including the effective date of such change in the PRIMCAN Index or CDOR Rate, respectively.</w:t>
      </w:r>
    </w:p>
    <w:p>
      <w:pPr>
        <w:spacing w:after="0" w:line="148" w:lineRule="exact"/>
        <w:rPr>
          <w:sz w:val="20"/>
          <w:szCs w:val="20"/>
          <w:color w:val="auto"/>
        </w:rPr>
      </w:pPr>
    </w:p>
    <w:p>
      <w:pPr>
        <w:jc w:val="both"/>
        <w:ind w:firstLine="52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Expenditures</w:t>
      </w:r>
      <w:r>
        <w:rPr>
          <w:rFonts w:ascii="Arial" w:cs="Arial" w:eastAsia="Arial" w:hAnsi="Arial"/>
          <w:sz w:val="17"/>
          <w:szCs w:val="17"/>
          <w:color w:val="auto"/>
        </w:rPr>
        <w:t>” means, without duplication, any expenditures for any purchase or other acquisition of any asset which would be classified as a fixed or capital asset on a consolidated balance sheet of the Company and its Subsidiaries prepared in accordance with Agreement Accounting Principles excluding (a) the cost of assets acquired with Capital Lease Obligations, (b) expenditures of insurance proceeds to rebuild or replace any asset after a casualty loss and (c) leasehold improvement expenditures for which the Company or a Subsidiary is reimbursed promptly by the lessor.</w:t>
      </w:r>
    </w:p>
    <w:p>
      <w:pPr>
        <w:spacing w:after="0" w:line="141"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of any Person means the obligations of such Person to pay rent or other amounts under any Capitalized Lease, and the amount of such obligations shall be the capitalized amount thereof determined in accordance with GAAP.</w:t>
      </w:r>
    </w:p>
    <w:p>
      <w:pPr>
        <w:spacing w:after="0" w:line="145" w:lineRule="exact"/>
        <w:rPr>
          <w:sz w:val="20"/>
          <w:szCs w:val="20"/>
          <w:color w:val="auto"/>
        </w:rPr>
      </w:pPr>
    </w:p>
    <w:p>
      <w:pPr>
        <w:jc w:val="both"/>
        <w:ind w:firstLine="529"/>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w:t>
      </w:r>
      <w:r>
        <w:rPr>
          <w:rFonts w:ascii="Arial" w:cs="Arial" w:eastAsia="Arial" w:hAnsi="Arial"/>
          <w:sz w:val="18"/>
          <w:szCs w:val="18"/>
          <w:color w:val="auto"/>
        </w:rPr>
        <w:t>” means any lease of (or other arrangement conveying the right to use) real or personal property, or a combination thereof, as to which the obligations of a Person who is lessee thereunder are required to be classified and accounted for as a capital lease on a balance sheet of such Person under GAAP.</w:t>
      </w:r>
    </w:p>
    <w:p>
      <w:pPr>
        <w:spacing w:after="0" w:line="153" w:lineRule="exact"/>
        <w:rPr>
          <w:sz w:val="20"/>
          <w:szCs w:val="20"/>
          <w:color w:val="auto"/>
        </w:rPr>
      </w:pPr>
    </w:p>
    <w:p>
      <w:pPr>
        <w:jc w:val="both"/>
        <w:ind w:firstLine="52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Agreement</w:t>
      </w:r>
      <w:r>
        <w:rPr>
          <w:rFonts w:ascii="Arial" w:cs="Arial" w:eastAsia="Arial" w:hAnsi="Arial"/>
          <w:sz w:val="18"/>
          <w:szCs w:val="18"/>
          <w:color w:val="auto"/>
        </w:rPr>
        <w:t xml:space="preserve">” means any agreement to provide cash management services, including treasury, depository, overdraft, credit or debit card, electronic funds transfer, automated clearinghouse and other cash management arrangements made or entered into at any time, or in effect at any time, whether directly or indirectly, and whether as a result of assignment or transfer or otherwise, between the Company or any Subsidiary and any Lender or Affiliate of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Person ceases to be a Lender or an Affiliate of a Lender, such agreement shall no longer be a “Cash Management Agreement”.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460"/>
          </w:cols>
          <w:pgMar w:left="220" w:top="509" w:right="219" w:bottom="1440" w:gutter="0" w:footer="0" w:header="0"/>
        </w:sectPr>
      </w:pPr>
    </w:p>
    <w:bookmarkStart w:id="71" w:name="page72"/>
    <w:bookmarkEnd w:id="71"/>
    <w:p>
      <w:pPr>
        <w:jc w:val="both"/>
        <w:ind w:right="20" w:firstLine="52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CDOR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Canadian Dealer Offered Rate.</w:t>
      </w:r>
    </w:p>
    <w:p>
      <w:pPr>
        <w:spacing w:after="0" w:line="145" w:lineRule="exact"/>
        <w:rPr>
          <w:sz w:val="20"/>
          <w:szCs w:val="20"/>
          <w:color w:val="auto"/>
        </w:rPr>
      </w:pPr>
    </w:p>
    <w:p>
      <w:pPr>
        <w:jc w:val="both"/>
        <w:ind w:firstLine="529"/>
        <w:spacing w:after="0" w:line="31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Change in Control</w:t>
      </w:r>
      <w:r>
        <w:rPr>
          <w:rFonts w:ascii="Arial" w:cs="Arial" w:eastAsia="Arial" w:hAnsi="Arial"/>
          <w:sz w:val="15"/>
          <w:szCs w:val="15"/>
          <w:color w:val="auto"/>
        </w:rPr>
        <w:t>” means (a) the acquisition by any Person or group (within the meaning of Rule 13d-5 of the SEC under the Securities Exchange Act of 1934) of beneficial ownership (within the meaning of Rule 13d-3 of the SEC under the Securities Exchange Act of 1934) of more than 35% of the outstanding shares of voting stock of the Company or (b) occupation of a majority of the seats (excluding vacant seats) on the board of directors of the Company by Persons who were neither (i) nominated or approved by the board of directors of the Company nor (ii) appointed by directors so nominated or approved.</w:t>
      </w:r>
    </w:p>
    <w:p>
      <w:pPr>
        <w:spacing w:after="0" w:line="111" w:lineRule="exact"/>
        <w:rPr>
          <w:sz w:val="20"/>
          <w:szCs w:val="20"/>
          <w:color w:val="auto"/>
        </w:rPr>
      </w:pPr>
    </w:p>
    <w:p>
      <w:pPr>
        <w:jc w:val="both"/>
        <w:ind w:firstLine="529"/>
        <w:spacing w:after="0" w:line="30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Change in Law</w:t>
      </w:r>
      <w:r>
        <w:rPr>
          <w:rFonts w:ascii="Arial" w:cs="Arial" w:eastAsia="Arial" w:hAnsi="Arial"/>
          <w:sz w:val="15"/>
          <w:szCs w:val="15"/>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of any request, rule, guideline or directive (whether or not having the force of law) of any Governmental Authority;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be deemed to be a “Change in Law” regardless of the date enacted, adopted or issued.</w:t>
      </w:r>
    </w:p>
    <w:p>
      <w:pPr>
        <w:spacing w:after="0" w:line="118"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when used in reference to any Loan or Borrowing, refers to whether such Loan, or the Loans comprising such Borrowing, are Revolving Loans or Swingline Loans.</w:t>
      </w:r>
    </w:p>
    <w:p>
      <w:pPr>
        <w:spacing w:after="0" w:line="14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179"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shall mean any and all assets and rights and interests in or to property of the Company and each of the other Credit Parties in which a Lien is granted or purported to be granted pursuant to the Collateral Documents.</w:t>
      </w:r>
    </w:p>
    <w:p>
      <w:pPr>
        <w:spacing w:after="0" w:line="145" w:lineRule="exact"/>
        <w:rPr>
          <w:sz w:val="20"/>
          <w:szCs w:val="20"/>
          <w:color w:val="auto"/>
        </w:rPr>
      </w:pPr>
    </w:p>
    <w:p>
      <w:pPr>
        <w:jc w:val="both"/>
        <w:ind w:firstLine="529"/>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Documents</w:t>
      </w:r>
      <w:r>
        <w:rPr>
          <w:rFonts w:ascii="Arial" w:cs="Arial" w:eastAsia="Arial" w:hAnsi="Arial"/>
          <w:sz w:val="17"/>
          <w:szCs w:val="17"/>
          <w:color w:val="auto"/>
        </w:rPr>
        <w:t>” means, collectively, the Security Agreements, Mortgages and the Subsidiary Guaranties and each other agreement or writing pursuant to which any Credit Party pledges or grants a security interest in any property or assets securing the Obligations, or guarantees the payment and/or performance of the Obligations, in each case, as ratified, amended, restated, supplemented or otherwise modified from time to time.</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Commodity Exchange Act</w:t>
      </w:r>
      <w:r>
        <w:rPr>
          <w:rFonts w:ascii="Arial" w:cs="Arial" w:eastAsia="Arial" w:hAnsi="Arial"/>
          <w:sz w:val="15"/>
          <w:szCs w:val="15"/>
          <w:color w:val="auto"/>
        </w:rPr>
        <w:t>” means the Commodity Exchange Act (7 U.S.C. § 1 et seq.), as amended from time to time, and any successor statute.</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introductory paragraph hereto.</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5.01(c)</w:t>
      </w:r>
      <w:r>
        <w:rPr>
          <w:rFonts w:ascii="Arial" w:cs="Arial" w:eastAsia="Arial" w:hAnsi="Arial"/>
          <w:sz w:val="18"/>
          <w:szCs w:val="18"/>
          <w:color w:val="auto"/>
        </w:rPr>
        <w:t>.</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Computation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1.05(b)</w:t>
      </w:r>
      <w:r>
        <w:rPr>
          <w:rFonts w:ascii="Arial" w:cs="Arial" w:eastAsia="Arial" w:hAnsi="Arial"/>
          <w:sz w:val="18"/>
          <w:szCs w:val="18"/>
          <w:color w:val="auto"/>
        </w:rPr>
        <w:t>.</w:t>
      </w:r>
    </w:p>
    <w:p>
      <w:pPr>
        <w:spacing w:after="0" w:line="179" w:lineRule="exact"/>
        <w:rPr>
          <w:sz w:val="20"/>
          <w:szCs w:val="20"/>
          <w:color w:val="auto"/>
        </w:rPr>
      </w:pPr>
    </w:p>
    <w:p>
      <w:pPr>
        <w:jc w:val="both"/>
        <w:ind w:right="20" w:firstLine="52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of branch profits Taxes.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460"/>
          </w:cols>
          <w:pgMar w:left="220" w:top="508" w:right="219" w:bottom="1440" w:gutter="0" w:footer="0" w:header="0"/>
        </w:sectPr>
      </w:pPr>
    </w:p>
    <w:bookmarkStart w:id="72" w:name="page73"/>
    <w:bookmarkEnd w:id="72"/>
    <w:p>
      <w:pPr>
        <w:jc w:val="both"/>
        <w:ind w:firstLine="529"/>
        <w:spacing w:after="0" w:line="29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Consolidated EBITDA</w:t>
      </w:r>
      <w:r>
        <w:rPr>
          <w:rFonts w:ascii="Arial" w:cs="Arial" w:eastAsia="Arial" w:hAnsi="Arial"/>
          <w:sz w:val="15"/>
          <w:szCs w:val="15"/>
          <w:color w:val="auto"/>
        </w:rPr>
        <w:t>” means, with reference to any period, Consolidated Net Income for such period (a) plus, to the extent deducted in calculating Consolidated Net Income for such period, (i) Consolidated Interest Expense, (ii) expense for income taxes paid or accrued, (iii) depreciation, amortization and other non-cash charges (including but not limited to non-cash compensation expense recorded in accordance with ASC 718), (iv) losses on sales of fixed assets,</w:t>
      </w:r>
    </w:p>
    <w:p>
      <w:pPr>
        <w:spacing w:after="0" w:line="2" w:lineRule="exact"/>
        <w:rPr>
          <w:sz w:val="20"/>
          <w:szCs w:val="20"/>
          <w:color w:val="auto"/>
        </w:rPr>
      </w:pPr>
    </w:p>
    <w:p>
      <w:pPr>
        <w:jc w:val="both"/>
        <w:ind w:firstLine="8"/>
        <w:spacing w:after="0" w:line="291" w:lineRule="auto"/>
        <w:tabs>
          <w:tab w:leader="none" w:pos="251" w:val="left"/>
        </w:tabs>
        <w:numPr>
          <w:ilvl w:val="0"/>
          <w:numId w:val="33"/>
        </w:numPr>
        <w:rPr>
          <w:rFonts w:ascii="Arial" w:cs="Arial" w:eastAsia="Arial" w:hAnsi="Arial"/>
          <w:sz w:val="15"/>
          <w:szCs w:val="15"/>
          <w:color w:val="auto"/>
        </w:rPr>
      </w:pPr>
      <w:r>
        <w:rPr>
          <w:rFonts w:ascii="Arial" w:cs="Arial" w:eastAsia="Arial" w:hAnsi="Arial"/>
          <w:sz w:val="15"/>
          <w:szCs w:val="15"/>
          <w:color w:val="auto"/>
        </w:rPr>
        <w:t>losses arising from the early extinguishment of Indebtedness, and (vi) extraordinary losses incurred other than in the ordinary course of business, (b) minus, to the extent included in Consolidated Net Income, (i) gains on sales of fixed assets, (ii) gains arising from the early extinguishment of Indebtedness, and</w:t>
      </w:r>
    </w:p>
    <w:p>
      <w:pPr>
        <w:jc w:val="both"/>
        <w:ind w:firstLine="8"/>
        <w:spacing w:after="0" w:line="259" w:lineRule="auto"/>
        <w:tabs>
          <w:tab w:leader="none" w:pos="311" w:val="left"/>
        </w:tabs>
        <w:numPr>
          <w:ilvl w:val="0"/>
          <w:numId w:val="34"/>
        </w:numPr>
        <w:rPr>
          <w:rFonts w:ascii="Arial" w:cs="Arial" w:eastAsia="Arial" w:hAnsi="Arial"/>
          <w:sz w:val="17"/>
          <w:szCs w:val="17"/>
          <w:color w:val="auto"/>
        </w:rPr>
      </w:pPr>
      <w:r>
        <w:rPr>
          <w:rFonts w:ascii="Arial" w:cs="Arial" w:eastAsia="Arial" w:hAnsi="Arial"/>
          <w:sz w:val="17"/>
          <w:szCs w:val="17"/>
          <w:color w:val="auto"/>
        </w:rPr>
        <w:t>extraordinary gains realized other than in the ordinary course of business, all calculated for the Company and its Subsidiaries on a consolidated basis without duplication and (c) minus, to the extent included in calculating Consolidated Net Income for such period, the non-cash portion (as to the Company or the applicable Subsidiary) of any income that is generated by a Joint Venture for such period. Notwithstanding the foregoing, with respect to any rolling four quarter period during which a Permitted Acquisition has occurred, for purposes of determining compliance with the Leverage Ratio or Fixed Charge Coverage Ratio, Consolidated EBITDA shall be calculated pro forma (without duplication) as if the acquired Person or business had been owned during the entire four quarter period, on the basis of (x) the historical financial statements of any Person or business so acquired, and (y) the assumption that the consolidated financial statements of the Company and its Subsidiaries have been reformulated as if such Permitted Acquisition, and any Indebtedness incurred or repaid in connection therewith, had been consummated or incurred or repaid at the beginning of the relevant four quarter period (and assuming that such Indebtedness bears interest during any portion of the applicable measurement period prior to the relevant Acquisition at the weighted average of the interest rates applicable to such Indebtedness) outstanding during such period.</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Consolidated Funded Indebtedness</w:t>
      </w:r>
      <w:r>
        <w:rPr>
          <w:rFonts w:ascii="Arial" w:cs="Arial" w:eastAsia="Arial" w:hAnsi="Arial"/>
          <w:sz w:val="15"/>
          <w:szCs w:val="15"/>
          <w:color w:val="auto"/>
        </w:rPr>
        <w:t>” means, for the Company and its Subsidiaries on a consolidated basis, the sum of the following (without duplication):</w:t>
      </w:r>
    </w:p>
    <w:p>
      <w:pPr>
        <w:spacing w:after="0" w:line="51" w:lineRule="exact"/>
        <w:rPr>
          <w:sz w:val="20"/>
          <w:szCs w:val="20"/>
          <w:color w:val="auto"/>
        </w:rPr>
      </w:pPr>
    </w:p>
    <w:p>
      <w:pPr>
        <w:jc w:val="both"/>
        <w:ind w:firstLine="8"/>
        <w:spacing w:after="0" w:line="262" w:lineRule="auto"/>
        <w:tabs>
          <w:tab w:leader="none" w:pos="252" w:val="left"/>
        </w:tabs>
        <w:numPr>
          <w:ilvl w:val="0"/>
          <w:numId w:val="35"/>
        </w:numPr>
        <w:rPr>
          <w:rFonts w:ascii="Arial" w:cs="Arial" w:eastAsia="Arial" w:hAnsi="Arial"/>
          <w:sz w:val="17"/>
          <w:szCs w:val="17"/>
          <w:color w:val="auto"/>
        </w:rPr>
      </w:pPr>
      <w:r>
        <w:rPr>
          <w:rFonts w:ascii="Arial" w:cs="Arial" w:eastAsia="Arial" w:hAnsi="Arial"/>
          <w:sz w:val="17"/>
          <w:szCs w:val="17"/>
          <w:color w:val="auto"/>
        </w:rPr>
        <w:t>all Indebtedness for borrowed money, (b) all Indebtedness for the deferred purchase price of property or services, (c) all Indebtedness evidenced by a note, acceptance or other like instrument, (d) all Capital Lease Obligations, and (e) the aggregate undrawn and available amount of all outstanding letters of credit except those issued to insurance providers based on expected losses on worker’s compensation obligations. For the avoidance of doubt, Indebtedness in respect of Bonding Obligations shall not be considered Consolidated Funded Indebtedness for purposes of this Agreement.</w:t>
      </w:r>
    </w:p>
    <w:p>
      <w:pPr>
        <w:spacing w:after="0" w:line="147" w:lineRule="exact"/>
        <w:rPr>
          <w:sz w:val="20"/>
          <w:szCs w:val="20"/>
          <w:color w:val="auto"/>
        </w:rPr>
      </w:pPr>
    </w:p>
    <w:p>
      <w:pPr>
        <w:ind w:firstLine="52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Expense</w:t>
      </w:r>
      <w:r>
        <w:rPr>
          <w:rFonts w:ascii="Arial" w:cs="Arial" w:eastAsia="Arial" w:hAnsi="Arial"/>
          <w:sz w:val="18"/>
          <w:szCs w:val="18"/>
          <w:color w:val="auto"/>
        </w:rPr>
        <w:t>” means, with reference to any applicable fiscal quarter or fiscal year period, the interest expense of the Company and its Subsidiaries calculated on a consolidated basis for such applicable period.</w:t>
      </w:r>
    </w:p>
    <w:p>
      <w:pPr>
        <w:spacing w:after="0" w:line="145" w:lineRule="exact"/>
        <w:rPr>
          <w:sz w:val="20"/>
          <w:szCs w:val="20"/>
          <w:color w:val="auto"/>
        </w:rPr>
      </w:pPr>
    </w:p>
    <w:p>
      <w:pPr>
        <w:ind w:firstLine="52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means, with reference to any period, the net income (or loss) of the Company and its Subsidiaries calculated on a consolidated basis for such period.</w:t>
      </w:r>
    </w:p>
    <w:p>
      <w:pPr>
        <w:spacing w:after="0" w:line="145" w:lineRule="exact"/>
        <w:rPr>
          <w:sz w:val="20"/>
          <w:szCs w:val="20"/>
          <w:color w:val="auto"/>
        </w:rPr>
      </w:pPr>
    </w:p>
    <w:p>
      <w:pPr>
        <w:ind w:firstLine="529"/>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7"/>
          <w:szCs w:val="17"/>
          <w:u w:val="single" w:color="auto"/>
          <w:color w:val="auto"/>
        </w:rPr>
        <w:t>Controlling</w:t>
      </w:r>
      <w:r>
        <w:rPr>
          <w:rFonts w:ascii="Arial" w:cs="Arial" w:eastAsia="Arial" w:hAnsi="Arial"/>
          <w:sz w:val="17"/>
          <w:szCs w:val="17"/>
          <w:color w:val="auto"/>
        </w:rPr>
        <w:t>” and “</w:t>
      </w:r>
      <w:r>
        <w:rPr>
          <w:rFonts w:ascii="Arial" w:cs="Arial" w:eastAsia="Arial" w:hAnsi="Arial"/>
          <w:sz w:val="17"/>
          <w:szCs w:val="17"/>
          <w:u w:val="single" w:color="auto"/>
          <w:color w:val="auto"/>
        </w:rPr>
        <w:t>Controlled</w:t>
      </w:r>
      <w:r>
        <w:rPr>
          <w:rFonts w:ascii="Arial" w:cs="Arial" w:eastAsia="Arial" w:hAnsi="Arial"/>
          <w:sz w:val="17"/>
          <w:szCs w:val="17"/>
          <w:color w:val="auto"/>
        </w:rPr>
        <w:t>” have meanings correlative thereto.</w:t>
      </w:r>
    </w:p>
    <w:p>
      <w:pPr>
        <w:spacing w:after="0" w:line="121" w:lineRule="exact"/>
        <w:rPr>
          <w:sz w:val="20"/>
          <w:szCs w:val="20"/>
          <w:color w:val="auto"/>
        </w:rPr>
      </w:pPr>
    </w:p>
    <w:p>
      <w:pPr>
        <w:jc w:val="both"/>
        <w:ind w:firstLine="529"/>
        <w:spacing w:after="0" w:line="36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Controlled Group</w:t>
      </w:r>
      <w:r>
        <w:rPr>
          <w:rFonts w:ascii="Arial" w:cs="Arial" w:eastAsia="Arial" w:hAnsi="Arial"/>
          <w:sz w:val="15"/>
          <w:szCs w:val="15"/>
          <w:color w:val="auto"/>
        </w:rPr>
        <w:t>” means all members of a controlled group of corporations or other business entities and all trades or businesses (whether or not incorporated) under common control which, together with the Company or any of its Subsidiaries, are treated as a single employer under Section 414 of the Code.</w:t>
      </w:r>
    </w:p>
    <w:p>
      <w:pPr>
        <w:spacing w:after="0" w:line="7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Parties</w:t>
      </w:r>
      <w:r>
        <w:rPr>
          <w:rFonts w:ascii="Arial" w:cs="Arial" w:eastAsia="Arial" w:hAnsi="Arial"/>
          <w:sz w:val="18"/>
          <w:szCs w:val="18"/>
          <w:color w:val="auto"/>
        </w:rPr>
        <w:t>” means the Borrowers and the Subsidiary Guarantors.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460"/>
          </w:cols>
          <w:pgMar w:left="220" w:top="508" w:right="219" w:bottom="1440" w:gutter="0" w:footer="0" w:header="0"/>
        </w:sectPr>
      </w:pPr>
    </w:p>
    <w:bookmarkStart w:id="73" w:name="page74"/>
    <w:bookmarkEnd w:id="73"/>
    <w:p>
      <w:pPr>
        <w:jc w:val="both"/>
        <w:ind w:firstLine="529"/>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53"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14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Defaulting Lender</w:t>
      </w:r>
      <w:r>
        <w:rPr>
          <w:rFonts w:ascii="Arial" w:cs="Arial" w:eastAsia="Arial" w:hAnsi="Arial"/>
          <w:sz w:val="15"/>
          <w:szCs w:val="15"/>
          <w:color w:val="auto"/>
        </w:rPr>
        <w:t xml:space="preserve">” means, subject to </w:t>
      </w:r>
      <w:r>
        <w:rPr>
          <w:rFonts w:ascii="Arial" w:cs="Arial" w:eastAsia="Arial" w:hAnsi="Arial"/>
          <w:sz w:val="15"/>
          <w:szCs w:val="15"/>
          <w:u w:val="single" w:color="auto"/>
          <w:color w:val="auto"/>
        </w:rPr>
        <w:t>Section 2.20</w:t>
      </w:r>
      <w:r>
        <w:rPr>
          <w:rFonts w:ascii="Arial" w:cs="Arial" w:eastAsia="Arial" w:hAnsi="Arial"/>
          <w:sz w:val="15"/>
          <w:szCs w:val="15"/>
          <w:color w:val="auto"/>
        </w:rPr>
        <w:t>, any Lender that (a) has failed, within two Business Days of the date required to be funded or paid, to</w:t>
      </w:r>
    </w:p>
    <w:p>
      <w:pPr>
        <w:spacing w:after="0" w:line="51" w:lineRule="exact"/>
        <w:rPr>
          <w:sz w:val="20"/>
          <w:szCs w:val="20"/>
          <w:color w:val="auto"/>
        </w:rPr>
      </w:pPr>
    </w:p>
    <w:p>
      <w:pPr>
        <w:jc w:val="both"/>
        <w:ind w:firstLine="8"/>
        <w:spacing w:after="0" w:line="294" w:lineRule="auto"/>
        <w:tabs>
          <w:tab w:leader="none" w:pos="218" w:val="left"/>
        </w:tabs>
        <w:numPr>
          <w:ilvl w:val="0"/>
          <w:numId w:val="36"/>
        </w:numPr>
        <w:rPr>
          <w:rFonts w:ascii="Arial" w:cs="Arial" w:eastAsia="Arial" w:hAnsi="Arial"/>
          <w:sz w:val="15"/>
          <w:szCs w:val="15"/>
          <w:color w:val="auto"/>
        </w:rPr>
      </w:pPr>
      <w:r>
        <w:rPr>
          <w:rFonts w:ascii="Arial" w:cs="Arial" w:eastAsia="Arial" w:hAnsi="Arial"/>
          <w:sz w:val="15"/>
          <w:szCs w:val="15"/>
          <w:color w:val="auto"/>
        </w:rPr>
        <w:t>fund any portion of its Loans, (ii) fund any portion of its participations in Letters of Credit or Swingline Loans or (iii) pay over to Administrative Agent, the Issuing Bank, the Swingline Lender or any other Lender, any other amount required to be paid by it hereunder, unless, in the case of clause (i) above, such Lender notifies the Administrative Agent and the Company in writing that such failure is the result of such Lender’s determination that a condition precedent to funding (specifically identified and including the particular default, if any) has not been satisfied, (b) has notified the Company, the Administrative Agent, the Issuing Bank, the Swingline Lender or any Lender in writing that it does not intend to comply with any of its funding obligations under this Agreement or has made a public statement to the effect that it does not intend to comply with its funding obligations under this Agreement (unless such writing or public statement relates to such Lender’s obligation to fund a Loan hereunder and indicates that such position is based on such Lender’s determination that a condition precedent (specifically identified and including the particular default, if any) to funding a loan under this Agreement cannot be satisfied), (c) has failed, within three Business Days after written request by the Administrative Agent or the Company, to confirm in writing to the Administrative Agent and the Company that it will comply with its prospective funding obligations hereunder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Lender shall cease to be a Defaulting Lender pursuant to this clause (c) upon receipt of such written confirmation by the Administrative Agent and the Company),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state or federal regulatory authority acting in such a capacity;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or (iii) become the subject of a Bail-In Action. Any determination by the Administrative Agent that a Lender is a Defaulting Lender under any one or more of clauses (a) through (d) above shall be conclusive and binding absent manifest error, and such Lender shall be deemed to be a Defaulting Lender (subject to </w:t>
      </w:r>
      <w:r>
        <w:rPr>
          <w:rFonts w:ascii="Arial" w:cs="Arial" w:eastAsia="Arial" w:hAnsi="Arial"/>
          <w:sz w:val="15"/>
          <w:szCs w:val="15"/>
          <w:u w:val="single" w:color="auto"/>
          <w:color w:val="auto"/>
        </w:rPr>
        <w:t>Section 2.20</w:t>
      </w:r>
      <w:r>
        <w:rPr>
          <w:rFonts w:ascii="Arial" w:cs="Arial" w:eastAsia="Arial" w:hAnsi="Arial"/>
          <w:sz w:val="15"/>
          <w:szCs w:val="15"/>
          <w:color w:val="auto"/>
        </w:rPr>
        <w:t>) upon delivery of written notice of such determination to the Company, the Issuing Bank, the Swingline Lender and each Lender.</w:t>
      </w:r>
    </w:p>
    <w:p>
      <w:pPr>
        <w:spacing w:after="0" w:line="336" w:lineRule="exact"/>
        <w:rPr>
          <w:sz w:val="20"/>
          <w:szCs w:val="20"/>
          <w:color w:val="auto"/>
        </w:rPr>
      </w:pPr>
    </w:p>
    <w:p>
      <w:pPr>
        <w:jc w:val="both"/>
        <w:ind w:firstLine="529"/>
        <w:spacing w:after="0" w:line="30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Distribution</w:t>
      </w:r>
      <w:r>
        <w:rPr>
          <w:rFonts w:ascii="Arial" w:cs="Arial" w:eastAsia="Arial" w:hAnsi="Arial"/>
          <w:sz w:val="15"/>
          <w:szCs w:val="15"/>
          <w:color w:val="auto"/>
        </w:rPr>
        <w:t>” means and includes, in respect of any corporation, partnership, limited liability company, association or other business entity: (a) dividends or other distributions or payments on capital stock or other Equity Interests in such corporation, partnership, limited liability company, association or other business entity (except distributions in such stock or other Equity Interest); and (b) the redemption, repurchase, retirement or acquisition of such stock or other Equity Interests or of warrants, rights or other options to purchase such stock or other Equity Interests (except when solely in exchange for such stock or other Equity Interests), unless made contemporaneously from the net proceeds of a sale of such stock or other Equity Interests.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460"/>
          </w:cols>
          <w:pgMar w:left="220" w:top="508" w:right="219" w:bottom="1440" w:gutter="0" w:footer="0" w:header="0"/>
        </w:sectPr>
      </w:pPr>
    </w:p>
    <w:bookmarkStart w:id="74" w:name="page75"/>
    <w:bookmarkEnd w:id="74"/>
    <w:p>
      <w:pPr>
        <w:jc w:val="both"/>
        <w:ind w:firstLine="529"/>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that is incorporated or organized under the laws of the United States or its territories or possessions, excluding (a) any such Subsidiary all or substantially all of the assets of which are Equity Interests (or Equity Interests and debt interests) in a Foreign Subsidiary (or Foreign Subsidiaries) and (b) any such Subsidiary that is owned by a Foreign Subsidiary.</w:t>
      </w:r>
    </w:p>
    <w:p>
      <w:pPr>
        <w:spacing w:after="0" w:line="153" w:lineRule="exact"/>
        <w:rPr>
          <w:sz w:val="20"/>
          <w:szCs w:val="20"/>
          <w:color w:val="auto"/>
        </w:rPr>
      </w:pPr>
    </w:p>
    <w:p>
      <w:pPr>
        <w:jc w:val="both"/>
        <w:ind w:firstLine="529"/>
        <w:spacing w:after="0" w:line="36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DTTP Filing</w:t>
      </w:r>
      <w:r>
        <w:rPr>
          <w:rFonts w:ascii="Arial" w:cs="Arial" w:eastAsia="Arial" w:hAnsi="Arial"/>
          <w:sz w:val="15"/>
          <w:szCs w:val="15"/>
          <w:color w:val="auto"/>
        </w:rPr>
        <w:t>” means an HM Revenue &amp; Customs’ Form DTTP2, duly completed and filed by each U.K. Borrower within the applicable time limit, which contains the scheme reference number and jurisdiction of tax residence provided by the Lender in writing to the Company and the Administrative Agent.</w:t>
      </w:r>
    </w:p>
    <w:p>
      <w:pPr>
        <w:spacing w:after="0" w:line="76" w:lineRule="exact"/>
        <w:rPr>
          <w:sz w:val="20"/>
          <w:szCs w:val="20"/>
          <w:color w:val="auto"/>
        </w:rPr>
      </w:pPr>
    </w:p>
    <w:p>
      <w:pPr>
        <w:jc w:val="both"/>
        <w:ind w:firstLine="529"/>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179"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administration of any EEA Financial Institution.</w:t>
      </w:r>
    </w:p>
    <w:p>
      <w:pPr>
        <w:spacing w:after="0" w:line="14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the introductory paragraph hereto.</w:t>
      </w:r>
    </w:p>
    <w:p>
      <w:pPr>
        <w:spacing w:after="0" w:line="179" w:lineRule="exact"/>
        <w:rPr>
          <w:sz w:val="20"/>
          <w:szCs w:val="20"/>
          <w:color w:val="auto"/>
        </w:rPr>
      </w:pPr>
    </w:p>
    <w:p>
      <w:pPr>
        <w:jc w:val="both"/>
        <w:ind w:firstLine="529"/>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laws, rules, regulations, codes, ordinances, orders in council, orders, decrees, judgments, injunctions, notices or binding agreements issued, promulgated or entered into by any Governmental Authority, relating in any way to the environment, preservation or reclamation of natural resources, or the management, presence, release or threatened release of any Hazardous Material.</w:t>
      </w:r>
    </w:p>
    <w:p>
      <w:pPr>
        <w:spacing w:after="0" w:line="153" w:lineRule="exact"/>
        <w:rPr>
          <w:sz w:val="20"/>
          <w:szCs w:val="20"/>
          <w:color w:val="auto"/>
        </w:rPr>
      </w:pPr>
    </w:p>
    <w:p>
      <w:pPr>
        <w:jc w:val="both"/>
        <w:ind w:firstLine="52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Liability</w:t>
      </w:r>
      <w:r>
        <w:rPr>
          <w:rFonts w:ascii="Arial" w:cs="Arial" w:eastAsia="Arial" w:hAnsi="Arial"/>
          <w:sz w:val="18"/>
          <w:szCs w:val="18"/>
          <w:color w:val="auto"/>
        </w:rPr>
        <w:t>” means any liability, contingent or otherwise (including any liability for damages, costs of environmental remediation, fines, penalties or indemnities), of the Company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58" w:lineRule="exact"/>
        <w:rPr>
          <w:sz w:val="20"/>
          <w:szCs w:val="20"/>
          <w:color w:val="auto"/>
        </w:rPr>
      </w:pPr>
    </w:p>
    <w:p>
      <w:pPr>
        <w:jc w:val="both"/>
        <w:ind w:firstLine="529"/>
        <w:spacing w:after="0" w:line="36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Equity Interests</w:t>
      </w:r>
      <w:r>
        <w:rPr>
          <w:rFonts w:ascii="Arial" w:cs="Arial" w:eastAsia="Arial" w:hAnsi="Arial"/>
          <w:sz w:val="15"/>
          <w:szCs w:val="15"/>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76" w:lineRule="exact"/>
        <w:rPr>
          <w:sz w:val="20"/>
          <w:szCs w:val="20"/>
          <w:color w:val="auto"/>
        </w:rPr>
      </w:pPr>
    </w:p>
    <w:p>
      <w:pPr>
        <w:jc w:val="both"/>
        <w:ind w:firstLine="529"/>
        <w:spacing w:after="0" w:line="30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Equivalent Amount</w:t>
      </w:r>
      <w:r>
        <w:rPr>
          <w:rFonts w:ascii="Arial" w:cs="Arial" w:eastAsia="Arial" w:hAnsi="Arial"/>
          <w:sz w:val="15"/>
          <w:szCs w:val="15"/>
          <w:color w:val="auto"/>
        </w:rPr>
        <w:t>” means, on any date of determination, with respect to obligations or valuations denominated in one currency (the “first currency”), the amount of another currency (the “second currency”) which would result from the conversion of the relevant amount of the first currency into the second currency at the 12:00 noon rate quoted by Bloomberg on www.bloomberg.com/markets/currencies/fxc.html (Page BOFC or such other Page as may replace such Page for the purpose of displaying such exchange rates) on such date or, if such date is not a Business Day, on the Business Day immediately preceding such date of determination, or at such other rate as may have been agreed in writing between the Company and Administrative Agent.</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460"/>
          </w:cols>
          <w:pgMar w:left="220" w:top="509" w:right="219" w:bottom="1440" w:gutter="0" w:footer="0" w:header="0"/>
        </w:sectPr>
      </w:pPr>
    </w:p>
    <w:bookmarkStart w:id="75" w:name="page76"/>
    <w:bookmarkEnd w:id="75"/>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w:t>
      </w:r>
    </w:p>
    <w:p>
      <w:pPr>
        <w:spacing w:after="0" w:line="179" w:lineRule="exact"/>
        <w:rPr>
          <w:sz w:val="20"/>
          <w:szCs w:val="20"/>
          <w:color w:val="auto"/>
        </w:rPr>
      </w:pPr>
    </w:p>
    <w:p>
      <w:pPr>
        <w:jc w:val="both"/>
        <w:ind w:firstLine="529"/>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Company, is treated as a single employer under Section 414(b) or (c) of the Code or, solely for purposes of Section 302 of ERISA and Section 412 of the Code, is treated as a single employer under Section 414 of the Code.</w:t>
      </w:r>
    </w:p>
    <w:p>
      <w:pPr>
        <w:spacing w:after="0" w:line="153" w:lineRule="exact"/>
        <w:rPr>
          <w:sz w:val="20"/>
          <w:szCs w:val="20"/>
          <w:color w:val="auto"/>
        </w:rPr>
      </w:pPr>
    </w:p>
    <w:p>
      <w:pPr>
        <w:jc w:val="both"/>
        <w:ind w:firstLine="529"/>
        <w:spacing w:after="0" w:line="29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ERISA Event</w:t>
      </w:r>
      <w:r>
        <w:rPr>
          <w:rFonts w:ascii="Arial" w:cs="Arial" w:eastAsia="Arial" w:hAnsi="Arial"/>
          <w:sz w:val="15"/>
          <w:szCs w:val="15"/>
          <w:color w:val="auto"/>
        </w:rPr>
        <w:t>” means (a) any “reportable event”, as defined in Section 4043 of ERISA or the regulations issued thereunder with respect to a Plan (other than an event for which the 30 day notice period is waived); (b) the existence with respect to any Plan of an “accumulated funding deficiency” (as defined in Section 412 of the Code or Section 302 of ERISA), whether or not waived, failure by the Company or an ERISA Affiliate to make its “minimum required contributions” (within the meaning of Section 303 of ERISA) to a Plan, or the existence of a “funding shortfall” (within the meaning of Section 303 of ERISA) with respect to a Plan; (c) the filing pursuant to Section 412(d) of the Code or Section 303(d) of ERISA of an application for a waiver of the minimum funding standard with respect to any Plan; (d) the incurrence by the Company or any of an ERISA Affiliate of any liability under Title IV of ERISA with respect to the termination of any Plan; (e) the receipt by the Company or an ERISA Affiliate from the PBGC or a plan administrator of any notice relating to an intention to terminate any Plan or Plans or to appoint a trustee to administer any Plan; (f) the incurrence by the Company or an ERISA Affiliates of any liability with respect to the withdrawal or partial withdrawal from any Plan or Multiemployer Plan; (g) the receipt by the Company or an ERISA Affiliate of any notice, or the receipt by any Multiemployer Plan from the Company or an ERISA Affiliate of any notice, concerning the imposition of Withdrawal Liability or a determination that a Multiemployer Plan is, or is expected to be, “at-risk” (within the meaning of Section 303 of ERISA), in “endangered” or “critical” status (within the meaning of Section 305 of ERISA), or “insolvent” or in “reorganization” within the meaning of Title IV of ERISA; or (h) any other event, condition, course of action or inaction, or circumstance with respect to any employee benefit plan as defined in Section 3(3) or ERISA of which the Company or an ERISA Affiliate is an “employer” which has established or maintained such plan, or is otherwise the employer in relation to it as described and defined in Section 3(5) of ERISA, which materially reduces, limits, prevents or ceases compliance of such employee benefit plan with ERISA, the Code or other applicable laws and regulations.</w:t>
      </w:r>
    </w:p>
    <w:p>
      <w:pPr>
        <w:spacing w:after="0" w:line="339"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23" w:lineRule="exact"/>
        <w:rPr>
          <w:sz w:val="20"/>
          <w:szCs w:val="20"/>
          <w:color w:val="auto"/>
        </w:rPr>
      </w:pPr>
    </w:p>
    <w:p>
      <w:pPr>
        <w:jc w:val="both"/>
        <w:ind w:firstLine="529"/>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EURIBO Rate</w:t>
      </w:r>
      <w:r>
        <w:rPr>
          <w:rFonts w:ascii="Arial" w:cs="Arial" w:eastAsia="Arial" w:hAnsi="Arial"/>
          <w:sz w:val="17"/>
          <w:szCs w:val="17"/>
          <w:color w:val="auto"/>
        </w:rPr>
        <w:t xml:space="preserve">” means, with respect to any EURIBOR Borrowing for any Interest Period, (a) the applicable Screen Rate as of 11:00 a.m. Frankfurt time on the Quotation Day or (b) if no Screen Rate is available for such Interest Period, the applicable Interpolated Rate as of such time on the Quotation Day or, if applicable pursuant to the terms of </w:t>
      </w:r>
      <w:r>
        <w:rPr>
          <w:rFonts w:ascii="Arial" w:cs="Arial" w:eastAsia="Arial" w:hAnsi="Arial"/>
          <w:sz w:val="17"/>
          <w:szCs w:val="17"/>
          <w:u w:val="single" w:color="auto"/>
          <w:color w:val="auto"/>
        </w:rPr>
        <w:t>Section 2.14(a)</w:t>
      </w:r>
      <w:r>
        <w:rPr>
          <w:rFonts w:ascii="Arial" w:cs="Arial" w:eastAsia="Arial" w:hAnsi="Arial"/>
          <w:sz w:val="17"/>
          <w:szCs w:val="17"/>
          <w:color w:val="auto"/>
        </w:rPr>
        <w:t>, the applicable Reference Bank Rate as of such time on the Quotation Day.</w:t>
      </w:r>
    </w:p>
    <w:p>
      <w:pPr>
        <w:spacing w:after="0" w:line="135"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EURIBOR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EURIBO Rate.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Euro/Sterling Borrower</w:t>
      </w:r>
      <w:r>
        <w:rPr>
          <w:rFonts w:ascii="Arial" w:cs="Arial" w:eastAsia="Arial" w:hAnsi="Arial"/>
          <w:sz w:val="17"/>
          <w:szCs w:val="17"/>
          <w:color w:val="auto"/>
        </w:rPr>
        <w:t>” means Matrix International Holding Company Limited, a private company formed under the laws of England and Wales.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460"/>
          </w:cols>
          <w:pgMar w:left="220" w:top="508" w:right="219" w:bottom="1440" w:gutter="0" w:footer="0" w:header="0"/>
        </w:sectPr>
      </w:pPr>
    </w:p>
    <w:bookmarkStart w:id="76" w:name="page77"/>
    <w:bookmarkEnd w:id="76"/>
    <w:p>
      <w:pPr>
        <w:jc w:val="both"/>
        <w:ind w:firstLine="52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Adjusted LIBO Rate.</w:t>
      </w:r>
    </w:p>
    <w:p>
      <w:pPr>
        <w:spacing w:after="0" w:line="14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means the single currency of the participating member states of the European Union.</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179" w:lineRule="exact"/>
        <w:rPr>
          <w:sz w:val="20"/>
          <w:szCs w:val="20"/>
          <w:color w:val="auto"/>
        </w:rPr>
      </w:pPr>
    </w:p>
    <w:p>
      <w:pPr>
        <w:jc w:val="both"/>
        <w:ind w:firstLine="529"/>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Swap Obligation</w:t>
      </w:r>
      <w:r>
        <w:rPr>
          <w:rFonts w:ascii="Arial" w:cs="Arial" w:eastAsia="Arial" w:hAnsi="Arial"/>
          <w:sz w:val="18"/>
          <w:szCs w:val="18"/>
          <w:color w:val="auto"/>
        </w:rPr>
        <w:t>” means, with respect to any Credit Party, any Swap Obligation if, and to the extent that, all or a portion of such Credit Party’s Guarantee of, joint and several liability for, or grant of a Lien to secure, such Swap Obligation (or any Guarantee thereof or joint and several liability therefor) is or becomes illegal under the Commodity Exchange Act or any rule, regulation or order of the Commodity Futures Trading Commission (or the application or official interpretation of any thereof) by virtue of such Credit Party’s failure for any reason to constitute an “eligible contract participant” as defined in the Commodity Exchange Act and the regulations thereunder at the time the Guarantee or joint and several liability of such Credit Party or the grant of such Lien becomes effective with respect to such Swap Obligation. If a Swap Obligation arises under a master agreement governing more than one swap, such exclusion shall apply only to the portion of such Swap Obligation that is attributable to swaps for which such Guarantee, joint and several liability or Lien is or becomes illegal.</w:t>
      </w:r>
    </w:p>
    <w:p>
      <w:pPr>
        <w:spacing w:after="0" w:line="161"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and United Kingdom withholding Taxes (excluding (x) the portion of United Kingdom withholding taxes with respect to which the applicable Lender is entitled to claim a reduction under an income tax treaty and (y) United Kingdom withholding Taxes on payments made by any </w:t>
      </w:r>
      <w:r>
        <w:rPr>
          <w:rFonts w:ascii="Arial" w:cs="Arial" w:eastAsia="Arial" w:hAnsi="Arial"/>
          <w:sz w:val="15"/>
          <w:szCs w:val="15"/>
          <w:color w:val="auto"/>
        </w:rPr>
        <w:t>Subsidiary</w:t>
      </w:r>
      <w:r>
        <w:rPr>
          <w:rFonts w:ascii="Arial" w:cs="Arial" w:eastAsia="Arial" w:hAnsi="Arial"/>
          <w:sz w:val="17"/>
          <w:szCs w:val="17"/>
          <w:color w:val="auto"/>
        </w:rPr>
        <w:t xml:space="preserve"> Guarantor under any Guarantee)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the Borrowers under </w:t>
      </w:r>
      <w:r>
        <w:rPr>
          <w:rFonts w:ascii="Arial" w:cs="Arial" w:eastAsia="Arial" w:hAnsi="Arial"/>
          <w:sz w:val="17"/>
          <w:szCs w:val="17"/>
          <w:u w:val="single" w:color="auto"/>
          <w:color w:val="auto"/>
        </w:rPr>
        <w:t>Section 2.19(b)</w:t>
      </w:r>
      <w:r>
        <w:rPr>
          <w:rFonts w:ascii="Arial" w:cs="Arial" w:eastAsia="Arial" w:hAnsi="Arial"/>
          <w:sz w:val="17"/>
          <w:szCs w:val="17"/>
          <w:color w:val="auto"/>
        </w:rPr>
        <w:t xml:space="preserve">) or (ii) such Lender changes its lending office, except in each case to the extent that, pursuant to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7"/>
          <w:szCs w:val="17"/>
          <w:u w:val="single" w:color="auto"/>
          <w:color w:val="auto"/>
        </w:rPr>
        <w:t>Section 2.17(f)</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(g)</w:t>
      </w:r>
      <w:r>
        <w:rPr>
          <w:rFonts w:ascii="Arial" w:cs="Arial" w:eastAsia="Arial" w:hAnsi="Arial"/>
          <w:sz w:val="17"/>
          <w:szCs w:val="17"/>
          <w:color w:val="auto"/>
        </w:rPr>
        <w:t xml:space="preserve"> and (d) any U.S. Federal withholding Taxes imposed under FATCA.</w:t>
      </w:r>
    </w:p>
    <w:p>
      <w:pPr>
        <w:spacing w:after="0" w:line="14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has the meaning set forth in the recitals hereto.</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means the letters of credit described on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79"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Security Agreements</w:t>
      </w:r>
      <w:r>
        <w:rPr>
          <w:rFonts w:ascii="Arial" w:cs="Arial" w:eastAsia="Arial" w:hAnsi="Arial"/>
          <w:sz w:val="18"/>
          <w:szCs w:val="18"/>
          <w:color w:val="auto"/>
        </w:rPr>
        <w:t xml:space="preserve">” means those certain Pledge and Security Agreements or similar agreements described on </w:t>
      </w:r>
      <w:r>
        <w:rPr>
          <w:rFonts w:ascii="Arial" w:cs="Arial" w:eastAsia="Arial" w:hAnsi="Arial"/>
          <w:sz w:val="18"/>
          <w:szCs w:val="18"/>
          <w:u w:val="single" w:color="auto"/>
          <w:color w:val="auto"/>
        </w:rPr>
        <w:t>Exhibit C</w:t>
      </w:r>
      <w:r>
        <w:rPr>
          <w:rFonts w:ascii="Arial" w:cs="Arial" w:eastAsia="Arial" w:hAnsi="Arial"/>
          <w:sz w:val="18"/>
          <w:szCs w:val="18"/>
          <w:color w:val="auto"/>
        </w:rPr>
        <w:t>, as they may be ratified, amended or modified and in effect from time to time.</w:t>
      </w:r>
    </w:p>
    <w:p>
      <w:pPr>
        <w:spacing w:after="0" w:line="145" w:lineRule="exact"/>
        <w:rPr>
          <w:sz w:val="20"/>
          <w:szCs w:val="20"/>
          <w:color w:val="auto"/>
        </w:rPr>
      </w:pPr>
    </w:p>
    <w:p>
      <w:pPr>
        <w:jc w:val="both"/>
        <w:ind w:firstLine="529"/>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1460"/>
          </w:cols>
          <w:pgMar w:left="220" w:top="508" w:right="219" w:bottom="1440" w:gutter="0" w:footer="0" w:header="0"/>
        </w:sectPr>
      </w:pPr>
    </w:p>
    <w:bookmarkStart w:id="77" w:name="page78"/>
    <w:bookmarkEnd w:id="77"/>
    <w:p>
      <w:pPr>
        <w:jc w:val="both"/>
        <w:ind w:firstLine="529"/>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xml:space="preserve">” means, for any day, the rate calculated by the FRBNY based on such day’s federal funds transactions by depository institutions, as determined in such manner as the FRBNY shall set forth on its public website from time to time, and published on the next succeeding Business Day by the FRBNY as the federal funds effective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Federal Funds Effective Rate shall be less than zero, such rate shall be deemed to be zero for purposes of this Agreement.</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the chief financial officer, principal accounting officer, treasurer or controller of the Company.</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Fixed Charge Coverage Ratio</w:t>
      </w:r>
      <w:r>
        <w:rPr>
          <w:rFonts w:ascii="Arial" w:cs="Arial" w:eastAsia="Arial" w:hAnsi="Arial"/>
          <w:sz w:val="15"/>
          <w:szCs w:val="15"/>
          <w:color w:val="auto"/>
        </w:rPr>
        <w:t>” means, as of the last day of any fiscal quarter, the ratio determined as follows (with all calculations to be made for the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Company and its Subsidiaries in accordance with GAAP on a consolidated basis):</w:t>
      </w:r>
    </w:p>
    <w:p>
      <w:pPr>
        <w:spacing w:after="0" w:line="165" w:lineRule="exact"/>
        <w:rPr>
          <w:sz w:val="20"/>
          <w:szCs w:val="20"/>
          <w:color w:val="auto"/>
        </w:rPr>
      </w:pPr>
    </w:p>
    <w:p>
      <w:pPr>
        <w:jc w:val="both"/>
        <w:ind w:left="540"/>
        <w:spacing w:after="0" w:line="252" w:lineRule="auto"/>
        <w:rPr>
          <w:sz w:val="20"/>
          <w:szCs w:val="20"/>
          <w:color w:val="auto"/>
        </w:rPr>
      </w:pPr>
      <w:r>
        <w:rPr>
          <w:rFonts w:ascii="Arial" w:cs="Arial" w:eastAsia="Arial" w:hAnsi="Arial"/>
          <w:sz w:val="18"/>
          <w:szCs w:val="18"/>
          <w:i w:val="1"/>
          <w:iCs w:val="1"/>
          <w:color w:val="auto"/>
        </w:rPr>
        <w:t>Numerator</w:t>
      </w:r>
      <w:r>
        <w:rPr>
          <w:rFonts w:ascii="Arial" w:cs="Arial" w:eastAsia="Arial" w:hAnsi="Arial"/>
          <w:sz w:val="18"/>
          <w:szCs w:val="18"/>
          <w:color w:val="auto"/>
        </w:rPr>
        <w:t>: Consolidated EBITDA for the previous four fiscal quarters ending on such day less all Capital Expenditures and Distributions (not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made pursuant to and in accordance with stock incentive plans, employee stock purchase plans or other benefit plans for management or employees of the Company and its Subsidiaries) by the Company during the same period.</w:t>
      </w:r>
    </w:p>
    <w:p>
      <w:pPr>
        <w:spacing w:after="0" w:line="153" w:lineRule="exact"/>
        <w:rPr>
          <w:sz w:val="20"/>
          <w:szCs w:val="20"/>
          <w:color w:val="auto"/>
        </w:rPr>
      </w:pPr>
    </w:p>
    <w:p>
      <w:pPr>
        <w:jc w:val="both"/>
        <w:ind w:left="540"/>
        <w:spacing w:after="0" w:line="249" w:lineRule="auto"/>
        <w:rPr>
          <w:sz w:val="20"/>
          <w:szCs w:val="20"/>
          <w:color w:val="auto"/>
        </w:rPr>
      </w:pPr>
      <w:r>
        <w:rPr>
          <w:rFonts w:ascii="Arial" w:cs="Arial" w:eastAsia="Arial" w:hAnsi="Arial"/>
          <w:sz w:val="18"/>
          <w:szCs w:val="18"/>
          <w:i w:val="1"/>
          <w:iCs w:val="1"/>
          <w:color w:val="auto"/>
        </w:rPr>
        <w:t>Denominator</w:t>
      </w:r>
      <w:r>
        <w:rPr>
          <w:rFonts w:ascii="Arial" w:cs="Arial" w:eastAsia="Arial" w:hAnsi="Arial"/>
          <w:sz w:val="18"/>
          <w:szCs w:val="18"/>
          <w:color w:val="auto"/>
        </w:rPr>
        <w:t>: (i) net cash taxes paid for the previous four fiscal quarters ending on such day, (ii) PLUS scheduled current maturities of any Indebtedness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next four fiscal quarters (excluding the maturity of the Revolving Loans on the Termination Date), (iii) PLUS Consolidated Interest Expense for the previous four fiscal quarters ending on such day (excluding amounts included in Consolidated Interest Expense for amortization of deferred financing fees).</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Flood Insurance Laws</w:t>
      </w:r>
      <w:r>
        <w:rPr>
          <w:rFonts w:ascii="Arial" w:cs="Arial" w:eastAsia="Arial" w:hAnsi="Arial"/>
          <w:sz w:val="15"/>
          <w:szCs w:val="15"/>
          <w:color w:val="auto"/>
        </w:rPr>
        <w:t>” means, collectively, (a) the National Flood Insurance Act of 1968 as now or hereafter in effect or any successor statute thereto,</w:t>
      </w:r>
    </w:p>
    <w:p>
      <w:pPr>
        <w:spacing w:after="0" w:line="51" w:lineRule="exact"/>
        <w:rPr>
          <w:sz w:val="20"/>
          <w:szCs w:val="20"/>
          <w:color w:val="auto"/>
        </w:rPr>
      </w:pPr>
    </w:p>
    <w:p>
      <w:pPr>
        <w:jc w:val="both"/>
        <w:ind w:firstLine="8"/>
        <w:spacing w:after="0" w:line="263" w:lineRule="auto"/>
        <w:tabs>
          <w:tab w:leader="none" w:pos="2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the Flood Disaster Protection Act of 1973 as now or hereafter in effect or any successor statute thereto, (c) the National Flood Insurance Reform Act of 1994 as now or hereafter in effect or any successor statute thereto, (d) the Flood Insurance Reform Act of 2004 as now or hereafter </w:t>
      </w:r>
      <w:r>
        <w:rPr>
          <w:rFonts w:ascii="Arial" w:cs="Arial" w:eastAsia="Arial" w:hAnsi="Arial"/>
          <w:sz w:val="15"/>
          <w:szCs w:val="15"/>
          <w:color w:val="auto"/>
        </w:rPr>
        <w:t>in effect or any successor statute</w:t>
      </w:r>
      <w:r>
        <w:rPr>
          <w:rFonts w:ascii="Arial" w:cs="Arial" w:eastAsia="Arial" w:hAnsi="Arial"/>
          <w:sz w:val="17"/>
          <w:szCs w:val="17"/>
          <w:color w:val="auto"/>
        </w:rPr>
        <w:t xml:space="preserve"> </w:t>
      </w:r>
      <w:r>
        <w:rPr>
          <w:rFonts w:ascii="Arial" w:cs="Arial" w:eastAsia="Arial" w:hAnsi="Arial"/>
          <w:sz w:val="15"/>
          <w:szCs w:val="15"/>
          <w:color w:val="auto"/>
        </w:rPr>
        <w:t>thereto, and (e) the Biggert-Waters Flood Insurance Reform Act of 2012 as now or hereafter in effect or any successor statute thereto.</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Borrower</w:t>
      </w:r>
      <w:r>
        <w:rPr>
          <w:rFonts w:ascii="Arial" w:cs="Arial" w:eastAsia="Arial" w:hAnsi="Arial"/>
          <w:sz w:val="18"/>
          <w:szCs w:val="18"/>
          <w:color w:val="auto"/>
        </w:rPr>
        <w:t>” means each Borrower other than the Company.</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w:t>
      </w:r>
      <w:r>
        <w:rPr>
          <w:rFonts w:ascii="Arial" w:cs="Arial" w:eastAsia="Arial" w:hAnsi="Arial"/>
          <w:sz w:val="18"/>
          <w:szCs w:val="18"/>
          <w:color w:val="auto"/>
        </w:rPr>
        <w:t>” means (a) Canadian Dollars, (b) Euros, (c) Sterling and (d) Australian Dollars.</w:t>
      </w:r>
    </w:p>
    <w:p>
      <w:pPr>
        <w:spacing w:after="0" w:line="179" w:lineRule="exact"/>
        <w:rPr>
          <w:sz w:val="20"/>
          <w:szCs w:val="20"/>
          <w:color w:val="auto"/>
        </w:rPr>
      </w:pPr>
    </w:p>
    <w:p>
      <w:pPr>
        <w:jc w:val="both"/>
        <w:ind w:firstLine="529"/>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Currency Exposure</w:t>
      </w:r>
      <w:r>
        <w:rPr>
          <w:rFonts w:ascii="Arial" w:cs="Arial" w:eastAsia="Arial" w:hAnsi="Arial"/>
          <w:sz w:val="17"/>
          <w:szCs w:val="17"/>
          <w:color w:val="auto"/>
        </w:rPr>
        <w:t>” means, at any time, the sum of the aggregate outstanding principal amount of Revolving Loans denominated in Foreign Currencies and the total LC Exposure of Letters of Credit denominated in Australian Dollars, Euros and Sterling, in each case, at such time.</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 Sublimit</w:t>
      </w:r>
      <w:r>
        <w:rPr>
          <w:rFonts w:ascii="Arial" w:cs="Arial" w:eastAsia="Arial" w:hAnsi="Arial"/>
          <w:sz w:val="18"/>
          <w:szCs w:val="18"/>
          <w:color w:val="auto"/>
        </w:rPr>
        <w:t>” means $75,000,000.</w:t>
      </w:r>
    </w:p>
    <w:p>
      <w:pPr>
        <w:spacing w:after="0" w:line="179" w:lineRule="exact"/>
        <w:rPr>
          <w:sz w:val="20"/>
          <w:szCs w:val="20"/>
          <w:color w:val="auto"/>
        </w:rPr>
      </w:pPr>
    </w:p>
    <w:p>
      <w:pPr>
        <w:jc w:val="both"/>
        <w:ind w:firstLine="52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with respect to any Borrower, any Lender that is organized under the laws of a jurisdiction other than that in which such Borrower is located. For purposes of this definition, (i) the United States of America, each State thereof and the District of Columbia shall be deemed to constitute a single jurisdiction, (ii) Canada, and each province or territory therein, shall be deemed to constitute a single jurisdiction, and (iii) a Lender that has designated a Canadian lending office in respect of Loans made to a Canadian Borrower, or that is an Authorized Foreign Bank, shall be deemed to be organized under the laws of the jurisdiction in which the Canadian Borrower is located.</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1460"/>
          </w:cols>
          <w:pgMar w:left="220" w:top="508" w:right="219" w:bottom="1440" w:gutter="0" w:footer="0" w:header="0"/>
        </w:sectPr>
      </w:pPr>
    </w:p>
    <w:bookmarkStart w:id="78" w:name="page79"/>
    <w:bookmarkEnd w:id="78"/>
    <w:p>
      <w:pPr>
        <w:jc w:val="both"/>
        <w:ind w:firstLine="529"/>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(other than the Foreign Borrowers) that is not incorporated or organized under the laws of the United States or its territories or possessions, or a Subsidiary that is incorporated under the laws of the United States or its territories or possessions but is not a Domestic Subsidiary as defined in this Agreement.</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FRBNY</w:t>
      </w:r>
      <w:r>
        <w:rPr>
          <w:rFonts w:ascii="Arial" w:cs="Arial" w:eastAsia="Arial" w:hAnsi="Arial"/>
          <w:sz w:val="18"/>
          <w:szCs w:val="18"/>
          <w:color w:val="auto"/>
        </w:rPr>
        <w:t>” means the Federal Reserve Bank of New York.</w:t>
      </w:r>
    </w:p>
    <w:p>
      <w:pPr>
        <w:spacing w:after="0" w:line="179" w:lineRule="exact"/>
        <w:rPr>
          <w:sz w:val="20"/>
          <w:szCs w:val="20"/>
          <w:color w:val="auto"/>
        </w:rPr>
      </w:pPr>
    </w:p>
    <w:p>
      <w:pPr>
        <w:jc w:val="both"/>
        <w:ind w:firstLine="52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FRBNY Rate</w:t>
      </w:r>
      <w:r>
        <w:rPr>
          <w:rFonts w:ascii="Arial" w:cs="Arial" w:eastAsia="Arial" w:hAnsi="Arial"/>
          <w:sz w:val="18"/>
          <w:szCs w:val="18"/>
          <w:color w:val="auto"/>
        </w:rPr>
        <w:t xml:space="preserve">” means, for any day, the greater of (a) the Federal Funds Effective Rate in effect on such day and (b) the Overnight Bank Funding Rate in effect on such day (or for any day that is not a Banking Day, for the immediately preceding Banking Day); provided that if none of such rates are published for any day that is a Business Day, the term “FRBNY Rate” means the rate for a federal funds transaction quoted at 11:00 a.m. on such day received to the Administrative Agent from a Federal funds broker of recognized standing selected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any of the aforesaid rates shall be less than zero, such rate shall be deemed to be zero for purposes of this Agreement.</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w:t>
      </w:r>
    </w:p>
    <w:p>
      <w:pPr>
        <w:spacing w:after="0" w:line="179" w:lineRule="exact"/>
        <w:rPr>
          <w:sz w:val="20"/>
          <w:szCs w:val="20"/>
          <w:color w:val="auto"/>
        </w:rPr>
      </w:pPr>
    </w:p>
    <w:p>
      <w:pPr>
        <w:jc w:val="both"/>
        <w:ind w:firstLine="529"/>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or any other nation or any political subdivision thereof, whether provincial, territorial,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55" w:lineRule="exact"/>
        <w:rPr>
          <w:sz w:val="20"/>
          <w:szCs w:val="20"/>
          <w:color w:val="auto"/>
        </w:rPr>
      </w:pPr>
    </w:p>
    <w:p>
      <w:pPr>
        <w:jc w:val="both"/>
        <w:ind w:firstLine="529"/>
        <w:spacing w:after="0" w:line="30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Guarantee</w:t>
      </w:r>
      <w:r>
        <w:rPr>
          <w:rFonts w:ascii="Arial" w:cs="Arial" w:eastAsia="Arial" w:hAnsi="Arial"/>
          <w:sz w:val="15"/>
          <w:szCs w:val="15"/>
          <w:color w:val="auto"/>
        </w:rPr>
        <w:t>” of or by any Person (the “</w:t>
      </w:r>
      <w:r>
        <w:rPr>
          <w:rFonts w:ascii="Arial" w:cs="Arial" w:eastAsia="Arial" w:hAnsi="Arial"/>
          <w:sz w:val="15"/>
          <w:szCs w:val="15"/>
          <w:u w:val="single" w:color="auto"/>
          <w:color w:val="auto"/>
        </w:rPr>
        <w:t>guarantor</w:t>
      </w:r>
      <w:r>
        <w:rPr>
          <w:rFonts w:ascii="Arial" w:cs="Arial" w:eastAsia="Arial" w:hAnsi="Arial"/>
          <w:sz w:val="15"/>
          <w:szCs w:val="15"/>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5"/>
          <w:szCs w:val="15"/>
          <w:u w:val="single" w:color="auto"/>
          <w:color w:val="auto"/>
        </w:rPr>
        <w:t>primary obligor</w:t>
      </w:r>
      <w:r>
        <w:rPr>
          <w:rFonts w:ascii="Arial" w:cs="Arial" w:eastAsia="Arial" w:hAnsi="Arial"/>
          <w:sz w:val="15"/>
          <w:szCs w:val="15"/>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5"/>
          <w:szCs w:val="15"/>
          <w:u w:val="single" w:color="auto"/>
          <w:color w:val="auto"/>
        </w:rPr>
        <w:t>provided</w:t>
      </w:r>
      <w:r>
        <w:rPr>
          <w:rFonts w:ascii="Arial" w:cs="Arial" w:eastAsia="Arial" w:hAnsi="Arial"/>
          <w:sz w:val="15"/>
          <w:szCs w:val="15"/>
          <w:color w:val="auto"/>
        </w:rPr>
        <w:t>, that the term Guarantee shall not include endorsements for collection or deposit in the ordinary course of business.</w:t>
      </w:r>
    </w:p>
    <w:p>
      <w:pPr>
        <w:spacing w:after="0" w:line="121" w:lineRule="exact"/>
        <w:rPr>
          <w:sz w:val="20"/>
          <w:szCs w:val="20"/>
          <w:color w:val="auto"/>
        </w:rPr>
      </w:pPr>
    </w:p>
    <w:p>
      <w:pPr>
        <w:jc w:val="both"/>
        <w:ind w:firstLine="529"/>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contaminants,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HMRC DT Treaty Passport scheme</w:t>
      </w:r>
      <w:r>
        <w:rPr>
          <w:rFonts w:ascii="Arial" w:cs="Arial" w:eastAsia="Arial" w:hAnsi="Arial"/>
          <w:sz w:val="18"/>
          <w:szCs w:val="18"/>
          <w:color w:val="auto"/>
        </w:rPr>
        <w:t>” means the Board of H.M. Revenue and Customs Double Taxation Treaty Passport scheme.</w:t>
      </w:r>
    </w:p>
    <w:p>
      <w:pPr>
        <w:spacing w:after="0" w:line="157" w:lineRule="exact"/>
        <w:rPr>
          <w:sz w:val="20"/>
          <w:szCs w:val="20"/>
          <w:color w:val="auto"/>
        </w:rPr>
      </w:pPr>
    </w:p>
    <w:p>
      <w:pPr>
        <w:jc w:val="both"/>
        <w:ind w:firstLine="529"/>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means any Subsidiary (other than a Borrower) (a) the total assets of which, determined as of the last day of any fiscal quarter, are less than or equal to 5% of the consolidated total assets of the Company and its Subsidiaries as at such date, and (b) for which the consolidated revenue attributable to such Subsidiary and its Subsidiaries for the three months ending on the last day of any fiscal quarter is less than or equal to 5% of the consolidated revenue of the Company and its Subsidiaries for the same period.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1460"/>
          </w:cols>
          <w:pgMar w:left="220" w:top="508" w:right="219" w:bottom="1440" w:gutter="0" w:footer="0" w:header="0"/>
        </w:sectPr>
      </w:pPr>
    </w:p>
    <w:bookmarkStart w:id="79" w:name="page80"/>
    <w:bookmarkEnd w:id="79"/>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Lender</w:t>
      </w:r>
      <w:r>
        <w:rPr>
          <w:rFonts w:ascii="Arial" w:cs="Arial" w:eastAsia="Arial" w:hAnsi="Arial"/>
          <w:sz w:val="18"/>
          <w:szCs w:val="18"/>
          <w:color w:val="auto"/>
        </w:rPr>
        <w:t>” means Bank of America, N.A.</w:t>
      </w:r>
    </w:p>
    <w:p>
      <w:pPr>
        <w:spacing w:after="0" w:line="179"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xml:space="preserve">” means a Lender that agrees to increase its Revolving Commitment in accordance with the provisions of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or a new bank or financial institution that becomes party to this Agreement pursuant to the provisions of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145" w:lineRule="exact"/>
        <w:rPr>
          <w:sz w:val="20"/>
          <w:szCs w:val="20"/>
          <w:color w:val="auto"/>
        </w:rPr>
      </w:pPr>
    </w:p>
    <w:p>
      <w:pPr>
        <w:jc w:val="both"/>
        <w:ind w:firstLine="529"/>
        <w:spacing w:after="0" w:line="29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Indebtedness</w:t>
      </w:r>
      <w:r>
        <w:rPr>
          <w:rFonts w:ascii="Arial" w:cs="Arial" w:eastAsia="Arial" w:hAnsi="Arial"/>
          <w:sz w:val="15"/>
          <w:szCs w:val="15"/>
          <w:color w:val="auto"/>
        </w:rPr>
        <w:t>” of any Person means, without duplication, (a) all obligations of such Person for borrowed money or with respect to deposits or advances of any kind (excluding current accounts payable incurred in the ordinary course of business), (b) all obligations of such Person evidenced by bonds, debentures, notes, loan agreements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(including, without limitation, all payment obligations under earn-out or similar agreements (but only once non-contingent and determinable)), except for current accounts payable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and letters of guaranty and (j) all obligations, contingent or otherwise, of such Person in respect of bankers’ acceptances.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28"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any Credit Party under any Loan Document and (b) to the extent not otherwise described in (a), Other Taxes.</w:t>
      </w:r>
    </w:p>
    <w:p>
      <w:pPr>
        <w:spacing w:after="0" w:line="14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Election Request</w:t>
      </w:r>
      <w:r>
        <w:rPr>
          <w:rFonts w:ascii="Arial" w:cs="Arial" w:eastAsia="Arial" w:hAnsi="Arial"/>
          <w:sz w:val="17"/>
          <w:szCs w:val="17"/>
          <w:color w:val="auto"/>
        </w:rPr>
        <w:t xml:space="preserve">” means a request by the Company to convert or continue a Revolving Borrowing in accordance with </w:t>
      </w:r>
      <w:r>
        <w:rPr>
          <w:rFonts w:ascii="Arial" w:cs="Arial" w:eastAsia="Arial" w:hAnsi="Arial"/>
          <w:sz w:val="17"/>
          <w:szCs w:val="17"/>
          <w:u w:val="single" w:color="auto"/>
          <w:color w:val="auto"/>
        </w:rPr>
        <w:t>Section 2.08</w:t>
      </w:r>
      <w:r>
        <w:rPr>
          <w:rFonts w:ascii="Arial" w:cs="Arial" w:eastAsia="Arial" w:hAnsi="Arial"/>
          <w:sz w:val="17"/>
          <w:szCs w:val="17"/>
          <w:color w:val="auto"/>
        </w:rPr>
        <w:t>.</w:t>
      </w:r>
    </w:p>
    <w:p>
      <w:pPr>
        <w:spacing w:after="0" w:line="190" w:lineRule="exact"/>
        <w:rPr>
          <w:sz w:val="20"/>
          <w:szCs w:val="20"/>
          <w:color w:val="auto"/>
        </w:rPr>
      </w:pPr>
    </w:p>
    <w:p>
      <w:pPr>
        <w:jc w:val="both"/>
        <w:ind w:firstLine="529"/>
        <w:spacing w:after="0" w:line="30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Interest Payment Date</w:t>
      </w:r>
      <w:r>
        <w:rPr>
          <w:rFonts w:ascii="Arial" w:cs="Arial" w:eastAsia="Arial" w:hAnsi="Arial"/>
          <w:sz w:val="15"/>
          <w:szCs w:val="15"/>
          <w:color w:val="auto"/>
        </w:rPr>
        <w:t>” means (a) with respect to any Canadian Prime Rate Loan or any ABR Loan (in each case, other than a Swingline Loan), the last day of each March, June, September and December, (b) with respect to any CDOR Loan, Eurocurrency Loan or EURIBOR Loan, the last day of the Interest Period applicable to the Borrowing of which such Loan is a part and, in the case of a CDOR Borrowing, Eurocurrency Borrowing or EURIBOR Borrowing with an Interest Period of more than three months’ duration, each day prior to the last day of such Interest Period that occurs at intervals of three months’ duration after the first day of such Interest Period, and (c) with respect to any Swingline Loan, the last day of the month that such Loan is required to be repaid.</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1460"/>
          </w:cols>
          <w:pgMar w:left="220" w:top="508" w:right="219" w:bottom="1440" w:gutter="0" w:footer="0" w:header="0"/>
        </w:sectPr>
      </w:pPr>
    </w:p>
    <w:bookmarkStart w:id="80" w:name="page81"/>
    <w:bookmarkEnd w:id="80"/>
    <w:p>
      <w:pPr>
        <w:jc w:val="both"/>
        <w:ind w:firstLine="529"/>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xml:space="preserve">” means, with respect to any CDOR Borrowing, Eurocurrency Borrowing or EURIBOR Borrowing, the period commencing on the date of such Borrowing and ending on the numerically corresponding day in the calendar month that is one, two, three or six months thereafter, as the Company may elect; </w:t>
      </w:r>
      <w:r>
        <w:rPr>
          <w:rFonts w:ascii="Arial" w:cs="Arial" w:eastAsia="Arial" w:hAnsi="Arial"/>
          <w:sz w:val="17"/>
          <w:szCs w:val="17"/>
          <w:u w:val="single" w:color="auto"/>
          <w:color w:val="auto"/>
        </w:rPr>
        <w:t>provided</w:t>
      </w:r>
      <w:r>
        <w:rPr>
          <w:rFonts w:ascii="Arial" w:cs="Arial" w:eastAsia="Arial" w:hAnsi="Arial"/>
          <w:sz w:val="17"/>
          <w:szCs w:val="17"/>
          <w:color w:val="auto"/>
        </w:rPr>
        <w:t>,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Revolving Borrowing initially shall be the date on which such Borrowing is made and thereafter shall be the effective date of the most recent conversion or continuation of such Borrowing.</w:t>
      </w:r>
    </w:p>
    <w:p>
      <w:pPr>
        <w:spacing w:after="0" w:line="151" w:lineRule="exact"/>
        <w:rPr>
          <w:sz w:val="20"/>
          <w:szCs w:val="20"/>
          <w:color w:val="auto"/>
        </w:rPr>
      </w:pPr>
    </w:p>
    <w:p>
      <w:pPr>
        <w:jc w:val="both"/>
        <w:ind w:firstLine="529"/>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Interpolated Rate</w:t>
      </w:r>
      <w:r>
        <w:rPr>
          <w:rFonts w:ascii="Arial" w:cs="Arial" w:eastAsia="Arial" w:hAnsi="Arial"/>
          <w:sz w:val="17"/>
          <w:szCs w:val="17"/>
          <w:color w:val="auto"/>
        </w:rPr>
        <w:t xml:space="preserve">” means, at any time, for any Interest Period, the rate per annum (rounded to the same number of decimal places as the applicable Screen Rate) determined by the Administrative Agent (which determination shall be conclusive and binding absent manifest error) to be equal to the rate that results from interpolating on a linear basis between: (a) the applicable Screen Rate for the longest period (for which the applicable Screen Rate is available for the applicable currency) that is shorter than the relevant Interest Period; and (b) the applicable Screen Rate for the shortest period (for which the applicable Screen Rate is available for the applicable currency) that exceeds the relevant Interest Period, in each case,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Interpolated Rate shall be less than zero, such rate shall be deemed to be zero for purposes of this Agreement.</w:t>
      </w:r>
    </w:p>
    <w:p>
      <w:pPr>
        <w:spacing w:after="0" w:line="148" w:lineRule="exact"/>
        <w:rPr>
          <w:sz w:val="20"/>
          <w:szCs w:val="20"/>
          <w:color w:val="auto"/>
        </w:rPr>
      </w:pPr>
    </w:p>
    <w:p>
      <w:pPr>
        <w:jc w:val="both"/>
        <w:ind w:firstLine="529"/>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xml:space="preserve">” means JPMorgan Chase, in its capacity as the issuer of Letters of Credit hereunder, and its successors in such capacity as provided in </w:t>
      </w:r>
      <w:r>
        <w:rPr>
          <w:rFonts w:ascii="Arial" w:cs="Arial" w:eastAsia="Arial" w:hAnsi="Arial"/>
          <w:sz w:val="18"/>
          <w:szCs w:val="18"/>
          <w:u w:val="single" w:color="auto"/>
          <w:color w:val="auto"/>
        </w:rPr>
        <w:t>Section 2.06(i)</w:t>
      </w:r>
      <w:r>
        <w:rPr>
          <w:rFonts w:ascii="Arial" w:cs="Arial" w:eastAsia="Arial" w:hAnsi="Arial"/>
          <w:sz w:val="18"/>
          <w:szCs w:val="18"/>
          <w:color w:val="auto"/>
        </w:rPr>
        <w:t xml:space="preserve"> and JPMorgan Chase, in its capacity as the issuer of the Existing Letters of Credit. The Issuing Bank may, in its discretion, arrange for one or more Letters of Credit to be issued by Affiliates of the Issuing Bank, in which case the term “Issuing Bank” shall include any such Affiliate with respect to Letters of Credit issued by such Affiliate.</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ITA</w:t>
      </w:r>
      <w:r>
        <w:rPr>
          <w:rFonts w:ascii="Arial" w:cs="Arial" w:eastAsia="Arial" w:hAnsi="Arial"/>
          <w:sz w:val="18"/>
          <w:szCs w:val="18"/>
          <w:color w:val="auto"/>
        </w:rPr>
        <w:t>” means the Income Tax Act (Canada), as amended from time to time (or any successor statute).</w:t>
      </w:r>
    </w:p>
    <w:p>
      <w:pPr>
        <w:spacing w:after="0" w:line="179" w:lineRule="exact"/>
        <w:rPr>
          <w:sz w:val="20"/>
          <w:szCs w:val="20"/>
          <w:color w:val="auto"/>
        </w:rPr>
      </w:pPr>
    </w:p>
    <w:p>
      <w:pPr>
        <w:jc w:val="both"/>
        <w:ind w:firstLine="529"/>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Joint Venture</w:t>
      </w:r>
      <w:r>
        <w:rPr>
          <w:rFonts w:ascii="Arial" w:cs="Arial" w:eastAsia="Arial" w:hAnsi="Arial"/>
          <w:sz w:val="17"/>
          <w:szCs w:val="17"/>
          <w:color w:val="auto"/>
        </w:rPr>
        <w:t>” means a Person (other than a Subsidiary, natural person or Governmental Authority) that is (a) formed to be or represents a joint venture between the Company or one of its Subsidiaries and other Person(s) (regardless of the type of entity used), and (b) formed for the purpose of bidding for, undertaking or handling specific projects or for the purpose of acquiring Equity Interests of any other Person.</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JPMorgan Chase</w:t>
      </w:r>
      <w:r>
        <w:rPr>
          <w:rFonts w:ascii="Arial" w:cs="Arial" w:eastAsia="Arial" w:hAnsi="Arial"/>
          <w:sz w:val="18"/>
          <w:szCs w:val="18"/>
          <w:color w:val="auto"/>
        </w:rPr>
        <w:t>” means JPMorgan Chase Bank, N.A. (including its branches and Affiliates).</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9.17(a)</w:t>
      </w:r>
      <w:r>
        <w:rPr>
          <w:rFonts w:ascii="Arial" w:cs="Arial" w:eastAsia="Arial" w:hAnsi="Arial"/>
          <w:sz w:val="18"/>
          <w:szCs w:val="18"/>
          <w:color w:val="auto"/>
        </w:rPr>
        <w:t>.</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 Conversion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9.17(a)</w:t>
      </w:r>
      <w:r>
        <w:rPr>
          <w:rFonts w:ascii="Arial" w:cs="Arial" w:eastAsia="Arial" w:hAnsi="Arial"/>
          <w:sz w:val="18"/>
          <w:szCs w:val="18"/>
          <w:color w:val="auto"/>
        </w:rPr>
        <w:t>.</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the Issuing Bank pursuant to a Letter of Credit.</w:t>
      </w:r>
    </w:p>
    <w:p>
      <w:pPr>
        <w:spacing w:after="0" w:line="179" w:lineRule="exact"/>
        <w:rPr>
          <w:sz w:val="20"/>
          <w:szCs w:val="20"/>
          <w:color w:val="auto"/>
        </w:rPr>
      </w:pPr>
    </w:p>
    <w:p>
      <w:pPr>
        <w:jc w:val="both"/>
        <w:ind w:firstLine="529"/>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Exposure</w:t>
      </w:r>
      <w:r>
        <w:rPr>
          <w:rFonts w:ascii="Arial" w:cs="Arial" w:eastAsia="Arial" w:hAnsi="Arial"/>
          <w:sz w:val="18"/>
          <w:szCs w:val="18"/>
          <w:color w:val="auto"/>
        </w:rPr>
        <w:t>” means, at any time, the sum of (a) the aggregate undrawn amount of all outstanding Letters of Credit at such time plus (b) the aggregate amount of all LC Disbursements that have not yet been reimbursed by or on behalf of the Borrowers at such time. The LC Exposure of any Lender at any time shall be its Applicable Percentage of the total LC Exposure at such time.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1460"/>
          </w:cols>
          <w:pgMar w:left="220" w:top="508" w:right="219" w:bottom="1440" w:gutter="0" w:footer="0" w:header="0"/>
        </w:sectPr>
      </w:pPr>
    </w:p>
    <w:bookmarkStart w:id="81" w:name="page82"/>
    <w:bookmarkEnd w:id="81"/>
    <w:p>
      <w:pPr>
        <w:jc w:val="both"/>
        <w:ind w:firstLine="529"/>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Swap Agreement</w:t>
      </w:r>
      <w:r>
        <w:rPr>
          <w:rFonts w:ascii="Arial" w:cs="Arial" w:eastAsia="Arial" w:hAnsi="Arial"/>
          <w:sz w:val="18"/>
          <w:szCs w:val="18"/>
          <w:color w:val="auto"/>
        </w:rPr>
        <w:t>” means any Swap Agreement between the Company or any Subsidiary and any Lender or any Affiliate of a Lender that is entered in to while such Person is a Lender or an Affiliate of a Lender even if such Person ceases to be a Lender or an Affiliate of a Lender after entering into such Swap Agreement.</w:t>
      </w:r>
    </w:p>
    <w:p>
      <w:pPr>
        <w:spacing w:after="0" w:line="153" w:lineRule="exact"/>
        <w:rPr>
          <w:sz w:val="20"/>
          <w:szCs w:val="20"/>
          <w:color w:val="auto"/>
        </w:rPr>
      </w:pPr>
    </w:p>
    <w:p>
      <w:pPr>
        <w:jc w:val="both"/>
        <w:ind w:firstLine="529"/>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Lenders</w:t>
      </w:r>
      <w:r>
        <w:rPr>
          <w:rFonts w:ascii="Arial" w:cs="Arial" w:eastAsia="Arial" w:hAnsi="Arial"/>
          <w:sz w:val="15"/>
          <w:szCs w:val="15"/>
          <w:color w:val="auto"/>
        </w:rPr>
        <w:t xml:space="preserve">” means the Persons listed on </w:t>
      </w:r>
      <w:r>
        <w:rPr>
          <w:rFonts w:ascii="Arial" w:cs="Arial" w:eastAsia="Arial" w:hAnsi="Arial"/>
          <w:sz w:val="15"/>
          <w:szCs w:val="15"/>
          <w:u w:val="single" w:color="auto"/>
          <w:color w:val="auto"/>
        </w:rPr>
        <w:t>Schedule 2.01</w:t>
      </w:r>
      <w:r>
        <w:rPr>
          <w:rFonts w:ascii="Arial" w:cs="Arial" w:eastAsia="Arial" w:hAnsi="Arial"/>
          <w:sz w:val="15"/>
          <w:szCs w:val="15"/>
          <w:color w:val="auto"/>
        </w:rPr>
        <w:t xml:space="preserve"> as Lenders and any other Person that shall have become a party hereto as a Lender pursuant to </w:t>
      </w:r>
      <w:r>
        <w:rPr>
          <w:rFonts w:ascii="Arial" w:cs="Arial" w:eastAsia="Arial" w:hAnsi="Arial"/>
          <w:sz w:val="15"/>
          <w:szCs w:val="15"/>
          <w:u w:val="single" w:color="auto"/>
          <w:color w:val="auto"/>
        </w:rPr>
        <w:t>Section 2.04</w:t>
      </w:r>
      <w:r>
        <w:rPr>
          <w:rFonts w:ascii="Arial" w:cs="Arial" w:eastAsia="Arial" w:hAnsi="Arial"/>
          <w:sz w:val="15"/>
          <w:szCs w:val="15"/>
          <w:color w:val="auto"/>
        </w:rPr>
        <w:t xml:space="preserve"> or pursuant to an Assignment and Assumption, other than any such Person that ceases to be a party hereto pursuant to an Assignment and Assumption or other documentation contemplated hereby. Unless the context otherwise requires, the term “Lenders” includes the Swingline Lender.</w:t>
      </w:r>
    </w:p>
    <w:p>
      <w:pPr>
        <w:spacing w:after="0" w:line="1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letter of credit issued pursuant to this Agreement.</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means $200,000,000.</w:t>
      </w:r>
    </w:p>
    <w:p>
      <w:pPr>
        <w:spacing w:after="0" w:line="179"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Leverage Ratio</w:t>
      </w:r>
      <w:r>
        <w:rPr>
          <w:rFonts w:ascii="Arial" w:cs="Arial" w:eastAsia="Arial" w:hAnsi="Arial"/>
          <w:sz w:val="18"/>
          <w:szCs w:val="18"/>
          <w:color w:val="auto"/>
        </w:rPr>
        <w:t>” means, as of the last day of any fiscal quarter, the ratio of: (a) Consolidated Funded Indebtedness as of such day to (b) Consolidated EBITDA for the four fiscal quarters ending as of the last day of such fiscal quarter.</w:t>
      </w:r>
    </w:p>
    <w:p>
      <w:pPr>
        <w:spacing w:after="0" w:line="145" w:lineRule="exact"/>
        <w:rPr>
          <w:sz w:val="20"/>
          <w:szCs w:val="20"/>
          <w:color w:val="auto"/>
        </w:rPr>
      </w:pPr>
    </w:p>
    <w:p>
      <w:pPr>
        <w:jc w:val="both"/>
        <w:ind w:firstLine="529"/>
        <w:spacing w:after="0" w:line="31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LIBO Rate</w:t>
      </w:r>
      <w:r>
        <w:rPr>
          <w:rFonts w:ascii="Arial" w:cs="Arial" w:eastAsia="Arial" w:hAnsi="Arial"/>
          <w:sz w:val="15"/>
          <w:szCs w:val="15"/>
          <w:color w:val="auto"/>
        </w:rPr>
        <w:t xml:space="preserve">” means, with respect to any Eurocurrency Borrowing for any applicable currency and for any Interest Period, (a) the applicable Screen Rate as of (i) in the case of Australian Dollars, 10:30 a.m., Melbourne time, on the Quotation Day or (ii) in all other cases, approximately 11:00 a.m., London time, on the Quotation Day, or (b) if no Screen Rate is available for such currency or for such Interest Period, the applicable Interpolated Rate as of such time on the Quotation Day or, if applicable pursuant to the terms of </w:t>
      </w:r>
      <w:r>
        <w:rPr>
          <w:rFonts w:ascii="Arial" w:cs="Arial" w:eastAsia="Arial" w:hAnsi="Arial"/>
          <w:sz w:val="15"/>
          <w:szCs w:val="15"/>
          <w:u w:val="single" w:color="auto"/>
          <w:color w:val="auto"/>
        </w:rPr>
        <w:t>Section 2.14(a)</w:t>
      </w:r>
      <w:r>
        <w:rPr>
          <w:rFonts w:ascii="Arial" w:cs="Arial" w:eastAsia="Arial" w:hAnsi="Arial"/>
          <w:sz w:val="15"/>
          <w:szCs w:val="15"/>
          <w:color w:val="auto"/>
        </w:rPr>
        <w:t>, the applicable Reference Bank Rate as of such time on the Quotation Day.</w:t>
      </w:r>
    </w:p>
    <w:p>
      <w:pPr>
        <w:spacing w:after="0" w:line="111" w:lineRule="exact"/>
        <w:rPr>
          <w:sz w:val="20"/>
          <w:szCs w:val="20"/>
          <w:color w:val="auto"/>
        </w:rPr>
      </w:pPr>
    </w:p>
    <w:p>
      <w:pPr>
        <w:jc w:val="both"/>
        <w:ind w:firstLine="529"/>
        <w:spacing w:after="0" w:line="30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LIBO Screen Rate</w:t>
      </w:r>
      <w:r>
        <w:rPr>
          <w:rFonts w:ascii="Arial" w:cs="Arial" w:eastAsia="Arial" w:hAnsi="Arial"/>
          <w:sz w:val="15"/>
          <w:szCs w:val="15"/>
          <w:color w:val="auto"/>
        </w:rPr>
        <w:t xml:space="preserve">” means the London interbank offered rate as administered by ICE Benchmark Administration (or any other Person that takes over the administration of such rate) for a period equal in length to such Interest Period as displayed on page LIBOR01 of the Reuters screen that displays such rate (or, in the event such rate does not appear on a Reuters page or screen, any successor or substitute page on such screen that displays such rate, or on the appropriate page of such other information service that publishes such rate from time to time as selected by the Administrative Agent in its reasonable discretion;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LIBO Screen Rate shall be less than zero, such rate shall be deemed to be zero for purposes of this Agreement.</w:t>
      </w:r>
    </w:p>
    <w:p>
      <w:pPr>
        <w:spacing w:after="0" w:line="113" w:lineRule="exact"/>
        <w:rPr>
          <w:sz w:val="20"/>
          <w:szCs w:val="20"/>
          <w:color w:val="auto"/>
        </w:rPr>
      </w:pPr>
    </w:p>
    <w:p>
      <w:pPr>
        <w:jc w:val="both"/>
        <w:ind w:firstLine="529"/>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55" w:lineRule="exact"/>
        <w:rPr>
          <w:sz w:val="20"/>
          <w:szCs w:val="20"/>
          <w:color w:val="auto"/>
        </w:rPr>
      </w:pPr>
    </w:p>
    <w:p>
      <w:pPr>
        <w:jc w:val="both"/>
        <w:ind w:firstLine="529"/>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xml:space="preserve">” means this Agreement, all Notes issued pursuant to </w:t>
      </w:r>
      <w:r>
        <w:rPr>
          <w:rFonts w:ascii="Arial" w:cs="Arial" w:eastAsia="Arial" w:hAnsi="Arial"/>
          <w:sz w:val="18"/>
          <w:szCs w:val="18"/>
          <w:u w:val="single" w:color="auto"/>
          <w:color w:val="auto"/>
        </w:rPr>
        <w:t>Section 2.10(e)</w:t>
      </w:r>
      <w:r>
        <w:rPr>
          <w:rFonts w:ascii="Arial" w:cs="Arial" w:eastAsia="Arial" w:hAnsi="Arial"/>
          <w:sz w:val="18"/>
          <w:szCs w:val="18"/>
          <w:color w:val="auto"/>
        </w:rPr>
        <w:t>, all letter of credit applications, all Collateral Documents, and all other mortgages, security agreements and other collateral or security documents, guaranty agreements and instruments from time to time made, issued or executed by any Person in connection with this Agreement.</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made by the Lenders pursuant to or as described in this Agreement.</w:t>
      </w:r>
    </w:p>
    <w:p>
      <w:pPr>
        <w:spacing w:after="0" w:line="179" w:lineRule="exact"/>
        <w:rPr>
          <w:sz w:val="20"/>
          <w:szCs w:val="20"/>
          <w:color w:val="auto"/>
        </w:rPr>
      </w:pPr>
    </w:p>
    <w:p>
      <w:pPr>
        <w:jc w:val="both"/>
        <w:ind w:firstLine="529"/>
        <w:spacing w:after="0" w:line="36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Local Time</w:t>
      </w:r>
      <w:r>
        <w:rPr>
          <w:rFonts w:ascii="Arial" w:cs="Arial" w:eastAsia="Arial" w:hAnsi="Arial"/>
          <w:sz w:val="15"/>
          <w:szCs w:val="15"/>
          <w:color w:val="auto"/>
        </w:rPr>
        <w:t>” means (a) with respect to a Loan or Borrowing denominated in U.S. Dollars, New York City time, (b) with respect to a Loan or Borrowing denominated in Canadian Dollars, Toronto time and (c) with respect to a Loan or Borrowing denominated in any other Foreign Currency, London time.</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1460"/>
          </w:cols>
          <w:pgMar w:left="220" w:top="508" w:right="219" w:bottom="1440" w:gutter="0" w:footer="0" w:header="0"/>
        </w:sectPr>
      </w:pPr>
    </w:p>
    <w:bookmarkStart w:id="82" w:name="page83"/>
    <w:bookmarkEnd w:id="82"/>
    <w:p>
      <w:pPr>
        <w:jc w:val="both"/>
        <w:ind w:firstLine="529"/>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a material adverse effect on (a) the business, assets, operations, or condition, financial or otherwise, of the Company and the Subsidiaries taken as a whole, (b) the ability of the Borrowers to perform any of their obligations under this Agreement or any of the other Loan Documents, or (c) the rights of or benefits available to the Lenders under this Agreement or any of the other Loan Documents.</w:t>
      </w:r>
    </w:p>
    <w:p>
      <w:pPr>
        <w:spacing w:after="0" w:line="135" w:lineRule="exact"/>
        <w:rPr>
          <w:sz w:val="20"/>
          <w:szCs w:val="20"/>
          <w:color w:val="auto"/>
        </w:rPr>
      </w:pPr>
    </w:p>
    <w:p>
      <w:pPr>
        <w:jc w:val="both"/>
        <w:ind w:firstLine="52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Indebtedness (other than the Loans and Letters of Credit), and obligations in respect of one or more Swap Agreements, of any one or more of the Company and its Subsidiaries in an aggregate principal amount exceeding $10,000,000 (or the equivalent amount in any foreign currency). For purposes of determining Material Indebtedness, the “principal amount” of the obligations of the Company or any Subsidiary in respect of any Swap Agreement at any time shall be the maximum aggregate amount (giving effect to any netting agreements) that the Company or such Subsidiary would be required to pay if such Swap Agreement were terminated at such time.</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means any Subsidiary that is not an Immaterial Subsidiary.</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179" w:lineRule="exact"/>
        <w:rPr>
          <w:sz w:val="20"/>
          <w:szCs w:val="20"/>
          <w:color w:val="auto"/>
        </w:rPr>
      </w:pPr>
    </w:p>
    <w:p>
      <w:pPr>
        <w:jc w:val="both"/>
        <w:ind w:firstLine="529"/>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Mortgaged Properties</w:t>
      </w:r>
      <w:r>
        <w:rPr>
          <w:rFonts w:ascii="Arial" w:cs="Arial" w:eastAsia="Arial" w:hAnsi="Arial"/>
          <w:sz w:val="18"/>
          <w:szCs w:val="18"/>
          <w:color w:val="auto"/>
        </w:rPr>
        <w:t>” means (a) those tracts and parcels of real property and all improvements thereon and appurtenances thereto described in the Perfection Certificate owned in fee by the applicable Credit Party (as opposed to a leasehold interest) and (b) that tract or parcel of real property located at the Port of Catoosa in which one or more of the Credit Party(s) has a leasehold interest.</w:t>
      </w:r>
    </w:p>
    <w:p>
      <w:pPr>
        <w:spacing w:after="0" w:line="153" w:lineRule="exact"/>
        <w:rPr>
          <w:sz w:val="20"/>
          <w:szCs w:val="20"/>
          <w:color w:val="auto"/>
        </w:rPr>
      </w:pPr>
    </w:p>
    <w:p>
      <w:pPr>
        <w:jc w:val="both"/>
        <w:ind w:firstLine="529"/>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Mortgages</w:t>
      </w:r>
      <w:r>
        <w:rPr>
          <w:rFonts w:ascii="Arial" w:cs="Arial" w:eastAsia="Arial" w:hAnsi="Arial"/>
          <w:sz w:val="18"/>
          <w:szCs w:val="18"/>
          <w:color w:val="auto"/>
        </w:rPr>
        <w:t xml:space="preserve">” means all fee or leasehold mortgages or deeds of trust, as applicable, necessary to create a first and prior lien in favor of the Administrative Agent with respect to the fee or leasehold interest of the Company or its applicable Subsidiary in the Mortgaged Properties, including but not limited to those unreleased mortgages and deeds of trust described on </w:t>
      </w:r>
      <w:r>
        <w:rPr>
          <w:rFonts w:ascii="Arial" w:cs="Arial" w:eastAsia="Arial" w:hAnsi="Arial"/>
          <w:sz w:val="18"/>
          <w:szCs w:val="18"/>
          <w:u w:val="single" w:color="auto"/>
          <w:color w:val="auto"/>
        </w:rPr>
        <w:t>Exhibit D</w:t>
      </w:r>
      <w:r>
        <w:rPr>
          <w:rFonts w:ascii="Arial" w:cs="Arial" w:eastAsia="Arial" w:hAnsi="Arial"/>
          <w:sz w:val="18"/>
          <w:szCs w:val="18"/>
          <w:color w:val="auto"/>
        </w:rPr>
        <w:t>, in each case, as ratified, amended, restated, supplemented or otherwise modified from time to time.</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3(37) or 4001(a)(3) of ERISA.</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means a promissory note delivered to a Lender as contemplated by </w:t>
      </w:r>
      <w:r>
        <w:rPr>
          <w:rFonts w:ascii="Arial" w:cs="Arial" w:eastAsia="Arial" w:hAnsi="Arial"/>
          <w:sz w:val="18"/>
          <w:szCs w:val="18"/>
          <w:u w:val="single" w:color="auto"/>
          <w:color w:val="auto"/>
        </w:rPr>
        <w:t>Section 2.10(e)</w:t>
      </w:r>
      <w:r>
        <w:rPr>
          <w:rFonts w:ascii="Arial" w:cs="Arial" w:eastAsia="Arial" w:hAnsi="Arial"/>
          <w:sz w:val="18"/>
          <w:szCs w:val="18"/>
          <w:color w:val="auto"/>
        </w:rPr>
        <w:t>.</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 Currency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9.17(a)</w:t>
      </w:r>
      <w:r>
        <w:rPr>
          <w:rFonts w:ascii="Arial" w:cs="Arial" w:eastAsia="Arial" w:hAnsi="Arial"/>
          <w:sz w:val="18"/>
          <w:szCs w:val="18"/>
          <w:color w:val="auto"/>
        </w:rPr>
        <w:t>.</w:t>
      </w:r>
    </w:p>
    <w:p>
      <w:pPr>
        <w:spacing w:after="0" w:line="179" w:lineRule="exact"/>
        <w:rPr>
          <w:sz w:val="20"/>
          <w:szCs w:val="20"/>
          <w:color w:val="auto"/>
        </w:rPr>
      </w:pPr>
    </w:p>
    <w:p>
      <w:pPr>
        <w:jc w:val="both"/>
        <w:ind w:firstLine="529"/>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Obligations</w:t>
      </w:r>
      <w:r>
        <w:rPr>
          <w:rFonts w:ascii="Arial" w:cs="Arial" w:eastAsia="Arial" w:hAnsi="Arial"/>
          <w:sz w:val="15"/>
          <w:szCs w:val="15"/>
          <w:color w:val="auto"/>
        </w:rPr>
        <w:t>” means, without duplication, any and all obligations, contingent or otherwise, now existing or hereafter arising, howsoever created, of the Company and the Subsidiaries to any of the Lenders, the Administrative Agent, the Issuing Bank or any of their respective Affiliates, or any indemnified party, arising under or in connection with (a) the Loan Documents, including without limitation unpaid principal of and accrued and unpaid interest (including post-petition interest) on the Loans and all reimbursement obligations in respect of LC Disbursements, (b) Lender Swap Agreements, (c) Cash Management Agreements and (d) all accrued and unpaid fees and all expenses, reimbursements, indemnities and other obligations of the Company and the Subsidiaries to the Lenders or to any Lender, the Administrative Agent, the Issuing Bank or any indemnified party under any of the foregoing.</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1460"/>
          </w:cols>
          <w:pgMar w:left="220" w:top="508" w:right="219" w:bottom="1440" w:gutter="0" w:footer="0" w:header="0"/>
        </w:sectPr>
      </w:pPr>
    </w:p>
    <w:bookmarkStart w:id="83" w:name="page84"/>
    <w:bookmarkEnd w:id="83"/>
    <w:p>
      <w:pPr>
        <w:jc w:val="both"/>
        <w:ind w:firstLine="529"/>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any Recipient, Taxes imposed as a result of a present or former connection between such Recipient and the jurisdiction imposing such Taxes (other than a connection arising from such Recipient having executed, delivered, become a party to, performed its obligations under, received payments under, received or perfected a security interest under, or engaged in any other transaction pursuant to, or enforced, any Loan Document, or sold or assigned an interest in any Loan Document).</w:t>
      </w:r>
    </w:p>
    <w:p>
      <w:pPr>
        <w:spacing w:after="0" w:line="155" w:lineRule="exact"/>
        <w:rPr>
          <w:sz w:val="20"/>
          <w:szCs w:val="20"/>
          <w:color w:val="auto"/>
        </w:rPr>
      </w:pPr>
    </w:p>
    <w:p>
      <w:pPr>
        <w:jc w:val="both"/>
        <w:ind w:firstLine="529"/>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any present or future stamp, court, documentary, intangible, recording, filing or similar Taxes that arise from any payment made under, from the execution, delivery, performance, enforcement or registration of, from the registration, receipt or perfection of a security interest under, or otherwise with respect to, this Agreement or any Loan Document, except any such Taxes that are Other Connection Taxes imposed with respect to an assignment (other than an assignment under </w:t>
      </w:r>
      <w:r>
        <w:rPr>
          <w:rFonts w:ascii="Arial" w:cs="Arial" w:eastAsia="Arial" w:hAnsi="Arial"/>
          <w:sz w:val="18"/>
          <w:szCs w:val="18"/>
          <w:u w:val="single" w:color="auto"/>
          <w:color w:val="auto"/>
        </w:rPr>
        <w:t>Section 2.19(b)</w:t>
      </w:r>
      <w:r>
        <w:rPr>
          <w:rFonts w:ascii="Arial" w:cs="Arial" w:eastAsia="Arial" w:hAnsi="Arial"/>
          <w:sz w:val="18"/>
          <w:szCs w:val="18"/>
          <w:color w:val="auto"/>
        </w:rPr>
        <w:t>).</w:t>
      </w:r>
    </w:p>
    <w:p>
      <w:pPr>
        <w:spacing w:after="0" w:line="155" w:lineRule="exact"/>
        <w:rPr>
          <w:sz w:val="20"/>
          <w:szCs w:val="20"/>
          <w:color w:val="auto"/>
        </w:rPr>
      </w:pPr>
    </w:p>
    <w:p>
      <w:pPr>
        <w:jc w:val="both"/>
        <w:ind w:firstLine="529"/>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Bank Funding Rate</w:t>
      </w:r>
      <w:r>
        <w:rPr>
          <w:rFonts w:ascii="Arial" w:cs="Arial" w:eastAsia="Arial" w:hAnsi="Arial"/>
          <w:sz w:val="18"/>
          <w:szCs w:val="18"/>
          <w:color w:val="auto"/>
        </w:rPr>
        <w:t>” means, for any day, the rate comprised of both overnight federal funds and overnight eurodollar borrowings by U.S.-managed banking offices of depository institutions, as such composite rate shall be determined by the FRBNY as set forth on its public website from time to time, and published on the next succeeding Business Day by the FRBNY as an overnight bank funding rate (from and after such date as the FRBNY shall commence to publish such composite rate).</w:t>
      </w:r>
    </w:p>
    <w:p>
      <w:pPr>
        <w:spacing w:after="0" w:line="133" w:lineRule="exact"/>
        <w:rPr>
          <w:sz w:val="20"/>
          <w:szCs w:val="20"/>
          <w:color w:val="auto"/>
        </w:rPr>
      </w:pPr>
    </w:p>
    <w:p>
      <w:pPr>
        <w:jc w:val="both"/>
        <w:ind w:firstLine="529"/>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Foreign Currency Rate</w:t>
      </w:r>
      <w:r>
        <w:rPr>
          <w:rFonts w:ascii="Arial" w:cs="Arial" w:eastAsia="Arial" w:hAnsi="Arial"/>
          <w:sz w:val="18"/>
          <w:szCs w:val="18"/>
          <w:color w:val="auto"/>
        </w:rPr>
        <w:t>” means, for any amount payable in a Foreign Currency, the rate of interest per annum as determined by the Administrative Agent at which overnight or weekend deposits in the relevant currency (or if such amount due remains unpaid for more than three (3) Business Days, then for such other period of time as the Administrative Agent may reasonably determine) for delivery in immediately available and freely transferable funds would be offered by the Administrative Agent to major banks in the interbank market upon request of such major banks for the relevant currency as determined above and in an amount comparable to the unpaid principal amount of the related Loan or LC Disbursement, plus any taxes, levies, imposts, duties, deductions, charges or withholdings imposed upon, or charged to, the Administrative Agent by any relevant correspondent bank in respect of such amount in such relevant currency.</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9.04</w:t>
      </w:r>
      <w:r>
        <w:rPr>
          <w:rFonts w:ascii="Arial" w:cs="Arial" w:eastAsia="Arial" w:hAnsi="Arial"/>
          <w:sz w:val="18"/>
          <w:szCs w:val="18"/>
          <w:color w:val="auto"/>
        </w:rPr>
        <w:t>.</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9.04</w:t>
      </w:r>
      <w:r>
        <w:rPr>
          <w:rFonts w:ascii="Arial" w:cs="Arial" w:eastAsia="Arial" w:hAnsi="Arial"/>
          <w:sz w:val="18"/>
          <w:szCs w:val="18"/>
          <w:color w:val="auto"/>
        </w:rPr>
        <w:t>.</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9.16</w:t>
      </w:r>
      <w:r>
        <w:rPr>
          <w:rFonts w:ascii="Arial" w:cs="Arial" w:eastAsia="Arial" w:hAnsi="Arial"/>
          <w:sz w:val="18"/>
          <w:szCs w:val="18"/>
          <w:color w:val="auto"/>
        </w:rPr>
        <w:t>.</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PBGC</w:t>
      </w:r>
      <w:r>
        <w:rPr>
          <w:rFonts w:ascii="Arial" w:cs="Arial" w:eastAsia="Arial" w:hAnsi="Arial"/>
          <w:sz w:val="15"/>
          <w:szCs w:val="15"/>
          <w:color w:val="auto"/>
        </w:rPr>
        <w:t>” means the Pension Benefit Guaranty Corporation referred to and defined in ERISA and any successor entity performing similar functions.</w:t>
      </w:r>
    </w:p>
    <w:p>
      <w:pPr>
        <w:spacing w:after="0" w:line="213"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Perfection Certificate</w:t>
      </w:r>
      <w:r>
        <w:rPr>
          <w:rFonts w:ascii="Arial" w:cs="Arial" w:eastAsia="Arial" w:hAnsi="Arial"/>
          <w:sz w:val="18"/>
          <w:szCs w:val="18"/>
          <w:color w:val="auto"/>
        </w:rPr>
        <w:t>” means a perfection certificate, in form and substance satisfactory to the Administrative Agent, executed by an Authorized Officer of the Company, certifying as to existence, description, location, and other matters regarding, the Collateral.</w:t>
      </w:r>
    </w:p>
    <w:p>
      <w:pPr>
        <w:spacing w:after="0" w:line="145"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xml:space="preserve">” means an Acquisition as to which all the requirements of </w:t>
      </w:r>
      <w:r>
        <w:rPr>
          <w:rFonts w:ascii="Arial" w:cs="Arial" w:eastAsia="Arial" w:hAnsi="Arial"/>
          <w:sz w:val="18"/>
          <w:szCs w:val="18"/>
          <w:u w:val="single" w:color="auto"/>
          <w:color w:val="auto"/>
        </w:rPr>
        <w:t>Section 6.04(i)</w:t>
      </w:r>
      <w:r>
        <w:rPr>
          <w:rFonts w:ascii="Arial" w:cs="Arial" w:eastAsia="Arial" w:hAnsi="Arial"/>
          <w:sz w:val="18"/>
          <w:szCs w:val="18"/>
          <w:color w:val="auto"/>
        </w:rPr>
        <w:t xml:space="preserve"> have either been met or waived in accordance with the provisions of this Agreement.</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1460"/>
          </w:cols>
          <w:pgMar w:left="220" w:top="508" w:right="219" w:bottom="1440" w:gutter="0" w:footer="0" w:header="0"/>
        </w:sectPr>
      </w:pPr>
    </w:p>
    <w:bookmarkStart w:id="84" w:name="page85"/>
    <w:bookmarkEnd w:id="84"/>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179" w:lineRule="exact"/>
        <w:rPr>
          <w:sz w:val="20"/>
          <w:szCs w:val="20"/>
          <w:color w:val="auto"/>
        </w:rPr>
      </w:pPr>
    </w:p>
    <w:p>
      <w:pPr>
        <w:ind w:left="1260" w:hanging="723"/>
        <w:spacing w:after="0"/>
        <w:tabs>
          <w:tab w:leader="none" w:pos="12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Liens for taxes, assessments or governmental charges or levies on its property if the same either (i) shall not at the time be delinquent,</w:t>
      </w:r>
    </w:p>
    <w:p>
      <w:pPr>
        <w:spacing w:after="0" w:line="27" w:lineRule="exact"/>
        <w:rPr>
          <w:rFonts w:ascii="Arial" w:cs="Arial" w:eastAsia="Arial" w:hAnsi="Arial"/>
          <w:sz w:val="17"/>
          <w:szCs w:val="17"/>
          <w:color w:val="auto"/>
        </w:rPr>
      </w:pPr>
    </w:p>
    <w:p>
      <w:pPr>
        <w:ind w:firstLine="8"/>
        <w:spacing w:after="0" w:line="245" w:lineRule="auto"/>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thereafter can be paid without penalty, or (iii) are being contested in good faith by appropriate proceedings with adequate reserves having been set aside on the books of the Company and its Subsidiaries in accordance with Agreement Accounting Principles;</w:t>
      </w:r>
    </w:p>
    <w:p>
      <w:pPr>
        <w:spacing w:after="0" w:line="191" w:lineRule="exact"/>
        <w:rPr>
          <w:rFonts w:ascii="Arial" w:cs="Arial" w:eastAsia="Arial" w:hAnsi="Arial"/>
          <w:sz w:val="18"/>
          <w:szCs w:val="18"/>
          <w:color w:val="auto"/>
        </w:rPr>
      </w:pPr>
    </w:p>
    <w:p>
      <w:pPr>
        <w:jc w:val="both"/>
        <w:ind w:firstLine="537"/>
        <w:spacing w:after="0" w:line="274" w:lineRule="auto"/>
        <w:tabs>
          <w:tab w:leader="none" w:pos="1264" w:val="left"/>
        </w:tabs>
        <w:numPr>
          <w:ilvl w:val="1"/>
          <w:numId w:val="39"/>
        </w:numPr>
        <w:rPr>
          <w:rFonts w:ascii="Arial" w:cs="Arial" w:eastAsia="Arial" w:hAnsi="Arial"/>
          <w:sz w:val="17"/>
          <w:szCs w:val="17"/>
          <w:color w:val="auto"/>
        </w:rPr>
      </w:pPr>
      <w:r>
        <w:rPr>
          <w:rFonts w:ascii="Arial" w:cs="Arial" w:eastAsia="Arial" w:hAnsi="Arial"/>
          <w:sz w:val="17"/>
          <w:szCs w:val="17"/>
          <w:color w:val="auto"/>
        </w:rPr>
        <w:t>carriers’, warehousemen’s, mechanics’, materialmen’s, repairmen’s and other like Liens imposed by law, arising in the ordinary course of business and securing obligations that are not overdue by more than sixty (60) days or are being contested by appropriate proceedings with adequate reserves having been set aside on the books of the Company and its Subsidiaries in accordance with Agreement Accounting Principles;</w:t>
      </w:r>
    </w:p>
    <w:p>
      <w:pPr>
        <w:spacing w:after="0" w:line="168" w:lineRule="exact"/>
        <w:rPr>
          <w:rFonts w:ascii="Arial" w:cs="Arial" w:eastAsia="Arial" w:hAnsi="Arial"/>
          <w:sz w:val="17"/>
          <w:szCs w:val="17"/>
          <w:color w:val="auto"/>
        </w:rPr>
      </w:pPr>
    </w:p>
    <w:p>
      <w:pPr>
        <w:ind w:firstLine="537"/>
        <w:spacing w:after="0" w:line="261" w:lineRule="auto"/>
        <w:tabs>
          <w:tab w:leader="none" w:pos="1254" w:val="left"/>
        </w:tabs>
        <w:numPr>
          <w:ilvl w:val="1"/>
          <w:numId w:val="39"/>
        </w:numPr>
        <w:rPr>
          <w:rFonts w:ascii="Arial" w:cs="Arial" w:eastAsia="Arial" w:hAnsi="Arial"/>
          <w:sz w:val="18"/>
          <w:szCs w:val="18"/>
          <w:color w:val="auto"/>
        </w:rPr>
      </w:pPr>
      <w:r>
        <w:rPr>
          <w:rFonts w:ascii="Arial" w:cs="Arial" w:eastAsia="Arial" w:hAnsi="Arial"/>
          <w:sz w:val="18"/>
          <w:szCs w:val="18"/>
          <w:color w:val="auto"/>
        </w:rPr>
        <w:t>pledges and deposits made in the ordinary course of business in compliance with workers’ compensation, unemployment insurance, old age pensions, and other social security or retirement benefit laws or regulations;</w:t>
      </w:r>
    </w:p>
    <w:p>
      <w:pPr>
        <w:spacing w:after="0" w:line="178" w:lineRule="exact"/>
        <w:rPr>
          <w:rFonts w:ascii="Arial" w:cs="Arial" w:eastAsia="Arial" w:hAnsi="Arial"/>
          <w:sz w:val="18"/>
          <w:szCs w:val="18"/>
          <w:color w:val="auto"/>
        </w:rPr>
      </w:pPr>
    </w:p>
    <w:p>
      <w:pPr>
        <w:jc w:val="both"/>
        <w:ind w:firstLine="537"/>
        <w:spacing w:after="0" w:line="326" w:lineRule="auto"/>
        <w:tabs>
          <w:tab w:leader="none" w:pos="1264" w:val="left"/>
        </w:tabs>
        <w:numPr>
          <w:ilvl w:val="1"/>
          <w:numId w:val="39"/>
        </w:numPr>
        <w:rPr>
          <w:rFonts w:ascii="Arial" w:cs="Arial" w:eastAsia="Arial" w:hAnsi="Arial"/>
          <w:sz w:val="15"/>
          <w:szCs w:val="15"/>
          <w:color w:val="auto"/>
        </w:rPr>
      </w:pPr>
      <w:r>
        <w:rPr>
          <w:rFonts w:ascii="Arial" w:cs="Arial" w:eastAsia="Arial" w:hAnsi="Arial"/>
          <w:sz w:val="15"/>
          <w:szCs w:val="15"/>
          <w:color w:val="auto"/>
        </w:rPr>
        <w:t>Liens or other interests of customers or vendors under title retention agreements or similar agreements whereby the Company or a Subsidiary obtains possession (but not ownership) of materials or goods provided to the Company or such Subsidiary by or for the account of a customer of the Company or such Subsidiary for the purpose of fabrication, assembly or manufacturing, provided that such interests attach only to such materials or goods;</w:t>
      </w:r>
    </w:p>
    <w:p>
      <w:pPr>
        <w:spacing w:after="0" w:line="134" w:lineRule="exact"/>
        <w:rPr>
          <w:rFonts w:ascii="Arial" w:cs="Arial" w:eastAsia="Arial" w:hAnsi="Arial"/>
          <w:sz w:val="15"/>
          <w:szCs w:val="15"/>
          <w:color w:val="auto"/>
        </w:rPr>
      </w:pPr>
    </w:p>
    <w:p>
      <w:pPr>
        <w:ind w:left="1260" w:hanging="723"/>
        <w:spacing w:after="0"/>
        <w:tabs>
          <w:tab w:leader="none" w:pos="12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judgment liens in respect of judgments that do not constitute an Event of Default under </w:t>
      </w:r>
      <w:r>
        <w:rPr>
          <w:rFonts w:ascii="Arial" w:cs="Arial" w:eastAsia="Arial" w:hAnsi="Arial"/>
          <w:sz w:val="18"/>
          <w:szCs w:val="18"/>
          <w:u w:val="single" w:color="auto"/>
          <w:color w:val="auto"/>
        </w:rPr>
        <w:t>Section 7.01(k)</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firstLine="537"/>
        <w:spacing w:after="0" w:line="252" w:lineRule="auto"/>
        <w:tabs>
          <w:tab w:leader="none" w:pos="1234" w:val="left"/>
        </w:tabs>
        <w:numPr>
          <w:ilvl w:val="1"/>
          <w:numId w:val="39"/>
        </w:numPr>
        <w:rPr>
          <w:rFonts w:ascii="Arial" w:cs="Arial" w:eastAsia="Arial" w:hAnsi="Arial"/>
          <w:sz w:val="18"/>
          <w:szCs w:val="18"/>
          <w:color w:val="auto"/>
        </w:rPr>
      </w:pPr>
      <w:r>
        <w:rPr>
          <w:rFonts w:ascii="Arial" w:cs="Arial" w:eastAsia="Arial" w:hAnsi="Arial"/>
          <w:sz w:val="18"/>
          <w:szCs w:val="18"/>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Company or any Subsidiary;</w:t>
      </w:r>
    </w:p>
    <w:p>
      <w:pPr>
        <w:spacing w:after="0" w:line="185" w:lineRule="exact"/>
        <w:rPr>
          <w:rFonts w:ascii="Arial" w:cs="Arial" w:eastAsia="Arial" w:hAnsi="Arial"/>
          <w:sz w:val="18"/>
          <w:szCs w:val="18"/>
          <w:color w:val="auto"/>
        </w:rPr>
      </w:pPr>
    </w:p>
    <w:p>
      <w:pPr>
        <w:jc w:val="both"/>
        <w:ind w:firstLine="537"/>
        <w:spacing w:after="0" w:line="361" w:lineRule="auto"/>
        <w:tabs>
          <w:tab w:leader="none" w:pos="1264" w:val="left"/>
        </w:tabs>
        <w:numPr>
          <w:ilvl w:val="1"/>
          <w:numId w:val="39"/>
        </w:numPr>
        <w:rPr>
          <w:rFonts w:ascii="Arial" w:cs="Arial" w:eastAsia="Arial" w:hAnsi="Arial"/>
          <w:sz w:val="15"/>
          <w:szCs w:val="15"/>
          <w:color w:val="auto"/>
        </w:rPr>
      </w:pPr>
      <w:r>
        <w:rPr>
          <w:rFonts w:ascii="Arial" w:cs="Arial" w:eastAsia="Arial" w:hAnsi="Arial"/>
          <w:sz w:val="15"/>
          <w:szCs w:val="15"/>
          <w:color w:val="auto"/>
        </w:rPr>
        <w:t>Liens in favor of a banking or other financial institution arising as a matter of law or in the ordinary course of business under customary terms and conditions encumbering deposits or other funds maintained with such institution including bankers’ liens, rights of set-off or similar rights and remedies; and</w:t>
      </w:r>
    </w:p>
    <w:p>
      <w:pPr>
        <w:spacing w:after="0" w:line="109" w:lineRule="exact"/>
        <w:rPr>
          <w:rFonts w:ascii="Arial" w:cs="Arial" w:eastAsia="Arial" w:hAnsi="Arial"/>
          <w:sz w:val="15"/>
          <w:szCs w:val="15"/>
          <w:color w:val="auto"/>
        </w:rPr>
      </w:pPr>
    </w:p>
    <w:p>
      <w:pPr>
        <w:ind w:firstLine="537"/>
        <w:spacing w:after="0" w:line="261" w:lineRule="auto"/>
        <w:tabs>
          <w:tab w:leader="none" w:pos="1264"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deposits and Liens to secure Bonding Obligations permitted under </w:t>
      </w:r>
      <w:r>
        <w:rPr>
          <w:rFonts w:ascii="Arial" w:cs="Arial" w:eastAsia="Arial" w:hAnsi="Arial"/>
          <w:sz w:val="18"/>
          <w:szCs w:val="18"/>
          <w:u w:val="single" w:color="auto"/>
          <w:color w:val="auto"/>
        </w:rPr>
        <w:t>Section 6.01(i)</w:t>
      </w:r>
      <w:r>
        <w:rPr>
          <w:rFonts w:ascii="Arial" w:cs="Arial" w:eastAsia="Arial" w:hAnsi="Arial"/>
          <w:sz w:val="18"/>
          <w:szCs w:val="18"/>
          <w:color w:val="auto"/>
        </w:rPr>
        <w:t xml:space="preserve"> with respect to which no Event of Default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7.01(r)</w:t>
      </w:r>
      <w:r>
        <w:rPr>
          <w:rFonts w:ascii="Arial" w:cs="Arial" w:eastAsia="Arial" w:hAnsi="Arial"/>
          <w:sz w:val="18"/>
          <w:szCs w:val="18"/>
          <w:color w:val="auto"/>
        </w:rPr>
        <w:t xml:space="preserve"> has occurred and is continuing;</w:t>
      </w:r>
    </w:p>
    <w:p>
      <w:pPr>
        <w:spacing w:after="0" w:line="178" w:lineRule="exact"/>
        <w:rPr>
          <w:sz w:val="20"/>
          <w:szCs w:val="20"/>
          <w:color w:val="auto"/>
        </w:rPr>
      </w:pPr>
    </w:p>
    <w:p>
      <w:pPr>
        <w:ind w:left="540" w:right="1040"/>
        <w:spacing w:after="0" w:line="44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xml:space="preserve">” shall not include any Lien securing Indebtedness, except with respect to clause </w:t>
      </w:r>
      <w:r>
        <w:rPr>
          <w:rFonts w:ascii="Arial" w:cs="Arial" w:eastAsia="Arial" w:hAnsi="Arial"/>
          <w:sz w:val="18"/>
          <w:szCs w:val="18"/>
          <w:u w:val="single" w:color="auto"/>
          <w:color w:val="auto"/>
        </w:rPr>
        <w:t>(h)</w:t>
      </w:r>
      <w:r>
        <w:rPr>
          <w:rFonts w:ascii="Arial" w:cs="Arial" w:eastAsia="Arial" w:hAnsi="Arial"/>
          <w:sz w:val="18"/>
          <w:szCs w:val="18"/>
          <w:color w:val="auto"/>
        </w:rPr>
        <w:t xml:space="preserve"> above. “</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means</w:t>
      </w:r>
    </w:p>
    <w:p>
      <w:pPr>
        <w:spacing w:after="0" w:line="1" w:lineRule="exact"/>
        <w:rPr>
          <w:sz w:val="20"/>
          <w:szCs w:val="20"/>
          <w:color w:val="auto"/>
        </w:rPr>
      </w:pPr>
    </w:p>
    <w:p>
      <w:pPr>
        <w:ind w:firstLine="405"/>
        <w:spacing w:after="0" w:line="261" w:lineRule="auto"/>
        <w:tabs>
          <w:tab w:leader="none" w:pos="1254" w:val="left"/>
        </w:tabs>
        <w:numPr>
          <w:ilvl w:val="0"/>
          <w:numId w:val="40"/>
        </w:numPr>
        <w:rPr>
          <w:rFonts w:ascii="Arial" w:cs="Arial" w:eastAsia="Arial" w:hAnsi="Arial"/>
          <w:sz w:val="18"/>
          <w:szCs w:val="18"/>
          <w:color w:val="auto"/>
        </w:rPr>
      </w:pPr>
      <w:r>
        <w:rPr>
          <w:rFonts w:ascii="Arial" w:cs="Arial" w:eastAsia="Arial" w:hAnsi="Arial"/>
          <w:sz w:val="18"/>
          <w:szCs w:val="18"/>
          <w:color w:val="auto"/>
        </w:rPr>
        <w:t>money market funds that (i) comply with the criteria set forth in SEC Rule 2a-7 under the Investment Company Act of 1940, (ii) are rated AAA by S&amp;P and Aaa by Moody's and (iii) have portfolio assets of at least $5,000,000,000; and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1460"/>
          </w:cols>
          <w:pgMar w:left="220" w:top="508" w:right="219" w:bottom="1440" w:gutter="0" w:footer="0" w:header="0"/>
        </w:sectPr>
      </w:pPr>
    </w:p>
    <w:bookmarkStart w:id="85" w:name="page86"/>
    <w:bookmarkEnd w:id="85"/>
    <w:p>
      <w:pPr>
        <w:jc w:val="both"/>
        <w:ind w:firstLine="405"/>
        <w:spacing w:after="0" w:line="252" w:lineRule="auto"/>
        <w:tabs>
          <w:tab w:leader="none" w:pos="1264"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investments permitted by the Company’s Investment Policy as in effect as of the Effective Date, a copy of which is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as the same may be amended, restated, supplemented or otherwise modified from time to time with the consent of the Administrative Agent, such consent not to be unreasonably withheld, conditioned or delayed.</w:t>
      </w:r>
    </w:p>
    <w:p>
      <w:pPr>
        <w:spacing w:after="0" w:line="186"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45" w:lineRule="exact"/>
        <w:rPr>
          <w:sz w:val="20"/>
          <w:szCs w:val="20"/>
          <w:color w:val="auto"/>
        </w:rPr>
      </w:pPr>
    </w:p>
    <w:p>
      <w:pPr>
        <w:jc w:val="both"/>
        <w:ind w:firstLine="529"/>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(as defined in Section 3(2) of ERISA) (other than a Multiemployer Plan) subject to the provisions of Section 302 or Title IV of ERISA or Section 412 of the Code, and which the Company or any ERISA Affiliate sponsors, maintains, contributes to or has an obligation to contribute to or with respect to which any of the foregoing Persons has or could reasonably be expected to have any obligation or liability (whether actual, contingent or otherwise).</w:t>
      </w:r>
    </w:p>
    <w:p>
      <w:pPr>
        <w:spacing w:after="0" w:line="155" w:lineRule="exact"/>
        <w:rPr>
          <w:sz w:val="20"/>
          <w:szCs w:val="20"/>
          <w:color w:val="auto"/>
        </w:rPr>
      </w:pPr>
    </w:p>
    <w:p>
      <w:pPr>
        <w:jc w:val="both"/>
        <w:ind w:firstLine="52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PPSA</w:t>
      </w:r>
      <w:r>
        <w:rPr>
          <w:rFonts w:ascii="Arial" w:cs="Arial" w:eastAsia="Arial" w:hAnsi="Arial"/>
          <w:sz w:val="18"/>
          <w:szCs w:val="18"/>
          <w:color w:val="auto"/>
        </w:rPr>
        <w:t>” means the Personal Property Security Act (Ontario), including the regulations thereto, provided that, if perfection or the effect of perfection or non-perfection or the priority of any Lien created under any of the Loan Documents on the Collateral is governed by the personal property security legislation or other applicable legislation with respect to personal property security in effect in a jurisdiction other than Ontario, “</w:t>
      </w:r>
      <w:r>
        <w:rPr>
          <w:rFonts w:ascii="Arial" w:cs="Arial" w:eastAsia="Arial" w:hAnsi="Arial"/>
          <w:sz w:val="18"/>
          <w:szCs w:val="18"/>
          <w:u w:val="single" w:color="auto"/>
          <w:color w:val="auto"/>
        </w:rPr>
        <w:t>PPSA</w:t>
      </w:r>
      <w:r>
        <w:rPr>
          <w:rFonts w:ascii="Arial" w:cs="Arial" w:eastAsia="Arial" w:hAnsi="Arial"/>
          <w:sz w:val="18"/>
          <w:szCs w:val="18"/>
          <w:color w:val="auto"/>
        </w:rPr>
        <w:t>” means the Personal Property Security Act or such other applicable legislation in effect from time to time in such other jurisdiction for purposes of the provisions hereof relating to such perfection, effect of perfection or non-perfection or priority.</w:t>
      </w:r>
    </w:p>
    <w:p>
      <w:pPr>
        <w:spacing w:after="0" w:line="158" w:lineRule="exact"/>
        <w:rPr>
          <w:sz w:val="20"/>
          <w:szCs w:val="20"/>
          <w:color w:val="auto"/>
        </w:rPr>
      </w:pPr>
    </w:p>
    <w:p>
      <w:pPr>
        <w:jc w:val="both"/>
        <w:ind w:firstLine="529"/>
        <w:spacing w:after="0" w:line="36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Prime Rate</w:t>
      </w:r>
      <w:r>
        <w:rPr>
          <w:rFonts w:ascii="Arial" w:cs="Arial" w:eastAsia="Arial" w:hAnsi="Arial"/>
          <w:sz w:val="15"/>
          <w:szCs w:val="15"/>
          <w:color w:val="auto"/>
        </w:rPr>
        <w:t>” means the rate of interest per annum publicly announced from time to time by JPMorgan Chase as its prime rate in effect at its principal office in New York City; each change in the Prime Rate shall be effective from and including the date such change is publicly announced as being effective.</w:t>
      </w:r>
    </w:p>
    <w:p>
      <w:pPr>
        <w:spacing w:after="0" w:line="76" w:lineRule="exact"/>
        <w:rPr>
          <w:sz w:val="20"/>
          <w:szCs w:val="20"/>
          <w:color w:val="auto"/>
        </w:rPr>
      </w:pPr>
    </w:p>
    <w:p>
      <w:pPr>
        <w:jc w:val="both"/>
        <w:ind w:firstLine="529"/>
        <w:spacing w:after="0" w:line="31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Qualified ECP Guarantor</w:t>
      </w:r>
      <w:r>
        <w:rPr>
          <w:rFonts w:ascii="Arial" w:cs="Arial" w:eastAsia="Arial" w:hAnsi="Arial"/>
          <w:sz w:val="15"/>
          <w:szCs w:val="15"/>
          <w:color w:val="auto"/>
        </w:rPr>
        <w:t>” means, in respect of any Swap Obligation, each Credit Party that has total assets exceeding $10,000,000 at the time the relevant Guarantee, joint and several liability, and/or Lien becomes or would become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11" w:lineRule="exact"/>
        <w:rPr>
          <w:sz w:val="20"/>
          <w:szCs w:val="20"/>
          <w:color w:val="auto"/>
        </w:rPr>
      </w:pPr>
    </w:p>
    <w:p>
      <w:pPr>
        <w:jc w:val="both"/>
        <w:ind w:firstLine="529"/>
        <w:spacing w:after="0" w:line="30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Quotation Day</w:t>
      </w:r>
      <w:r>
        <w:rPr>
          <w:rFonts w:ascii="Arial" w:cs="Arial" w:eastAsia="Arial" w:hAnsi="Arial"/>
          <w:sz w:val="15"/>
          <w:szCs w:val="15"/>
          <w:color w:val="auto"/>
        </w:rPr>
        <w:t>” means (a) with respect to any currency (other than Sterling, Australian Dollars and Canadian Dollars), for any Interest Period, two Business Days prior to the first day of such Interest Period and (b) with respect to Sterling, Australian Dollars and Canadian Dollars for any Interest Period, the first day of such Interest Period, in each case, unless market practice differs in the relevant interbank market for any currency, in which case the Quotation Day for such currency shall be determined by the Administrative Agent in accordance with market practice in the relevant interbank market (and if quotations would normally be given by leading banks in the relevant market on more than one day, the Quotation Day will be the last of those days).</w:t>
      </w:r>
    </w:p>
    <w:p>
      <w:pPr>
        <w:spacing w:after="0" w:line="11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as applicable, (a) the Administrative Agent, (b) any Lender and (c) the Issuing Bank.</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1460"/>
          </w:cols>
          <w:pgMar w:left="220" w:top="718" w:right="219" w:bottom="1440" w:gutter="0" w:footer="0" w:header="0"/>
        </w:sectPr>
      </w:pPr>
    </w:p>
    <w:bookmarkStart w:id="86" w:name="page87"/>
    <w:bookmarkEnd w:id="86"/>
    <w:p>
      <w:pPr>
        <w:jc w:val="both"/>
        <w:ind w:firstLine="529"/>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Reference Bank Rate</w:t>
      </w:r>
      <w:r>
        <w:rPr>
          <w:rFonts w:ascii="Arial" w:cs="Arial" w:eastAsia="Arial" w:hAnsi="Arial"/>
          <w:sz w:val="17"/>
          <w:szCs w:val="17"/>
          <w:color w:val="auto"/>
        </w:rPr>
        <w:t>” means the arithmetic mean of the rates (rounded upwards to four decimal places) supplied to the Administrative Agent at its request by the Reference Banks (as the case may be) for Loans in the applicable currency and the applicable Interest Period (a) in relation to the Canadian Dealer Offered Rate, as the rate at which the relevant Reference Bank is willing to extend credit by the purchase of bankers acceptances in Canadian Dollars which have been accepted by banks which are for the time being customarily regarded as being of appropriate credit standing for such purpose with a term to maturity comparable to the applicable Interest Period, (b) in relation to Eurocurrency Loans, as the rate quoted by the relevant Reference Bank to leading banks in the London interbank market for the offering of deposits in the applicable currency and for a period comparable to the applicable Interest Period and (c) in relation to EURIBOR Loans, as the rate quoted by the relevant Reference Bank to leading banks in the Banking Federation of the European Union for the offering of deposits in Euros and for a period comparable to the applicable Interest Period.</w:t>
      </w:r>
    </w:p>
    <w:p>
      <w:pPr>
        <w:spacing w:after="0" w:line="151"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Banks</w:t>
      </w:r>
      <w:r>
        <w:rPr>
          <w:rFonts w:ascii="Arial" w:cs="Arial" w:eastAsia="Arial" w:hAnsi="Arial"/>
          <w:sz w:val="18"/>
          <w:szCs w:val="18"/>
          <w:color w:val="auto"/>
        </w:rPr>
        <w:t>” means such banks as may be appointed by the Administrative Agent in consultation with the Company. No Lender shall be obligated to be a Reference Bank without its consent.</w:t>
      </w:r>
    </w:p>
    <w:p>
      <w:pPr>
        <w:spacing w:after="0" w:line="14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9.04</w:t>
      </w:r>
      <w:r>
        <w:rPr>
          <w:rFonts w:ascii="Arial" w:cs="Arial" w:eastAsia="Arial" w:hAnsi="Arial"/>
          <w:sz w:val="18"/>
          <w:szCs w:val="18"/>
          <w:color w:val="auto"/>
        </w:rPr>
        <w:t>.</w:t>
      </w:r>
    </w:p>
    <w:p>
      <w:pPr>
        <w:spacing w:after="0" w:line="179"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directors, officers, employees, agents and advisors of such Person and such Person’s Affiliates.</w:t>
      </w:r>
    </w:p>
    <w:p>
      <w:pPr>
        <w:spacing w:after="0" w:line="145" w:lineRule="exact"/>
        <w:rPr>
          <w:sz w:val="20"/>
          <w:szCs w:val="20"/>
          <w:color w:val="auto"/>
        </w:rPr>
      </w:pPr>
    </w:p>
    <w:p>
      <w:pPr>
        <w:jc w:val="both"/>
        <w:ind w:firstLine="529"/>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Lenders</w:t>
      </w:r>
      <w:r>
        <w:rPr>
          <w:rFonts w:ascii="Arial" w:cs="Arial" w:eastAsia="Arial" w:hAnsi="Arial"/>
          <w:sz w:val="17"/>
          <w:szCs w:val="17"/>
          <w:color w:val="auto"/>
        </w:rPr>
        <w:t>” means, at any time, the Lenders having Revolving Credit Exposures and unused Revolving Commitments representing more than fifty percent (50%) of the sum of the total Revolving Credit Exposures and unused Revolving Commitments at such time.</w:t>
      </w:r>
    </w:p>
    <w:p>
      <w:pPr>
        <w:spacing w:after="0" w:line="121" w:lineRule="exact"/>
        <w:rPr>
          <w:sz w:val="20"/>
          <w:szCs w:val="20"/>
          <w:color w:val="auto"/>
        </w:rPr>
      </w:pPr>
    </w:p>
    <w:p>
      <w:pPr>
        <w:jc w:val="both"/>
        <w:ind w:firstLine="529"/>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any dividend or other distribution (whether in cash, securities or other property) with respect to any Equity Interests in the Company or any Subsidiary, or any payment (whether in cash, securities or other property), including any sinking fund or similar deposit, on account of the purchase, redemption, retirement, acquisition, cancellation or termination of any such Equity Interests in the Company or any option, warrant or other right to acquire any such Equity Interests in the Company.</w:t>
      </w:r>
    </w:p>
    <w:p>
      <w:pPr>
        <w:spacing w:after="0" w:line="155" w:lineRule="exact"/>
        <w:rPr>
          <w:sz w:val="20"/>
          <w:szCs w:val="20"/>
          <w:color w:val="auto"/>
        </w:rPr>
      </w:pPr>
    </w:p>
    <w:p>
      <w:pPr>
        <w:jc w:val="both"/>
        <w:ind w:firstLine="529"/>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Revolving Commitment</w:t>
      </w:r>
      <w:r>
        <w:rPr>
          <w:rFonts w:ascii="Arial" w:cs="Arial" w:eastAsia="Arial" w:hAnsi="Arial"/>
          <w:sz w:val="15"/>
          <w:szCs w:val="15"/>
          <w:color w:val="auto"/>
        </w:rPr>
        <w:t xml:space="preserve">” means, with respect to each Lender, the commitment of such Lender to make Revolving Loans and to acquire participations in Letters of Credit and Swingline Loans hereunder, expressed as an amount representing the maximum aggregate amount of such Lender’s Revolving Credit Exposure hereunder, as such commitment may be (a) increased from time to time pursuant to </w:t>
      </w:r>
      <w:r>
        <w:rPr>
          <w:rFonts w:ascii="Arial" w:cs="Arial" w:eastAsia="Arial" w:hAnsi="Arial"/>
          <w:sz w:val="15"/>
          <w:szCs w:val="15"/>
          <w:u w:val="single" w:color="auto"/>
          <w:color w:val="auto"/>
        </w:rPr>
        <w:t>Section 2.04</w:t>
      </w:r>
      <w:r>
        <w:rPr>
          <w:rFonts w:ascii="Arial" w:cs="Arial" w:eastAsia="Arial" w:hAnsi="Arial"/>
          <w:sz w:val="15"/>
          <w:szCs w:val="15"/>
          <w:color w:val="auto"/>
        </w:rPr>
        <w:t xml:space="preserve">, (b) reduced from time to time pursuant to </w:t>
      </w:r>
      <w:r>
        <w:rPr>
          <w:rFonts w:ascii="Arial" w:cs="Arial" w:eastAsia="Arial" w:hAnsi="Arial"/>
          <w:sz w:val="15"/>
          <w:szCs w:val="15"/>
          <w:u w:val="single" w:color="auto"/>
          <w:color w:val="auto"/>
        </w:rPr>
        <w:t>Section 2.09</w:t>
      </w:r>
      <w:r>
        <w:rPr>
          <w:rFonts w:ascii="Arial" w:cs="Arial" w:eastAsia="Arial" w:hAnsi="Arial"/>
          <w:sz w:val="15"/>
          <w:szCs w:val="15"/>
          <w:color w:val="auto"/>
        </w:rPr>
        <w:t xml:space="preserve"> and (c) reduced or increased from time to time pursuant to assignments by or to such Lender pursuant to </w:t>
      </w:r>
      <w:r>
        <w:rPr>
          <w:rFonts w:ascii="Arial" w:cs="Arial" w:eastAsia="Arial" w:hAnsi="Arial"/>
          <w:sz w:val="15"/>
          <w:szCs w:val="15"/>
          <w:u w:val="single" w:color="auto"/>
          <w:color w:val="auto"/>
        </w:rPr>
        <w:t>Section 9.04</w:t>
      </w:r>
      <w:r>
        <w:rPr>
          <w:rFonts w:ascii="Arial" w:cs="Arial" w:eastAsia="Arial" w:hAnsi="Arial"/>
          <w:sz w:val="15"/>
          <w:szCs w:val="15"/>
          <w:color w:val="auto"/>
        </w:rPr>
        <w:t xml:space="preserve">. The initial amount of each Lender’s Revolving Commitment is set forth on </w:t>
      </w:r>
      <w:r>
        <w:rPr>
          <w:rFonts w:ascii="Arial" w:cs="Arial" w:eastAsia="Arial" w:hAnsi="Arial"/>
          <w:sz w:val="15"/>
          <w:szCs w:val="15"/>
          <w:u w:val="single" w:color="auto"/>
          <w:color w:val="auto"/>
        </w:rPr>
        <w:t>Schedule 2.01</w:t>
      </w:r>
      <w:r>
        <w:rPr>
          <w:rFonts w:ascii="Arial" w:cs="Arial" w:eastAsia="Arial" w:hAnsi="Arial"/>
          <w:sz w:val="15"/>
          <w:szCs w:val="15"/>
          <w:color w:val="auto"/>
        </w:rPr>
        <w:t>, or in the Assignment and Assumption pursuant to which such Lender shall have assumed its Revolving Commitment, as applicable. As of the Effective Date, the aggregate amount of the Lenders’ Revolving Commitments is $300,000,000.</w:t>
      </w:r>
    </w:p>
    <w:p>
      <w:pPr>
        <w:spacing w:after="0" w:line="11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 Increase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179"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with respect to any Lender at any time, the sum of the outstanding principal amount of such Lender’s Revolving Loans and its LC Exposure and Swingline Exposure at such time.</w:t>
      </w:r>
    </w:p>
    <w:p>
      <w:pPr>
        <w:spacing w:after="0" w:line="14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xml:space="preserve">” means a Loan made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of this Agreement.</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S&amp;P Global Ratings.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1460"/>
          </w:cols>
          <w:pgMar w:left="220" w:top="508" w:right="219" w:bottom="1440" w:gutter="0" w:footer="0" w:header="0"/>
        </w:sectPr>
      </w:pPr>
    </w:p>
    <w:bookmarkStart w:id="87" w:name="page88"/>
    <w:bookmarkEnd w:id="87"/>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Sanctioned Country</w:t>
      </w:r>
      <w:r>
        <w:rPr>
          <w:rFonts w:ascii="Arial" w:cs="Arial" w:eastAsia="Arial" w:hAnsi="Arial"/>
          <w:sz w:val="15"/>
          <w:szCs w:val="15"/>
          <w:color w:val="auto"/>
        </w:rPr>
        <w:t>” means, at any time, a country, region or territory which is itself, or whose government is, the subject or target of any Sanctions.</w:t>
      </w:r>
    </w:p>
    <w:p>
      <w:pPr>
        <w:spacing w:after="0" w:line="213" w:lineRule="exact"/>
        <w:rPr>
          <w:sz w:val="20"/>
          <w:szCs w:val="20"/>
          <w:color w:val="auto"/>
        </w:rPr>
      </w:pPr>
    </w:p>
    <w:p>
      <w:pPr>
        <w:jc w:val="both"/>
        <w:ind w:firstLine="529"/>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at any time, (a) any Person listed in any Sanctions-related list of designated persons maintained by the Office of Foreign Assets Control of the U.S. Department of the Treasury, the U.S. Department of State, Her Majesty’s Treasury of the United Kingdom or by the United Nations Security Council, the European Union or any European Union member state, (b) any Person operating, organized or resident in a Sanctioned Country or (c) any Person owned or controlled by any such Person.</w:t>
      </w:r>
    </w:p>
    <w:p>
      <w:pPr>
        <w:spacing w:after="0" w:line="155" w:lineRule="exact"/>
        <w:rPr>
          <w:sz w:val="20"/>
          <w:szCs w:val="20"/>
          <w:color w:val="auto"/>
        </w:rPr>
      </w:pPr>
    </w:p>
    <w:p>
      <w:pPr>
        <w:jc w:val="both"/>
        <w:ind w:firstLine="529"/>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Sanctions</w:t>
      </w:r>
      <w:r>
        <w:rPr>
          <w:rFonts w:ascii="Arial" w:cs="Arial" w:eastAsia="Arial" w:hAnsi="Arial"/>
          <w:sz w:val="15"/>
          <w:szCs w:val="15"/>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or Her Majesty’s Treasury of the United Kingdom.</w:t>
      </w:r>
    </w:p>
    <w:p>
      <w:pPr>
        <w:spacing w:after="0" w:line="10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Screen Rate</w:t>
      </w:r>
      <w:r>
        <w:rPr>
          <w:rFonts w:ascii="Arial" w:cs="Arial" w:eastAsia="Arial" w:hAnsi="Arial"/>
          <w:sz w:val="15"/>
          <w:szCs w:val="15"/>
          <w:color w:val="auto"/>
        </w:rPr>
        <w:t>” means (a) in respect of the LIBO Rate for any currency and for any Interest Period, (i) in the case of U.S. Dollars, the LIBO Screen Rate,</w:t>
      </w:r>
    </w:p>
    <w:p>
      <w:pPr>
        <w:spacing w:after="0" w:line="51" w:lineRule="exact"/>
        <w:rPr>
          <w:sz w:val="20"/>
          <w:szCs w:val="20"/>
          <w:color w:val="auto"/>
        </w:rPr>
      </w:pPr>
    </w:p>
    <w:p>
      <w:pPr>
        <w:jc w:val="both"/>
        <w:ind w:firstLine="8"/>
        <w:spacing w:after="0" w:line="296" w:lineRule="auto"/>
        <w:tabs>
          <w:tab w:leader="none" w:pos="2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 xml:space="preserve">in the case of Australian Dollars, the average bid rate on Reuters Screen BBSY Page for bills of exchange having a tenor equal to (or approximating as closely as possible the length of) such Interest Period, and (iii) in the case of any other Foreign Currency, the London interbank offered rate as administered by ICE Benchmark Administration (or any other Person that takes over the administration of such rate) appearing on Reuters Screen LIBOR02 Page for such currency for such Interest Period (or, in each such case under this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on any successor or substitute page on such screen or service that displays such rate, or on the appropriate page of such other information service that publishes such rate as shall be selected by the Administrative Agent from time to time in its reasonable discretion), (b) in respect of the EURIBO Rate for any Interest Period, the percentage per annum determined by the Banking Federation of the European Union for such Interest Period as displayed on the applicable page of the Reuters screen (or on any successor or substitute page on such screen or service that displays such rate, or on the appropriate page of such other information service that publishes such rate as shall be selected by the Applicable Agent from time to time in its reasonable discretion), and (c) in respect of the Canadian Dealer Offered Rate, the average rate for bankers acceptances with a tenor equal in length to such Interest Period as displayed on CDOR page of the Reuters screen (or on any successor or substitute page on such screen or service that displays such rate, or on the appropriate page of such other information service that publishes such rate as shall be selected by the Applicable Agent from time to time in its reasonable discretion); </w:t>
      </w:r>
      <w:r>
        <w:rPr>
          <w:rFonts w:ascii="Arial" w:cs="Arial" w:eastAsia="Arial" w:hAnsi="Arial"/>
          <w:sz w:val="15"/>
          <w:szCs w:val="15"/>
          <w:u w:val="single" w:color="auto"/>
          <w:color w:val="auto"/>
        </w:rPr>
        <w:t>provided</w:t>
      </w:r>
      <w:r>
        <w:rPr>
          <w:rFonts w:ascii="Arial" w:cs="Arial" w:eastAsia="Arial" w:hAnsi="Arial"/>
          <w:sz w:val="15"/>
          <w:szCs w:val="15"/>
          <w:color w:val="auto"/>
        </w:rPr>
        <w:t>, that if any Screen Rate shall be less than zero, such rate shall be deemed to be zero for purposes of this Agreement.</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of the United States of America.</w:t>
      </w:r>
    </w:p>
    <w:p>
      <w:pPr>
        <w:spacing w:after="0" w:line="179" w:lineRule="exact"/>
        <w:rPr>
          <w:sz w:val="20"/>
          <w:szCs w:val="20"/>
          <w:color w:val="auto"/>
        </w:rPr>
      </w:pPr>
    </w:p>
    <w:p>
      <w:pPr>
        <w:jc w:val="both"/>
        <w:ind w:firstLine="529"/>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means each Existing Security Agreement and any other security agreement in a form acceptable to the Administrative Agent that is executed by the Company or any other Credit Party in connection with this Agreement, in each case, as ratified, amended, restated, supplemented or otherwise modified from time to time.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1460"/>
          </w:cols>
          <w:pgMar w:left="220" w:top="509" w:right="219" w:bottom="1440" w:gutter="0" w:footer="0" w:header="0"/>
        </w:sectPr>
      </w:pPr>
    </w:p>
    <w:bookmarkStart w:id="88" w:name="page89"/>
    <w:bookmarkEnd w:id="88"/>
    <w:p>
      <w:pPr>
        <w:jc w:val="both"/>
        <w:ind w:firstLine="529"/>
        <w:spacing w:after="0" w:line="30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Statutory Reserve Rate</w:t>
      </w:r>
      <w:r>
        <w:rPr>
          <w:rFonts w:ascii="Arial" w:cs="Arial" w:eastAsia="Arial" w:hAnsi="Arial"/>
          <w:sz w:val="15"/>
          <w:szCs w:val="15"/>
          <w:color w:val="auto"/>
        </w:rPr>
        <w:t>”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Board to which the Administrative Agent is subject with respect to the Adjusted LIBO Rate, for eurocurrency funding (currently referred to as “Eurocurrency Liabilities” in Regulation D of the Board). Such reserve percentage shall include those imposed pursuant to such Regulation D. Eurocurrency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11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the lawful currency of the United Kingdom.</w:t>
      </w:r>
    </w:p>
    <w:p>
      <w:pPr>
        <w:spacing w:after="0" w:line="179" w:lineRule="exact"/>
        <w:rPr>
          <w:sz w:val="20"/>
          <w:szCs w:val="20"/>
          <w:color w:val="auto"/>
        </w:rPr>
      </w:pPr>
    </w:p>
    <w:p>
      <w:pPr>
        <w:jc w:val="both"/>
        <w:ind w:firstLine="529"/>
        <w:spacing w:after="0" w:line="30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Subsidiary</w:t>
      </w:r>
      <w:r>
        <w:rPr>
          <w:rFonts w:ascii="Arial" w:cs="Arial" w:eastAsia="Arial" w:hAnsi="Arial"/>
          <w:sz w:val="15"/>
          <w:szCs w:val="15"/>
          <w:color w:val="auto"/>
        </w:rPr>
        <w:t>” means, with respect to the Company, at any date, any corporation, limited liability company, partnership, association or other entity the accounts of which would be consolidated with those of the Company in the Company’s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Company or one or more subsidiaries of the Company or by the Company and one or more subsidiaries of the Company. Notwithstanding the foregoing, neither Matrix Service, Inc., Panama (formed in Panama) nor San Luis Tank S.A. de C.V. (formed in Mexico) shall be considered a Subsidiary as long as it is dormant, has no assets, conducts no operations and the Company has no plan or intention to utilize it for any purpose.</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Subsidiary Guarantor</w:t>
      </w:r>
      <w:r>
        <w:rPr>
          <w:rFonts w:ascii="Arial" w:cs="Arial" w:eastAsia="Arial" w:hAnsi="Arial"/>
          <w:sz w:val="15"/>
          <w:szCs w:val="15"/>
          <w:color w:val="auto"/>
        </w:rPr>
        <w:t xml:space="preserve">” means each Material Subsidiary and each other Subsidiary that is required to be a Subsidiary Guarantor pursuant to </w:t>
      </w:r>
      <w:r>
        <w:rPr>
          <w:rFonts w:ascii="Arial" w:cs="Arial" w:eastAsia="Arial" w:hAnsi="Arial"/>
          <w:sz w:val="15"/>
          <w:szCs w:val="15"/>
          <w:u w:val="single" w:color="auto"/>
          <w:color w:val="auto"/>
        </w:rPr>
        <w:t>Section 5.09</w:t>
      </w:r>
      <w:r>
        <w:rPr>
          <w:rFonts w:ascii="Arial" w:cs="Arial" w:eastAsia="Arial" w:hAnsi="Arial"/>
          <w:sz w:val="15"/>
          <w:szCs w:val="15"/>
          <w:color w:val="auto"/>
        </w:rPr>
        <w:t>.</w:t>
      </w:r>
    </w:p>
    <w:p>
      <w:pPr>
        <w:spacing w:after="0" w:line="213"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Guaranty</w:t>
      </w:r>
      <w:r>
        <w:rPr>
          <w:rFonts w:ascii="Arial" w:cs="Arial" w:eastAsia="Arial" w:hAnsi="Arial"/>
          <w:sz w:val="18"/>
          <w:szCs w:val="18"/>
          <w:color w:val="auto"/>
        </w:rPr>
        <w:t xml:space="preserve">” means a Subsidiary Guaranty by each Subsidiary Guarantor, substantially in the form of </w:t>
      </w:r>
      <w:r>
        <w:rPr>
          <w:rFonts w:ascii="Arial" w:cs="Arial" w:eastAsia="Arial" w:hAnsi="Arial"/>
          <w:sz w:val="18"/>
          <w:szCs w:val="18"/>
          <w:u w:val="single" w:color="auto"/>
          <w:color w:val="auto"/>
        </w:rPr>
        <w:t>Exhibit F-1</w:t>
      </w:r>
      <w:r>
        <w:rPr>
          <w:rFonts w:ascii="Arial" w:cs="Arial" w:eastAsia="Arial" w:hAnsi="Arial"/>
          <w:sz w:val="18"/>
          <w:szCs w:val="18"/>
          <w:color w:val="auto"/>
        </w:rPr>
        <w:t xml:space="preserve"> hereto (for Domestic Subsidiaries) or </w:t>
      </w:r>
      <w:r>
        <w:rPr>
          <w:rFonts w:ascii="Arial" w:cs="Arial" w:eastAsia="Arial" w:hAnsi="Arial"/>
          <w:sz w:val="18"/>
          <w:szCs w:val="18"/>
          <w:u w:val="single" w:color="auto"/>
          <w:color w:val="auto"/>
        </w:rPr>
        <w:t>Exhibit F-2</w:t>
      </w:r>
      <w:r>
        <w:rPr>
          <w:rFonts w:ascii="Arial" w:cs="Arial" w:eastAsia="Arial" w:hAnsi="Arial"/>
          <w:sz w:val="18"/>
          <w:szCs w:val="18"/>
          <w:color w:val="auto"/>
        </w:rPr>
        <w:t xml:space="preserve"> hereto (for Foreign Subsidiaries), and each supplement thereto.</w:t>
      </w:r>
    </w:p>
    <w:p>
      <w:pPr>
        <w:spacing w:after="0" w:line="136" w:lineRule="exact"/>
        <w:rPr>
          <w:sz w:val="20"/>
          <w:szCs w:val="20"/>
          <w:color w:val="auto"/>
        </w:rPr>
      </w:pPr>
    </w:p>
    <w:p>
      <w:pPr>
        <w:jc w:val="both"/>
        <w:ind w:firstLine="529"/>
        <w:spacing w:after="0" w:line="27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Surety</w:t>
      </w:r>
      <w:r>
        <w:rPr>
          <w:rFonts w:ascii="Arial" w:cs="Arial" w:eastAsia="Arial" w:hAnsi="Arial"/>
          <w:sz w:val="16"/>
          <w:szCs w:val="16"/>
          <w:color w:val="auto"/>
        </w:rPr>
        <w:t>” means any surety party to any contractual arrangements entered into by the Company or any Subsidiary with respect to any bid, performance, surety, notary, wage and welfare, license, registration, permit, lien, warranty, pay-on-demand or payment bonds, contracts or like undertakings.</w:t>
      </w:r>
    </w:p>
    <w:p>
      <w:pPr>
        <w:spacing w:after="0" w:line="141" w:lineRule="exact"/>
        <w:rPr>
          <w:sz w:val="20"/>
          <w:szCs w:val="20"/>
          <w:color w:val="auto"/>
        </w:rPr>
      </w:pPr>
    </w:p>
    <w:p>
      <w:pPr>
        <w:jc w:val="both"/>
        <w:ind w:firstLine="52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Agreement</w:t>
      </w:r>
      <w:r>
        <w:rPr>
          <w:rFonts w:ascii="Arial" w:cs="Arial" w:eastAsia="Arial" w:hAnsi="Arial"/>
          <w:sz w:val="18"/>
          <w:szCs w:val="18"/>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phantom stock or similar plan providing for payments only on account of services provided by current or former directors, officers, employees or consultants of the Company or the Subsidiaries shall be a Swap Agreement.</w:t>
      </w:r>
    </w:p>
    <w:p>
      <w:pPr>
        <w:spacing w:after="0" w:line="158" w:lineRule="exact"/>
        <w:rPr>
          <w:sz w:val="20"/>
          <w:szCs w:val="20"/>
          <w:color w:val="auto"/>
        </w:rPr>
      </w:pPr>
    </w:p>
    <w:p>
      <w:pPr>
        <w:jc w:val="both"/>
        <w:ind w:firstLine="529"/>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Obligations</w:t>
      </w:r>
      <w:r>
        <w:rPr>
          <w:rFonts w:ascii="Arial" w:cs="Arial" w:eastAsia="Arial" w:hAnsi="Arial"/>
          <w:sz w:val="18"/>
          <w:szCs w:val="18"/>
          <w:color w:val="auto"/>
        </w:rPr>
        <w:t xml:space="preserve">” means, with respect to any </w:t>
      </w:r>
      <w:r>
        <w:rPr>
          <w:rFonts w:ascii="Arial" w:cs="Arial" w:eastAsia="Arial" w:hAnsi="Arial"/>
          <w:sz w:val="16"/>
          <w:szCs w:val="16"/>
          <w:color w:val="auto"/>
        </w:rPr>
        <w:t>Credit Party</w:t>
      </w:r>
      <w:r>
        <w:rPr>
          <w:rFonts w:ascii="Arial" w:cs="Arial" w:eastAsia="Arial" w:hAnsi="Arial"/>
          <w:sz w:val="18"/>
          <w:szCs w:val="18"/>
          <w:color w:val="auto"/>
        </w:rPr>
        <w:t>, any obligation to pay or perform under any agreement, contract or transaction that constitutes a “swap” within the meaning of section 1a(47) of the Commodity Exchange Act.</w:t>
      </w:r>
    </w:p>
    <w:p>
      <w:pPr>
        <w:spacing w:after="0" w:line="13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Borrowers</w:t>
      </w:r>
      <w:r>
        <w:rPr>
          <w:rFonts w:ascii="Arial" w:cs="Arial" w:eastAsia="Arial" w:hAnsi="Arial"/>
          <w:sz w:val="18"/>
          <w:szCs w:val="18"/>
          <w:color w:val="auto"/>
        </w:rPr>
        <w:t>” means the Company and the Canadian Borrowers.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1460"/>
          </w:cols>
          <w:pgMar w:left="220" w:top="508" w:right="219" w:bottom="1440" w:gutter="0" w:footer="0" w:header="0"/>
        </w:sectPr>
      </w:pPr>
    </w:p>
    <w:bookmarkStart w:id="89" w:name="page90"/>
    <w:bookmarkEnd w:id="89"/>
    <w:p>
      <w:pPr>
        <w:jc w:val="both"/>
        <w:ind w:firstLine="52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Exposure</w:t>
      </w:r>
      <w:r>
        <w:rPr>
          <w:rFonts w:ascii="Arial" w:cs="Arial" w:eastAsia="Arial" w:hAnsi="Arial"/>
          <w:sz w:val="18"/>
          <w:szCs w:val="18"/>
          <w:color w:val="auto"/>
        </w:rPr>
        <w:t>” means, at any time, the aggregate principal amount of all Swingline Loans outstanding at such time. The Swingline Exposure of any Lender at any time shall be the sum of (a) its Applicable Percentage of the total Swingline Exposure at such time related to Swingline Loans other than any Swingline Loans made by such Lender in its capacity as the Swingline Lender and (b) if such Lender shall be the Swingline Lender, the aggregate principal amount of all Swingline Loans made by such Lender outstanding at such time (to the extent that the other Lenders shall not have funded their participations in Swingline Loans).</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Lender</w:t>
      </w:r>
      <w:r>
        <w:rPr>
          <w:rFonts w:ascii="Arial" w:cs="Arial" w:eastAsia="Arial" w:hAnsi="Arial"/>
          <w:sz w:val="18"/>
          <w:szCs w:val="18"/>
          <w:color w:val="auto"/>
        </w:rPr>
        <w:t>” means JPMorgan Chase, in its capacity as lender of Swingline Loans hereunder.</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xml:space="preserve">” means a Loan made pursuant to </w:t>
      </w:r>
      <w:r>
        <w:rPr>
          <w:rFonts w:ascii="Arial" w:cs="Arial" w:eastAsia="Arial" w:hAnsi="Arial"/>
          <w:sz w:val="18"/>
          <w:szCs w:val="18"/>
          <w:u w:val="single" w:color="auto"/>
          <w:color w:val="auto"/>
        </w:rPr>
        <w:t>Section 2.05</w:t>
      </w:r>
      <w:r>
        <w:rPr>
          <w:rFonts w:ascii="Arial" w:cs="Arial" w:eastAsia="Arial" w:hAnsi="Arial"/>
          <w:sz w:val="18"/>
          <w:szCs w:val="18"/>
          <w:color w:val="auto"/>
        </w:rPr>
        <w:t>.</w:t>
      </w:r>
    </w:p>
    <w:p>
      <w:pPr>
        <w:spacing w:after="0" w:line="179" w:lineRule="exact"/>
        <w:rPr>
          <w:sz w:val="20"/>
          <w:szCs w:val="20"/>
          <w:color w:val="auto"/>
        </w:rPr>
      </w:pPr>
    </w:p>
    <w:p>
      <w:pPr>
        <w:jc w:val="both"/>
        <w:ind w:right="20" w:firstLine="52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Day</w:t>
      </w:r>
      <w:r>
        <w:rPr>
          <w:rFonts w:ascii="Arial" w:cs="Arial" w:eastAsia="Arial" w:hAnsi="Arial"/>
          <w:sz w:val="18"/>
          <w:szCs w:val="18"/>
          <w:color w:val="auto"/>
        </w:rPr>
        <w:t>” means any day on which the Trans-European Automatic Real-time Gross Settlement Express Transfer payment system is open for the settlement of payments in Euros.</w:t>
      </w:r>
    </w:p>
    <w:p>
      <w:pPr>
        <w:spacing w:after="0" w:line="145" w:lineRule="exact"/>
        <w:rPr>
          <w:sz w:val="20"/>
          <w:szCs w:val="20"/>
          <w:color w:val="auto"/>
        </w:rPr>
      </w:pPr>
    </w:p>
    <w:p>
      <w:pPr>
        <w:jc w:val="both"/>
        <w:ind w:firstLine="529"/>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any and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21" w:lineRule="exact"/>
        <w:rPr>
          <w:sz w:val="20"/>
          <w:szCs w:val="20"/>
          <w:color w:val="auto"/>
        </w:rPr>
      </w:pPr>
    </w:p>
    <w:p>
      <w:pPr>
        <w:jc w:val="both"/>
        <w:ind w:firstLine="529"/>
        <w:spacing w:after="0" w:line="36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Termination Date</w:t>
      </w:r>
      <w:r>
        <w:rPr>
          <w:rFonts w:ascii="Arial" w:cs="Arial" w:eastAsia="Arial" w:hAnsi="Arial"/>
          <w:sz w:val="15"/>
          <w:szCs w:val="15"/>
          <w:color w:val="auto"/>
        </w:rPr>
        <w:t>” means the fifth anniversary of the Effective Date, or any earlier date on which the Revolving Commitments are reduced to zero or all Revolving Commitments are otherwise terminated pursuant to the terms hereof, and if any such day is not a Business Day, then the next Business Day.</w:t>
      </w:r>
    </w:p>
    <w:p>
      <w:pPr>
        <w:spacing w:after="0" w:line="76" w:lineRule="exact"/>
        <w:rPr>
          <w:sz w:val="20"/>
          <w:szCs w:val="20"/>
          <w:color w:val="auto"/>
        </w:rPr>
      </w:pPr>
    </w:p>
    <w:p>
      <w:pPr>
        <w:jc w:val="both"/>
        <w:ind w:firstLine="529"/>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the execution, delivery and performance by the Credit Parties of this Agreement and the other Loan Documents, the borrowing of Loans, the use of the proceeds thereof, the issuance of Letters of Credit hereunder and the granting and perfection of Liens to secure repayment of the Obligations.</w:t>
      </w:r>
    </w:p>
    <w:p>
      <w:pPr>
        <w:spacing w:after="0" w:line="153" w:lineRule="exact"/>
        <w:rPr>
          <w:sz w:val="20"/>
          <w:szCs w:val="20"/>
          <w:color w:val="auto"/>
        </w:rPr>
      </w:pPr>
    </w:p>
    <w:p>
      <w:pPr>
        <w:jc w:val="both"/>
        <w:ind w:firstLine="529"/>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Adjusted LIBO Rate, the Alternate Base Rate, the Canadian Dealer Offered Rate, the Canadian Prime Rate or the EURIBO Rate.</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w:t>
      </w:r>
      <w:r>
        <w:rPr>
          <w:rFonts w:ascii="Arial" w:cs="Arial" w:eastAsia="Arial" w:hAnsi="Arial"/>
          <w:sz w:val="18"/>
          <w:szCs w:val="18"/>
          <w:color w:val="auto"/>
        </w:rPr>
        <w:t>” or “</w:t>
      </w:r>
      <w:r>
        <w:rPr>
          <w:rFonts w:ascii="Arial" w:cs="Arial" w:eastAsia="Arial" w:hAnsi="Arial"/>
          <w:sz w:val="18"/>
          <w:szCs w:val="18"/>
          <w:u w:val="single" w:color="auto"/>
          <w:color w:val="auto"/>
        </w:rPr>
        <w:t>United Kingdom</w:t>
      </w:r>
      <w:r>
        <w:rPr>
          <w:rFonts w:ascii="Arial" w:cs="Arial" w:eastAsia="Arial" w:hAnsi="Arial"/>
          <w:sz w:val="18"/>
          <w:szCs w:val="18"/>
          <w:color w:val="auto"/>
        </w:rPr>
        <w:t>” means the United Kingdom of Great Britain and Northern Ireland.</w:t>
      </w:r>
    </w:p>
    <w:p>
      <w:pPr>
        <w:spacing w:after="0" w:line="157"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Borrower</w:t>
      </w:r>
      <w:r>
        <w:rPr>
          <w:rFonts w:ascii="Arial" w:cs="Arial" w:eastAsia="Arial" w:hAnsi="Arial"/>
          <w:sz w:val="18"/>
          <w:szCs w:val="18"/>
          <w:color w:val="auto"/>
        </w:rPr>
        <w:t>” means any Borrower (a) that is organized or formed under the laws of the United Kingdom or (b) payments from which under this Agreement or any other Loan Document are subject to withholding Taxes imposed by the laws of the United Kingdom.</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Unused Fee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2.12</w:t>
      </w:r>
      <w:r>
        <w:rPr>
          <w:rFonts w:ascii="Arial" w:cs="Arial" w:eastAsia="Arial" w:hAnsi="Arial"/>
          <w:sz w:val="18"/>
          <w:szCs w:val="18"/>
          <w:color w:val="auto"/>
        </w:rPr>
        <w:t>.</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 “United States person” within the meaning of Section 7701(a)(30) of the Code.</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2.17(f)(ii)(B)(3)</w:t>
      </w:r>
      <w:r>
        <w:rPr>
          <w:rFonts w:ascii="Arial" w:cs="Arial" w:eastAsia="Arial" w:hAnsi="Arial"/>
          <w:sz w:val="18"/>
          <w:szCs w:val="18"/>
          <w:color w:val="auto"/>
        </w:rPr>
        <w: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11460"/>
          </w:cols>
          <w:pgMar w:left="220" w:top="509" w:right="219" w:bottom="1440" w:gutter="0" w:footer="0" w:header="0"/>
        </w:sectPr>
      </w:pPr>
    </w:p>
    <w:bookmarkStart w:id="90" w:name="page91"/>
    <w:bookmarkEnd w:id="90"/>
    <w:p>
      <w:pPr>
        <w:jc w:val="both"/>
        <w:ind w:firstLine="529"/>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 Subsidiary</w:t>
      </w:r>
      <w:r>
        <w:rPr>
          <w:rFonts w:ascii="Arial" w:cs="Arial" w:eastAsia="Arial" w:hAnsi="Arial"/>
          <w:sz w:val="18"/>
          <w:szCs w:val="18"/>
          <w:color w:val="auto"/>
        </w:rPr>
        <w:t>” of a Person means (i) any Subsidiary all of the outstanding voting securities of which shall at the time be owned or controlled, directly or indirectly, by such Person or one or more Wholly-Owned Subsidiaries of such Person, or by such Person and one or more Wholly-Owned Subsidiaries of such Person, or (ii) any partnership, limited liability company, association, joint venture or similar business organization 100% of the ownership interests having ordinary voting power of which shall at the time be so owned or controlled.</w:t>
      </w:r>
    </w:p>
    <w:p>
      <w:pPr>
        <w:spacing w:after="0" w:line="155"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1 of Subtitle E of Title IV of ERISA.</w:t>
      </w:r>
    </w:p>
    <w:p>
      <w:pPr>
        <w:spacing w:after="0" w:line="14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Withholding Agent</w:t>
      </w:r>
      <w:r>
        <w:rPr>
          <w:rFonts w:ascii="Arial" w:cs="Arial" w:eastAsia="Arial" w:hAnsi="Arial"/>
          <w:sz w:val="18"/>
          <w:szCs w:val="18"/>
          <w:color w:val="auto"/>
        </w:rPr>
        <w:t>” means any Credit Party and the Administrative Agent.</w:t>
      </w:r>
    </w:p>
    <w:p>
      <w:pPr>
        <w:spacing w:after="0" w:line="179" w:lineRule="exact"/>
        <w:rPr>
          <w:sz w:val="20"/>
          <w:szCs w:val="20"/>
          <w:color w:val="auto"/>
        </w:rPr>
      </w:pPr>
    </w:p>
    <w:p>
      <w:pPr>
        <w:jc w:val="both"/>
        <w:ind w:firstLine="529"/>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For purposes of this Agreement, Loans</w:t>
      </w:r>
    </w:p>
    <w:p>
      <w:pPr>
        <w:spacing w:after="0" w:line="1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may be classified and referred to by Class (</w:t>
      </w:r>
      <w:r>
        <w:rPr>
          <w:rFonts w:ascii="Arial" w:cs="Arial" w:eastAsia="Arial" w:hAnsi="Arial"/>
          <w:sz w:val="18"/>
          <w:szCs w:val="18"/>
          <w:i w:val="1"/>
          <w:iCs w:val="1"/>
          <w:color w:val="auto"/>
        </w:rPr>
        <w:t>e.g.</w:t>
      </w:r>
      <w:r>
        <w:rPr>
          <w:rFonts w:ascii="Arial" w:cs="Arial" w:eastAsia="Arial" w:hAnsi="Arial"/>
          <w:sz w:val="18"/>
          <w:szCs w:val="18"/>
          <w:color w:val="auto"/>
        </w:rPr>
        <w:t>, a “</w:t>
      </w:r>
      <w:r>
        <w:rPr>
          <w:rFonts w:ascii="Arial" w:cs="Arial" w:eastAsia="Arial" w:hAnsi="Arial"/>
          <w:sz w:val="18"/>
          <w:szCs w:val="18"/>
          <w:u w:val="single" w:color="auto"/>
          <w:color w:val="auto"/>
        </w:rPr>
        <w:t>Revolving Loan</w:t>
      </w:r>
      <w:r>
        <w:rPr>
          <w:rFonts w:ascii="Arial" w:cs="Arial" w:eastAsia="Arial" w:hAnsi="Arial"/>
          <w:sz w:val="18"/>
          <w:szCs w:val="18"/>
          <w:color w:val="auto"/>
        </w:rPr>
        <w:t>”) or by Type (</w:t>
      </w:r>
      <w:r>
        <w:rPr>
          <w:rFonts w:ascii="Arial" w:cs="Arial" w:eastAsia="Arial" w:hAnsi="Arial"/>
          <w:sz w:val="18"/>
          <w:szCs w:val="18"/>
          <w:i w:val="1"/>
          <w:iCs w:val="1"/>
          <w:color w:val="auto"/>
        </w:rPr>
        <w:t>e.g.</w:t>
      </w:r>
      <w:r>
        <w:rPr>
          <w:rFonts w:ascii="Arial" w:cs="Arial" w:eastAsia="Arial" w:hAnsi="Arial"/>
          <w:sz w:val="18"/>
          <w:szCs w:val="18"/>
          <w:color w:val="auto"/>
        </w:rPr>
        <w:t>, a “</w:t>
      </w:r>
      <w:r>
        <w:rPr>
          <w:rFonts w:ascii="Arial" w:cs="Arial" w:eastAsia="Arial" w:hAnsi="Arial"/>
          <w:sz w:val="18"/>
          <w:szCs w:val="18"/>
          <w:u w:val="single" w:color="auto"/>
          <w:color w:val="auto"/>
        </w:rPr>
        <w:t>Eurocurrency Loan</w:t>
      </w:r>
      <w:r>
        <w:rPr>
          <w:rFonts w:ascii="Arial" w:cs="Arial" w:eastAsia="Arial" w:hAnsi="Arial"/>
          <w:sz w:val="18"/>
          <w:szCs w:val="18"/>
          <w:color w:val="auto"/>
        </w:rPr>
        <w:t>”) or by Class and Type (</w:t>
      </w:r>
      <w:r>
        <w:rPr>
          <w:rFonts w:ascii="Arial" w:cs="Arial" w:eastAsia="Arial" w:hAnsi="Arial"/>
          <w:sz w:val="18"/>
          <w:szCs w:val="18"/>
          <w:i w:val="1"/>
          <w:iCs w:val="1"/>
          <w:color w:val="auto"/>
        </w:rPr>
        <w:t>e.g.</w:t>
      </w:r>
      <w:r>
        <w:rPr>
          <w:rFonts w:ascii="Arial" w:cs="Arial" w:eastAsia="Arial" w:hAnsi="Arial"/>
          <w:sz w:val="18"/>
          <w:szCs w:val="18"/>
          <w:color w:val="auto"/>
        </w:rPr>
        <w:t>, a “</w:t>
      </w:r>
      <w:r>
        <w:rPr>
          <w:rFonts w:ascii="Arial" w:cs="Arial" w:eastAsia="Arial" w:hAnsi="Arial"/>
          <w:sz w:val="18"/>
          <w:szCs w:val="18"/>
          <w:u w:val="single" w:color="auto"/>
          <w:color w:val="auto"/>
        </w:rPr>
        <w:t>Eurocurrency</w:t>
      </w:r>
      <w:r>
        <w:rPr>
          <w:rFonts w:ascii="Arial" w:cs="Arial" w:eastAsia="Arial" w:hAnsi="Arial"/>
          <w:sz w:val="18"/>
          <w:szCs w:val="18"/>
          <w:color w:val="auto"/>
        </w:rPr>
        <w:t xml:space="preserve"> </w:t>
      </w:r>
      <w:r>
        <w:rPr>
          <w:rFonts w:ascii="Arial" w:cs="Arial" w:eastAsia="Arial" w:hAnsi="Arial"/>
          <w:sz w:val="18"/>
          <w:szCs w:val="18"/>
          <w:u w:val="single" w:color="auto"/>
          <w:color w:val="auto"/>
        </w:rPr>
        <w:t>Revolving Loan</w:t>
      </w:r>
      <w:r>
        <w:rPr>
          <w:rFonts w:ascii="Arial" w:cs="Arial" w:eastAsia="Arial" w:hAnsi="Arial"/>
          <w:sz w:val="18"/>
          <w:szCs w:val="18"/>
          <w:color w:val="auto"/>
        </w:rPr>
        <w:t>”). Borrowings also may be classified and referred to by Class (</w:t>
      </w:r>
      <w:r>
        <w:rPr>
          <w:rFonts w:ascii="Arial" w:cs="Arial" w:eastAsia="Arial" w:hAnsi="Arial"/>
          <w:sz w:val="18"/>
          <w:szCs w:val="18"/>
          <w:i w:val="1"/>
          <w:iCs w:val="1"/>
          <w:color w:val="auto"/>
        </w:rPr>
        <w:t>e.g.</w:t>
      </w:r>
      <w:r>
        <w:rPr>
          <w:rFonts w:ascii="Arial" w:cs="Arial" w:eastAsia="Arial" w:hAnsi="Arial"/>
          <w:sz w:val="18"/>
          <w:szCs w:val="18"/>
          <w:color w:val="auto"/>
        </w:rPr>
        <w:t>, a “</w:t>
      </w:r>
      <w:r>
        <w:rPr>
          <w:rFonts w:ascii="Arial" w:cs="Arial" w:eastAsia="Arial" w:hAnsi="Arial"/>
          <w:sz w:val="18"/>
          <w:szCs w:val="18"/>
          <w:u w:val="single" w:color="auto"/>
          <w:color w:val="auto"/>
        </w:rPr>
        <w:t>Revolving Borrowing</w:t>
      </w:r>
      <w:r>
        <w:rPr>
          <w:rFonts w:ascii="Arial" w:cs="Arial" w:eastAsia="Arial" w:hAnsi="Arial"/>
          <w:sz w:val="18"/>
          <w:szCs w:val="18"/>
          <w:color w:val="auto"/>
        </w:rPr>
        <w:t>”) or by Type (</w:t>
      </w:r>
      <w:r>
        <w:rPr>
          <w:rFonts w:ascii="Arial" w:cs="Arial" w:eastAsia="Arial" w:hAnsi="Arial"/>
          <w:sz w:val="18"/>
          <w:szCs w:val="18"/>
          <w:i w:val="1"/>
          <w:iCs w:val="1"/>
          <w:color w:val="auto"/>
        </w:rPr>
        <w:t>e.g.</w:t>
      </w:r>
      <w:r>
        <w:rPr>
          <w:rFonts w:ascii="Arial" w:cs="Arial" w:eastAsia="Arial" w:hAnsi="Arial"/>
          <w:sz w:val="18"/>
          <w:szCs w:val="18"/>
          <w:color w:val="auto"/>
        </w:rPr>
        <w:t>, a “</w:t>
      </w:r>
      <w:r>
        <w:rPr>
          <w:rFonts w:ascii="Arial" w:cs="Arial" w:eastAsia="Arial" w:hAnsi="Arial"/>
          <w:sz w:val="18"/>
          <w:szCs w:val="18"/>
          <w:u w:val="single" w:color="auto"/>
          <w:color w:val="auto"/>
        </w:rPr>
        <w:t>Eurocurrency Borrowing</w:t>
      </w:r>
      <w:r>
        <w:rPr>
          <w:rFonts w:ascii="Arial" w:cs="Arial" w:eastAsia="Arial" w:hAnsi="Arial"/>
          <w:sz w:val="18"/>
          <w:szCs w:val="18"/>
          <w:color w:val="auto"/>
        </w:rPr>
        <w:t>”) or by Class and Type (</w:t>
      </w:r>
      <w:r>
        <w:rPr>
          <w:rFonts w:ascii="Arial" w:cs="Arial" w:eastAsia="Arial" w:hAnsi="Arial"/>
          <w:sz w:val="18"/>
          <w:szCs w:val="18"/>
          <w:i w:val="1"/>
          <w:iCs w:val="1"/>
          <w:color w:val="auto"/>
        </w:rPr>
        <w:t>e.g.</w:t>
      </w:r>
      <w:r>
        <w:rPr>
          <w:rFonts w:ascii="Arial" w:cs="Arial" w:eastAsia="Arial" w:hAnsi="Arial"/>
          <w:sz w:val="18"/>
          <w:szCs w:val="18"/>
          <w:color w:val="auto"/>
        </w:rPr>
        <w:t>, a “</w:t>
      </w:r>
      <w:r>
        <w:rPr>
          <w:rFonts w:ascii="Arial" w:cs="Arial" w:eastAsia="Arial" w:hAnsi="Arial"/>
          <w:sz w:val="18"/>
          <w:szCs w:val="18"/>
          <w:u w:val="single" w:color="auto"/>
          <w:color w:val="auto"/>
        </w:rPr>
        <w:t>Eurocurrency Revolving Borrowing</w:t>
      </w:r>
      <w:r>
        <w:rPr>
          <w:rFonts w:ascii="Arial" w:cs="Arial" w:eastAsia="Arial" w:hAnsi="Arial"/>
          <w:sz w:val="18"/>
          <w:szCs w:val="18"/>
          <w:color w:val="auto"/>
        </w:rPr>
        <w:t>”).</w:t>
      </w:r>
    </w:p>
    <w:p>
      <w:pPr>
        <w:spacing w:after="0" w:line="193" w:lineRule="exact"/>
        <w:rPr>
          <w:sz w:val="20"/>
          <w:szCs w:val="20"/>
          <w:color w:val="auto"/>
        </w:rPr>
      </w:pPr>
    </w:p>
    <w:p>
      <w:pPr>
        <w:jc w:val="both"/>
        <w:ind w:firstLine="529"/>
        <w:spacing w:after="0" w:line="299" w:lineRule="auto"/>
        <w:rPr>
          <w:sz w:val="20"/>
          <w:szCs w:val="20"/>
          <w:color w:val="auto"/>
        </w:rPr>
      </w:pPr>
      <w:r>
        <w:rPr>
          <w:rFonts w:ascii="Arial" w:cs="Arial" w:eastAsia="Arial" w:hAnsi="Arial"/>
          <w:sz w:val="15"/>
          <w:szCs w:val="15"/>
          <w:color w:val="auto"/>
        </w:rPr>
        <w:t xml:space="preserve">SECTION 1.03 </w:t>
      </w:r>
      <w:r>
        <w:rPr>
          <w:rFonts w:ascii="Arial" w:cs="Arial" w:eastAsia="Arial" w:hAnsi="Arial"/>
          <w:sz w:val="15"/>
          <w:szCs w:val="15"/>
          <w:u w:val="single" w:color="auto"/>
          <w:color w:val="auto"/>
        </w:rPr>
        <w:t>Terms Generally</w:t>
      </w:r>
      <w:r>
        <w:rPr>
          <w:rFonts w:ascii="Arial" w:cs="Arial" w:eastAsia="Arial" w:hAnsi="Arial"/>
          <w:sz w:val="15"/>
          <w:szCs w:val="15"/>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and all assets and properties of a mixed tangible and intangible nature, including cash, securities, accounts and contract rights.</w:t>
      </w:r>
    </w:p>
    <w:p>
      <w:pPr>
        <w:spacing w:after="0" w:line="155" w:lineRule="exact"/>
        <w:rPr>
          <w:sz w:val="20"/>
          <w:szCs w:val="20"/>
          <w:color w:val="auto"/>
        </w:rPr>
      </w:pPr>
    </w:p>
    <w:p>
      <w:pPr>
        <w:jc w:val="both"/>
        <w:ind w:firstLine="529"/>
        <w:spacing w:after="0" w:line="305" w:lineRule="auto"/>
        <w:rPr>
          <w:sz w:val="20"/>
          <w:szCs w:val="20"/>
          <w:color w:val="auto"/>
        </w:rPr>
      </w:pPr>
      <w:r>
        <w:rPr>
          <w:rFonts w:ascii="Arial" w:cs="Arial" w:eastAsia="Arial" w:hAnsi="Arial"/>
          <w:sz w:val="15"/>
          <w:szCs w:val="15"/>
          <w:color w:val="auto"/>
        </w:rPr>
        <w:t xml:space="preserve">SECTION 1.04 </w:t>
      </w:r>
      <w:r>
        <w:rPr>
          <w:rFonts w:ascii="Arial" w:cs="Arial" w:eastAsia="Arial" w:hAnsi="Arial"/>
          <w:sz w:val="15"/>
          <w:szCs w:val="15"/>
          <w:u w:val="single" w:color="auto"/>
          <w:color w:val="auto"/>
        </w:rPr>
        <w:t>Accounting Terms; GAAP</w:t>
      </w:r>
      <w:r>
        <w:rPr>
          <w:rFonts w:ascii="Arial" w:cs="Arial" w:eastAsia="Arial" w:hAnsi="Arial"/>
          <w:sz w:val="15"/>
          <w:szCs w:val="15"/>
          <w:color w:val="auto"/>
        </w:rPr>
        <w:t>. Except as otherwise expressly provided herein, all terms of an accounting or financial nature shall be construed in accordance with GAAP, as in effect from time to time; provided that, if the Company notifies the Administrative Agent that the Company requests an amendment to any provision hereof to eliminate the effect of any change occurring after the date hereof in GAAP or in the International Financial Reporting Standards or in the application thereof on the operation of such provision (or if the Administrative Agent notifies the Company that the Required Lenders request an amendment to any provision hereof for such purpose), regardless of whether any such notice is given before or after such change or in the application thereof, then such provision shall be interpreted on the basis of GAAP or International Financial Reporting Standards, as applicable, as in effect and applied immediately</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11460"/>
          </w:cols>
          <w:pgMar w:left="220" w:top="508" w:right="219" w:bottom="1440" w:gutter="0" w:footer="0" w:header="0"/>
        </w:sectPr>
      </w:pPr>
    </w:p>
    <w:bookmarkStart w:id="91" w:name="page92"/>
    <w:bookmarkEnd w:id="91"/>
    <w:p>
      <w:pPr>
        <w:spacing w:after="0"/>
        <w:rPr>
          <w:sz w:val="20"/>
          <w:szCs w:val="20"/>
          <w:color w:val="auto"/>
        </w:rPr>
      </w:pPr>
      <w:r>
        <w:rPr>
          <w:rFonts w:ascii="Arial" w:cs="Arial" w:eastAsia="Arial" w:hAnsi="Arial"/>
          <w:sz w:val="17"/>
          <w:szCs w:val="17"/>
          <w:color w:val="auto"/>
        </w:rPr>
        <w:t>before such change shall have become effective until such notice shall have been withdrawn or such provision amended in accordance herewith.</w:t>
      </w:r>
    </w:p>
    <w:p>
      <w:pPr>
        <w:spacing w:after="0" w:line="2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Currency Matters; Determination of U.S. Dollar Amounts</w:t>
      </w:r>
      <w:r>
        <w:rPr>
          <w:rFonts w:ascii="Arial" w:cs="Arial" w:eastAsia="Arial" w:hAnsi="Arial"/>
          <w:sz w:val="18"/>
          <w:szCs w:val="18"/>
          <w:color w:val="auto"/>
        </w:rPr>
        <w:t>.</w:t>
      </w:r>
    </w:p>
    <w:p>
      <w:pPr>
        <w:spacing w:after="0" w:line="212" w:lineRule="exact"/>
        <w:rPr>
          <w:sz w:val="20"/>
          <w:szCs w:val="20"/>
          <w:color w:val="auto"/>
        </w:rPr>
      </w:pPr>
    </w:p>
    <w:p>
      <w:pPr>
        <w:jc w:val="both"/>
        <w:ind w:firstLine="537"/>
        <w:spacing w:after="0" w:line="245" w:lineRule="auto"/>
        <w:tabs>
          <w:tab w:leader="none" w:pos="1254"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Currency Matters</w:t>
      </w:r>
      <w:r>
        <w:rPr>
          <w:rFonts w:ascii="Arial" w:cs="Arial" w:eastAsia="Arial" w:hAnsi="Arial"/>
          <w:sz w:val="18"/>
          <w:szCs w:val="18"/>
          <w:color w:val="auto"/>
        </w:rPr>
        <w:t>. Principal, interest, reimbursement obligations, fees, and all other amounts payable under this Agreement and the other Loan Documents to the Administrative Agent and the Lenders shall be payable in the currency in which such Obligations are denominated. Unless stated otherwise, all calculations, comparisons, measurements or determinations under this Agreement shall be made in U.S. Dollars. For the purpose of such calculations, comparisons, measurements or determinations, amounts or proceeds denominated in other currencies shall be converted to the Equivalent Amount of U.S. Dollars on the date of calculation, comparison, measurement or determination. Unless expressly provided otherwise, where a reference is made to a dollar amount, the amount is to be considered as the amount in U.S. Dollars and, therefore, each other currency shall be converted into the Equivalent Amount thereof in U.S. Dollars.</w:t>
      </w:r>
    </w:p>
    <w:p>
      <w:pPr>
        <w:spacing w:after="0" w:line="196" w:lineRule="exact"/>
        <w:rPr>
          <w:rFonts w:ascii="Arial" w:cs="Arial" w:eastAsia="Arial" w:hAnsi="Arial"/>
          <w:sz w:val="18"/>
          <w:szCs w:val="18"/>
          <w:color w:val="auto"/>
        </w:rPr>
      </w:pPr>
    </w:p>
    <w:p>
      <w:pPr>
        <w:ind w:left="1280" w:hanging="743"/>
        <w:spacing w:after="0"/>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Determination of Equivalent Amounts</w:t>
      </w:r>
      <w:r>
        <w:rPr>
          <w:rFonts w:ascii="Arial" w:cs="Arial" w:eastAsia="Arial" w:hAnsi="Arial"/>
          <w:sz w:val="18"/>
          <w:szCs w:val="18"/>
          <w:color w:val="auto"/>
        </w:rPr>
        <w:t>. The Administrative Agent will determine the Equivalent Amount in U.S. Dollars of:</w:t>
      </w:r>
    </w:p>
    <w:p>
      <w:pPr>
        <w:spacing w:after="0" w:line="211" w:lineRule="exact"/>
        <w:rPr>
          <w:rFonts w:ascii="Arial" w:cs="Arial" w:eastAsia="Arial" w:hAnsi="Arial"/>
          <w:sz w:val="18"/>
          <w:szCs w:val="18"/>
          <w:color w:val="auto"/>
        </w:rPr>
      </w:pPr>
    </w:p>
    <w:p>
      <w:pPr>
        <w:jc w:val="both"/>
        <w:ind w:left="540" w:firstLine="526"/>
        <w:spacing w:after="0" w:line="252" w:lineRule="auto"/>
        <w:tabs>
          <w:tab w:leader="none" w:pos="1764" w:val="left"/>
        </w:tabs>
        <w:numPr>
          <w:ilvl w:val="1"/>
          <w:numId w:val="43"/>
        </w:numPr>
        <w:rPr>
          <w:rFonts w:ascii="Arial" w:cs="Arial" w:eastAsia="Arial" w:hAnsi="Arial"/>
          <w:sz w:val="18"/>
          <w:szCs w:val="18"/>
          <w:color w:val="auto"/>
        </w:rPr>
      </w:pPr>
      <w:r>
        <w:rPr>
          <w:rFonts w:ascii="Arial" w:cs="Arial" w:eastAsia="Arial" w:hAnsi="Arial"/>
          <w:sz w:val="18"/>
          <w:szCs w:val="18"/>
          <w:color w:val="auto"/>
        </w:rPr>
        <w:t>each Borrowing denominated in a Foreign Currency as of the date two (2) Business Days prior to the date of such Borrowing (or, in the case of a Canadian Prime Rate Borrowing, as of the date of receipt of the request for such Loan) or, if applicable, the date of conversion/continuation of any such Borrowing;</w:t>
      </w:r>
    </w:p>
    <w:p>
      <w:pPr>
        <w:spacing w:after="0" w:line="185" w:lineRule="exact"/>
        <w:rPr>
          <w:rFonts w:ascii="Arial" w:cs="Arial" w:eastAsia="Arial" w:hAnsi="Arial"/>
          <w:sz w:val="18"/>
          <w:szCs w:val="18"/>
          <w:color w:val="auto"/>
        </w:rPr>
      </w:pPr>
    </w:p>
    <w:p>
      <w:pPr>
        <w:ind w:left="1820" w:hanging="754"/>
        <w:spacing w:after="0"/>
        <w:tabs>
          <w:tab w:leader="none" w:pos="1820"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the LC Exposure as of the date of each request for the issuance, amendment, renewal or extension of any Letter of Credit; and</w:t>
      </w:r>
    </w:p>
    <w:p>
      <w:pPr>
        <w:spacing w:after="0" w:line="223" w:lineRule="exact"/>
        <w:rPr>
          <w:rFonts w:ascii="Arial" w:cs="Arial" w:eastAsia="Arial" w:hAnsi="Arial"/>
          <w:sz w:val="17"/>
          <w:szCs w:val="17"/>
          <w:color w:val="auto"/>
        </w:rPr>
      </w:pPr>
    </w:p>
    <w:p>
      <w:pPr>
        <w:ind w:left="540" w:firstLine="526"/>
        <w:spacing w:after="0" w:line="361" w:lineRule="auto"/>
        <w:tabs>
          <w:tab w:leader="none" w:pos="1862" w:val="left"/>
        </w:tabs>
        <w:numPr>
          <w:ilvl w:val="1"/>
          <w:numId w:val="43"/>
        </w:numPr>
        <w:rPr>
          <w:rFonts w:ascii="Arial" w:cs="Arial" w:eastAsia="Arial" w:hAnsi="Arial"/>
          <w:sz w:val="15"/>
          <w:szCs w:val="15"/>
          <w:color w:val="auto"/>
        </w:rPr>
      </w:pPr>
      <w:r>
        <w:rPr>
          <w:rFonts w:ascii="Arial" w:cs="Arial" w:eastAsia="Arial" w:hAnsi="Arial"/>
          <w:sz w:val="15"/>
          <w:szCs w:val="15"/>
          <w:color w:val="auto"/>
        </w:rPr>
        <w:t>all outstanding Revolving Credit Exposure on and as of the last Business Day of each calendar quarter and, during the continuation of an Event of Default, on any other Business Day elected by the Administrative Agent in its discretion or upon instruction by the Required Lenders.</w:t>
      </w:r>
    </w:p>
    <w:p>
      <w:pPr>
        <w:spacing w:after="0" w:line="109" w:lineRule="exact"/>
        <w:rPr>
          <w:sz w:val="20"/>
          <w:szCs w:val="20"/>
          <w:color w:val="auto"/>
        </w:rPr>
      </w:pPr>
    </w:p>
    <w:p>
      <w:pPr>
        <w:jc w:val="both"/>
        <w:ind w:firstLine="529"/>
        <w:spacing w:after="0" w:line="252" w:lineRule="auto"/>
        <w:rPr>
          <w:sz w:val="20"/>
          <w:szCs w:val="20"/>
          <w:color w:val="auto"/>
        </w:rPr>
      </w:pPr>
      <w:r>
        <w:rPr>
          <w:rFonts w:ascii="Arial" w:cs="Arial" w:eastAsia="Arial" w:hAnsi="Arial"/>
          <w:sz w:val="18"/>
          <w:szCs w:val="18"/>
          <w:color w:val="auto"/>
        </w:rPr>
        <w:t xml:space="preserve">Each day upon or as of which the Administrative Agent determines Equivalent Amounts as described in the preceding clauses </w:t>
      </w:r>
      <w:r>
        <w:rPr>
          <w:rFonts w:ascii="Arial" w:cs="Arial" w:eastAsia="Arial" w:hAnsi="Arial"/>
          <w:sz w:val="18"/>
          <w:szCs w:val="18"/>
          <w:u w:val="single" w:color="auto"/>
          <w:color w:val="auto"/>
        </w:rPr>
        <w:t>(i)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is herein described as a “</w:t>
      </w:r>
      <w:r>
        <w:rPr>
          <w:rFonts w:ascii="Arial" w:cs="Arial" w:eastAsia="Arial" w:hAnsi="Arial"/>
          <w:sz w:val="18"/>
          <w:szCs w:val="18"/>
          <w:u w:val="single" w:color="auto"/>
          <w:color w:val="auto"/>
        </w:rPr>
        <w:t>Computation Date</w:t>
      </w:r>
      <w:r>
        <w:rPr>
          <w:rFonts w:ascii="Arial" w:cs="Arial" w:eastAsia="Arial" w:hAnsi="Arial"/>
          <w:sz w:val="18"/>
          <w:szCs w:val="18"/>
          <w:color w:val="auto"/>
        </w:rPr>
        <w:t>” with respect to each Borrowing, Letter of Credit or LC Exposure for which an Equivalent Amount is determined on or as of such day.</w:t>
      </w:r>
    </w:p>
    <w:p>
      <w:pPr>
        <w:spacing w:after="0" w:line="14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II</w:t>
      </w:r>
    </w:p>
    <w:p>
      <w:pPr>
        <w:spacing w:after="0" w:line="22"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The Credits</w:t>
      </w:r>
    </w:p>
    <w:p>
      <w:pPr>
        <w:spacing w:after="0" w:line="198" w:lineRule="exact"/>
        <w:rPr>
          <w:sz w:val="20"/>
          <w:szCs w:val="20"/>
          <w:color w:val="auto"/>
        </w:rPr>
      </w:pPr>
    </w:p>
    <w:p>
      <w:pPr>
        <w:jc w:val="both"/>
        <w:ind w:firstLine="529"/>
        <w:spacing w:after="0" w:line="245"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Loans and Revolving Commitments</w:t>
      </w:r>
      <w:r>
        <w:rPr>
          <w:rFonts w:ascii="Arial" w:cs="Arial" w:eastAsia="Arial" w:hAnsi="Arial"/>
          <w:sz w:val="18"/>
          <w:szCs w:val="18"/>
          <w:color w:val="auto"/>
        </w:rPr>
        <w:t>. Subject to the terms and conditions set forth herein, each Lender agrees to make (a) Revolving Loans in Canadian Dollars to the Canadian Borrowers, (b) Revolving Loans in U.S. Dollars and Foreign Currencies to the Company, (c) Revolving Loans in Australian Dollars to the Australian Borrower and (d) Revolving Loans in Euros or Sterling to the Euro/Sterling Borrower, in each case, from time to time during the Availability Period in an aggregate principal amount that will not result in (i) such Lender’s Revolving Credit Exposure exceeding such Lender’s Revolving Commitment, (ii) the total Revolving Credit Exposure exceeding the aggregate Revolving Commitments or (iii) the Foreign Currency Exposure exceeding the Foreign Currency Sublimit. Within the foregoing limits and subject to the terms and conditions set forth in this Agreement, the Borrowers may borrow, prepay and reborrow Revolving Loans.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11460"/>
          </w:cols>
          <w:pgMar w:left="220" w:top="508" w:right="219" w:bottom="1440" w:gutter="0" w:footer="0" w:header="0"/>
        </w:sectPr>
      </w:pPr>
    </w:p>
    <w:bookmarkStart w:id="92" w:name="page93"/>
    <w:bookmarkEnd w:id="92"/>
    <w:p>
      <w:pPr>
        <w:ind w:left="54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Loans and Borrowings</w:t>
      </w:r>
      <w:r>
        <w:rPr>
          <w:rFonts w:ascii="Arial" w:cs="Arial" w:eastAsia="Arial" w:hAnsi="Arial"/>
          <w:sz w:val="18"/>
          <w:szCs w:val="18"/>
          <w:color w:val="auto"/>
        </w:rPr>
        <w:t>.</w:t>
      </w:r>
    </w:p>
    <w:p>
      <w:pPr>
        <w:spacing w:after="0" w:line="212" w:lineRule="exact"/>
        <w:rPr>
          <w:sz w:val="20"/>
          <w:szCs w:val="20"/>
          <w:color w:val="auto"/>
        </w:rPr>
      </w:pPr>
    </w:p>
    <w:p>
      <w:pPr>
        <w:jc w:val="both"/>
        <w:ind w:firstLine="537"/>
        <w:spacing w:after="0" w:line="249" w:lineRule="auto"/>
        <w:tabs>
          <w:tab w:leader="none" w:pos="1254"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Each Revolving Loan shall be made as part of a Borrowing consisting of Revolving Loans made by the Lenders ratably in accordance with their Applicable Percentages. The failure of any Lender to make any Revolving Loan required to be made by it shall not relieve any other Lender of its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Revolving Commitments of the Lenders are several and no Lender shall be responsible for any other Lender’s failure to make Revolving Loans as required.</w:t>
      </w:r>
    </w:p>
    <w:p>
      <w:pPr>
        <w:spacing w:after="0" w:line="188" w:lineRule="exact"/>
        <w:rPr>
          <w:rFonts w:ascii="Arial" w:cs="Arial" w:eastAsia="Arial" w:hAnsi="Arial"/>
          <w:sz w:val="18"/>
          <w:szCs w:val="18"/>
          <w:color w:val="auto"/>
        </w:rPr>
      </w:pPr>
    </w:p>
    <w:p>
      <w:pPr>
        <w:jc w:val="both"/>
        <w:ind w:firstLine="537"/>
        <w:spacing w:after="0" w:line="261" w:lineRule="auto"/>
        <w:tabs>
          <w:tab w:leader="none" w:pos="1264" w:val="left"/>
        </w:tabs>
        <w:numPr>
          <w:ilvl w:val="1"/>
          <w:numId w:val="44"/>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(i) each Revolving Borrowing denominated in Canadian Dollars shall be comprised entirely of Canadian Prime Rate Loans or CDOR Loans as the Company may request in accordance herewith, (ii) each Revolving Borrowing denominated in U.S. Dollars shall be comprised entirely of ABR Loans or Eurocurrency Loans as the Company may request in accordance herewith, (iii) each Revolving Loan denominated in Euros shall be comprised entirely of EURIBOR Loans and (iv) each Revolving Loan denominated in a Foreign Currency (other than Euros and Canadian Dollars) shall be comprised entirely of Eurocurrency Loans. Each Swingline Loan denominated in Canadian Dollars shall be a Canadian Prime Rate Loan and each Swingline Loan denominated in U.S. Dollars shall be an ABR Loan. Each Lender at its option may make any Eurocurrency Loan, EURIBOR Loan or CDOR Loan by causing any domestic or foreign branch or Affiliate of such Lender to make such Loan;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exercise of such option shall not affect the obligation of the Borrowers to repay such Loan in accordance with the terms of this Agreement.</w:t>
      </w:r>
    </w:p>
    <w:p>
      <w:pPr>
        <w:spacing w:after="0" w:line="184" w:lineRule="exact"/>
        <w:rPr>
          <w:rFonts w:ascii="Arial" w:cs="Arial" w:eastAsia="Arial" w:hAnsi="Arial"/>
          <w:sz w:val="17"/>
          <w:szCs w:val="17"/>
          <w:color w:val="auto"/>
        </w:rPr>
      </w:pPr>
    </w:p>
    <w:p>
      <w:pPr>
        <w:jc w:val="both"/>
        <w:ind w:firstLine="537"/>
        <w:spacing w:after="0" w:line="295" w:lineRule="auto"/>
        <w:tabs>
          <w:tab w:leader="none" w:pos="1254" w:val="left"/>
        </w:tabs>
        <w:numPr>
          <w:ilvl w:val="1"/>
          <w:numId w:val="44"/>
        </w:numPr>
        <w:rPr>
          <w:rFonts w:ascii="Arial" w:cs="Arial" w:eastAsia="Arial" w:hAnsi="Arial"/>
          <w:sz w:val="15"/>
          <w:szCs w:val="15"/>
          <w:color w:val="auto"/>
        </w:rPr>
      </w:pPr>
      <w:r>
        <w:rPr>
          <w:rFonts w:ascii="Arial" w:cs="Arial" w:eastAsia="Arial" w:hAnsi="Arial"/>
          <w:sz w:val="15"/>
          <w:szCs w:val="15"/>
          <w:color w:val="auto"/>
        </w:rPr>
        <w:t xml:space="preserve">At the commencement of each Interest Period for any CDOR Borrowing, Eurocurrency Borrowing or EURIBOR Borrowing, such Borrowing shall be in an aggregate amount that is an integral multiple of the Borrowing Multiple and not less than the Borrowing Minimum. At the time that each ABR Revolving Borrowing is made, such Borrowing shall be in an aggregate amount that is an integral multiple of $100,000 and not less than $100,000, and at the time that each Canadian Prime Rate Borrowing is made, such Borrowing shall be in an aggregate amount that is an integral multiple of Cdn$100,000 and not less than Cdn$100,000;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 ABR Revolving Borrowing or Canadian Prime Rate Revolving Borrowing may be in an aggregate amount that is equal to</w:t>
      </w:r>
    </w:p>
    <w:p>
      <w:pPr>
        <w:jc w:val="both"/>
        <w:ind w:firstLine="8"/>
        <w:spacing w:after="0" w:line="244" w:lineRule="auto"/>
        <w:tabs>
          <w:tab w:leader="none" w:pos="226"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the entire unused balance of the aggregate Revolving Commitments, (ii) that which is required to repay a Swingline Loan or (iii) that which is required to finance the reimbursement of an LC Disbursement as contemplated by </w:t>
      </w:r>
      <w:r>
        <w:rPr>
          <w:rFonts w:ascii="Arial" w:cs="Arial" w:eastAsia="Arial" w:hAnsi="Arial"/>
          <w:sz w:val="18"/>
          <w:szCs w:val="18"/>
          <w:u w:val="single" w:color="auto"/>
          <w:color w:val="auto"/>
        </w:rPr>
        <w:t>Section 2.06(e)</w:t>
      </w:r>
      <w:r>
        <w:rPr>
          <w:rFonts w:ascii="Arial" w:cs="Arial" w:eastAsia="Arial" w:hAnsi="Arial"/>
          <w:sz w:val="18"/>
          <w:szCs w:val="18"/>
          <w:color w:val="auto"/>
        </w:rPr>
        <w:t>. Each Swingline Loan shall be in an amount not less than $100,000 or Cdn$100,000, as applicable. Borrowings of more than one Type and Class may be outstanding at the same time.</w:t>
      </w:r>
    </w:p>
    <w:p>
      <w:pPr>
        <w:spacing w:after="0" w:line="192" w:lineRule="exact"/>
        <w:rPr>
          <w:rFonts w:ascii="Arial" w:cs="Arial" w:eastAsia="Arial" w:hAnsi="Arial"/>
          <w:sz w:val="18"/>
          <w:szCs w:val="18"/>
          <w:color w:val="auto"/>
        </w:rPr>
      </w:pPr>
    </w:p>
    <w:p>
      <w:pPr>
        <w:ind w:firstLine="537"/>
        <w:spacing w:after="0" w:line="261" w:lineRule="auto"/>
        <w:tabs>
          <w:tab w:leader="none" w:pos="1264" w:val="left"/>
        </w:tabs>
        <w:numPr>
          <w:ilvl w:val="1"/>
          <w:numId w:val="45"/>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the Borrowers shall not be entitled to request or to elect to convert or continue any Revolving Borrowing if the Interest Period requested with respect thereto would end after the Termination Date.</w:t>
      </w:r>
    </w:p>
    <w:p>
      <w:pPr>
        <w:spacing w:after="0" w:line="178" w:lineRule="exact"/>
        <w:rPr>
          <w:sz w:val="20"/>
          <w:szCs w:val="20"/>
          <w:color w:val="auto"/>
        </w:rPr>
      </w:pPr>
    </w:p>
    <w:p>
      <w:pPr>
        <w:jc w:val="both"/>
        <w:ind w:firstLine="529"/>
        <w:spacing w:after="0" w:line="303" w:lineRule="auto"/>
        <w:rPr>
          <w:sz w:val="20"/>
          <w:szCs w:val="20"/>
          <w:color w:val="auto"/>
        </w:rPr>
      </w:pPr>
      <w:r>
        <w:rPr>
          <w:rFonts w:ascii="Arial" w:cs="Arial" w:eastAsia="Arial" w:hAnsi="Arial"/>
          <w:sz w:val="15"/>
          <w:szCs w:val="15"/>
          <w:color w:val="auto"/>
        </w:rPr>
        <w:t xml:space="preserve">SECTION 2.03 </w:t>
      </w:r>
      <w:r>
        <w:rPr>
          <w:rFonts w:ascii="Arial" w:cs="Arial" w:eastAsia="Arial" w:hAnsi="Arial"/>
          <w:sz w:val="15"/>
          <w:szCs w:val="15"/>
          <w:u w:val="single" w:color="auto"/>
          <w:color w:val="auto"/>
        </w:rPr>
        <w:t>Requests for Revolving Borrowings</w:t>
      </w:r>
      <w:r>
        <w:rPr>
          <w:rFonts w:ascii="Arial" w:cs="Arial" w:eastAsia="Arial" w:hAnsi="Arial"/>
          <w:sz w:val="15"/>
          <w:szCs w:val="15"/>
          <w:color w:val="auto"/>
        </w:rPr>
        <w:t xml:space="preserve">. To request a Revolving Borrowing, the Company shall notify the Administrative Agent of such request by telephone in the case of a Borrowing in U.S. Dollars and in writing in the case of a Borrowing in a Foreign Currency (a) in the case of a CDOR Borrowing or Eurocurrency Borrowing denominated in U.S. Dollars, not later than 11:00 a.m., New York City time, three (3) Business Days before the date of the proposed Borrowing, (b) in the case of a Eurocurrency Borrowing denominated in a Foreign Currency or a EURIBOR Borrowing, not later than 11:00 a.m., Local Time, three Business Days before the date of the proposed Borrowing, or (c) in the case of a Canadian Prime Rate Borrowing or an ABR Borrowing, not later than 11:00 a.m., New York City time, one Business Day before the date of the proposed Borrowing;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such notice of a Canadian Prime Rate Borrowing or an ABR Revolving Borrowing to finance the reimbursement of an LC Disbursement as contemplated by</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11460"/>
          </w:cols>
          <w:pgMar w:left="220" w:top="718" w:right="219" w:bottom="1440" w:gutter="0" w:footer="0" w:header="0"/>
        </w:sectPr>
      </w:pPr>
    </w:p>
    <w:bookmarkStart w:id="93" w:name="page94"/>
    <w:bookmarkEnd w:id="93"/>
    <w:p>
      <w:pPr>
        <w:jc w:val="both"/>
        <w:spacing w:after="0" w:line="249" w:lineRule="auto"/>
        <w:rPr>
          <w:sz w:val="20"/>
          <w:szCs w:val="20"/>
          <w:color w:val="auto"/>
        </w:rPr>
      </w:pPr>
      <w:r>
        <w:rPr>
          <w:rFonts w:ascii="Arial" w:cs="Arial" w:eastAsia="Arial" w:hAnsi="Arial"/>
          <w:sz w:val="18"/>
          <w:szCs w:val="18"/>
          <w:u w:val="single" w:color="auto"/>
          <w:color w:val="auto"/>
        </w:rPr>
        <w:t>Section 2.06(e)</w:t>
      </w:r>
      <w:r>
        <w:rPr>
          <w:rFonts w:ascii="Arial" w:cs="Arial" w:eastAsia="Arial" w:hAnsi="Arial"/>
          <w:sz w:val="18"/>
          <w:szCs w:val="18"/>
          <w:color w:val="auto"/>
        </w:rPr>
        <w:t xml:space="preserve"> may be given not later than 10:00 a.m., New York City time, on the date of the proposed Borrowing. Each such telephonic Borrowing Request shall be irrevocable and shall be confirmed promptly by hand delivery or telecopy to the Administrative Agent of a written Borrowing Request in a form approved by the Administrative Agent and signed by the Company. Each such telephonic and written Borrowing Request shall specify the following information in compliance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188" w:lineRule="exact"/>
        <w:rPr>
          <w:sz w:val="20"/>
          <w:szCs w:val="20"/>
          <w:color w:val="auto"/>
        </w:rPr>
      </w:pPr>
    </w:p>
    <w:p>
      <w:pPr>
        <w:ind w:left="1760" w:hanging="694"/>
        <w:spacing w:after="0"/>
        <w:tabs>
          <w:tab w:leader="none" w:pos="1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name of the Borrower that will receive the requested Borrowing;</w:t>
      </w:r>
    </w:p>
    <w:p>
      <w:pPr>
        <w:spacing w:after="0" w:line="211" w:lineRule="exact"/>
        <w:rPr>
          <w:rFonts w:ascii="Arial" w:cs="Arial" w:eastAsia="Arial" w:hAnsi="Arial"/>
          <w:sz w:val="18"/>
          <w:szCs w:val="18"/>
          <w:color w:val="auto"/>
        </w:rPr>
      </w:pPr>
    </w:p>
    <w:p>
      <w:pPr>
        <w:ind w:left="1820" w:hanging="754"/>
        <w:spacing w:after="0"/>
        <w:tabs>
          <w:tab w:leader="none" w:pos="1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currency and the aggregate amount of the requested Borrowing;</w:t>
      </w:r>
    </w:p>
    <w:p>
      <w:pPr>
        <w:spacing w:after="0" w:line="211" w:lineRule="exact"/>
        <w:rPr>
          <w:rFonts w:ascii="Arial" w:cs="Arial" w:eastAsia="Arial" w:hAnsi="Arial"/>
          <w:sz w:val="18"/>
          <w:szCs w:val="18"/>
          <w:color w:val="auto"/>
        </w:rPr>
      </w:pPr>
    </w:p>
    <w:p>
      <w:pPr>
        <w:ind w:left="1860" w:hanging="794"/>
        <w:spacing w:after="0"/>
        <w:tabs>
          <w:tab w:leader="none" w:pos="18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211" w:lineRule="exact"/>
        <w:rPr>
          <w:rFonts w:ascii="Arial" w:cs="Arial" w:eastAsia="Arial" w:hAnsi="Arial"/>
          <w:sz w:val="18"/>
          <w:szCs w:val="18"/>
          <w:color w:val="auto"/>
        </w:rPr>
      </w:pPr>
    </w:p>
    <w:p>
      <w:pPr>
        <w:ind w:left="540" w:firstLine="526"/>
        <w:spacing w:after="0" w:line="261" w:lineRule="auto"/>
        <w:tabs>
          <w:tab w:leader="none" w:pos="18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such Borrowing is to be an ABR Borrowing, a Canadian Prime Rate Borrowing, a CDOR Borrowing, a Eurocurrency Borrowing or a EURIBOR Borrowing, as applicable;</w:t>
      </w:r>
    </w:p>
    <w:p>
      <w:pPr>
        <w:spacing w:after="0" w:line="178" w:lineRule="exact"/>
        <w:rPr>
          <w:rFonts w:ascii="Arial" w:cs="Arial" w:eastAsia="Arial" w:hAnsi="Arial"/>
          <w:sz w:val="18"/>
          <w:szCs w:val="18"/>
          <w:color w:val="auto"/>
        </w:rPr>
      </w:pPr>
    </w:p>
    <w:p>
      <w:pPr>
        <w:ind w:left="540" w:firstLine="526"/>
        <w:spacing w:after="0" w:line="261" w:lineRule="auto"/>
        <w:tabs>
          <w:tab w:leader="none" w:pos="1804"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case of a CDOR Borrowing, a Eurocurrency Borrowing or a EURIBOR Borrowing, the initial Interest Period to be applicable thereto, which shall be a period contemplated by the definition of the term “Interest Period”; and</w:t>
      </w:r>
    </w:p>
    <w:p>
      <w:pPr>
        <w:spacing w:after="0" w:line="178" w:lineRule="exact"/>
        <w:rPr>
          <w:rFonts w:ascii="Arial" w:cs="Arial" w:eastAsia="Arial" w:hAnsi="Arial"/>
          <w:sz w:val="18"/>
          <w:szCs w:val="18"/>
          <w:color w:val="auto"/>
        </w:rPr>
      </w:pPr>
    </w:p>
    <w:p>
      <w:pPr>
        <w:ind w:left="540" w:firstLine="526"/>
        <w:spacing w:after="0" w:line="261" w:lineRule="auto"/>
        <w:tabs>
          <w:tab w:leader="none" w:pos="18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the location and number of the applicable Borrower’s account to which funds are to be disbursed, which shall comply with the requirements of </w:t>
      </w:r>
      <w:r>
        <w:rPr>
          <w:rFonts w:ascii="Arial" w:cs="Arial" w:eastAsia="Arial" w:hAnsi="Arial"/>
          <w:sz w:val="18"/>
          <w:szCs w:val="18"/>
          <w:u w:val="single" w:color="auto"/>
          <w:color w:val="auto"/>
        </w:rPr>
        <w:t>Section 2.07</w:t>
      </w:r>
      <w:r>
        <w:rPr>
          <w:rFonts w:ascii="Arial" w:cs="Arial" w:eastAsia="Arial" w:hAnsi="Arial"/>
          <w:sz w:val="18"/>
          <w:szCs w:val="18"/>
          <w:color w:val="auto"/>
        </w:rPr>
        <w:t>.</w:t>
      </w:r>
    </w:p>
    <w:p>
      <w:pPr>
        <w:spacing w:after="0" w:line="17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If no election as to the Type of Revolving Borrowing is specified, then the requested Revolving Borrowing shall be (A) in the case of a Borrowing denominated in U.S. Dollars, an ABR Borrowing, (B) in the case of a Borrowing denominated in Canadian Dollars, a Canadian Prime Rate Borrowing, (C) in the case of a Borrowing denominated in Euros, a EURIBOR Borrowing and (D) in the case of a Borrowing denominated in any other Foreign Currency, a Eurocurrency Borrowing. If no Interest Period is specified with respect to any requested CDOR Borrowing, Eurocurrency Borrowing or EURIBOR Borrowing, then the Company shall be deemed to have selected an Interest Period of one month’s duration. Promptly following receipt of a Borrowing Request in accordance with this Section, the Administrative Agent shall advise each Lender of the details thereof and of the amount of such Lender’s Revolving Loan to be made as part of the requested Borrowing.</w:t>
      </w:r>
    </w:p>
    <w:p>
      <w:pPr>
        <w:spacing w:after="0" w:line="19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Increase in Revolving Commitments</w:t>
      </w:r>
      <w:r>
        <w:rPr>
          <w:rFonts w:ascii="Arial" w:cs="Arial" w:eastAsia="Arial" w:hAnsi="Arial"/>
          <w:sz w:val="18"/>
          <w:szCs w:val="18"/>
          <w:color w:val="auto"/>
        </w:rPr>
        <w:t>.</w:t>
      </w:r>
    </w:p>
    <w:p>
      <w:pPr>
        <w:spacing w:after="0" w:line="179" w:lineRule="exact"/>
        <w:rPr>
          <w:sz w:val="20"/>
          <w:szCs w:val="20"/>
          <w:color w:val="auto"/>
        </w:rPr>
      </w:pPr>
    </w:p>
    <w:p>
      <w:pPr>
        <w:jc w:val="both"/>
        <w:ind w:firstLine="537"/>
        <w:spacing w:after="0" w:line="299" w:lineRule="auto"/>
        <w:tabs>
          <w:tab w:leader="none" w:pos="1254" w:val="left"/>
        </w:tabs>
        <w:numPr>
          <w:ilvl w:val="0"/>
          <w:numId w:val="47"/>
        </w:numPr>
        <w:rPr>
          <w:rFonts w:ascii="Arial" w:cs="Arial" w:eastAsia="Arial" w:hAnsi="Arial"/>
          <w:sz w:val="15"/>
          <w:szCs w:val="15"/>
          <w:color w:val="auto"/>
        </w:rPr>
      </w:pPr>
      <w:r>
        <w:rPr>
          <w:rFonts w:ascii="Arial" w:cs="Arial" w:eastAsia="Arial" w:hAnsi="Arial"/>
          <w:sz w:val="15"/>
          <w:szCs w:val="15"/>
          <w:u w:val="single" w:color="auto"/>
          <w:color w:val="auto"/>
        </w:rPr>
        <w:t>Request for Increase</w:t>
      </w:r>
      <w:r>
        <w:rPr>
          <w:rFonts w:ascii="Arial" w:cs="Arial" w:eastAsia="Arial" w:hAnsi="Arial"/>
          <w:sz w:val="15"/>
          <w:szCs w:val="15"/>
          <w:color w:val="auto"/>
        </w:rPr>
        <w:t>. Provided there exists no Default, the Company may, at any time and from time to time, request, by notice to the Administrative Agent, the Administrative Agent’s approval of an increase of the aggregate Revolving Commitments (a “</w:t>
      </w:r>
      <w:r>
        <w:rPr>
          <w:rFonts w:ascii="Arial" w:cs="Arial" w:eastAsia="Arial" w:hAnsi="Arial"/>
          <w:sz w:val="15"/>
          <w:szCs w:val="15"/>
          <w:u w:val="single" w:color="auto"/>
          <w:color w:val="auto"/>
        </w:rPr>
        <w:t>Revolving Commitment Increase</w:t>
      </w:r>
      <w:r>
        <w:rPr>
          <w:rFonts w:ascii="Arial" w:cs="Arial" w:eastAsia="Arial" w:hAnsi="Arial"/>
          <w:sz w:val="15"/>
          <w:szCs w:val="15"/>
          <w:color w:val="auto"/>
        </w:rPr>
        <w:t>”) within the limitations hereafter described, which request shall set forth the amount of each such requested Revolving Commitment Increase. The Administrative Agent shall notify all the Lenders of any such request and provide them the first right to participate in the same proportions that their respective Applicable Percentages bear to those of all the Lenders who elect to participate therein. Within twenty (20) days of such request, the Administrative Agent shall advise the Company of its approval or disapproval of such request; failure to so advise the Company shall constitute disapproval. If the Administrative Agent approves any such Revolving Commitment Increase, then the aggregate Revolving Commitments may be so increased (up to the amount of such approved Revolving Commitment Increase) by having one or more of the Lenders increase the amount of their then existing Revolving Commitments and, if the existing Lenders do not choose to participate to the extent necessary for the applicable Revolving Commitment Increase to be provided entirely by the existing Lenders, by having one or more new banks or financial institutions become the Lenders party to this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11460"/>
          </w:cols>
          <w:pgMar w:left="220" w:top="508" w:right="219" w:bottom="1440" w:gutter="0" w:footer="0" w:header="0"/>
        </w:sectPr>
      </w:pPr>
    </w:p>
    <w:bookmarkStart w:id="94" w:name="page95"/>
    <w:bookmarkEnd w:id="94"/>
    <w:p>
      <w:pPr>
        <w:jc w:val="both"/>
        <w:spacing w:after="0" w:line="294" w:lineRule="auto"/>
        <w:rPr>
          <w:sz w:val="20"/>
          <w:szCs w:val="20"/>
          <w:color w:val="auto"/>
        </w:rPr>
      </w:pPr>
      <w:r>
        <w:rPr>
          <w:rFonts w:ascii="Arial" w:cs="Arial" w:eastAsia="Arial" w:hAnsi="Arial"/>
          <w:sz w:val="15"/>
          <w:szCs w:val="15"/>
          <w:color w:val="auto"/>
        </w:rPr>
        <w:t xml:space="preserve">Agreement. Any Revolving Commitment Increase shall be subject to the following limitations and conditions: (i) any Revolving Commitment Increase shall not be less than $10,000,000 (and shall be in integral multiples of $10,000,000 if in excess thereof); (ii) no Revolving Commitment Increase shall increase the aggregate Revolving Commitments to an amount in excess of $400,000,000; (iii) the provisions of </w:t>
      </w:r>
      <w:r>
        <w:rPr>
          <w:rFonts w:ascii="Arial" w:cs="Arial" w:eastAsia="Arial" w:hAnsi="Arial"/>
          <w:sz w:val="15"/>
          <w:szCs w:val="15"/>
          <w:u w:val="single" w:color="auto"/>
          <w:color w:val="auto"/>
        </w:rPr>
        <w:t>Section 9.04(b)</w:t>
      </w:r>
      <w:r>
        <w:rPr>
          <w:rFonts w:ascii="Arial" w:cs="Arial" w:eastAsia="Arial" w:hAnsi="Arial"/>
          <w:sz w:val="15"/>
          <w:szCs w:val="15"/>
          <w:color w:val="auto"/>
        </w:rPr>
        <w:t xml:space="preserve"> shall apply in respect of any Increasing Lender that is not a Lender before the Revolving Commitment Increase, as if such Increasing Lender were an assignee of a Revolving Commitment, (iv) the Borrowers shall have executed and delivered to the Administrative Agent such Note or Notes as the applicable Increasing Lender requests to reflect such Revolving Commitment Increase (or, in the case of a new Lender, such Lender’s Revolving Commitment); (v) the Company shall have delivered a certificate executed by an Authorized Officer of the Company and dated the effective date of such Revolving Commitment Increase, to the effect that the conditions set forth in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4.02</w:t>
      </w:r>
      <w:r>
        <w:rPr>
          <w:rFonts w:ascii="Arial" w:cs="Arial" w:eastAsia="Arial" w:hAnsi="Arial"/>
          <w:sz w:val="15"/>
          <w:szCs w:val="15"/>
          <w:color w:val="auto"/>
        </w:rPr>
        <w:t xml:space="preserve"> shall be satisfied (with all references in such paragraphs to a Borrowing being deemed to be references to such Revolving Commitment Increase and attaching resolutions of the Borrowers approving such Revolving Commitment Increase); (vi) the </w:t>
      </w:r>
      <w:r>
        <w:rPr>
          <w:rFonts w:ascii="Arial" w:cs="Arial" w:eastAsia="Arial" w:hAnsi="Arial"/>
          <w:sz w:val="14"/>
          <w:szCs w:val="14"/>
          <w:color w:val="auto"/>
        </w:rPr>
        <w:t>Subsidiary</w:t>
      </w:r>
      <w:r>
        <w:rPr>
          <w:rFonts w:ascii="Arial" w:cs="Arial" w:eastAsia="Arial" w:hAnsi="Arial"/>
          <w:sz w:val="15"/>
          <w:szCs w:val="15"/>
          <w:color w:val="auto"/>
        </w:rPr>
        <w:t xml:space="preserve"> Guarantors shall have consented in writing to the Revolving Commitment Increase and shall have agreed in writing that their respective Subsidiary Guaranties continue in full force and effect; and (vii) the Company, the Subsidiary Guarantors and each Increasing Lender shall have executed and delivered such other instruments and documents as the Administrative Agent shall have reasonably requested in connection with such Revolving Commitment Increase, in the case of the documents required under clauses </w:t>
      </w:r>
      <w:r>
        <w:rPr>
          <w:rFonts w:ascii="Arial" w:cs="Arial" w:eastAsia="Arial" w:hAnsi="Arial"/>
          <w:sz w:val="15"/>
          <w:szCs w:val="15"/>
          <w:u w:val="single" w:color="auto"/>
          <w:color w:val="auto"/>
        </w:rPr>
        <w:t>(iv)</w:t>
      </w:r>
      <w:r>
        <w:rPr>
          <w:rFonts w:ascii="Arial" w:cs="Arial" w:eastAsia="Arial" w:hAnsi="Arial"/>
          <w:sz w:val="15"/>
          <w:szCs w:val="15"/>
          <w:color w:val="auto"/>
        </w:rPr>
        <w:t xml:space="preserve"> through</w:t>
      </w:r>
    </w:p>
    <w:p>
      <w:pPr>
        <w:spacing w:after="0" w:line="2" w:lineRule="exact"/>
        <w:rPr>
          <w:sz w:val="20"/>
          <w:szCs w:val="20"/>
          <w:color w:val="auto"/>
        </w:rPr>
      </w:pPr>
    </w:p>
    <w:p>
      <w:pPr>
        <w:ind w:firstLine="8"/>
        <w:spacing w:after="0" w:line="245" w:lineRule="auto"/>
        <w:tabs>
          <w:tab w:leader="none" w:pos="374" w:val="left"/>
        </w:tabs>
        <w:numPr>
          <w:ilvl w:val="0"/>
          <w:numId w:val="48"/>
        </w:numPr>
        <w:rPr>
          <w:rFonts w:ascii="Arial" w:cs="Arial" w:eastAsia="Arial" w:hAnsi="Arial"/>
          <w:sz w:val="18"/>
          <w:szCs w:val="18"/>
          <w:u w:val="single" w:color="auto"/>
          <w:color w:val="auto"/>
        </w:rPr>
      </w:pPr>
      <w:r>
        <w:rPr>
          <w:rFonts w:ascii="Arial" w:cs="Arial" w:eastAsia="Arial" w:hAnsi="Arial"/>
          <w:sz w:val="18"/>
          <w:szCs w:val="18"/>
          <w:color w:val="auto"/>
        </w:rPr>
        <w:t>above, in form and substance reasonably satisfactory to the Administrative Agent. The Administrative Agent shall provide written notice to all of the Lenders hereunder of any Revolving Commitment Increase.</w:t>
      </w:r>
    </w:p>
    <w:p>
      <w:pPr>
        <w:spacing w:after="0" w:line="191" w:lineRule="exact"/>
        <w:rPr>
          <w:rFonts w:ascii="Arial" w:cs="Arial" w:eastAsia="Arial" w:hAnsi="Arial"/>
          <w:sz w:val="18"/>
          <w:szCs w:val="18"/>
          <w:u w:val="single" w:color="auto"/>
          <w:color w:val="auto"/>
        </w:rPr>
      </w:pPr>
    </w:p>
    <w:p>
      <w:pPr>
        <w:jc w:val="both"/>
        <w:ind w:firstLine="537"/>
        <w:spacing w:after="0" w:line="259" w:lineRule="auto"/>
        <w:tabs>
          <w:tab w:leader="none" w:pos="1264"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Revolving Loans by Increasing Lenders</w:t>
      </w:r>
      <w:r>
        <w:rPr>
          <w:rFonts w:ascii="Arial" w:cs="Arial" w:eastAsia="Arial" w:hAnsi="Arial"/>
          <w:sz w:val="17"/>
          <w:szCs w:val="17"/>
          <w:color w:val="auto"/>
        </w:rPr>
        <w:t xml:space="preserve">. Upon the effective date of any increase in the aggregate Revolving Commitments pursuant to the provisions hereof, which effective date shall be mutually agreed upon by the Company, each Increasing Lender and the Administrative Agent, each Increasing Lender shall make a payment to the Administrative Agent in an amount sufficient, upon the application of such payments by all Increasing Lenders to the reduction of the outstanding Revolving Loans held by the Lenders, to cause the principal amount outstanding under the Revolving Loans made by each Lender (including, as applicable, any Increasing Lender) to be in the amount of its Applicable Percentage (upon the effective date of such increase). The Borrowers hereby irrevocably authorize each Increasing Lender to fund to the Administrative Agent the payment required to be made pursuant to the immediately preceding sentence for application to the reduction of the outstanding Revolving Loans held by the other the Lenders hereunder. If, as a result of the repayment of the Revolving Loans provided for in this </w:t>
      </w:r>
      <w:r>
        <w:rPr>
          <w:rFonts w:ascii="Arial" w:cs="Arial" w:eastAsia="Arial" w:hAnsi="Arial"/>
          <w:sz w:val="17"/>
          <w:szCs w:val="17"/>
          <w:u w:val="single" w:color="auto"/>
          <w:color w:val="auto"/>
        </w:rPr>
        <w:t>Section 2.04(b)</w:t>
      </w:r>
      <w:r>
        <w:rPr>
          <w:rFonts w:ascii="Arial" w:cs="Arial" w:eastAsia="Arial" w:hAnsi="Arial"/>
          <w:sz w:val="17"/>
          <w:szCs w:val="17"/>
          <w:color w:val="auto"/>
        </w:rPr>
        <w:t xml:space="preserve">, any payment of a Eurocurrency Borrowing, CDOR Borrowing or EURIBOR Borrowing occurs on a day which is not the last day of the applicable Interest Period, the Borrowers will pay to the Administrative Agent for the benefit of any of the Lenders holding such Borrowing any loss or cost incurred by such Lender resulting therefrom in accordance with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Upon the effective date of such increase in the aggregate Revolving Commitments, all Eurocurrency Loans denominated in U.S. Dollars outstanding hereunder (including any Revolving Loans made by the Increasing Lenders on such date) shall be ABR Loans, subject to the Company’s right to convert the same to Eurocurrency Loans on or after such date in accordance with the provisions of </w:t>
      </w:r>
      <w:r>
        <w:rPr>
          <w:rFonts w:ascii="Arial" w:cs="Arial" w:eastAsia="Arial" w:hAnsi="Arial"/>
          <w:sz w:val="17"/>
          <w:szCs w:val="17"/>
          <w:u w:val="single" w:color="auto"/>
          <w:color w:val="auto"/>
        </w:rPr>
        <w:t>Section 2.08</w:t>
      </w:r>
      <w:r>
        <w:rPr>
          <w:rFonts w:ascii="Arial" w:cs="Arial" w:eastAsia="Arial" w:hAnsi="Arial"/>
          <w:sz w:val="17"/>
          <w:szCs w:val="17"/>
          <w:color w:val="auto"/>
        </w:rPr>
        <w:t>.</w:t>
      </w:r>
    </w:p>
    <w:p>
      <w:pPr>
        <w:spacing w:after="0" w:line="189" w:lineRule="exact"/>
        <w:rPr>
          <w:rFonts w:ascii="Arial" w:cs="Arial" w:eastAsia="Arial" w:hAnsi="Arial"/>
          <w:sz w:val="17"/>
          <w:szCs w:val="17"/>
          <w:color w:val="auto"/>
        </w:rPr>
      </w:pPr>
    </w:p>
    <w:p>
      <w:pPr>
        <w:jc w:val="both"/>
        <w:ind w:firstLine="537"/>
        <w:spacing w:after="0" w:line="246" w:lineRule="auto"/>
        <w:tabs>
          <w:tab w:leader="none" w:pos="1254"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Increasing Lenders’ Participation in Letters of Credit</w:t>
      </w:r>
      <w:r>
        <w:rPr>
          <w:rFonts w:ascii="Arial" w:cs="Arial" w:eastAsia="Arial" w:hAnsi="Arial"/>
          <w:sz w:val="18"/>
          <w:szCs w:val="18"/>
          <w:color w:val="auto"/>
        </w:rPr>
        <w:t xml:space="preserve">. Upon the effective date of any increase in the aggregate Revolving Commitments and the making of the Revolving Loans by the Increasing Lenders in accordance with the provisions of </w:t>
      </w:r>
      <w:r>
        <w:rPr>
          <w:rFonts w:ascii="Arial" w:cs="Arial" w:eastAsia="Arial" w:hAnsi="Arial"/>
          <w:sz w:val="18"/>
          <w:szCs w:val="18"/>
          <w:u w:val="single" w:color="auto"/>
          <w:color w:val="auto"/>
        </w:rPr>
        <w:t>Section 2.04(b)</w:t>
      </w:r>
      <w:r>
        <w:rPr>
          <w:rFonts w:ascii="Arial" w:cs="Arial" w:eastAsia="Arial" w:hAnsi="Arial"/>
          <w:sz w:val="18"/>
          <w:szCs w:val="18"/>
          <w:color w:val="auto"/>
        </w:rPr>
        <w:t>, each Increasing Lender shall also be deemed to have irrevocably and unconditionally purchased and received, without recourse or warranty, from the Lenders party to this Agreement immediately prior to the effective date of such increase, an undivided interest and participation in any Letters of Credit then outstanding, ratably, such that each Lender (including each Increasing Lender) holds a participation interest in each such Letter of Credit in proportion equal to its Applicable Percentage upon the effective date of such increase in the aggregate Revolving Commitments.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11460"/>
          </w:cols>
          <w:pgMar w:left="220" w:top="508" w:right="219" w:bottom="1440" w:gutter="0" w:footer="0" w:header="0"/>
        </w:sectPr>
      </w:pPr>
    </w:p>
    <w:bookmarkStart w:id="95" w:name="page96"/>
    <w:bookmarkEnd w:id="95"/>
    <w:p>
      <w:pPr>
        <w:jc w:val="both"/>
        <w:ind w:firstLine="537"/>
        <w:spacing w:after="0" w:line="268" w:lineRule="auto"/>
        <w:tabs>
          <w:tab w:leader="none" w:pos="1264"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No Obligation to Increase Revolving Commitment</w:t>
      </w:r>
      <w:r>
        <w:rPr>
          <w:rFonts w:ascii="Arial" w:cs="Arial" w:eastAsia="Arial" w:hAnsi="Arial"/>
          <w:sz w:val="17"/>
          <w:szCs w:val="17"/>
          <w:color w:val="auto"/>
        </w:rPr>
        <w:t>. Nothing contained herein shall constitute, or otherwise be deemed to be, a commitment or agreement on the part of the Borrowers or the Administrative Agent to give or grant any Lender the right to increase its Revolving Commitment hereunder at any time or a commitment or agreement on the part of any Lender to increase its Revolving Commitment hereunder at any time, and no Revolving Commitment of a Lender shall be increased without its prior written approval, which it may grant or deny in its sole discretion.</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Swingline Loans.</w:t>
      </w:r>
    </w:p>
    <w:p>
      <w:pPr>
        <w:spacing w:after="0" w:line="212" w:lineRule="exact"/>
        <w:rPr>
          <w:sz w:val="20"/>
          <w:szCs w:val="20"/>
          <w:color w:val="auto"/>
        </w:rPr>
      </w:pPr>
    </w:p>
    <w:p>
      <w:pPr>
        <w:jc w:val="both"/>
        <w:ind w:firstLine="537"/>
        <w:spacing w:after="0" w:line="263" w:lineRule="auto"/>
        <w:tabs>
          <w:tab w:leader="none" w:pos="1254"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set forth herein, the Swingline Lender agrees to make Swingline Loans denominated in Canadian Dollars to the Canadian Borrowers and Swingline Loans denominated in U.S. Dollars or Canadian Dollars to the Company from time to time during the Availability Period, in an aggregate principal amount at any time outstanding that will not result in (i) the aggregate principal amount of outstanding Swingline Loans exceeding $30,000,000 or (ii) the Swingline Lender’s Revolving Credit Exposure exceeding its Revolving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Swingline Lender shall not be required to make a Swingline Loan to refinance an outstanding Swingline Loan. Within the foregoing limits and subject to the terms and conditions set forth herein, the Swingline Borrowers may borrow, prepay and reborrow Swingline Loans.</w:t>
      </w:r>
    </w:p>
    <w:p>
      <w:pPr>
        <w:spacing w:after="0" w:line="180" w:lineRule="exact"/>
        <w:rPr>
          <w:rFonts w:ascii="Arial" w:cs="Arial" w:eastAsia="Arial" w:hAnsi="Arial"/>
          <w:sz w:val="17"/>
          <w:szCs w:val="17"/>
          <w:color w:val="auto"/>
        </w:rPr>
      </w:pPr>
    </w:p>
    <w:p>
      <w:pPr>
        <w:jc w:val="both"/>
        <w:ind w:firstLine="537"/>
        <w:spacing w:after="0" w:line="262" w:lineRule="auto"/>
        <w:tabs>
          <w:tab w:leader="none" w:pos="1264"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To request a Swingline Loan, the Company shall notify the Administrative Agent of such request by telephone (confirmed by telecopy), not later than 12:00 noon, New York City time, on the day of a proposed Swingline Loan. Each such notice shall be irrevocable and shall specify the requested date (which shall be a Business Day) and amount of the requested Swingline Loan, as well as the name of the Swingline Borrower that will receive the Swingline Loan. The Administrative Agent will promptly advise the Swingline Lender of any such notice received from the Company. The Swingline Lender shall make each Swingline Loan available to the applicable Swingline Borrower by means of a credit to the general deposit account of such Swingline Borrower with the Swingline Lender (or, in the case of a Swingline Loan made to finance the reimbursement of an LC Disbursement as provided in </w:t>
      </w:r>
      <w:r>
        <w:rPr>
          <w:rFonts w:ascii="Arial" w:cs="Arial" w:eastAsia="Arial" w:hAnsi="Arial"/>
          <w:sz w:val="17"/>
          <w:szCs w:val="17"/>
          <w:u w:val="single" w:color="auto"/>
          <w:color w:val="auto"/>
        </w:rPr>
        <w:t>Section 2.06(e)</w:t>
      </w:r>
      <w:r>
        <w:rPr>
          <w:rFonts w:ascii="Arial" w:cs="Arial" w:eastAsia="Arial" w:hAnsi="Arial"/>
          <w:sz w:val="17"/>
          <w:szCs w:val="17"/>
          <w:color w:val="auto"/>
        </w:rPr>
        <w:t>, by remittance to the Issuing Bank) by 5:00 p.m., New York City time, on the requested date of such Swingline Loan.</w:t>
      </w:r>
    </w:p>
    <w:p>
      <w:pPr>
        <w:spacing w:after="0" w:line="181" w:lineRule="exact"/>
        <w:rPr>
          <w:rFonts w:ascii="Arial" w:cs="Arial" w:eastAsia="Arial" w:hAnsi="Arial"/>
          <w:sz w:val="17"/>
          <w:szCs w:val="17"/>
          <w:color w:val="auto"/>
        </w:rPr>
      </w:pPr>
    </w:p>
    <w:p>
      <w:pPr>
        <w:jc w:val="both"/>
        <w:ind w:firstLine="537"/>
        <w:spacing w:after="0" w:line="297" w:lineRule="auto"/>
        <w:tabs>
          <w:tab w:leader="none" w:pos="1254" w:val="left"/>
        </w:tabs>
        <w:numPr>
          <w:ilvl w:val="0"/>
          <w:numId w:val="50"/>
        </w:numPr>
        <w:rPr>
          <w:rFonts w:ascii="Arial" w:cs="Arial" w:eastAsia="Arial" w:hAnsi="Arial"/>
          <w:sz w:val="15"/>
          <w:szCs w:val="15"/>
          <w:color w:val="auto"/>
        </w:rPr>
      </w:pPr>
      <w:r>
        <w:rPr>
          <w:rFonts w:ascii="Arial" w:cs="Arial" w:eastAsia="Arial" w:hAnsi="Arial"/>
          <w:sz w:val="15"/>
          <w:szCs w:val="15"/>
          <w:color w:val="auto"/>
        </w:rPr>
        <w:t xml:space="preserve">The Swingline Lender may by written notice given to the Administrative Agent not later than 10:00 a.m., New York City time, on any Business Day require the Lenders to acquire participations on such Business Day in all or a portion of the Swingline Loans outstanding. Such notice shall specify the aggregate amount of Swingline Loans in which the Lenders will participate. Promptly upon receipt of such notice, the Administrative Agent will give notice thereof to each Lender, specifying in such notice such Lender’s Applicable Percentage of such Swingline Loan or Loans. Each Lender hereby absolutely and unconditionally agrees, upon receipt of notice as provided above, to pay to the Administrative Agent, for the account of the Swingline Lender, such Lender’s Applicable Percentage of such Swingline Loan or Loans. Each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Revolving Commitments, and that each such payment shall be made without any offset, abatement, withholding or reduction whatsoever. Each Lender shall comply with its obligation under this paragraph by wire transfer of immediately available funds, in the same manner as provided in </w:t>
      </w:r>
      <w:r>
        <w:rPr>
          <w:rFonts w:ascii="Arial" w:cs="Arial" w:eastAsia="Arial" w:hAnsi="Arial"/>
          <w:sz w:val="15"/>
          <w:szCs w:val="15"/>
          <w:u w:val="single" w:color="auto"/>
          <w:color w:val="auto"/>
        </w:rPr>
        <w:t>Section 2.07</w:t>
      </w:r>
      <w:r>
        <w:rPr>
          <w:rFonts w:ascii="Arial" w:cs="Arial" w:eastAsia="Arial" w:hAnsi="Arial"/>
          <w:sz w:val="15"/>
          <w:szCs w:val="15"/>
          <w:color w:val="auto"/>
        </w:rPr>
        <w:t xml:space="preserve"> with respect to Revolving Loans made by such Lender (and </w:t>
      </w:r>
      <w:r>
        <w:rPr>
          <w:rFonts w:ascii="Arial" w:cs="Arial" w:eastAsia="Arial" w:hAnsi="Arial"/>
          <w:sz w:val="15"/>
          <w:szCs w:val="15"/>
          <w:u w:val="single" w:color="auto"/>
          <w:color w:val="auto"/>
        </w:rPr>
        <w:t>Section 2.07</w:t>
      </w:r>
      <w:r>
        <w:rPr>
          <w:rFonts w:ascii="Arial" w:cs="Arial" w:eastAsia="Arial" w:hAnsi="Arial"/>
          <w:sz w:val="15"/>
          <w:szCs w:val="15"/>
          <w:color w:val="auto"/>
        </w:rPr>
        <w:t xml:space="preserve"> shall apply, </w:t>
      </w:r>
      <w:r>
        <w:rPr>
          <w:rFonts w:ascii="Arial" w:cs="Arial" w:eastAsia="Arial" w:hAnsi="Arial"/>
          <w:sz w:val="15"/>
          <w:szCs w:val="15"/>
          <w:i w:val="1"/>
          <w:iCs w:val="1"/>
          <w:color w:val="auto"/>
        </w:rPr>
        <w:t>mutatis mutandis</w:t>
      </w:r>
      <w:r>
        <w:rPr>
          <w:rFonts w:ascii="Arial" w:cs="Arial" w:eastAsia="Arial" w:hAnsi="Arial"/>
          <w:sz w:val="15"/>
          <w:szCs w:val="15"/>
          <w:color w:val="auto"/>
        </w:rPr>
        <w:t>, to the payment obligations of the Lenders), and the Administrative Agent shall promptly pay to the Swingline Lender the amounts so received by it from the Lenders. The Administrative Agent shall notify the Company of any participations in any Swingline Loan acquired pursuant to this paragraph, and thereafter payments in respect of such Swingline Loan shall be made to the Administrative Agent and not to the Swingline Lender. Any amounts received by the Swingline Lender</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11460"/>
          </w:cols>
          <w:pgMar w:left="220" w:top="508" w:right="219" w:bottom="1440" w:gutter="0" w:footer="0" w:header="0"/>
        </w:sectPr>
      </w:pPr>
    </w:p>
    <w:bookmarkStart w:id="96" w:name="page97"/>
    <w:bookmarkEnd w:id="96"/>
    <w:p>
      <w:pPr>
        <w:jc w:val="both"/>
        <w:spacing w:after="0" w:line="263" w:lineRule="auto"/>
        <w:rPr>
          <w:sz w:val="20"/>
          <w:szCs w:val="20"/>
          <w:color w:val="auto"/>
        </w:rPr>
      </w:pPr>
      <w:r>
        <w:rPr>
          <w:rFonts w:ascii="Arial" w:cs="Arial" w:eastAsia="Arial" w:hAnsi="Arial"/>
          <w:sz w:val="17"/>
          <w:szCs w:val="17"/>
          <w:color w:val="auto"/>
        </w:rPr>
        <w:t xml:space="preserve">from the Swingline Borrowers (or other party on behalf of any Swingline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Swingline Lender, as their interests may appear;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payment so remitted shall be repaid to the Swingline Lender or to the Administrative Agent, as applicable, if and to the extent such payment is required to be refunded to the Company for any reason. The purchase of participations in a Swingline Loan pursuant to this paragraph shall not relieve the Swingline Borrowers of any default in the payment thereof.</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Letters of Credit.</w:t>
      </w:r>
    </w:p>
    <w:p>
      <w:pPr>
        <w:spacing w:after="0" w:line="212" w:lineRule="exact"/>
        <w:rPr>
          <w:sz w:val="20"/>
          <w:szCs w:val="20"/>
          <w:color w:val="auto"/>
        </w:rPr>
      </w:pPr>
    </w:p>
    <w:p>
      <w:pPr>
        <w:jc w:val="both"/>
        <w:ind w:firstLine="537"/>
        <w:spacing w:after="0" w:line="301" w:lineRule="auto"/>
        <w:tabs>
          <w:tab w:leader="none" w:pos="1254" w:val="left"/>
        </w:tabs>
        <w:numPr>
          <w:ilvl w:val="0"/>
          <w:numId w:val="51"/>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Subject to the terms and conditions set forth herein, the Company may request the issuance of Letters of Credit for its own account or for the account of any Subsidiary, and denominated in U.S. Dollars or a Foreign Currency, in a form reasonably acceptable to the Administrative Agent and the Issuing Bank, at any time and from time to time during the Availability Period. For the avoidance of doubt, no Borrower other than the Company may request the issuance of Letters of Credit. In the event of any inconsistency between the terms and conditions of this Agreement and the terms and conditions of any form of letter of credit application or other agreement submitted by the Company to, or entered into by the Company with, the Issuing Bank relating to any Letter of Credit, the terms and conditions of this Agreement shall control. Notwithstanding anything herein to the contrary, the Issuing Bank shall have no obligation hereunder to issue, and shall not issue, any Letter of Credit the proceeds of which would be made to any Person (i) to fund any activity or business of or with any Sanctioned Person, or in any Sanctioned Country or (ii) in any manner that would result in a violation of any Sanctions by any party to this Agreement.</w:t>
      </w:r>
    </w:p>
    <w:p>
      <w:pPr>
        <w:spacing w:after="0" w:line="154" w:lineRule="exact"/>
        <w:rPr>
          <w:rFonts w:ascii="Arial" w:cs="Arial" w:eastAsia="Arial" w:hAnsi="Arial"/>
          <w:sz w:val="15"/>
          <w:szCs w:val="15"/>
          <w:color w:val="auto"/>
        </w:rPr>
      </w:pPr>
    </w:p>
    <w:p>
      <w:pPr>
        <w:jc w:val="both"/>
        <w:ind w:firstLine="537"/>
        <w:spacing w:after="0" w:line="297" w:lineRule="auto"/>
        <w:tabs>
          <w:tab w:leader="none" w:pos="1264" w:val="left"/>
        </w:tabs>
        <w:numPr>
          <w:ilvl w:val="0"/>
          <w:numId w:val="51"/>
        </w:numPr>
        <w:rPr>
          <w:rFonts w:ascii="Arial" w:cs="Arial" w:eastAsia="Arial" w:hAnsi="Arial"/>
          <w:sz w:val="15"/>
          <w:szCs w:val="15"/>
          <w:color w:val="auto"/>
        </w:rPr>
      </w:pPr>
      <w:r>
        <w:rPr>
          <w:rFonts w:ascii="Arial" w:cs="Arial" w:eastAsia="Arial" w:hAnsi="Arial"/>
          <w:sz w:val="15"/>
          <w:szCs w:val="15"/>
          <w:u w:val="single" w:color="auto"/>
          <w:color w:val="auto"/>
        </w:rPr>
        <w:t>Notice of Issuance, Amendment, Renewal, Extension; Certain Conditions</w:t>
      </w:r>
      <w:r>
        <w:rPr>
          <w:rFonts w:ascii="Arial" w:cs="Arial" w:eastAsia="Arial" w:hAnsi="Arial"/>
          <w:sz w:val="15"/>
          <w:szCs w:val="15"/>
          <w:color w:val="auto"/>
        </w:rPr>
        <w:t xml:space="preserve">. To request the issuance of a Letter of Credit (or the amendment, renewal or extension of an outstanding Letter of Credit), the Company shall hand deliver or telecopy (or transmit by electronic communication, if arrangements for doing so have been approved by the Issuing Bank) to the Issuing Bank and the Administrative Agent (reasonably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w:t>
      </w:r>
      <w:r>
        <w:rPr>
          <w:rFonts w:ascii="Arial" w:cs="Arial" w:eastAsia="Arial" w:hAnsi="Arial"/>
          <w:sz w:val="15"/>
          <w:szCs w:val="15"/>
          <w:u w:val="single" w:color="auto"/>
          <w:color w:val="auto"/>
        </w:rPr>
        <w:t>(c)</w:t>
      </w:r>
      <w:r>
        <w:rPr>
          <w:rFonts w:ascii="Arial" w:cs="Arial" w:eastAsia="Arial" w:hAnsi="Arial"/>
          <w:sz w:val="15"/>
          <w:szCs w:val="15"/>
          <w:color w:val="auto"/>
        </w:rPr>
        <w:t xml:space="preserve"> of this Section), the amount of such Letter of Credit, whether such Letter of Credit is to be denominated in U.S. Dollars or one of the Foreign Currencies in which case such Foreign Currency shall be specified, the name and address of the beneficiary thereof and such other information as shall be necessary to prepare, amend, renew or extend such Letter of Credit. If requested by the Issuing Bank, the Company also shall submit a letter of credit application on the Issuing Bank’s standard form in connection with any request for a Letter of Credit. A Letter of Credit shall be issued, amended, renewed or extended only if (and upon issuance, amendment, renewal or extension of each Letter of Credit the Company shall be deemed to represent and warrant that), after giving effect to such issuance, amendment, renewal or extension (i) the LC Exposure shall not exceed the Letter of Credit Sublimit, (ii) the total Revolving Credit Exposures shall not exceed the aggregate Revolving Commitments and (iii) the Foreign Currency Exposure shall not exceed the Foreign Currency Sublimit.</w:t>
      </w:r>
    </w:p>
    <w:p>
      <w:pPr>
        <w:spacing w:after="0" w:line="161" w:lineRule="exact"/>
        <w:rPr>
          <w:rFonts w:ascii="Arial" w:cs="Arial" w:eastAsia="Arial" w:hAnsi="Arial"/>
          <w:sz w:val="15"/>
          <w:szCs w:val="15"/>
          <w:color w:val="auto"/>
        </w:rPr>
      </w:pPr>
    </w:p>
    <w:p>
      <w:pPr>
        <w:jc w:val="both"/>
        <w:ind w:firstLine="537"/>
        <w:spacing w:after="0" w:line="252" w:lineRule="auto"/>
        <w:tabs>
          <w:tab w:leader="none" w:pos="1254"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 Each Letter of Credit shall expire (or be subject to termination by notice from the Issuing Bank to the beneficiary thereof) at or prior to the close of business on the earlier of (i) the date one year after the date of the issuance of such Letter of Credit (or, in the case of any renewal or extension thereof, one year after such renewal or extension), and (ii) the date that is five (5) Business Days prior to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11460"/>
          </w:cols>
          <w:pgMar w:left="220" w:top="508" w:right="219" w:bottom="1440" w:gutter="0" w:footer="0" w:header="0"/>
        </w:sectPr>
      </w:pPr>
    </w:p>
    <w:bookmarkStart w:id="97" w:name="page98"/>
    <w:bookmarkEnd w:id="97"/>
    <w:p>
      <w:pPr>
        <w:jc w:val="both"/>
        <w:spacing w:after="0" w:line="263" w:lineRule="auto"/>
        <w:rPr>
          <w:sz w:val="20"/>
          <w:szCs w:val="20"/>
          <w:color w:val="auto"/>
        </w:rPr>
      </w:pPr>
      <w:r>
        <w:rPr>
          <w:rFonts w:ascii="Arial" w:cs="Arial" w:eastAsia="Arial" w:hAnsi="Arial"/>
          <w:sz w:val="17"/>
          <w:szCs w:val="17"/>
          <w:color w:val="auto"/>
        </w:rPr>
        <w:t xml:space="preserve">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 any Letter of Credit with a one-year tenor may provide for the renewal thereof for additional one-year periods (which shall in no event extent beyond the date referred to in clause (ii) above, except as hereinafter provided); (B) Letters of Credit may have tenors longer than one year, but in no event longer than three years, so long as the LC Exposure of all such Letters of Credit does not exceed $50,000,000 at any time; and (C) the expiration date of a Letter of Credit may be up to one year later than the date referred to in clause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if the Issuing Bank consents to the issuance of such Letter of Credit in its sole discretion, which consent may be subject to, among other things, the provision of cash collateral by the Company in respect of such Letter of Credit in a manner satisfactory to the Issuing Bank.</w:t>
      </w:r>
    </w:p>
    <w:p>
      <w:pPr>
        <w:spacing w:after="0" w:line="181" w:lineRule="exact"/>
        <w:rPr>
          <w:sz w:val="20"/>
          <w:szCs w:val="20"/>
          <w:color w:val="auto"/>
        </w:rPr>
      </w:pPr>
    </w:p>
    <w:p>
      <w:pPr>
        <w:jc w:val="both"/>
        <w:ind w:firstLine="537"/>
        <w:spacing w:after="0" w:line="260" w:lineRule="auto"/>
        <w:tabs>
          <w:tab w:leader="none" w:pos="1264"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Participations</w:t>
      </w:r>
      <w:r>
        <w:rPr>
          <w:rFonts w:ascii="Arial" w:cs="Arial" w:eastAsia="Arial" w:hAnsi="Arial"/>
          <w:sz w:val="17"/>
          <w:szCs w:val="17"/>
          <w:color w:val="auto"/>
        </w:rPr>
        <w:t xml:space="preserve">. By the issuance of a Letter of Credit (or an amendment to a Letter of Credit increasing the amount thereof) and without any further action on the part of the Issuing Bank or the Lenders, the Issuing Bank hereby grants to each Lender, and each Lender hereby acquires from the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the Issuing Bank, such Lender’s Applicable Percentage of each LC Disbursement made by the Issuing Bank and not reimbursed by the Company on the date due as provided in paragraph </w:t>
      </w:r>
      <w:r>
        <w:rPr>
          <w:rFonts w:ascii="Arial" w:cs="Arial" w:eastAsia="Arial" w:hAnsi="Arial"/>
          <w:sz w:val="17"/>
          <w:szCs w:val="17"/>
          <w:u w:val="single" w:color="auto"/>
          <w:color w:val="auto"/>
        </w:rPr>
        <w:t>(e)</w:t>
      </w:r>
      <w:r>
        <w:rPr>
          <w:rFonts w:ascii="Arial" w:cs="Arial" w:eastAsia="Arial" w:hAnsi="Arial"/>
          <w:sz w:val="17"/>
          <w:szCs w:val="17"/>
          <w:color w:val="auto"/>
        </w:rPr>
        <w:t xml:space="preserve"> of this Section, or of any reimbursement payment required to be refunded to the Company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Revolving Commitments, and that each such payment shall be made without any offset, abatement, withholding or reduction whatsoever.</w:t>
      </w:r>
    </w:p>
    <w:p>
      <w:pPr>
        <w:spacing w:after="0" w:line="185" w:lineRule="exact"/>
        <w:rPr>
          <w:rFonts w:ascii="Arial" w:cs="Arial" w:eastAsia="Arial" w:hAnsi="Arial"/>
          <w:sz w:val="17"/>
          <w:szCs w:val="17"/>
          <w:color w:val="auto"/>
        </w:rPr>
      </w:pPr>
    </w:p>
    <w:p>
      <w:pPr>
        <w:jc w:val="both"/>
        <w:ind w:firstLine="537"/>
        <w:spacing w:after="0" w:line="296" w:lineRule="auto"/>
        <w:tabs>
          <w:tab w:leader="none" w:pos="1254" w:val="left"/>
        </w:tabs>
        <w:numPr>
          <w:ilvl w:val="0"/>
          <w:numId w:val="52"/>
        </w:numPr>
        <w:rPr>
          <w:rFonts w:ascii="Arial" w:cs="Arial" w:eastAsia="Arial" w:hAnsi="Arial"/>
          <w:sz w:val="15"/>
          <w:szCs w:val="15"/>
          <w:color w:val="auto"/>
        </w:rPr>
      </w:pPr>
      <w:r>
        <w:rPr>
          <w:rFonts w:ascii="Arial" w:cs="Arial" w:eastAsia="Arial" w:hAnsi="Arial"/>
          <w:sz w:val="15"/>
          <w:szCs w:val="15"/>
          <w:u w:val="single" w:color="auto"/>
          <w:color w:val="auto"/>
        </w:rPr>
        <w:t>Reimbursement</w:t>
      </w:r>
      <w:r>
        <w:rPr>
          <w:rFonts w:ascii="Arial" w:cs="Arial" w:eastAsia="Arial" w:hAnsi="Arial"/>
          <w:sz w:val="15"/>
          <w:szCs w:val="15"/>
          <w:color w:val="auto"/>
        </w:rPr>
        <w:t xml:space="preserve">. If the Issuing Bank shall make any LC Disbursement in respect of a Letter of Credit, the Company shall reimburse such LC Disbursement by paying to the Administrative Agent an amount equal to such LC Disbursement not later than 12:00 noon, New York City time, on the date that such LC Disbursement is made, if the Company shall have received notice of such LC Disbursement prior to 10:00 a.m., New York City time, on such date, or, if such notice has not been received by the Company prior to such time on such date, then not later than 12:00 noon, New York City time, on (i) the Business Day that the Company receives such notice, if such notice is received prior to 10:00 a.m., New York City time, on the day of receipt, or (ii) the Business Day immediately following the day that the Company receives such notice, if such notice is not received prior to such time on the day of receipt;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such LC Disbursement is not less than $500,000, the Company may, subject to the conditions to borrowing set forth herein, request in accordance with </w:t>
      </w:r>
      <w:r>
        <w:rPr>
          <w:rFonts w:ascii="Arial" w:cs="Arial" w:eastAsia="Arial" w:hAnsi="Arial"/>
          <w:sz w:val="15"/>
          <w:szCs w:val="15"/>
          <w:u w:val="single" w:color="auto"/>
          <w:color w:val="auto"/>
        </w:rPr>
        <w:t>Section 2.03</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2.05</w:t>
      </w:r>
      <w:r>
        <w:rPr>
          <w:rFonts w:ascii="Arial" w:cs="Arial" w:eastAsia="Arial" w:hAnsi="Arial"/>
          <w:sz w:val="15"/>
          <w:szCs w:val="15"/>
          <w:color w:val="auto"/>
        </w:rPr>
        <w:t xml:space="preserve"> that such payment be financed with a Canadian Prime Rate Borrowing, an ABR Revolving Borrowing or Swingline Loan in an equivalent amount and, to the extent so financed, the Company’s obligation to make such payment shall be discharged and replaced by the resulting Canadian Prime Rate Borrowing, ABR Revolving Borrowing or Swingline Loan. If the Company fails to make such payment when due, the Administrative Agent shall notify each Lender of the applicable LC Disbursement, the payment then due from the Company in respect thereof and such Lender’s Applicable Percentage thereof. Promptly following receipt of such notice, each Lender shall pay to the Administrative Agent its Applicable Percentage of the payment then due from the Company, in the same manner as provided in </w:t>
      </w:r>
      <w:r>
        <w:rPr>
          <w:rFonts w:ascii="Arial" w:cs="Arial" w:eastAsia="Arial" w:hAnsi="Arial"/>
          <w:sz w:val="15"/>
          <w:szCs w:val="15"/>
          <w:u w:val="single" w:color="auto"/>
          <w:color w:val="auto"/>
        </w:rPr>
        <w:t>Section 2.07</w:t>
      </w:r>
      <w:r>
        <w:rPr>
          <w:rFonts w:ascii="Arial" w:cs="Arial" w:eastAsia="Arial" w:hAnsi="Arial"/>
          <w:sz w:val="15"/>
          <w:szCs w:val="15"/>
          <w:color w:val="auto"/>
        </w:rPr>
        <w:t xml:space="preserve"> with respect to Loans made by such Lender (and </w:t>
      </w:r>
      <w:r>
        <w:rPr>
          <w:rFonts w:ascii="Arial" w:cs="Arial" w:eastAsia="Arial" w:hAnsi="Arial"/>
          <w:sz w:val="15"/>
          <w:szCs w:val="15"/>
          <w:u w:val="single" w:color="auto"/>
          <w:color w:val="auto"/>
        </w:rPr>
        <w:t>Section 2.07</w:t>
      </w:r>
      <w:r>
        <w:rPr>
          <w:rFonts w:ascii="Arial" w:cs="Arial" w:eastAsia="Arial" w:hAnsi="Arial"/>
          <w:sz w:val="15"/>
          <w:szCs w:val="15"/>
          <w:color w:val="auto"/>
        </w:rPr>
        <w:t xml:space="preserve"> shall apply, </w:t>
      </w:r>
      <w:r>
        <w:rPr>
          <w:rFonts w:ascii="Arial" w:cs="Arial" w:eastAsia="Arial" w:hAnsi="Arial"/>
          <w:sz w:val="15"/>
          <w:szCs w:val="15"/>
          <w:i w:val="1"/>
          <w:iCs w:val="1"/>
          <w:color w:val="auto"/>
        </w:rPr>
        <w:t>mutatis mutandis</w:t>
      </w:r>
      <w:r>
        <w:rPr>
          <w:rFonts w:ascii="Arial" w:cs="Arial" w:eastAsia="Arial" w:hAnsi="Arial"/>
          <w:sz w:val="15"/>
          <w:szCs w:val="15"/>
          <w:color w:val="auto"/>
        </w:rPr>
        <w:t>, to the payment obligations of the Lenders), and the Administrative Agent shall promptly pay to the Issuing Bank the amounts so received by it from the Lenders. Promptly following receipt by the Administrative Agent of any payment from the Company pursuant to this paragraph, the Administrative Agent shall distribute such payment to the Issuing Bank or, to the extent that the Lenders have made payments pursuant to this paragraph to reimburse the Issuing Bank, then to such the Lenders and the Issuing Bank as their interests may appear. Any payment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ectPr>
          <w:pgSz w:w="11900" w:h="16838" w:orient="portrait"/>
          <w:cols w:equalWidth="0" w:num="1">
            <w:col w:w="11460"/>
          </w:cols>
          <w:pgMar w:left="220" w:top="508" w:right="219" w:bottom="1440" w:gutter="0" w:footer="0" w:header="0"/>
        </w:sectPr>
      </w:pPr>
    </w:p>
    <w:bookmarkStart w:id="98" w:name="page99"/>
    <w:bookmarkEnd w:id="98"/>
    <w:p>
      <w:pPr>
        <w:jc w:val="both"/>
        <w:spacing w:after="0" w:line="252" w:lineRule="auto"/>
        <w:rPr>
          <w:sz w:val="20"/>
          <w:szCs w:val="20"/>
          <w:color w:val="auto"/>
        </w:rPr>
      </w:pPr>
      <w:r>
        <w:rPr>
          <w:rFonts w:ascii="Arial" w:cs="Arial" w:eastAsia="Arial" w:hAnsi="Arial"/>
          <w:sz w:val="18"/>
          <w:szCs w:val="18"/>
          <w:color w:val="auto"/>
        </w:rPr>
        <w:t>made by a Lender pursuant to this paragraph to reimburse the Issuing Bank for any LC Disbursement (other than the funding of a Canadian Prime Rate Loan, ABR Revolving Loan or Swingline Loan as contemplated above) shall not constitute a Loan and shall not relieve the Company of its obligation to reimburse such LC Disbursement.</w:t>
      </w:r>
    </w:p>
    <w:p>
      <w:pPr>
        <w:spacing w:after="0" w:line="186" w:lineRule="exact"/>
        <w:rPr>
          <w:sz w:val="20"/>
          <w:szCs w:val="20"/>
          <w:color w:val="auto"/>
        </w:rPr>
      </w:pPr>
    </w:p>
    <w:p>
      <w:pPr>
        <w:jc w:val="both"/>
        <w:ind w:firstLine="537"/>
        <w:spacing w:after="0" w:line="296" w:lineRule="auto"/>
        <w:tabs>
          <w:tab w:leader="none" w:pos="1234" w:val="left"/>
        </w:tabs>
        <w:numPr>
          <w:ilvl w:val="1"/>
          <w:numId w:val="53"/>
        </w:numPr>
        <w:rPr>
          <w:rFonts w:ascii="Arial" w:cs="Arial" w:eastAsia="Arial" w:hAnsi="Arial"/>
          <w:sz w:val="15"/>
          <w:szCs w:val="15"/>
          <w:color w:val="auto"/>
        </w:rPr>
      </w:pPr>
      <w:r>
        <w:rPr>
          <w:rFonts w:ascii="Arial" w:cs="Arial" w:eastAsia="Arial" w:hAnsi="Arial"/>
          <w:sz w:val="15"/>
          <w:szCs w:val="15"/>
          <w:u w:val="single" w:color="auto"/>
          <w:color w:val="auto"/>
        </w:rPr>
        <w:t>Obligations Absolute</w:t>
      </w:r>
      <w:r>
        <w:rPr>
          <w:rFonts w:ascii="Arial" w:cs="Arial" w:eastAsia="Arial" w:hAnsi="Arial"/>
          <w:sz w:val="15"/>
          <w:szCs w:val="15"/>
          <w:color w:val="auto"/>
        </w:rPr>
        <w:t xml:space="preserve">. The Company’s obligation to reimburse LC Disbursements as provided in paragraph </w:t>
      </w:r>
      <w:r>
        <w:rPr>
          <w:rFonts w:ascii="Arial" w:cs="Arial" w:eastAsia="Arial" w:hAnsi="Arial"/>
          <w:sz w:val="15"/>
          <w:szCs w:val="15"/>
          <w:u w:val="single" w:color="auto"/>
          <w:color w:val="auto"/>
        </w:rPr>
        <w:t>(e)</w:t>
      </w:r>
      <w:r>
        <w:rPr>
          <w:rFonts w:ascii="Arial" w:cs="Arial" w:eastAsia="Arial" w:hAnsi="Arial"/>
          <w:sz w:val="15"/>
          <w:szCs w:val="15"/>
          <w:color w:val="auto"/>
        </w:rPr>
        <w:t xml:space="preserv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w:t>
      </w:r>
    </w:p>
    <w:p>
      <w:pPr>
        <w:jc w:val="both"/>
        <w:ind w:firstLine="8"/>
        <w:spacing w:after="0" w:line="295" w:lineRule="auto"/>
        <w:tabs>
          <w:tab w:leader="none" w:pos="312" w:val="left"/>
        </w:tabs>
        <w:numPr>
          <w:ilvl w:val="0"/>
          <w:numId w:val="54"/>
        </w:numPr>
        <w:rPr>
          <w:rFonts w:ascii="Arial" w:cs="Arial" w:eastAsia="Arial" w:hAnsi="Arial"/>
          <w:sz w:val="15"/>
          <w:szCs w:val="15"/>
          <w:color w:val="auto"/>
        </w:rPr>
      </w:pPr>
      <w:r>
        <w:rPr>
          <w:rFonts w:ascii="Arial" w:cs="Arial" w:eastAsia="Arial" w:hAnsi="Arial"/>
          <w:sz w:val="15"/>
          <w:szCs w:val="15"/>
          <w:color w:val="auto"/>
        </w:rPr>
        <w:t xml:space="preserve">payment by the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Company’s obligations hereunder. Neither the Administrative Agent, the Lenders nor the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foregoing shall not be construed to excuse the Issuing Bank from liability to the Company to the extent of any direct damages (as opposed to consequential damages, claims in respect of which are hereby waived by the Company to the extent permitted by applicable law) suffered by the Company that are caused by the Issuing Bank’s failure to exercise care when determining whether drafts and other documents presented under a Letter of Credit comply with the terms thereof. The parties hereto expressly agree that, in the absence of gross negligence or willful misconduct on the part of the Issuing Bank (as finally determined by a court of competent jurisdiction), the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366" w:lineRule="exact"/>
        <w:rPr>
          <w:rFonts w:ascii="Arial" w:cs="Arial" w:eastAsia="Arial" w:hAnsi="Arial"/>
          <w:sz w:val="15"/>
          <w:szCs w:val="15"/>
          <w:color w:val="auto"/>
        </w:rPr>
      </w:pPr>
    </w:p>
    <w:p>
      <w:pPr>
        <w:jc w:val="both"/>
        <w:ind w:firstLine="537"/>
        <w:spacing w:after="0" w:line="247" w:lineRule="auto"/>
        <w:tabs>
          <w:tab w:leader="none" w:pos="1264"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Disbursement Procedures</w:t>
      </w:r>
      <w:r>
        <w:rPr>
          <w:rFonts w:ascii="Arial" w:cs="Arial" w:eastAsia="Arial" w:hAnsi="Arial"/>
          <w:sz w:val="18"/>
          <w:szCs w:val="18"/>
          <w:color w:val="auto"/>
        </w:rPr>
        <w:t xml:space="preserve">. The Issuing Bank shall, promptly following its receipt thereof, examine all documents purporting to represent a demand for payment under a Letter of Credit. The Issuing Bank shall promptly notify the Administrative Agent and the Company by telephone (confirmed by telecopy) of such demand for payment and whether the Issuing Bank has made or will make an LC Disbursement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failure to give or delay in giving such notice shall not relieve the Company of their obligation to reimburse the Issuing Bank and the Lenders with respect to any such LC Disbursement.</w:t>
      </w:r>
    </w:p>
    <w:p>
      <w:pPr>
        <w:spacing w:after="0" w:line="191" w:lineRule="exact"/>
        <w:rPr>
          <w:rFonts w:ascii="Arial" w:cs="Arial" w:eastAsia="Arial" w:hAnsi="Arial"/>
          <w:sz w:val="18"/>
          <w:szCs w:val="18"/>
          <w:color w:val="auto"/>
        </w:rPr>
      </w:pPr>
    </w:p>
    <w:p>
      <w:pPr>
        <w:jc w:val="both"/>
        <w:ind w:firstLine="537"/>
        <w:spacing w:after="0" w:line="314" w:lineRule="auto"/>
        <w:tabs>
          <w:tab w:leader="none" w:pos="1264" w:val="left"/>
        </w:tabs>
        <w:numPr>
          <w:ilvl w:val="1"/>
          <w:numId w:val="54"/>
        </w:numPr>
        <w:rPr>
          <w:rFonts w:ascii="Arial" w:cs="Arial" w:eastAsia="Arial" w:hAnsi="Arial"/>
          <w:sz w:val="15"/>
          <w:szCs w:val="15"/>
          <w:color w:val="auto"/>
        </w:rPr>
      </w:pPr>
      <w:r>
        <w:rPr>
          <w:rFonts w:ascii="Arial" w:cs="Arial" w:eastAsia="Arial" w:hAnsi="Arial"/>
          <w:sz w:val="15"/>
          <w:szCs w:val="15"/>
          <w:u w:val="single" w:color="auto"/>
          <w:color w:val="auto"/>
        </w:rPr>
        <w:t>Interim Interest</w:t>
      </w:r>
      <w:r>
        <w:rPr>
          <w:rFonts w:ascii="Arial" w:cs="Arial" w:eastAsia="Arial" w:hAnsi="Arial"/>
          <w:sz w:val="15"/>
          <w:szCs w:val="15"/>
          <w:color w:val="auto"/>
        </w:rPr>
        <w:t xml:space="preserve">. If the Issuing Bank shall make any LC Disbursement, then, unless the Company shall reimburse such LC Disbursement in full on the date such LC Disbursement is made, the unpaid amount thereof shall bear interest, for each day from and including the date such LC Disbursement is made to but excluding the date that the Company reimburse such LC Disbursement, at the rate per annum then applicable to Canadian Prime Rate Revolving Loans (if the LC Disbursement is in Canadian Dollars) or ABR Revolving Loans (if the LC Disbursement is in U.S. Dollars);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Company fails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11460"/>
          </w:cols>
          <w:pgMar w:left="220" w:top="508" w:right="219" w:bottom="1440" w:gutter="0" w:footer="0" w:header="0"/>
        </w:sectPr>
      </w:pPr>
    </w:p>
    <w:bookmarkStart w:id="99" w:name="page100"/>
    <w:bookmarkEnd w:id="99"/>
    <w:p>
      <w:pPr>
        <w:jc w:val="both"/>
        <w:spacing w:after="0" w:line="274" w:lineRule="auto"/>
        <w:rPr>
          <w:sz w:val="20"/>
          <w:szCs w:val="20"/>
          <w:color w:val="auto"/>
        </w:rPr>
      </w:pPr>
      <w:r>
        <w:rPr>
          <w:rFonts w:ascii="Arial" w:cs="Arial" w:eastAsia="Arial" w:hAnsi="Arial"/>
          <w:sz w:val="17"/>
          <w:szCs w:val="17"/>
          <w:color w:val="auto"/>
        </w:rPr>
        <w:t xml:space="preserve">to reimburse such LC Disbursement when due pursuant to paragraph </w:t>
      </w:r>
      <w:r>
        <w:rPr>
          <w:rFonts w:ascii="Arial" w:cs="Arial" w:eastAsia="Arial" w:hAnsi="Arial"/>
          <w:sz w:val="17"/>
          <w:szCs w:val="17"/>
          <w:u w:val="single" w:color="auto"/>
          <w:color w:val="auto"/>
        </w:rPr>
        <w:t>(e)</w:t>
      </w:r>
      <w:r>
        <w:rPr>
          <w:rFonts w:ascii="Arial" w:cs="Arial" w:eastAsia="Arial" w:hAnsi="Arial"/>
          <w:sz w:val="17"/>
          <w:szCs w:val="17"/>
          <w:color w:val="auto"/>
        </w:rPr>
        <w:t xml:space="preserve"> of this Section, then </w:t>
      </w:r>
      <w:r>
        <w:rPr>
          <w:rFonts w:ascii="Arial" w:cs="Arial" w:eastAsia="Arial" w:hAnsi="Arial"/>
          <w:sz w:val="17"/>
          <w:szCs w:val="17"/>
          <w:u w:val="single" w:color="auto"/>
          <w:color w:val="auto"/>
        </w:rPr>
        <w:t>Section 2.13(e)</w:t>
      </w:r>
      <w:r>
        <w:rPr>
          <w:rFonts w:ascii="Arial" w:cs="Arial" w:eastAsia="Arial" w:hAnsi="Arial"/>
          <w:sz w:val="17"/>
          <w:szCs w:val="17"/>
          <w:color w:val="auto"/>
        </w:rPr>
        <w:t xml:space="preserve"> shall apply. Interest accrued pursuant to this paragraph shall be for the account of the Issuing Bank, except that interest accrued on and after the date of payment by any Lender pursuant to paragraph </w:t>
      </w:r>
      <w:r>
        <w:rPr>
          <w:rFonts w:ascii="Arial" w:cs="Arial" w:eastAsia="Arial" w:hAnsi="Arial"/>
          <w:sz w:val="17"/>
          <w:szCs w:val="17"/>
          <w:u w:val="single" w:color="auto"/>
          <w:color w:val="auto"/>
        </w:rPr>
        <w:t>(e)</w:t>
      </w:r>
      <w:r>
        <w:rPr>
          <w:rFonts w:ascii="Arial" w:cs="Arial" w:eastAsia="Arial" w:hAnsi="Arial"/>
          <w:sz w:val="17"/>
          <w:szCs w:val="17"/>
          <w:color w:val="auto"/>
        </w:rPr>
        <w:t xml:space="preserve"> of this Section to reimburse the Issuing Bank shall be for the account of such Lender to the extent of such payment.</w:t>
      </w:r>
    </w:p>
    <w:p>
      <w:pPr>
        <w:spacing w:after="0" w:line="168" w:lineRule="exact"/>
        <w:rPr>
          <w:sz w:val="20"/>
          <w:szCs w:val="20"/>
          <w:color w:val="auto"/>
        </w:rPr>
      </w:pPr>
    </w:p>
    <w:p>
      <w:pPr>
        <w:jc w:val="both"/>
        <w:ind w:firstLine="537"/>
        <w:spacing w:after="0" w:line="245" w:lineRule="auto"/>
        <w:tabs>
          <w:tab w:leader="none" w:pos="1224"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Replacement of the Issuing Bank</w:t>
      </w:r>
      <w:r>
        <w:rPr>
          <w:rFonts w:ascii="Arial" w:cs="Arial" w:eastAsia="Arial" w:hAnsi="Arial"/>
          <w:sz w:val="18"/>
          <w:szCs w:val="18"/>
          <w:color w:val="auto"/>
        </w:rPr>
        <w:t xml:space="preserve">. The Issuing Bank may be replaced at any time by written agreement among the Company, the Administrative Agent, the replaced Issuing Bank and the successor Issuing Bank. The Administrative Agent shall notify the Lenders of any such replacement of the Issuing Bank. At the time any such replacement shall become effective, the Company shall pay all unpaid fees accrued for the account of the replaced Issuing Bank pursuant to </w:t>
      </w:r>
      <w:r>
        <w:rPr>
          <w:rFonts w:ascii="Arial" w:cs="Arial" w:eastAsia="Arial" w:hAnsi="Arial"/>
          <w:sz w:val="18"/>
          <w:szCs w:val="18"/>
          <w:u w:val="single" w:color="auto"/>
          <w:color w:val="auto"/>
        </w:rPr>
        <w:t>Section 2.12(b)</w:t>
      </w:r>
      <w:r>
        <w:rPr>
          <w:rFonts w:ascii="Arial" w:cs="Arial" w:eastAsia="Arial" w:hAnsi="Arial"/>
          <w:sz w:val="18"/>
          <w:szCs w:val="18"/>
          <w:color w:val="auto"/>
        </w:rPr>
        <w:t>. From and after the effective date of any such replacement, (i) the successor Issuing Bank shall have all the rights and obligations of the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spacing w:after="0" w:line="192" w:lineRule="exact"/>
        <w:rPr>
          <w:rFonts w:ascii="Arial" w:cs="Arial" w:eastAsia="Arial" w:hAnsi="Arial"/>
          <w:sz w:val="18"/>
          <w:szCs w:val="18"/>
          <w:color w:val="auto"/>
        </w:rPr>
      </w:pPr>
    </w:p>
    <w:p>
      <w:pPr>
        <w:jc w:val="both"/>
        <w:ind w:firstLine="537"/>
        <w:spacing w:after="0" w:line="296" w:lineRule="auto"/>
        <w:tabs>
          <w:tab w:leader="none" w:pos="1224" w:val="left"/>
        </w:tabs>
        <w:numPr>
          <w:ilvl w:val="0"/>
          <w:numId w:val="55"/>
        </w:numPr>
        <w:rPr>
          <w:rFonts w:ascii="Arial" w:cs="Arial" w:eastAsia="Arial" w:hAnsi="Arial"/>
          <w:sz w:val="15"/>
          <w:szCs w:val="15"/>
          <w:color w:val="auto"/>
        </w:rPr>
      </w:pPr>
      <w:r>
        <w:rPr>
          <w:rFonts w:ascii="Arial" w:cs="Arial" w:eastAsia="Arial" w:hAnsi="Arial"/>
          <w:sz w:val="15"/>
          <w:szCs w:val="15"/>
          <w:u w:val="single" w:color="auto"/>
          <w:color w:val="auto"/>
        </w:rPr>
        <w:t>Cash Collateralization</w:t>
      </w:r>
      <w:r>
        <w:rPr>
          <w:rFonts w:ascii="Arial" w:cs="Arial" w:eastAsia="Arial" w:hAnsi="Arial"/>
          <w:sz w:val="15"/>
          <w:szCs w:val="15"/>
          <w:color w:val="auto"/>
        </w:rPr>
        <w:t xml:space="preserve">. If any Event of Default shall occur and be continuing, on the Business Day that the Company receives notice from the Administrative Agent or the Required Lenders (or, if the maturity of the Loans has been accelerated, the Lenders with LC Exposure representing greater than fifty percent (50%) of the total LC Exposure) demanding the deposit of cash collateral pursuant to this paragraph, the Company shall deposit in an account with the Administrative Agent, in the name of the Administrative Agent and for the benefit of the Lenders, an amount in cash equal to the LC Exposure as of such date plus any accrued and unpaid interest thereon;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any of the Borrowers described in clause </w:t>
      </w:r>
      <w:r>
        <w:rPr>
          <w:rFonts w:ascii="Arial" w:cs="Arial" w:eastAsia="Arial" w:hAnsi="Arial"/>
          <w:sz w:val="15"/>
          <w:szCs w:val="15"/>
          <w:u w:val="single" w:color="auto"/>
          <w:color w:val="auto"/>
        </w:rPr>
        <w:t>(h)</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(i)</w:t>
      </w:r>
      <w:r>
        <w:rPr>
          <w:rFonts w:ascii="Arial" w:cs="Arial" w:eastAsia="Arial" w:hAnsi="Arial"/>
          <w:sz w:val="15"/>
          <w:szCs w:val="15"/>
          <w:color w:val="auto"/>
        </w:rPr>
        <w:t xml:space="preserve"> of </w:t>
      </w:r>
      <w:r>
        <w:rPr>
          <w:rFonts w:ascii="Arial" w:cs="Arial" w:eastAsia="Arial" w:hAnsi="Arial"/>
          <w:sz w:val="15"/>
          <w:szCs w:val="15"/>
          <w:u w:val="single" w:color="auto"/>
          <w:color w:val="auto"/>
        </w:rPr>
        <w:t>Section 7.01</w:t>
      </w:r>
      <w:r>
        <w:rPr>
          <w:rFonts w:ascii="Arial" w:cs="Arial" w:eastAsia="Arial" w:hAnsi="Arial"/>
          <w:sz w:val="15"/>
          <w:szCs w:val="15"/>
          <w:color w:val="auto"/>
        </w:rPr>
        <w:t>. Such deposit shall be held by the Administrative Agent as collateral for the payment and performance of the obligations of the Borrowers under this Agreement.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Company’s risk and expense, such deposits shall not bear interest. Interest or profits, if any, on such investments shall accumulate in such account. Moneys in such account shall be applied by the Administrative Agent to reimburse the Issuing Bank for LC Disbursements for which it has not been reimbursed and, to the extent not so applied, shall be held for the satisfaction of the reimbursement obligations of the Company for the LC Exposure at such time or, if the maturity of the Loans has been accelerated (but subject to the consent of the Lenders with LC Exposure representing greater than fifty percent (50%) of the total LC Exposure), be applied to satisfy other obligations of the Borrowers under this Agreement. If the Company is required to provide an amount of cash collateral hereunder as a result of the occurrence of an Event of Default, such amount (to the extent not applied as aforesaid) shall be returned to the Company within three Business Days after all Events of Default have been cured or waived.</w:t>
      </w:r>
    </w:p>
    <w:p>
      <w:pPr>
        <w:spacing w:after="0" w:line="369" w:lineRule="exact"/>
        <w:rPr>
          <w:rFonts w:ascii="Arial" w:cs="Arial" w:eastAsia="Arial" w:hAnsi="Arial"/>
          <w:sz w:val="15"/>
          <w:szCs w:val="15"/>
          <w:color w:val="auto"/>
        </w:rPr>
      </w:pPr>
    </w:p>
    <w:p>
      <w:pPr>
        <w:jc w:val="both"/>
        <w:ind w:firstLine="537"/>
        <w:spacing w:after="0" w:line="249" w:lineRule="auto"/>
        <w:tabs>
          <w:tab w:leader="none" w:pos="1264"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Existing Letters of Credit; Assumption of Existing Letter of Credit Denominated in Canadian Dollars</w:t>
      </w:r>
      <w:r>
        <w:rPr>
          <w:rFonts w:ascii="Arial" w:cs="Arial" w:eastAsia="Arial" w:hAnsi="Arial"/>
          <w:sz w:val="18"/>
          <w:szCs w:val="18"/>
          <w:color w:val="auto"/>
        </w:rPr>
        <w:t>. The Existing Letters of Credit shall be Letters of Credit hereunder for all purposes and shall be deemed to have been issued under this Agreement. Matrix North American Construction Ltd. hereby assigns to the Company, and the Company hereby assumes from Matrix North American Construction Ltd., effective as of the Effective Date, all of the obligations of Matrix North American Construction Ltd. under that certain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ectPr>
          <w:pgSz w:w="11900" w:h="16838" w:orient="portrait"/>
          <w:cols w:equalWidth="0" w:num="1">
            <w:col w:w="11460"/>
          </w:cols>
          <w:pgMar w:left="220" w:top="508" w:right="219" w:bottom="1440" w:gutter="0" w:footer="0" w:header="0"/>
        </w:sectPr>
      </w:pPr>
    </w:p>
    <w:bookmarkStart w:id="100" w:name="page101"/>
    <w:bookmarkEnd w:id="100"/>
    <w:p>
      <w:pPr>
        <w:spacing w:after="0" w:line="261" w:lineRule="auto"/>
        <w:rPr>
          <w:sz w:val="20"/>
          <w:szCs w:val="20"/>
          <w:color w:val="auto"/>
        </w:rPr>
      </w:pPr>
      <w:r>
        <w:rPr>
          <w:rFonts w:ascii="Arial" w:cs="Arial" w:eastAsia="Arial" w:hAnsi="Arial"/>
          <w:sz w:val="18"/>
          <w:szCs w:val="18"/>
          <w:color w:val="auto"/>
        </w:rPr>
        <w:t xml:space="preserve">Existing Letter of Credit denominated in Canadian Dollars and described on </w:t>
      </w:r>
      <w:r>
        <w:rPr>
          <w:rFonts w:ascii="Arial" w:cs="Arial" w:eastAsia="Arial" w:hAnsi="Arial"/>
          <w:sz w:val="18"/>
          <w:szCs w:val="18"/>
          <w:u w:val="single" w:color="auto"/>
          <w:color w:val="auto"/>
        </w:rPr>
        <w:t>Exhibit B</w:t>
      </w:r>
      <w:r>
        <w:rPr>
          <w:rFonts w:ascii="Arial" w:cs="Arial" w:eastAsia="Arial" w:hAnsi="Arial"/>
          <w:sz w:val="18"/>
          <w:szCs w:val="18"/>
          <w:color w:val="auto"/>
        </w:rPr>
        <w:t>. From and after the Effective Date, the Company shall be the obligor in respect of such Existing Letter of Credit.</w:t>
      </w:r>
    </w:p>
    <w:p>
      <w:pPr>
        <w:spacing w:after="0" w:line="178" w:lineRule="exact"/>
        <w:rPr>
          <w:sz w:val="20"/>
          <w:szCs w:val="20"/>
          <w:color w:val="auto"/>
        </w:rPr>
      </w:pPr>
    </w:p>
    <w:p>
      <w:pPr>
        <w:jc w:val="both"/>
        <w:ind w:firstLine="537"/>
        <w:spacing w:after="0" w:line="268" w:lineRule="auto"/>
        <w:tabs>
          <w:tab w:leader="none" w:pos="1224"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Letters of Credit Issued for Subsidiaries</w:t>
      </w:r>
      <w:r>
        <w:rPr>
          <w:rFonts w:ascii="Arial" w:cs="Arial" w:eastAsia="Arial" w:hAnsi="Arial"/>
          <w:sz w:val="17"/>
          <w:szCs w:val="17"/>
          <w:color w:val="auto"/>
        </w:rPr>
        <w:t>. Notwithstanding that a Letter of Credit issued or outstanding hereunder is in support of any obligation of, or is for the account of, a Subsidiary, the Company shall be obligated to reimburse the Issuing Bank hereunder for any and all drawings under such Letter of Credit. The Company hereby acknowledges that the issuance of Letters of Credit for the account of any of its Subsidiaries inures to the benefit of the Company, and that the Company’s business derives substantial benefits from the business of such Subsidiaries.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Funding of Borrowings.</w:t>
      </w:r>
    </w:p>
    <w:p>
      <w:pPr>
        <w:spacing w:after="0" w:line="212" w:lineRule="exact"/>
        <w:rPr>
          <w:sz w:val="20"/>
          <w:szCs w:val="20"/>
          <w:color w:val="auto"/>
        </w:rPr>
      </w:pPr>
    </w:p>
    <w:p>
      <w:pPr>
        <w:jc w:val="both"/>
        <w:ind w:firstLine="537"/>
        <w:spacing w:after="0" w:line="245" w:lineRule="auto"/>
        <w:tabs>
          <w:tab w:leader="none" w:pos="1254"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Each Lender shall make each Loan to be made by it hereunder on the proposed date thereof by wire transfer of immediately available funds by 12:00 noon, Local Time, to the account of the Administrative Agent most recently designated by it for such purpose by notice to the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Swingline Loans shall be made as provided in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The Administrative Agent will make such Loans available to the applicable Borrower by promptly crediting the amounts so received, in like funds, to an account of the Company or the applicable Borrower, maintained with the Administrative Agent in Tulsa, Oklahoma or elsewhere and designated by the Company in the applicable Borrowing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ABR Revolving Loans and Canadian Prime Rate Revolving Loans made to finance the reimbursement of an LC Disbursement as provided in </w:t>
      </w:r>
      <w:r>
        <w:rPr>
          <w:rFonts w:ascii="Arial" w:cs="Arial" w:eastAsia="Arial" w:hAnsi="Arial"/>
          <w:sz w:val="18"/>
          <w:szCs w:val="18"/>
          <w:u w:val="single" w:color="auto"/>
          <w:color w:val="auto"/>
        </w:rPr>
        <w:t>Section 2.06(e)</w:t>
      </w:r>
      <w:r>
        <w:rPr>
          <w:rFonts w:ascii="Arial" w:cs="Arial" w:eastAsia="Arial" w:hAnsi="Arial"/>
          <w:sz w:val="18"/>
          <w:szCs w:val="18"/>
          <w:color w:val="auto"/>
        </w:rPr>
        <w:t xml:space="preserve"> shall be remitted by the Administrative Agent to the Issuing Bank.</w:t>
      </w:r>
    </w:p>
    <w:p>
      <w:pPr>
        <w:spacing w:after="0" w:line="196" w:lineRule="exact"/>
        <w:rPr>
          <w:rFonts w:ascii="Arial" w:cs="Arial" w:eastAsia="Arial" w:hAnsi="Arial"/>
          <w:sz w:val="18"/>
          <w:szCs w:val="18"/>
          <w:color w:val="auto"/>
        </w:rPr>
      </w:pPr>
    </w:p>
    <w:p>
      <w:pPr>
        <w:jc w:val="both"/>
        <w:ind w:firstLine="537"/>
        <w:spacing w:after="0" w:line="299" w:lineRule="auto"/>
        <w:tabs>
          <w:tab w:leader="none" w:pos="1264" w:val="left"/>
        </w:tabs>
        <w:numPr>
          <w:ilvl w:val="0"/>
          <w:numId w:val="57"/>
        </w:numPr>
        <w:rPr>
          <w:rFonts w:ascii="Arial" w:cs="Arial" w:eastAsia="Arial" w:hAnsi="Arial"/>
          <w:sz w:val="15"/>
          <w:szCs w:val="15"/>
          <w:color w:val="auto"/>
        </w:rPr>
      </w:pPr>
      <w:r>
        <w:rPr>
          <w:rFonts w:ascii="Arial" w:cs="Arial" w:eastAsia="Arial" w:hAnsi="Arial"/>
          <w:sz w:val="15"/>
          <w:szCs w:val="15"/>
          <w:color w:val="auto"/>
        </w:rPr>
        <w:t xml:space="preserve">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w:t>
      </w:r>
      <w:r>
        <w:rPr>
          <w:rFonts w:ascii="Arial" w:cs="Arial" w:eastAsia="Arial" w:hAnsi="Arial"/>
          <w:sz w:val="15"/>
          <w:szCs w:val="15"/>
          <w:u w:val="single" w:color="auto"/>
          <w:color w:val="auto"/>
        </w:rPr>
        <w:t>(a)</w:t>
      </w:r>
      <w:r>
        <w:rPr>
          <w:rFonts w:ascii="Arial" w:cs="Arial" w:eastAsia="Arial" w:hAnsi="Arial"/>
          <w:sz w:val="15"/>
          <w:szCs w:val="15"/>
          <w:color w:val="auto"/>
        </w:rPr>
        <w:t xml:space="preserve"> of this Section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with interest thereon, for each day from and including the date such amount is made available to such Borrower to but excluding the date of payment to the Administrative Agent, at (i) in the case of such Lender, the greater of the Federal Funds Effective Rate and a rate determined by the Administrative Agent in accordance with banking industry rules on interbank compensation (including without limitation the Overnight Foreign Currency Rate in the case of Loans denominated in a Foreign Currency) or (ii) in the case of such Borrower, the interest rate applicable to the subject Loan. If such Lender pays such amount to the Administrative Agent, then such amount shall constitute such Lender’s Loan included in such Borrowing.</w:t>
      </w:r>
    </w:p>
    <w:p>
      <w:pPr>
        <w:spacing w:after="0" w:line="3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Interest Elections.</w:t>
      </w:r>
    </w:p>
    <w:p>
      <w:pPr>
        <w:spacing w:after="0" w:line="212" w:lineRule="exact"/>
        <w:rPr>
          <w:sz w:val="20"/>
          <w:szCs w:val="20"/>
          <w:color w:val="auto"/>
        </w:rPr>
      </w:pPr>
    </w:p>
    <w:p>
      <w:pPr>
        <w:jc w:val="both"/>
        <w:ind w:firstLine="537"/>
        <w:spacing w:after="0" w:line="263" w:lineRule="auto"/>
        <w:tabs>
          <w:tab w:leader="none" w:pos="1254" w:val="left"/>
        </w:tabs>
        <w:numPr>
          <w:ilvl w:val="0"/>
          <w:numId w:val="58"/>
        </w:numPr>
        <w:rPr>
          <w:rFonts w:ascii="Arial" w:cs="Arial" w:eastAsia="Arial" w:hAnsi="Arial"/>
          <w:sz w:val="17"/>
          <w:szCs w:val="17"/>
          <w:color w:val="auto"/>
        </w:rPr>
      </w:pPr>
      <w:r>
        <w:rPr>
          <w:rFonts w:ascii="Arial" w:cs="Arial" w:eastAsia="Arial" w:hAnsi="Arial"/>
          <w:sz w:val="17"/>
          <w:szCs w:val="17"/>
          <w:color w:val="auto"/>
        </w:rPr>
        <w:t>Each Revolving Borrowing initially shall be of the Type specified in the applicable Borrowing Request and, in the case of a CDOR Revolving Borrowing, Eurocurrency Revolving Borrowing or EURIBOR Revolving Borrowing, shall have an initial Interest Period as specified in such Borrowing Request. Thereafter, the Company may elect to convert such Borrowing to a different Type or to continue such Borrowing and, in the case of a CDOR Revolving Borrowing, Eurocurrency Revolving Borrowing or EURIBOR Revolving Borrowing, may elect Interest Periods therefor, all as provided in this Section. The Company may elect different options with respect to different portions of the affected Borrowing, in which case each such portion shall be allocated ratably among the Lenders holding the Loans comprising such Borrowing, and the Loans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11460"/>
          </w:cols>
          <w:pgMar w:left="220" w:top="508" w:right="219" w:bottom="1440" w:gutter="0" w:footer="0" w:header="0"/>
        </w:sectPr>
      </w:pPr>
    </w:p>
    <w:bookmarkStart w:id="101" w:name="page102"/>
    <w:bookmarkEnd w:id="101"/>
    <w:p>
      <w:pPr>
        <w:jc w:val="both"/>
        <w:spacing w:after="0" w:line="252" w:lineRule="auto"/>
        <w:rPr>
          <w:sz w:val="20"/>
          <w:szCs w:val="20"/>
          <w:color w:val="auto"/>
        </w:rPr>
      </w:pPr>
      <w:r>
        <w:rPr>
          <w:rFonts w:ascii="Arial" w:cs="Arial" w:eastAsia="Arial" w:hAnsi="Arial"/>
          <w:sz w:val="18"/>
          <w:szCs w:val="18"/>
          <w:color w:val="auto"/>
        </w:rPr>
        <w:t xml:space="preserve">comprising each such portion shall be considered a separate Borrowing;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Borrowing in one currency may only be converted to another Type of Borrowing denominated in the same currency as the Borrowing to be so converted. This Section shall not apply to Swingline Borrowings, which may not be converted or continued.</w:t>
      </w:r>
    </w:p>
    <w:p>
      <w:pPr>
        <w:spacing w:after="0" w:line="186" w:lineRule="exact"/>
        <w:rPr>
          <w:sz w:val="20"/>
          <w:szCs w:val="20"/>
          <w:color w:val="auto"/>
        </w:rPr>
      </w:pPr>
    </w:p>
    <w:p>
      <w:pPr>
        <w:jc w:val="both"/>
        <w:ind w:firstLine="537"/>
        <w:spacing w:after="0" w:line="265" w:lineRule="auto"/>
        <w:tabs>
          <w:tab w:leader="none" w:pos="1264"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To make an election pursuant to this Section, the Company shall notify the Administrative Agent of such election by telephone in the case of a Borrowing in U.S. Dollars and in writing in the case of a Borrowing in a Foreign Currency, in each case, by the time that a Borrowing Request would be required under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if the Company were requesting a Revolving Borrowing of the Type resulting from such election to be made on the effective date of such election. Each such telephonic Interest Election Request shall be irrevocable and shall be confirmed promptly by hand delivery or telecopy to the Administrative Agent of a written Interest Election Request in a form approved by the Administrative Agent and signed by the Company.</w:t>
      </w:r>
    </w:p>
    <w:p>
      <w:pPr>
        <w:spacing w:after="0" w:line="177" w:lineRule="exact"/>
        <w:rPr>
          <w:rFonts w:ascii="Arial" w:cs="Arial" w:eastAsia="Arial" w:hAnsi="Arial"/>
          <w:sz w:val="17"/>
          <w:szCs w:val="17"/>
          <w:color w:val="auto"/>
        </w:rPr>
      </w:pPr>
    </w:p>
    <w:p>
      <w:pPr>
        <w:ind w:left="1260" w:hanging="723"/>
        <w:spacing w:after="0"/>
        <w:tabs>
          <w:tab w:leader="none" w:pos="1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Each telephonic and written Interest Election Request shall specify the following information in compliance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540" w:firstLine="526"/>
        <w:spacing w:after="0" w:line="300" w:lineRule="auto"/>
        <w:tabs>
          <w:tab w:leader="none" w:pos="1764" w:val="left"/>
        </w:tabs>
        <w:numPr>
          <w:ilvl w:val="1"/>
          <w:numId w:val="59"/>
        </w:numPr>
        <w:rPr>
          <w:rFonts w:ascii="Arial" w:cs="Arial" w:eastAsia="Arial" w:hAnsi="Arial"/>
          <w:sz w:val="15"/>
          <w:szCs w:val="15"/>
          <w:color w:val="auto"/>
        </w:rPr>
      </w:pPr>
      <w:r>
        <w:rPr>
          <w:rFonts w:ascii="Arial" w:cs="Arial" w:eastAsia="Arial" w:hAnsi="Arial"/>
          <w:sz w:val="15"/>
          <w:szCs w:val="15"/>
          <w:color w:val="auto"/>
        </w:rPr>
        <w:t>the Borrowing to which such Interest Election Request applies and, if different options are being elected with respect to different portions of a Borrowing, the portions thereof to be allocated to each resulting Borrowing (in which case the information to be specified pursuant to clauses</w:t>
      </w:r>
    </w:p>
    <w:p>
      <w:pPr>
        <w:spacing w:after="0" w:line="1" w:lineRule="exact"/>
        <w:rPr>
          <w:rFonts w:ascii="Arial" w:cs="Arial" w:eastAsia="Arial" w:hAnsi="Arial"/>
          <w:sz w:val="15"/>
          <w:szCs w:val="15"/>
          <w:color w:val="auto"/>
        </w:rPr>
      </w:pPr>
    </w:p>
    <w:p>
      <w:pPr>
        <w:ind w:left="840" w:hanging="303"/>
        <w:spacing w:after="0"/>
        <w:tabs>
          <w:tab w:leader="none" w:pos="840" w:val="left"/>
        </w:tabs>
        <w:numPr>
          <w:ilvl w:val="0"/>
          <w:numId w:val="60"/>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below shall be specified for each resulting Borrowing);</w:t>
      </w:r>
    </w:p>
    <w:p>
      <w:pPr>
        <w:spacing w:after="0" w:line="198" w:lineRule="exact"/>
        <w:rPr>
          <w:rFonts w:ascii="Arial" w:cs="Arial" w:eastAsia="Arial" w:hAnsi="Arial"/>
          <w:sz w:val="18"/>
          <w:szCs w:val="18"/>
          <w:u w:val="single" w:color="auto"/>
          <w:color w:val="auto"/>
        </w:rPr>
      </w:pPr>
    </w:p>
    <w:p>
      <w:pPr>
        <w:ind w:left="1820" w:hanging="754"/>
        <w:spacing w:after="0"/>
        <w:tabs>
          <w:tab w:leader="none" w:pos="18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 Day;</w:t>
      </w:r>
    </w:p>
    <w:p>
      <w:pPr>
        <w:spacing w:after="0" w:line="211" w:lineRule="exact"/>
        <w:rPr>
          <w:rFonts w:ascii="Arial" w:cs="Arial" w:eastAsia="Arial" w:hAnsi="Arial"/>
          <w:sz w:val="18"/>
          <w:szCs w:val="18"/>
          <w:color w:val="auto"/>
        </w:rPr>
      </w:pPr>
    </w:p>
    <w:p>
      <w:pPr>
        <w:ind w:left="540" w:firstLine="526"/>
        <w:spacing w:after="0" w:line="261" w:lineRule="auto"/>
        <w:tabs>
          <w:tab w:leader="none" w:pos="1862" w:val="left"/>
        </w:tabs>
        <w:numPr>
          <w:ilvl w:val="1"/>
          <w:numId w:val="60"/>
        </w:numPr>
        <w:rPr>
          <w:rFonts w:ascii="Arial" w:cs="Arial" w:eastAsia="Arial" w:hAnsi="Arial"/>
          <w:sz w:val="18"/>
          <w:szCs w:val="18"/>
          <w:color w:val="auto"/>
        </w:rPr>
      </w:pPr>
      <w:r>
        <w:rPr>
          <w:rFonts w:ascii="Arial" w:cs="Arial" w:eastAsia="Arial" w:hAnsi="Arial"/>
          <w:sz w:val="18"/>
          <w:szCs w:val="18"/>
          <w:color w:val="auto"/>
        </w:rPr>
        <w:t>whether the resulting Borrowing, if in Canadian Dollars, is to be a Canadian Prime Rate Borrowing or a CDOR Borrowing, or, if in U.S. Dollars, is to be an ABR Borrowing or a Eurocurrency Borrowing; and</w:t>
      </w:r>
    </w:p>
    <w:p>
      <w:pPr>
        <w:spacing w:after="0" w:line="178" w:lineRule="exact"/>
        <w:rPr>
          <w:rFonts w:ascii="Arial" w:cs="Arial" w:eastAsia="Arial" w:hAnsi="Arial"/>
          <w:sz w:val="18"/>
          <w:szCs w:val="18"/>
          <w:color w:val="auto"/>
        </w:rPr>
      </w:pPr>
    </w:p>
    <w:p>
      <w:pPr>
        <w:ind w:left="540" w:firstLine="526"/>
        <w:spacing w:after="0" w:line="291" w:lineRule="auto"/>
        <w:tabs>
          <w:tab w:leader="none" w:pos="1853" w:val="left"/>
        </w:tabs>
        <w:numPr>
          <w:ilvl w:val="1"/>
          <w:numId w:val="60"/>
        </w:numPr>
        <w:rPr>
          <w:rFonts w:ascii="Arial" w:cs="Arial" w:eastAsia="Arial" w:hAnsi="Arial"/>
          <w:sz w:val="17"/>
          <w:szCs w:val="17"/>
          <w:color w:val="auto"/>
        </w:rPr>
      </w:pPr>
      <w:r>
        <w:rPr>
          <w:rFonts w:ascii="Arial" w:cs="Arial" w:eastAsia="Arial" w:hAnsi="Arial"/>
          <w:sz w:val="17"/>
          <w:szCs w:val="17"/>
          <w:color w:val="auto"/>
        </w:rPr>
        <w:t>if the resulting Borrowing is a CDOR Borrowing, Eurocurrency Borrowing or EURIBOR Borrowing, the Interest Period to be applicable thereto after giving effect to such election, which shall be a period contemplated by the definition of the term “Interest Period”.</w:t>
      </w:r>
    </w:p>
    <w:p>
      <w:pPr>
        <w:spacing w:after="0" w:line="15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If any such Interest Election Request requests a CDOR Borrowing, Eurocurrency Borrowing or EURIBOR Borrowing but does not specify an Interest Period, then the Company shall be deemed to have selected an Interest Period of one month.</w:t>
      </w:r>
    </w:p>
    <w:p>
      <w:pPr>
        <w:spacing w:after="0" w:line="145" w:lineRule="exact"/>
        <w:rPr>
          <w:sz w:val="20"/>
          <w:szCs w:val="20"/>
          <w:color w:val="auto"/>
        </w:rPr>
      </w:pPr>
    </w:p>
    <w:p>
      <w:pPr>
        <w:ind w:firstLine="537"/>
        <w:spacing w:after="0" w:line="261" w:lineRule="auto"/>
        <w:tabs>
          <w:tab w:leader="none" w:pos="1264"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Promptly following receipt of an Interest Election Request, the Administrative Agent shall advise each Lender of the details thereof and of such Lender’s portion of each Borrowing affected by such Interest Election Request.</w:t>
      </w:r>
    </w:p>
    <w:p>
      <w:pPr>
        <w:spacing w:after="0" w:line="178" w:lineRule="exact"/>
        <w:rPr>
          <w:rFonts w:ascii="Arial" w:cs="Arial" w:eastAsia="Arial" w:hAnsi="Arial"/>
          <w:sz w:val="18"/>
          <w:szCs w:val="18"/>
          <w:color w:val="auto"/>
        </w:rPr>
      </w:pPr>
    </w:p>
    <w:p>
      <w:pPr>
        <w:jc w:val="both"/>
        <w:ind w:firstLine="537"/>
        <w:spacing w:after="0" w:line="246" w:lineRule="auto"/>
        <w:tabs>
          <w:tab w:leader="none" w:pos="1254"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the Company fails to deliver a timely Interest Election Request with respect to a CDOR Borrowing, a Eurocurrency Borrowing or a EURIBOR Borrowing prior to the end of the Interest Period applicable thereto, then, unless such Borrowing is repaid as provided herein, at the end of such Interest Period such Borrowing shall (i) in the case of a Borrowing denominated in U.S. Dollars, be converted to an ABR Borrowing, (ii) in the case of a Borrowing denominated in Canadian Dollars, be converted to a Canadian Prime Rate Borrowing and (iii) in the case of a Borrowing denominated in any other Foreign Currency, automatically continue as a Eurocurrency Borrowing or EURIBOR Borrowing, as the case may be, with an Interest Period of one month. Notwithstanding any contrary provision hereof, if an Event of Default has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ectPr>
          <w:pgSz w:w="11900" w:h="16838" w:orient="portrait"/>
          <w:cols w:equalWidth="0" w:num="1">
            <w:col w:w="11460"/>
          </w:cols>
          <w:pgMar w:left="220" w:top="508" w:right="219" w:bottom="1440" w:gutter="0" w:footer="0" w:header="0"/>
        </w:sectPr>
      </w:pPr>
    </w:p>
    <w:bookmarkStart w:id="102" w:name="page103"/>
    <w:bookmarkEnd w:id="102"/>
    <w:p>
      <w:pPr>
        <w:jc w:val="both"/>
        <w:spacing w:after="0" w:line="249" w:lineRule="auto"/>
        <w:rPr>
          <w:sz w:val="20"/>
          <w:szCs w:val="20"/>
          <w:color w:val="auto"/>
        </w:rPr>
      </w:pPr>
      <w:r>
        <w:rPr>
          <w:rFonts w:ascii="Arial" w:cs="Arial" w:eastAsia="Arial" w:hAnsi="Arial"/>
          <w:sz w:val="18"/>
          <w:szCs w:val="18"/>
          <w:color w:val="auto"/>
        </w:rPr>
        <w:t>occurred and is continuing then (i) no outstanding Borrowing in U.S. Dollars may be converted to or continued as a Eurocurrency Borrowing, (ii) unless repaid, each Eurocurrency Borrowing in U.S. Dollars shall be converted to an ABR Borrowing at the end of the Interest Period applicable thereto, (iii) no outstanding Borrowing in Canadian Dollars may be converted to or continued as a CDOR Borrowing and (iv) unless repaid, each CDOR Borrowing shall be converted to a Canadian Prime Rate Borrowing at the end of the Interest Period applicable thereto.</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Termination and Reduction of Revolving Commitments.</w:t>
      </w:r>
    </w:p>
    <w:p>
      <w:pPr>
        <w:spacing w:after="0" w:line="179" w:lineRule="exact"/>
        <w:rPr>
          <w:sz w:val="20"/>
          <w:szCs w:val="20"/>
          <w:color w:val="auto"/>
        </w:rPr>
      </w:pPr>
    </w:p>
    <w:p>
      <w:pPr>
        <w:ind w:left="1260" w:hanging="723"/>
        <w:spacing w:after="0"/>
        <w:tabs>
          <w:tab w:leader="none" w:pos="1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Unless previously terminated, the Revolving Commitments shall terminate on the Termination Date.</w:t>
      </w:r>
    </w:p>
    <w:p>
      <w:pPr>
        <w:spacing w:after="0" w:line="211" w:lineRule="exact"/>
        <w:rPr>
          <w:rFonts w:ascii="Arial" w:cs="Arial" w:eastAsia="Arial" w:hAnsi="Arial"/>
          <w:sz w:val="18"/>
          <w:szCs w:val="18"/>
          <w:color w:val="auto"/>
        </w:rPr>
      </w:pPr>
    </w:p>
    <w:p>
      <w:pPr>
        <w:jc w:val="both"/>
        <w:ind w:firstLine="537"/>
        <w:spacing w:after="0" w:line="247" w:lineRule="auto"/>
        <w:tabs>
          <w:tab w:leader="none" w:pos="1264"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The Company may at any time terminate, or from time to time reduce, the Revolving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each reduction of the Revolving Commitments shall be in an amount that is an integral multiple of $5,000,000 and not less than $5,000,000, and (ii) the Company shall not terminate or reduce the Revolving Commitments if, after giving effect to any concurrent prepayment of the Loans in accordance with </w:t>
      </w:r>
      <w:r>
        <w:rPr>
          <w:rFonts w:ascii="Arial" w:cs="Arial" w:eastAsia="Arial" w:hAnsi="Arial"/>
          <w:sz w:val="18"/>
          <w:szCs w:val="18"/>
          <w:u w:val="single" w:color="auto"/>
          <w:color w:val="auto"/>
        </w:rPr>
        <w:t>Section 2.11(a)</w:t>
      </w:r>
      <w:r>
        <w:rPr>
          <w:rFonts w:ascii="Arial" w:cs="Arial" w:eastAsia="Arial" w:hAnsi="Arial"/>
          <w:sz w:val="18"/>
          <w:szCs w:val="18"/>
          <w:color w:val="auto"/>
        </w:rPr>
        <w:t>, (A) the aggregate Revolving Credit Exposures would exceed the aggregate Revolving Commitments or (B) the Foreign Currency Exposure would exceed the Foreign Currency Sublimit.</w:t>
      </w:r>
    </w:p>
    <w:p>
      <w:pPr>
        <w:spacing w:after="0" w:line="191" w:lineRule="exact"/>
        <w:rPr>
          <w:rFonts w:ascii="Arial" w:cs="Arial" w:eastAsia="Arial" w:hAnsi="Arial"/>
          <w:sz w:val="18"/>
          <w:szCs w:val="18"/>
          <w:color w:val="auto"/>
        </w:rPr>
      </w:pPr>
    </w:p>
    <w:p>
      <w:pPr>
        <w:jc w:val="both"/>
        <w:ind w:firstLine="537"/>
        <w:spacing w:after="0" w:line="245" w:lineRule="auto"/>
        <w:tabs>
          <w:tab w:leader="none" w:pos="1254"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The Company shall notify the Administrative Agent of any election to terminate or reduce the Revolving Commitments under paragraph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Company pursuant to this Section shall be irrevocable;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notice of termination of the Revolving Commitments delivered by the Company may state that such notice is conditioned upon the effectiveness of other credit facilities, in which case such notice may be revoked by the Company (by notice to the Administrative Agent on or prior to the specified effective date) if such condition is not satisfied. Any termination or reduction of the Revolving Commitments shall be permanent. Each reduction of the Revolving Commitments shall be made ratably among the Lenders in accordance with their respective Revolving Commitments.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Repayment of Loans; Evidence of Debt.</w:t>
      </w:r>
    </w:p>
    <w:p>
      <w:pPr>
        <w:spacing w:after="0" w:line="179" w:lineRule="exact"/>
        <w:rPr>
          <w:sz w:val="20"/>
          <w:szCs w:val="20"/>
          <w:color w:val="auto"/>
        </w:rPr>
      </w:pPr>
    </w:p>
    <w:p>
      <w:pPr>
        <w:jc w:val="both"/>
        <w:ind w:firstLine="537"/>
        <w:spacing w:after="0" w:line="305" w:lineRule="auto"/>
        <w:tabs>
          <w:tab w:leader="none" w:pos="1254" w:val="left"/>
        </w:tabs>
        <w:numPr>
          <w:ilvl w:val="0"/>
          <w:numId w:val="63"/>
        </w:numPr>
        <w:rPr>
          <w:rFonts w:ascii="Arial" w:cs="Arial" w:eastAsia="Arial" w:hAnsi="Arial"/>
          <w:sz w:val="15"/>
          <w:szCs w:val="15"/>
          <w:color w:val="auto"/>
        </w:rPr>
      </w:pPr>
      <w:r>
        <w:rPr>
          <w:rFonts w:ascii="Arial" w:cs="Arial" w:eastAsia="Arial" w:hAnsi="Arial"/>
          <w:sz w:val="15"/>
          <w:szCs w:val="15"/>
          <w:color w:val="auto"/>
        </w:rPr>
        <w:t xml:space="preserve">Each Borrower hereby unconditionally promises to pay to the Administrative Agent for the account of each Lender the then unpaid principal amount of each Revolving Loan of such Borrower on the Termination Date. Each Swingline Borrower hereby unconditionally promises to pay to the Swingline Lender the then unpaid principal amount of each Swingline Loan of such Borrower on the earlier of the Termination Date and the first date after such Swingline Loan is made that is the 15th or last day of a calendar month and is at least two (2) Business Days after such Swingline Loan is made;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on each date that a Revolving Borrowing is made to a Swingline Borrower, such Borrower shall repay all Swingline Loans of such Borrower then outstanding, which may be made by the Administrative Agent’s application of the proceeds of any such Borrowing to such outstanding Swingline Loans.</w:t>
      </w:r>
    </w:p>
    <w:p>
      <w:pPr>
        <w:spacing w:after="0" w:line="150" w:lineRule="exact"/>
        <w:rPr>
          <w:rFonts w:ascii="Arial" w:cs="Arial" w:eastAsia="Arial" w:hAnsi="Arial"/>
          <w:sz w:val="15"/>
          <w:szCs w:val="15"/>
          <w:color w:val="auto"/>
        </w:rPr>
      </w:pPr>
    </w:p>
    <w:p>
      <w:pPr>
        <w:jc w:val="both"/>
        <w:ind w:firstLine="537"/>
        <w:spacing w:after="0" w:line="252" w:lineRule="auto"/>
        <w:tabs>
          <w:tab w:leader="none" w:pos="1264"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each Borrower to such Lender resulting from each Loan made by such Lender, including the amounts of principal and interest payable and paid to such Lender from time to time hereunder.</w:t>
      </w:r>
    </w:p>
    <w:p>
      <w:pPr>
        <w:spacing w:after="0" w:line="185" w:lineRule="exact"/>
        <w:rPr>
          <w:rFonts w:ascii="Arial" w:cs="Arial" w:eastAsia="Arial" w:hAnsi="Arial"/>
          <w:sz w:val="18"/>
          <w:szCs w:val="18"/>
          <w:color w:val="auto"/>
        </w:rPr>
      </w:pPr>
    </w:p>
    <w:p>
      <w:pPr>
        <w:ind w:firstLine="537"/>
        <w:spacing w:after="0" w:line="261" w:lineRule="auto"/>
        <w:tabs>
          <w:tab w:leader="none" w:pos="1254"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Administrative Agent shall maintain accounts in which it shall record (i) the amount of each Loan made hereunder, the currency, Class and Type thereof and the Interest Period applicable thereto,</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11460"/>
          </w:cols>
          <w:pgMar w:left="220" w:top="508" w:right="219" w:bottom="1440" w:gutter="0" w:footer="0" w:header="0"/>
        </w:sectPr>
      </w:pPr>
    </w:p>
    <w:bookmarkStart w:id="103" w:name="page104"/>
    <w:bookmarkEnd w:id="103"/>
    <w:p>
      <w:pPr>
        <w:ind w:firstLine="8"/>
        <w:spacing w:after="0" w:line="261" w:lineRule="auto"/>
        <w:tabs>
          <w:tab w:leader="none" w:pos="2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amount of any principal or interest due and payable or to become due and payable from the Borrowers to each Lender hereunder and (iii) the amount of any sum received by the Administrative Agent hereunder for the account of the Lenders and each Lender’s share thereof.</w:t>
      </w:r>
    </w:p>
    <w:p>
      <w:pPr>
        <w:spacing w:after="0" w:line="178" w:lineRule="exact"/>
        <w:rPr>
          <w:rFonts w:ascii="Arial" w:cs="Arial" w:eastAsia="Arial" w:hAnsi="Arial"/>
          <w:sz w:val="18"/>
          <w:szCs w:val="18"/>
          <w:color w:val="auto"/>
        </w:rPr>
      </w:pPr>
    </w:p>
    <w:p>
      <w:pPr>
        <w:jc w:val="both"/>
        <w:ind w:firstLine="537"/>
        <w:spacing w:after="0" w:line="274" w:lineRule="auto"/>
        <w:tabs>
          <w:tab w:leader="none" w:pos="1264" w:val="left"/>
        </w:tabs>
        <w:numPr>
          <w:ilvl w:val="1"/>
          <w:numId w:val="64"/>
        </w:numPr>
        <w:rPr>
          <w:rFonts w:ascii="Arial" w:cs="Arial" w:eastAsia="Arial" w:hAnsi="Arial"/>
          <w:sz w:val="17"/>
          <w:szCs w:val="17"/>
          <w:color w:val="auto"/>
        </w:rPr>
      </w:pPr>
      <w:r>
        <w:rPr>
          <w:rFonts w:ascii="Arial" w:cs="Arial" w:eastAsia="Arial" w:hAnsi="Arial"/>
          <w:sz w:val="17"/>
          <w:szCs w:val="17"/>
          <w:color w:val="auto"/>
        </w:rPr>
        <w:t xml:space="preserve">The entries made in the accounts maintained pursuant to paragraph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xml:space="preserve"> of this Section shall be </w:t>
      </w:r>
      <w:r>
        <w:rPr>
          <w:rFonts w:ascii="Arial" w:cs="Arial" w:eastAsia="Arial" w:hAnsi="Arial"/>
          <w:sz w:val="17"/>
          <w:szCs w:val="17"/>
          <w:u w:val="single" w:color="auto"/>
          <w:color w:val="auto"/>
        </w:rPr>
        <w:t>prima facie</w:t>
      </w:r>
      <w:r>
        <w:rPr>
          <w:rFonts w:ascii="Arial" w:cs="Arial" w:eastAsia="Arial" w:hAnsi="Arial"/>
          <w:sz w:val="17"/>
          <w:szCs w:val="17"/>
          <w:color w:val="auto"/>
        </w:rPr>
        <w:t xml:space="preserve"> evidence of the existence and amounts of the obligations recorded therein;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of any Lender or the Administrative Agent to maintain such accounts or any error therein shall not in any manner affect the obligation of the Borrowers to repay the Loans in accordance with the terms of this Agreement.</w:t>
      </w:r>
    </w:p>
    <w:p>
      <w:pPr>
        <w:spacing w:after="0" w:line="168" w:lineRule="exact"/>
        <w:rPr>
          <w:rFonts w:ascii="Arial" w:cs="Arial" w:eastAsia="Arial" w:hAnsi="Arial"/>
          <w:sz w:val="17"/>
          <w:szCs w:val="17"/>
          <w:color w:val="auto"/>
        </w:rPr>
      </w:pPr>
    </w:p>
    <w:p>
      <w:pPr>
        <w:jc w:val="both"/>
        <w:ind w:firstLine="537"/>
        <w:spacing w:after="0" w:line="265" w:lineRule="auto"/>
        <w:tabs>
          <w:tab w:leader="none" w:pos="1254" w:val="left"/>
        </w:tabs>
        <w:numPr>
          <w:ilvl w:val="1"/>
          <w:numId w:val="64"/>
        </w:numPr>
        <w:rPr>
          <w:rFonts w:ascii="Arial" w:cs="Arial" w:eastAsia="Arial" w:hAnsi="Arial"/>
          <w:sz w:val="17"/>
          <w:szCs w:val="17"/>
          <w:color w:val="auto"/>
        </w:rPr>
      </w:pPr>
      <w:r>
        <w:rPr>
          <w:rFonts w:ascii="Arial" w:cs="Arial" w:eastAsia="Arial" w:hAnsi="Arial"/>
          <w:sz w:val="17"/>
          <w:szCs w:val="17"/>
          <w:color w:val="auto"/>
        </w:rPr>
        <w:t xml:space="preserve">Any Lender may request that Loans made by it be evidenced by a promissory note. In such event, Agent shall prepare and the Borrowers shall execute and deliver to such Lender a promissory note payable to the order of such Lender (or, if requested by such Lender, to such Lender and its registered assigns) and in a form approved by the Administrative Agent. Thereafter, the Loans evidenced by such promissory note and interest thereon shall at all times (including after assignment pursuant to </w:t>
      </w:r>
      <w:r>
        <w:rPr>
          <w:rFonts w:ascii="Arial" w:cs="Arial" w:eastAsia="Arial" w:hAnsi="Arial"/>
          <w:sz w:val="17"/>
          <w:szCs w:val="17"/>
          <w:u w:val="single" w:color="auto"/>
          <w:color w:val="auto"/>
        </w:rPr>
        <w:t>Section 9.04</w:t>
      </w:r>
      <w:r>
        <w:rPr>
          <w:rFonts w:ascii="Arial" w:cs="Arial" w:eastAsia="Arial" w:hAnsi="Arial"/>
          <w:sz w:val="17"/>
          <w:szCs w:val="17"/>
          <w:color w:val="auto"/>
        </w:rPr>
        <w:t>) be represented by one or more promissory notes in such form payable to the order of the payee named therein (or, if such promissory note is a registered note, to such payee and its registered assigns).</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Prepayment of Loans</w:t>
      </w:r>
      <w:r>
        <w:rPr>
          <w:rFonts w:ascii="Arial" w:cs="Arial" w:eastAsia="Arial" w:hAnsi="Arial"/>
          <w:sz w:val="18"/>
          <w:szCs w:val="18"/>
          <w:color w:val="auto"/>
        </w:rPr>
        <w:t>.</w:t>
      </w:r>
    </w:p>
    <w:p>
      <w:pPr>
        <w:spacing w:after="0" w:line="212" w:lineRule="exact"/>
        <w:rPr>
          <w:sz w:val="20"/>
          <w:szCs w:val="20"/>
          <w:color w:val="auto"/>
        </w:rPr>
      </w:pPr>
    </w:p>
    <w:p>
      <w:pPr>
        <w:jc w:val="both"/>
        <w:ind w:firstLine="537"/>
        <w:spacing w:after="0" w:line="297" w:lineRule="auto"/>
        <w:tabs>
          <w:tab w:leader="none" w:pos="1254" w:val="left"/>
        </w:tabs>
        <w:numPr>
          <w:ilvl w:val="0"/>
          <w:numId w:val="65"/>
        </w:numPr>
        <w:rPr>
          <w:rFonts w:ascii="Arial" w:cs="Arial" w:eastAsia="Arial" w:hAnsi="Arial"/>
          <w:sz w:val="15"/>
          <w:szCs w:val="15"/>
          <w:color w:val="auto"/>
        </w:rPr>
      </w:pPr>
      <w:r>
        <w:rPr>
          <w:rFonts w:ascii="Arial" w:cs="Arial" w:eastAsia="Arial" w:hAnsi="Arial"/>
          <w:sz w:val="15"/>
          <w:szCs w:val="15"/>
          <w:color w:val="auto"/>
        </w:rPr>
        <w:t xml:space="preserve">The Borrowers shall have the right at any time and from time to time to prepay any Borrowing in whole or in part, subject to prior notice in accordance with this paragraph. The Company shall notify the Administrative Agent (and, in the case of prepayment of a Swingline Loan, the Swingline Lender) of any prepayment by the Borrowers hereunder (i) in the case of prepayment of a CDOR Borrowing or Eurocurrency Borrowing denominated in U.S. Dollars, by telephone (confirmed by telecopy) not later than 11:00 a.m., New York City time, three (3) Business Days before the date of prepayment, (ii) in the case of a Eurocurrency Borrowing denominated in a Foreign Currency or a EURIBOR Borrowing, in writing not later than 11:00 a.m., Local Time, (3) Business Days before the date of payment, (iii) in the case of prepayment of a Canadian Prime Rate Borrowing or an ABR Borrowing, by telephone (confirmed by telecopy) not later than 11:00 a.m., New York City time, one Business Day before the date of prepayment or (iv) in the case of prepayment of a Swingline Loan, by telephone (confirmed by telecopy) not later than 12:00 noon, New York City time, on the date of prepayment. Each such notice shall be irrevocable and shall specify the prepayment date and the principal amount of each Borrowing or portion thereof to be prepaid;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a notice of prepayment is given in connection with a conditional notice of termination of the Revolving Commitments as contemplated by </w:t>
      </w:r>
      <w:r>
        <w:rPr>
          <w:rFonts w:ascii="Arial" w:cs="Arial" w:eastAsia="Arial" w:hAnsi="Arial"/>
          <w:sz w:val="15"/>
          <w:szCs w:val="15"/>
          <w:u w:val="single" w:color="auto"/>
          <w:color w:val="auto"/>
        </w:rPr>
        <w:t>Section 2.09</w:t>
      </w:r>
      <w:r>
        <w:rPr>
          <w:rFonts w:ascii="Arial" w:cs="Arial" w:eastAsia="Arial" w:hAnsi="Arial"/>
          <w:sz w:val="15"/>
          <w:szCs w:val="15"/>
          <w:color w:val="auto"/>
        </w:rPr>
        <w:t xml:space="preserve">, then such notice of prepayment may be revoked if such notice of termination is revoked in accordance with </w:t>
      </w:r>
      <w:r>
        <w:rPr>
          <w:rFonts w:ascii="Arial" w:cs="Arial" w:eastAsia="Arial" w:hAnsi="Arial"/>
          <w:sz w:val="15"/>
          <w:szCs w:val="15"/>
          <w:u w:val="single" w:color="auto"/>
          <w:color w:val="auto"/>
        </w:rPr>
        <w:t>Section 2.09</w:t>
      </w:r>
      <w:r>
        <w:rPr>
          <w:rFonts w:ascii="Arial" w:cs="Arial" w:eastAsia="Arial" w:hAnsi="Arial"/>
          <w:sz w:val="15"/>
          <w:szCs w:val="15"/>
          <w:color w:val="auto"/>
        </w:rPr>
        <w:t xml:space="preserve">. Promptly following receipt of any such notice, the Administrative Agent shall advise the Lenders of the contents thereof. Each partial prepayment of any Revolving Borrowing shall be in an amount that would be permitted in the case of an advance of a Revolving Borrowing of the same Type as provided in </w:t>
      </w:r>
      <w:r>
        <w:rPr>
          <w:rFonts w:ascii="Arial" w:cs="Arial" w:eastAsia="Arial" w:hAnsi="Arial"/>
          <w:sz w:val="15"/>
          <w:szCs w:val="15"/>
          <w:u w:val="single" w:color="auto"/>
          <w:color w:val="auto"/>
        </w:rPr>
        <w:t>Section 2.02</w:t>
      </w:r>
      <w:r>
        <w:rPr>
          <w:rFonts w:ascii="Arial" w:cs="Arial" w:eastAsia="Arial" w:hAnsi="Arial"/>
          <w:sz w:val="15"/>
          <w:szCs w:val="15"/>
          <w:color w:val="auto"/>
        </w:rPr>
        <w:t xml:space="preserve">. Each prepayment of a Borrowing shall be applied ratably to the Loans included in the prepaid Borrowing. Prepayments shall be accompanied by accrued interest to the extent required by </w:t>
      </w:r>
      <w:r>
        <w:rPr>
          <w:rFonts w:ascii="Arial" w:cs="Arial" w:eastAsia="Arial" w:hAnsi="Arial"/>
          <w:sz w:val="15"/>
          <w:szCs w:val="15"/>
          <w:u w:val="single" w:color="auto"/>
          <w:color w:val="auto"/>
        </w:rPr>
        <w:t>Section 2.13</w:t>
      </w:r>
      <w:r>
        <w:rPr>
          <w:rFonts w:ascii="Arial" w:cs="Arial" w:eastAsia="Arial" w:hAnsi="Arial"/>
          <w:sz w:val="15"/>
          <w:szCs w:val="15"/>
          <w:color w:val="auto"/>
        </w:rPr>
        <w:t>.</w:t>
      </w:r>
    </w:p>
    <w:p>
      <w:pPr>
        <w:spacing w:after="0" w:line="366" w:lineRule="exact"/>
        <w:rPr>
          <w:rFonts w:ascii="Arial" w:cs="Arial" w:eastAsia="Arial" w:hAnsi="Arial"/>
          <w:sz w:val="15"/>
          <w:szCs w:val="15"/>
          <w:color w:val="auto"/>
        </w:rPr>
      </w:pPr>
    </w:p>
    <w:p>
      <w:pPr>
        <w:jc w:val="both"/>
        <w:ind w:firstLine="537"/>
        <w:spacing w:after="0" w:line="265" w:lineRule="auto"/>
        <w:tabs>
          <w:tab w:leader="none" w:pos="1264"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If at any time, (i) other than as a result of fluctuations in currency exchange rates, (A) the aggregate Revolving Credit Exposures (calculated in accordance with </w:t>
      </w:r>
      <w:r>
        <w:rPr>
          <w:rFonts w:ascii="Arial" w:cs="Arial" w:eastAsia="Arial" w:hAnsi="Arial"/>
          <w:sz w:val="17"/>
          <w:szCs w:val="17"/>
          <w:u w:val="single" w:color="auto"/>
          <w:color w:val="auto"/>
        </w:rPr>
        <w:t>Section 1.05(b)</w:t>
      </w:r>
      <w:r>
        <w:rPr>
          <w:rFonts w:ascii="Arial" w:cs="Arial" w:eastAsia="Arial" w:hAnsi="Arial"/>
          <w:sz w:val="17"/>
          <w:szCs w:val="17"/>
          <w:color w:val="auto"/>
        </w:rPr>
        <w:t xml:space="preserve"> as of the most recent Computation Date) exceed the aggregate Revolving Commitments, (B) the Foreign Currency Exposure (calculated in accordance with </w:t>
      </w:r>
      <w:r>
        <w:rPr>
          <w:rFonts w:ascii="Arial" w:cs="Arial" w:eastAsia="Arial" w:hAnsi="Arial"/>
          <w:sz w:val="17"/>
          <w:szCs w:val="17"/>
          <w:u w:val="single" w:color="auto"/>
          <w:color w:val="auto"/>
        </w:rPr>
        <w:t>Section 1.05(b)</w:t>
      </w:r>
      <w:r>
        <w:rPr>
          <w:rFonts w:ascii="Arial" w:cs="Arial" w:eastAsia="Arial" w:hAnsi="Arial"/>
          <w:sz w:val="17"/>
          <w:szCs w:val="17"/>
          <w:color w:val="auto"/>
        </w:rPr>
        <w:t xml:space="preserve"> as of the most recent Computation Date) exceeds the Foreign Currency Sublimit or (C) the aggregate LC Exposure (calculated in accordance with </w:t>
      </w:r>
      <w:r>
        <w:rPr>
          <w:rFonts w:ascii="Arial" w:cs="Arial" w:eastAsia="Arial" w:hAnsi="Arial"/>
          <w:sz w:val="17"/>
          <w:szCs w:val="17"/>
          <w:u w:val="single" w:color="auto"/>
          <w:color w:val="auto"/>
        </w:rPr>
        <w:t>Section 1.05(b)</w:t>
      </w:r>
      <w:r>
        <w:rPr>
          <w:rFonts w:ascii="Arial" w:cs="Arial" w:eastAsia="Arial" w:hAnsi="Arial"/>
          <w:sz w:val="17"/>
          <w:szCs w:val="17"/>
          <w:color w:val="auto"/>
        </w:rPr>
        <w:t xml:space="preserve"> as of the most recent Computation Date) exceeds the Letter of Credit Sublimit, or (ii) solely as a result of fluctuations in currency exchange rates, (A) the aggregate Revolving Credit Exposures (so calculated) exceed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ectPr>
          <w:pgSz w:w="11900" w:h="16838" w:orient="portrait"/>
          <w:cols w:equalWidth="0" w:num="1">
            <w:col w:w="11460"/>
          </w:cols>
          <w:pgMar w:left="220" w:top="508" w:right="219" w:bottom="1440" w:gutter="0" w:footer="0" w:header="0"/>
        </w:sectPr>
      </w:pPr>
    </w:p>
    <w:bookmarkStart w:id="104" w:name="page105"/>
    <w:bookmarkEnd w:id="104"/>
    <w:p>
      <w:pPr>
        <w:jc w:val="both"/>
        <w:spacing w:after="0" w:line="309" w:lineRule="auto"/>
        <w:rPr>
          <w:sz w:val="20"/>
          <w:szCs w:val="20"/>
          <w:color w:val="auto"/>
        </w:rPr>
      </w:pPr>
      <w:r>
        <w:rPr>
          <w:rFonts w:ascii="Arial" w:cs="Arial" w:eastAsia="Arial" w:hAnsi="Arial"/>
          <w:sz w:val="15"/>
          <w:szCs w:val="15"/>
          <w:color w:val="auto"/>
        </w:rPr>
        <w:t xml:space="preserve">105% of the aggregate Revolving Commitments, (B) the Foreign Currency Exposure (so calculated) exceeds 105% the Foreign Currency Sublimit or (C) the aggregate LC Exposure (so calculated) exceeds 105% of the Letter of Credit Sublimit, the Borrowers shall in each case immediately repay Borrowings or cash collateralize LC Exposure pursuant to </w:t>
      </w:r>
      <w:r>
        <w:rPr>
          <w:rFonts w:ascii="Arial" w:cs="Arial" w:eastAsia="Arial" w:hAnsi="Arial"/>
          <w:sz w:val="15"/>
          <w:szCs w:val="15"/>
          <w:u w:val="single" w:color="auto"/>
          <w:color w:val="auto"/>
        </w:rPr>
        <w:t>Section 2.06(j)</w:t>
      </w:r>
      <w:r>
        <w:rPr>
          <w:rFonts w:ascii="Arial" w:cs="Arial" w:eastAsia="Arial" w:hAnsi="Arial"/>
          <w:sz w:val="15"/>
          <w:szCs w:val="15"/>
          <w:color w:val="auto"/>
        </w:rPr>
        <w:t>, as applicable, in an aggregate principal amount sufficient to cause (1) the aggregate Revolving Credit Exposures (so calculated) to be less than or equal to the aggregate Revolving Commitments, (2) the Foreign Currency Exposure (so calculated) to be less than or equal to the Foreign Currency Sublimit and (3) the aggregate LC Exposure (so calculated) to be less than or equal to the Letter of Credit Sublimit, as applicable.</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Fees; Cost of Audits</w:t>
      </w:r>
      <w:r>
        <w:rPr>
          <w:rFonts w:ascii="Arial" w:cs="Arial" w:eastAsia="Arial" w:hAnsi="Arial"/>
          <w:sz w:val="18"/>
          <w:szCs w:val="18"/>
          <w:color w:val="auto"/>
        </w:rPr>
        <w:t>.</w:t>
      </w:r>
    </w:p>
    <w:p>
      <w:pPr>
        <w:spacing w:after="0" w:line="212" w:lineRule="exact"/>
        <w:rPr>
          <w:sz w:val="20"/>
          <w:szCs w:val="20"/>
          <w:color w:val="auto"/>
        </w:rPr>
      </w:pPr>
    </w:p>
    <w:p>
      <w:pPr>
        <w:jc w:val="both"/>
        <w:ind w:firstLine="537"/>
        <w:spacing w:after="0" w:line="301" w:lineRule="auto"/>
        <w:tabs>
          <w:tab w:leader="none" w:pos="1254"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Borrowers agree to pay to the Administrative Agent for the account of each Lender an unused fee (the “</w:t>
      </w:r>
      <w:r>
        <w:rPr>
          <w:rFonts w:ascii="Arial" w:cs="Arial" w:eastAsia="Arial" w:hAnsi="Arial"/>
          <w:sz w:val="15"/>
          <w:szCs w:val="15"/>
          <w:u w:val="single" w:color="auto"/>
          <w:color w:val="auto"/>
        </w:rPr>
        <w:t>Unused Fee</w:t>
      </w:r>
      <w:r>
        <w:rPr>
          <w:rFonts w:ascii="Arial" w:cs="Arial" w:eastAsia="Arial" w:hAnsi="Arial"/>
          <w:sz w:val="15"/>
          <w:szCs w:val="15"/>
          <w:color w:val="auto"/>
        </w:rPr>
        <w:t xml:space="preserve">”), which shall accrue at the Applicable Margin for Unused Fees described in the definition of “Applicable Margin” on the daily unutilized amount of the Revolving Commitment of such Lender during the period from and including the Effective Date to but excluding the date on which such Revolving Commitment terminates. Accrued Unused Fees shall be payable in arrears on the first day of each fiscal quarter (currently January 1, April 1, July 1, and October 1 of each year) and on the date on which the Revolving Commitments terminate, commencing on the first such date to occur after the Effective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Unused Fees accruing after the date on which the Revolving Commitments terminate shall be payable on demand. All Unused Fees shall be computed on the basis of a year of 360 days and shall be payable for the actual number of days elapsed (including the first day but excluding the last day). For purposes of calculating the unutilized Revolving Commitment of each Lender, Swingline Loans made by or deemed made by such Lender shall not count as utilization.</w:t>
      </w:r>
    </w:p>
    <w:p>
      <w:pPr>
        <w:spacing w:after="0" w:line="154" w:lineRule="exact"/>
        <w:rPr>
          <w:rFonts w:ascii="Arial" w:cs="Arial" w:eastAsia="Arial" w:hAnsi="Arial"/>
          <w:sz w:val="15"/>
          <w:szCs w:val="15"/>
          <w:color w:val="auto"/>
        </w:rPr>
      </w:pPr>
    </w:p>
    <w:p>
      <w:pPr>
        <w:jc w:val="both"/>
        <w:ind w:firstLine="537"/>
        <w:spacing w:after="0" w:line="260" w:lineRule="auto"/>
        <w:tabs>
          <w:tab w:leader="none" w:pos="1264"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The Company agrees to pay (i) to the Administrative Agent for the account of each Lender a participation fee with respect to its participations in Letters of Credit, which shall accrue at a rate per annum equal to the Applicable Margin for Eurocurrency Loans on the average daily amount of such Lender’s LC Exposure (excluding any portion thereof attributable to unreimbursed LC Disbursements) during the period from and including the Effective Date to but excluding the later of the date on which such Lender’s Revolving Commitment terminates and the date on which such Lender ceases to have any LC Exposure, and (ii) to the Issuing Bank a fronting fee of 0.125% per annum of the face of amount of each Letter of Credit, as well as the Issuing Bank’s standard fees with respect to the issuance, documentation, processing, amendment, renewal or extension of any Letter of Credit or processing of drawings thereunder. Participation fees and fronting fees accrued through and including the last day of March, June, September and December of each year shall be payable on the third Business Day following such last day, commencing on the first such date to occur after the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such fees shall be payable on the date on which the Revolving Commitments terminate and any such fees accruing after the date on which the Revolving Commitments terminate shall be payable on demand. Any other fees payable to the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w:t>
      </w:r>
    </w:p>
    <w:p>
      <w:pPr>
        <w:spacing w:after="0" w:line="181" w:lineRule="exact"/>
        <w:rPr>
          <w:rFonts w:ascii="Arial" w:cs="Arial" w:eastAsia="Arial" w:hAnsi="Arial"/>
          <w:sz w:val="17"/>
          <w:szCs w:val="17"/>
          <w:color w:val="auto"/>
        </w:rPr>
      </w:pPr>
    </w:p>
    <w:p>
      <w:pPr>
        <w:ind w:firstLine="537"/>
        <w:spacing w:after="0" w:line="261" w:lineRule="auto"/>
        <w:tabs>
          <w:tab w:leader="none" w:pos="125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Company agrees to pay to the Administrative Agent, for its own account, fees payable in the amounts and at the times separately agreed upon between the Company and the Administrative Agent.</w:t>
      </w:r>
    </w:p>
    <w:p>
      <w:pPr>
        <w:spacing w:after="0" w:line="178" w:lineRule="exact"/>
        <w:rPr>
          <w:rFonts w:ascii="Arial" w:cs="Arial" w:eastAsia="Arial" w:hAnsi="Arial"/>
          <w:sz w:val="18"/>
          <w:szCs w:val="18"/>
          <w:color w:val="auto"/>
        </w:rPr>
      </w:pPr>
    </w:p>
    <w:p>
      <w:pPr>
        <w:jc w:val="both"/>
        <w:ind w:firstLine="537"/>
        <w:spacing w:after="0" w:line="252" w:lineRule="auto"/>
        <w:tabs>
          <w:tab w:leader="none" w:pos="1264"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fees payable hereunder shall be paid on the dates due, in immediately available funds, to the Administrative Agent (or to the Issuing Bank, in the case of fees payable to it) for distribution, in the case of Unused Fees and participation fees, to the Lenders. Fees paid shall not be refundable under any circumstances.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ectPr>
          <w:pgSz w:w="11900" w:h="16838" w:orient="portrait"/>
          <w:cols w:equalWidth="0" w:num="1">
            <w:col w:w="11460"/>
          </w:cols>
          <w:pgMar w:left="220" w:top="508" w:right="219" w:bottom="1440" w:gutter="0" w:footer="0" w:header="0"/>
        </w:sectPr>
      </w:pPr>
    </w:p>
    <w:bookmarkStart w:id="105" w:name="page106"/>
    <w:bookmarkEnd w:id="105"/>
    <w:p>
      <w:pPr>
        <w:jc w:val="both"/>
        <w:ind w:firstLine="537"/>
        <w:spacing w:after="0" w:line="249" w:lineRule="auto"/>
        <w:tabs>
          <w:tab w:leader="none" w:pos="1254"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The Company shall pay the cost of all audits, inspections, valuations and/or field examinations conducted pursuant to </w:t>
      </w:r>
      <w:r>
        <w:rPr>
          <w:rFonts w:ascii="Arial" w:cs="Arial" w:eastAsia="Arial" w:hAnsi="Arial"/>
          <w:sz w:val="18"/>
          <w:szCs w:val="18"/>
          <w:u w:val="single" w:color="auto"/>
          <w:color w:val="auto"/>
        </w:rPr>
        <w:t>Section 5.06</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no Event of Default shall be continuing, the Company shall not be required to pay for (i) any such audit, inspection, valuation and/or field examination conducted prior to the date one (1) year after the Effective Date or (ii) more than two (2) such audits, inspections, valuations and/or field examinations per calendar year.</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179" w:lineRule="exact"/>
        <w:rPr>
          <w:sz w:val="20"/>
          <w:szCs w:val="20"/>
          <w:color w:val="auto"/>
        </w:rPr>
      </w:pPr>
    </w:p>
    <w:p>
      <w:pPr>
        <w:jc w:val="both"/>
        <w:ind w:firstLine="537"/>
        <w:spacing w:after="0" w:line="252" w:lineRule="auto"/>
        <w:tabs>
          <w:tab w:leader="none" w:pos="1254"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Loans comprising each ABR Borrowing (including each Swingline Loan denominated in U.S. Dollars) shall bear interest at the Alternate Base Rate plus the Applicable Margin. The Loans comprising each Canadian Prime Rate Borrowing (including each Swingline Loan denominated in Canadian Dollars) shall bear interest at the Canadian Prime Rate plus the Applicable Margin.</w:t>
      </w:r>
    </w:p>
    <w:p>
      <w:pPr>
        <w:spacing w:after="0" w:line="185" w:lineRule="exact"/>
        <w:rPr>
          <w:rFonts w:ascii="Arial" w:cs="Arial" w:eastAsia="Arial" w:hAnsi="Arial"/>
          <w:sz w:val="18"/>
          <w:szCs w:val="18"/>
          <w:color w:val="auto"/>
        </w:rPr>
      </w:pPr>
    </w:p>
    <w:p>
      <w:pPr>
        <w:ind w:firstLine="537"/>
        <w:spacing w:after="0" w:line="261" w:lineRule="auto"/>
        <w:tabs>
          <w:tab w:leader="none" w:pos="1264"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Loans comprising each Eurocurrency Borrowing shall bear interest at the Adjusted LIBO Rate for the Interest Period in effect for such Borrowing plus the Applicable Margin.</w:t>
      </w:r>
    </w:p>
    <w:p>
      <w:pPr>
        <w:spacing w:after="0" w:line="178" w:lineRule="exact"/>
        <w:rPr>
          <w:rFonts w:ascii="Arial" w:cs="Arial" w:eastAsia="Arial" w:hAnsi="Arial"/>
          <w:sz w:val="18"/>
          <w:szCs w:val="18"/>
          <w:color w:val="auto"/>
        </w:rPr>
      </w:pPr>
    </w:p>
    <w:p>
      <w:pPr>
        <w:ind w:right="20" w:firstLine="537"/>
        <w:spacing w:after="0" w:line="261" w:lineRule="auto"/>
        <w:tabs>
          <w:tab w:leader="none" w:pos="1254"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Loans comprising each CDOR Borrowing shall bear interest at the Canadian Dealer Offered Rate for the Interest Period in effect for such Borrowing plus the Applicable Margin.</w:t>
      </w:r>
    </w:p>
    <w:p>
      <w:pPr>
        <w:spacing w:after="0" w:line="178" w:lineRule="exact"/>
        <w:rPr>
          <w:rFonts w:ascii="Arial" w:cs="Arial" w:eastAsia="Arial" w:hAnsi="Arial"/>
          <w:sz w:val="18"/>
          <w:szCs w:val="18"/>
          <w:color w:val="auto"/>
        </w:rPr>
      </w:pPr>
    </w:p>
    <w:p>
      <w:pPr>
        <w:ind w:firstLine="537"/>
        <w:spacing w:after="0" w:line="261" w:lineRule="auto"/>
        <w:tabs>
          <w:tab w:leader="none" w:pos="1264"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Loans comprising each EURIBOR Borrowing shall bear interest at the EURIBO Rate for the Interest Period in effect for such Borrowing plus the Applicable Margin.</w:t>
      </w:r>
    </w:p>
    <w:p>
      <w:pPr>
        <w:spacing w:after="0" w:line="178" w:lineRule="exact"/>
        <w:rPr>
          <w:rFonts w:ascii="Arial" w:cs="Arial" w:eastAsia="Arial" w:hAnsi="Arial"/>
          <w:sz w:val="18"/>
          <w:szCs w:val="18"/>
          <w:color w:val="auto"/>
        </w:rPr>
      </w:pPr>
    </w:p>
    <w:p>
      <w:pPr>
        <w:jc w:val="both"/>
        <w:ind w:firstLine="537"/>
        <w:spacing w:after="0" w:line="303" w:lineRule="auto"/>
        <w:tabs>
          <w:tab w:leader="none" w:pos="1254" w:val="left"/>
        </w:tabs>
        <w:numPr>
          <w:ilvl w:val="0"/>
          <w:numId w:val="68"/>
        </w:numPr>
        <w:rPr>
          <w:rFonts w:ascii="Arial" w:cs="Arial" w:eastAsia="Arial" w:hAnsi="Arial"/>
          <w:sz w:val="15"/>
          <w:szCs w:val="15"/>
          <w:color w:val="auto"/>
        </w:rPr>
      </w:pPr>
      <w:r>
        <w:rPr>
          <w:rFonts w:ascii="Arial" w:cs="Arial" w:eastAsia="Arial" w:hAnsi="Arial"/>
          <w:sz w:val="15"/>
          <w:szCs w:val="15"/>
          <w:color w:val="auto"/>
        </w:rPr>
        <w:t xml:space="preserve">Notwithstanding the foregoing, if any principal of or interest on any Loan or any fee or other amount payable by the Borrowers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(ii) in the case of overdue interest on any Eurocurrency Loan denominated in Foreign Currencies, any CDOR Loan or any EURIBOR Loan, 2% plus the rate applicable to such Loan as provided in paragraph </w:t>
      </w:r>
      <w:r>
        <w:rPr>
          <w:rFonts w:ascii="Arial" w:cs="Arial" w:eastAsia="Arial" w:hAnsi="Arial"/>
          <w:sz w:val="15"/>
          <w:szCs w:val="15"/>
          <w:u w:val="single" w:color="auto"/>
          <w:color w:val="auto"/>
        </w:rPr>
        <w:t>(b)</w:t>
      </w:r>
      <w:r>
        <w:rPr>
          <w:rFonts w:ascii="Arial" w:cs="Arial" w:eastAsia="Arial" w:hAnsi="Arial"/>
          <w:sz w:val="15"/>
          <w:szCs w:val="15"/>
          <w:color w:val="auto"/>
        </w:rPr>
        <w:t xml:space="preserve">, </w:t>
      </w:r>
      <w:r>
        <w:rPr>
          <w:rFonts w:ascii="Arial" w:cs="Arial" w:eastAsia="Arial" w:hAnsi="Arial"/>
          <w:sz w:val="15"/>
          <w:szCs w:val="15"/>
          <w:u w:val="single" w:color="auto"/>
          <w:color w:val="auto"/>
        </w:rPr>
        <w:t>(c)</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(d)</w:t>
      </w:r>
      <w:r>
        <w:rPr>
          <w:rFonts w:ascii="Arial" w:cs="Arial" w:eastAsia="Arial" w:hAnsi="Arial"/>
          <w:sz w:val="15"/>
          <w:szCs w:val="15"/>
          <w:color w:val="auto"/>
        </w:rPr>
        <w:t xml:space="preserve"> of this Section, as applicable, (iii) in the case of any other amount (other than any amount denominated in Canadian Dollars), 2% plus the rate applicable to ABR Loans as provided in paragraph </w:t>
      </w:r>
      <w:r>
        <w:rPr>
          <w:rFonts w:ascii="Arial" w:cs="Arial" w:eastAsia="Arial" w:hAnsi="Arial"/>
          <w:sz w:val="15"/>
          <w:szCs w:val="15"/>
          <w:u w:val="single" w:color="auto"/>
          <w:color w:val="auto"/>
        </w:rPr>
        <w:t>(a)</w:t>
      </w:r>
      <w:r>
        <w:rPr>
          <w:rFonts w:ascii="Arial" w:cs="Arial" w:eastAsia="Arial" w:hAnsi="Arial"/>
          <w:sz w:val="15"/>
          <w:szCs w:val="15"/>
          <w:color w:val="auto"/>
        </w:rPr>
        <w:t xml:space="preserve"> of this Section, or (iv) in the case of any other amount denominated in Canadian Dollars, 2% plus the rate applicable to Canadian Prime Rate Loans as provided in paragraph </w:t>
      </w:r>
      <w:r>
        <w:rPr>
          <w:rFonts w:ascii="Arial" w:cs="Arial" w:eastAsia="Arial" w:hAnsi="Arial"/>
          <w:sz w:val="15"/>
          <w:szCs w:val="15"/>
          <w:u w:val="single" w:color="auto"/>
          <w:color w:val="auto"/>
        </w:rPr>
        <w:t>(a)</w:t>
      </w:r>
      <w:r>
        <w:rPr>
          <w:rFonts w:ascii="Arial" w:cs="Arial" w:eastAsia="Arial" w:hAnsi="Arial"/>
          <w:sz w:val="15"/>
          <w:szCs w:val="15"/>
          <w:color w:val="auto"/>
        </w:rPr>
        <w:t xml:space="preserve"> of this Section.</w:t>
      </w:r>
    </w:p>
    <w:p>
      <w:pPr>
        <w:spacing w:after="0" w:line="150" w:lineRule="exact"/>
        <w:rPr>
          <w:rFonts w:ascii="Arial" w:cs="Arial" w:eastAsia="Arial" w:hAnsi="Arial"/>
          <w:sz w:val="15"/>
          <w:szCs w:val="15"/>
          <w:color w:val="auto"/>
        </w:rPr>
      </w:pPr>
    </w:p>
    <w:p>
      <w:pPr>
        <w:jc w:val="both"/>
        <w:ind w:firstLine="537"/>
        <w:spacing w:after="0" w:line="246" w:lineRule="auto"/>
        <w:tabs>
          <w:tab w:leader="none" w:pos="1234"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Accrued interest on each Loan shall be payable in arrears on each Interest Payment Date for such Loan and upon termination of the Revolving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interest accrued pursuant to paragraph </w:t>
      </w:r>
      <w:r>
        <w:rPr>
          <w:rFonts w:ascii="Arial" w:cs="Arial" w:eastAsia="Arial" w:hAnsi="Arial"/>
          <w:sz w:val="18"/>
          <w:szCs w:val="18"/>
          <w:u w:val="single" w:color="auto"/>
          <w:color w:val="auto"/>
        </w:rPr>
        <w:t>(e)</w:t>
      </w:r>
      <w:r>
        <w:rPr>
          <w:rFonts w:ascii="Arial" w:cs="Arial" w:eastAsia="Arial" w:hAnsi="Arial"/>
          <w:sz w:val="18"/>
          <w:szCs w:val="18"/>
          <w:color w:val="auto"/>
        </w:rPr>
        <w:t xml:space="preserve"> of this Section shall be payable on demand, (ii) in the event of any repayment or prepayment of any Loan (other than a prepayment of a Canadian Prime Rate Revolving Loan or an ABR Revolving Loan prior to the end of the Availability Period), accrued interest on the principal amount repaid or prepaid shall be payable on the date of such repayment or prepayment and (iii) in the event of any conversion of any CDOR Loan, Eurocurrency Loan or EURIBOR Loan prior to the end of the current Interest Period therefor, accrued interest on such Loan shall be payable on the effective date of such conversion.</w:t>
      </w:r>
    </w:p>
    <w:p>
      <w:pPr>
        <w:spacing w:after="0" w:line="192" w:lineRule="exact"/>
        <w:rPr>
          <w:rFonts w:ascii="Arial" w:cs="Arial" w:eastAsia="Arial" w:hAnsi="Arial"/>
          <w:sz w:val="18"/>
          <w:szCs w:val="18"/>
          <w:color w:val="auto"/>
        </w:rPr>
      </w:pPr>
    </w:p>
    <w:p>
      <w:pPr>
        <w:jc w:val="both"/>
        <w:ind w:firstLine="537"/>
        <w:spacing w:after="0" w:line="314" w:lineRule="auto"/>
        <w:tabs>
          <w:tab w:leader="none" w:pos="1264" w:val="left"/>
        </w:tabs>
        <w:numPr>
          <w:ilvl w:val="0"/>
          <w:numId w:val="68"/>
        </w:numPr>
        <w:rPr>
          <w:rFonts w:ascii="Arial" w:cs="Arial" w:eastAsia="Arial" w:hAnsi="Arial"/>
          <w:sz w:val="15"/>
          <w:szCs w:val="15"/>
          <w:color w:val="auto"/>
        </w:rPr>
      </w:pPr>
      <w:r>
        <w:rPr>
          <w:rFonts w:ascii="Arial" w:cs="Arial" w:eastAsia="Arial" w:hAnsi="Arial"/>
          <w:sz w:val="15"/>
          <w:szCs w:val="15"/>
          <w:color w:val="auto"/>
        </w:rPr>
        <w:t>All interest hereunder shall be computed on the basis of a year of 360 days, except that (i) interest on Borrowings denominated in Sterling and Canadian Dollars and (ii) interest computed by reference to the Alternate Base Rate at times when the Alternate Base Rate is based on the Prime Rate, in each case, shall be computed on the basis of a year of 365 days (or, except in the case of Borrowings denominated in Sterling, 366 days in a leap year), and in each case shall be payable for the actual number of days elapsed (including the first day but excluding the last day). The applicable Alternate Base Rate,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11460"/>
          </w:cols>
          <w:pgMar w:left="220" w:top="508" w:right="219" w:bottom="1440" w:gutter="0" w:footer="0" w:header="0"/>
        </w:sectPr>
      </w:pPr>
    </w:p>
    <w:bookmarkStart w:id="106" w:name="page107"/>
    <w:bookmarkEnd w:id="106"/>
    <w:p>
      <w:pPr>
        <w:spacing w:after="0" w:line="261" w:lineRule="auto"/>
        <w:rPr>
          <w:sz w:val="20"/>
          <w:szCs w:val="20"/>
          <w:color w:val="auto"/>
        </w:rPr>
      </w:pPr>
      <w:r>
        <w:rPr>
          <w:rFonts w:ascii="Arial" w:cs="Arial" w:eastAsia="Arial" w:hAnsi="Arial"/>
          <w:sz w:val="18"/>
          <w:szCs w:val="18"/>
          <w:color w:val="auto"/>
        </w:rPr>
        <w:t>Adjusted LIBO Rate, Canadian Prime Rate, Canadian Dealer Offered Rate, Eurocurrency Rate, EURIBOR Rate or LIBO Rate shall be determined by the Administrative Agent, and such determination shall be conclusive absent manifest error.</w:t>
      </w:r>
    </w:p>
    <w:p>
      <w:pPr>
        <w:spacing w:after="0" w:line="178" w:lineRule="exact"/>
        <w:rPr>
          <w:sz w:val="20"/>
          <w:szCs w:val="20"/>
          <w:color w:val="auto"/>
        </w:rPr>
      </w:pPr>
    </w:p>
    <w:p>
      <w:pPr>
        <w:jc w:val="both"/>
        <w:ind w:firstLine="537"/>
        <w:spacing w:after="0" w:line="252" w:lineRule="auto"/>
        <w:tabs>
          <w:tab w:leader="none" w:pos="1264"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purposes of the Interest Act (Canada), where in this Agreement or any other Loan Document a rate of interest is to be calculated on the basis of a year of 360, 365 or 366 days, the yearly rate of interest to which the rate is equivalent is the rate multiplied by the number of days in the year for which the calculation is made and divided by 360, 365 or 366, as applicable.</w:t>
      </w:r>
    </w:p>
    <w:p>
      <w:pPr>
        <w:spacing w:after="0" w:line="185" w:lineRule="exact"/>
        <w:rPr>
          <w:rFonts w:ascii="Arial" w:cs="Arial" w:eastAsia="Arial" w:hAnsi="Arial"/>
          <w:sz w:val="18"/>
          <w:szCs w:val="18"/>
          <w:color w:val="auto"/>
        </w:rPr>
      </w:pPr>
    </w:p>
    <w:p>
      <w:pPr>
        <w:jc w:val="both"/>
        <w:ind w:firstLine="537"/>
        <w:spacing w:after="0" w:line="296" w:lineRule="auto"/>
        <w:tabs>
          <w:tab w:leader="none" w:pos="1224" w:val="left"/>
        </w:tabs>
        <w:numPr>
          <w:ilvl w:val="0"/>
          <w:numId w:val="69"/>
        </w:numPr>
        <w:rPr>
          <w:rFonts w:ascii="Arial" w:cs="Arial" w:eastAsia="Arial" w:hAnsi="Arial"/>
          <w:sz w:val="15"/>
          <w:szCs w:val="15"/>
          <w:color w:val="auto"/>
        </w:rPr>
      </w:pPr>
      <w:r>
        <w:rPr>
          <w:rFonts w:ascii="Arial" w:cs="Arial" w:eastAsia="Arial" w:hAnsi="Arial"/>
          <w:sz w:val="15"/>
          <w:szCs w:val="15"/>
          <w:color w:val="auto"/>
        </w:rPr>
        <w:t xml:space="preserve">If any provision of this Agreement or of any of the other Loan Documents would obligate any Credit Party to make any payment of interest or other amount payable to the Lenders in an amount or calculated at a rate which would be prohibited by law or would result in a receipt by the Lenders of interest at a criminal rate (as such terms are construed under the Criminal Code (Canada)) then, notwithstanding such provisions, such amount or rate shall be deemed to have been adjusted with retroactive effect to the maximum amount or rate of interest, as the case may be, as would not be so prohibited by law or so result in a receipt by the Lenders of interest at a criminal rate, such adjustment to be effected, to the extent necessary, as follows: (A) firstly, by reducing the amount or rate of interest required to be paid to the Lenders under this </w:t>
      </w:r>
      <w:r>
        <w:rPr>
          <w:rFonts w:ascii="Arial" w:cs="Arial" w:eastAsia="Arial" w:hAnsi="Arial"/>
          <w:sz w:val="15"/>
          <w:szCs w:val="15"/>
          <w:u w:val="single" w:color="auto"/>
          <w:color w:val="auto"/>
        </w:rPr>
        <w:t>Section 2.13</w:t>
      </w:r>
      <w:r>
        <w:rPr>
          <w:rFonts w:ascii="Arial" w:cs="Arial" w:eastAsia="Arial" w:hAnsi="Arial"/>
          <w:sz w:val="15"/>
          <w:szCs w:val="15"/>
          <w:color w:val="auto"/>
        </w:rPr>
        <w:t xml:space="preserve">, and (B) thereafter, by reducing any fees, commissions, premiums and other amounts required to be paid to the Lenders which would constitute “interest” for purposes of Section 347 of the Criminal Code (Canada). Notwithstanding the foregoing, and after giving effect to all adjustments contemplated thereby, if the Lenders shall have received an amount in excess of the maximum permitted by that section of the Criminal Code (Canada), the Credit Parties shall be entitled, by notice in writing to the Administrative Agent, to obtain reimbursement from the Lenders in an amount equal to such excess and, pending such reimbursement, such amount shall be deemed to be an amount payable by the Lenders to the Borrowers. Any amount or rate of interest referred to in this paragraph </w:t>
      </w:r>
      <w:r>
        <w:rPr>
          <w:rFonts w:ascii="Arial" w:cs="Arial" w:eastAsia="Arial" w:hAnsi="Arial"/>
          <w:sz w:val="15"/>
          <w:szCs w:val="15"/>
          <w:u w:val="single" w:color="auto"/>
          <w:color w:val="auto"/>
        </w:rPr>
        <w:t>(i)</w:t>
      </w:r>
      <w:r>
        <w:rPr>
          <w:rFonts w:ascii="Arial" w:cs="Arial" w:eastAsia="Arial" w:hAnsi="Arial"/>
          <w:sz w:val="15"/>
          <w:szCs w:val="15"/>
          <w:color w:val="auto"/>
        </w:rPr>
        <w:t xml:space="preserve"> shall be determined in accordance with generally accepted actuarial practices and principles as an effective annual rate of interest over the term that the applicable Loan remains outstanding on the assumption that any charges, fees or expenses that fall within the meaning of “interest” (as defined in the Criminal Code (Canada)) shall, if they relate to a specific period of time, be pro-rated over that period of time and otherwise be pro-rated over the period from the earliest possible date to the Termination Date and, in the event of a dispute, a certificate of a Fellow of the Canadian Institute of Actuaries appointed by the Administrative Agent shall be conclusive for the purposes of such determination.</w:t>
      </w:r>
    </w:p>
    <w:p>
      <w:pPr>
        <w:spacing w:after="0" w:line="37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Market Disruption; Alternate Rate of Interest</w:t>
      </w:r>
      <w:r>
        <w:rPr>
          <w:rFonts w:ascii="Arial" w:cs="Arial" w:eastAsia="Arial" w:hAnsi="Arial"/>
          <w:sz w:val="18"/>
          <w:szCs w:val="18"/>
          <w:color w:val="auto"/>
        </w:rPr>
        <w:t>.</w:t>
      </w:r>
    </w:p>
    <w:p>
      <w:pPr>
        <w:spacing w:after="0" w:line="212" w:lineRule="exact"/>
        <w:rPr>
          <w:sz w:val="20"/>
          <w:szCs w:val="20"/>
          <w:color w:val="auto"/>
        </w:rPr>
      </w:pPr>
    </w:p>
    <w:p>
      <w:pPr>
        <w:jc w:val="both"/>
        <w:ind w:firstLine="537"/>
        <w:spacing w:after="0" w:line="245" w:lineRule="auto"/>
        <w:tabs>
          <w:tab w:leader="none" w:pos="1254"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If, at the time the Administrative Agent shall seek to determine the relevant Screen Rate on the Quotation Day for any Interest Period, the applicable Screen Rate shall not be available for such Interest Period and/or for the applicable currency for any reason and the Administrative Agent shall determine that it is not possible to determine the Interpolated Rate (which conclusion shall be conclusive and binding absent manifest error), then the LIBO Rate, EURIBO Rate or CDOR Rate, as the case may be, for such Interest Period for the relevant Borrowing shall be the Reference Bank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Reference Bank Rate shall be less than zero, such rate shall be deemed to be zero for purposes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less than two Reference Banks shall supply a rate to the Administrative Agent for purposes of determining such rate for such Borrowing, (i) if such Borrowing shall be requested in U.S. Dollars, then such Borrowing shall be made as an ABR Borrowing, (ii) if such Borrowing shall be requested in Canadian Dollars, then such Borrowing shall be made as a Canadian Prime Rate Borrowing and (iii) if such Borrowing shall be requested in any other currency, the request for such Borrowing shall be ineffective.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ectPr>
          <w:pgSz w:w="11900" w:h="16838" w:orient="portrait"/>
          <w:cols w:equalWidth="0" w:num="1">
            <w:col w:w="11460"/>
          </w:cols>
          <w:pgMar w:left="220" w:top="508" w:right="219" w:bottom="1440" w:gutter="0" w:footer="0" w:header="0"/>
        </w:sectPr>
      </w:pPr>
    </w:p>
    <w:bookmarkStart w:id="107" w:name="page108"/>
    <w:bookmarkEnd w:id="107"/>
    <w:p>
      <w:pPr>
        <w:ind w:left="1280" w:hanging="743"/>
        <w:spacing w:after="0"/>
        <w:tabs>
          <w:tab w:leader="none" w:pos="12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If prior to the commencement of any Interest Period for a CDOR Borrowing, a Eurocurrency Borrowing or a EURIBOR Borrowing:</w:t>
      </w:r>
    </w:p>
    <w:p>
      <w:pPr>
        <w:spacing w:after="0" w:line="223" w:lineRule="exact"/>
        <w:rPr>
          <w:rFonts w:ascii="Arial" w:cs="Arial" w:eastAsia="Arial" w:hAnsi="Arial"/>
          <w:sz w:val="17"/>
          <w:szCs w:val="17"/>
          <w:color w:val="auto"/>
        </w:rPr>
      </w:pPr>
    </w:p>
    <w:p>
      <w:pPr>
        <w:jc w:val="both"/>
        <w:ind w:left="540" w:firstLine="526"/>
        <w:spacing w:after="0" w:line="252" w:lineRule="auto"/>
        <w:tabs>
          <w:tab w:leader="none" w:pos="1764"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the Administrative Agent determines (which determination shall be conclusive absent manifest error) that adequate and reasonable means do not exist for ascertaining the Adjusted LIBO Rate, the LIBO Rate, the Canadian Dealer Offered Rate or the EURIBO Rate, as applicable, for such Interest Period (including, for the avoidance of doubt, pursuant to </w:t>
      </w:r>
      <w:r>
        <w:rPr>
          <w:rFonts w:ascii="Arial" w:cs="Arial" w:eastAsia="Arial" w:hAnsi="Arial"/>
          <w:sz w:val="18"/>
          <w:szCs w:val="18"/>
          <w:u w:val="single" w:color="auto"/>
          <w:color w:val="auto"/>
        </w:rPr>
        <w:t>Section 2.14(a)</w:t>
      </w:r>
      <w:r>
        <w:rPr>
          <w:rFonts w:ascii="Arial" w:cs="Arial" w:eastAsia="Arial" w:hAnsi="Arial"/>
          <w:sz w:val="18"/>
          <w:szCs w:val="18"/>
          <w:color w:val="auto"/>
        </w:rPr>
        <w:t>); or</w:t>
      </w:r>
    </w:p>
    <w:p>
      <w:pPr>
        <w:spacing w:after="0" w:line="185" w:lineRule="exact"/>
        <w:rPr>
          <w:rFonts w:ascii="Arial" w:cs="Arial" w:eastAsia="Arial" w:hAnsi="Arial"/>
          <w:sz w:val="18"/>
          <w:szCs w:val="18"/>
          <w:color w:val="auto"/>
        </w:rPr>
      </w:pPr>
    </w:p>
    <w:p>
      <w:pPr>
        <w:jc w:val="both"/>
        <w:ind w:left="540" w:firstLine="526"/>
        <w:spacing w:after="0" w:line="252" w:lineRule="auto"/>
        <w:tabs>
          <w:tab w:leader="none" w:pos="1814"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Administrative Agent is advised by the Required Lenders that the Adjusted LIBO Rate, the LIBO Rate, the Canadian Dealer Offered Rate or the EURIBO Rate, as applicable, for such Interest Period will not adequately and fairly reflect the cost to such Required Lenders of making or maintaining their Loans included in such Borrowing for such Interest Period;</w:t>
      </w:r>
    </w:p>
    <w:p>
      <w:pPr>
        <w:spacing w:after="0" w:line="18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then the Administrative Agent shall give notice thereof to the Company and the Lenders by telephone or telecopy as promptly as practicable thereafter and, until the Administrative Agent notifies the Company and the Lenders that the circumstances giving rise to such notice no longer exist, (A) no outstanding Borrowing of U.S. Dollars or Canadian Dollars shall be converted to or continued as a Eurocurrency Borrowing or CDOR Borrowing, as applicable, and any Interest Election Request requesting such conversion or continuation shall be ineffective, (B) no outstanding Eurocurrency Borrowing in any Foreign Currency or EURIBOR Borrowing shall be continued and any Interest Election Request requesting such continuation shall be ineffective, (C) if any Borrowing Request requests a Eurocurrency Borrowing in U.S. Dollars, such Borrowing shall be made as an ABR Borrowing, (D) if any Borrowing Request requests a CDOR Borrowing, such Borrowing shall be made as a Canadian Prime Rate Borrowing and (E) if any Borrowing Request requests a Eurocurrency Borrowing in a Foreign Currency or a EURIBOR Borrowing, such request shall be ineffective;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circumstances giving rise to such notice affect less than all Types of Borrowings, then the other Types of Borrowings shall be permitted.</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Increased Costs</w:t>
      </w:r>
      <w:r>
        <w:rPr>
          <w:rFonts w:ascii="Arial" w:cs="Arial" w:eastAsia="Arial" w:hAnsi="Arial"/>
          <w:sz w:val="18"/>
          <w:szCs w:val="18"/>
          <w:color w:val="auto"/>
        </w:rPr>
        <w:t>.</w:t>
      </w:r>
    </w:p>
    <w:p>
      <w:pPr>
        <w:spacing w:after="0" w:line="212" w:lineRule="exact"/>
        <w:rPr>
          <w:sz w:val="20"/>
          <w:szCs w:val="20"/>
          <w:color w:val="auto"/>
        </w:rPr>
      </w:pPr>
    </w:p>
    <w:p>
      <w:pPr>
        <w:ind w:left="1260" w:hanging="723"/>
        <w:spacing w:after="0"/>
        <w:tabs>
          <w:tab w:leader="none" w:pos="1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211" w:lineRule="exact"/>
        <w:rPr>
          <w:rFonts w:ascii="Arial" w:cs="Arial" w:eastAsia="Arial" w:hAnsi="Arial"/>
          <w:sz w:val="18"/>
          <w:szCs w:val="18"/>
          <w:color w:val="auto"/>
        </w:rPr>
      </w:pPr>
    </w:p>
    <w:p>
      <w:pPr>
        <w:jc w:val="both"/>
        <w:ind w:left="540" w:firstLine="526"/>
        <w:spacing w:after="0" w:line="252" w:lineRule="auto"/>
        <w:tabs>
          <w:tab w:leader="none" w:pos="1764" w:val="left"/>
        </w:tabs>
        <w:numPr>
          <w:ilvl w:val="1"/>
          <w:numId w:val="72"/>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by, any Lender (except any such reserve requirement reflected in the Adjusted LIBO Rate) or the Issuing Bank;</w:t>
      </w:r>
    </w:p>
    <w:p>
      <w:pPr>
        <w:spacing w:after="0" w:line="185" w:lineRule="exact"/>
        <w:rPr>
          <w:rFonts w:ascii="Arial" w:cs="Arial" w:eastAsia="Arial" w:hAnsi="Arial"/>
          <w:sz w:val="18"/>
          <w:szCs w:val="18"/>
          <w:color w:val="auto"/>
        </w:rPr>
      </w:pPr>
    </w:p>
    <w:p>
      <w:pPr>
        <w:ind w:left="540" w:firstLine="526"/>
        <w:spacing w:after="0" w:line="261" w:lineRule="auto"/>
        <w:tabs>
          <w:tab w:leader="none" w:pos="1814" w:val="left"/>
        </w:tabs>
        <w:numPr>
          <w:ilvl w:val="1"/>
          <w:numId w:val="72"/>
        </w:numPr>
        <w:rPr>
          <w:rFonts w:ascii="Arial" w:cs="Arial" w:eastAsia="Arial" w:hAnsi="Arial"/>
          <w:sz w:val="18"/>
          <w:szCs w:val="18"/>
          <w:color w:val="auto"/>
        </w:rPr>
      </w:pPr>
      <w:r>
        <w:rPr>
          <w:rFonts w:ascii="Arial" w:cs="Arial" w:eastAsia="Arial" w:hAnsi="Arial"/>
          <w:sz w:val="18"/>
          <w:szCs w:val="18"/>
          <w:color w:val="auto"/>
        </w:rPr>
        <w:t>impose on any Lender or the Issuing Bank or the London interbank market any other condition, cost or expense (other than Taxes) affecting this Agreement or Loans made by such Lender or any Letter of Credit or participation therein; or</w:t>
      </w:r>
    </w:p>
    <w:p>
      <w:pPr>
        <w:spacing w:after="0" w:line="178" w:lineRule="exact"/>
        <w:rPr>
          <w:rFonts w:ascii="Arial" w:cs="Arial" w:eastAsia="Arial" w:hAnsi="Arial"/>
          <w:sz w:val="18"/>
          <w:szCs w:val="18"/>
          <w:color w:val="auto"/>
        </w:rPr>
      </w:pPr>
    </w:p>
    <w:p>
      <w:pPr>
        <w:jc w:val="both"/>
        <w:ind w:left="540" w:firstLine="526"/>
        <w:spacing w:after="0" w:line="252" w:lineRule="auto"/>
        <w:tabs>
          <w:tab w:leader="none" w:pos="1862" w:val="left"/>
        </w:tabs>
        <w:numPr>
          <w:ilvl w:val="1"/>
          <w:numId w:val="72"/>
        </w:numPr>
        <w:rPr>
          <w:rFonts w:ascii="Arial" w:cs="Arial" w:eastAsia="Arial" w:hAnsi="Arial"/>
          <w:sz w:val="18"/>
          <w:szCs w:val="18"/>
          <w:color w:val="auto"/>
        </w:rPr>
      </w:pPr>
      <w:r>
        <w:rPr>
          <w:rFonts w:ascii="Arial" w:cs="Arial" w:eastAsia="Arial" w:hAnsi="Arial"/>
          <w:sz w:val="18"/>
          <w:szCs w:val="18"/>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spacing w:after="0" w:line="18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and the result of any of the foregoing shall be to increase the cost to such Lender or such other Recipient of making, converting to, continuing or maintaining any Loan (or of maintaining its obligation to make any such Loan) or to increase the cost to such Lender, the Issuing Bank or such other Recipient of participating in, issuing or maintaining any Letter of Credit (or of maintaining its obligation to participate in or to issue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ectPr>
          <w:pgSz w:w="11900" w:h="16838" w:orient="portrait"/>
          <w:cols w:equalWidth="0" w:num="1">
            <w:col w:w="11460"/>
          </w:cols>
          <w:pgMar w:left="220" w:top="508" w:right="219" w:bottom="1440" w:gutter="0" w:footer="0" w:header="0"/>
        </w:sectPr>
      </w:pPr>
    </w:p>
    <w:bookmarkStart w:id="108" w:name="page109"/>
    <w:bookmarkEnd w:id="108"/>
    <w:p>
      <w:pPr>
        <w:jc w:val="both"/>
        <w:spacing w:after="0" w:line="326" w:lineRule="auto"/>
        <w:rPr>
          <w:sz w:val="20"/>
          <w:szCs w:val="20"/>
          <w:color w:val="auto"/>
        </w:rPr>
      </w:pPr>
      <w:r>
        <w:rPr>
          <w:rFonts w:ascii="Arial" w:cs="Arial" w:eastAsia="Arial" w:hAnsi="Arial"/>
          <w:sz w:val="15"/>
          <w:szCs w:val="15"/>
          <w:color w:val="auto"/>
        </w:rPr>
        <w:t>any Letter of Credit) or to reduce the amount of any sum received or receivable by such Lender, the Issuing Bank or such other Recipient hereunder (whether of principal, interest or otherwise), then the Borrowers will pay to such Lender, the Issuing Bank or such other Recipient, as the case may be, such additional amount or amounts as will compensate such Lender, the Issuing Bank or such other Recipient, as the case may be, for such additional costs incurred or reduction suffered.</w:t>
      </w:r>
    </w:p>
    <w:p>
      <w:pPr>
        <w:spacing w:after="0" w:line="102" w:lineRule="exact"/>
        <w:rPr>
          <w:sz w:val="20"/>
          <w:szCs w:val="20"/>
          <w:color w:val="auto"/>
        </w:rPr>
      </w:pPr>
    </w:p>
    <w:p>
      <w:pPr>
        <w:jc w:val="both"/>
        <w:ind w:firstLine="537"/>
        <w:spacing w:after="0" w:line="245" w:lineRule="auto"/>
        <w:tabs>
          <w:tab w:leader="none" w:pos="1264"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or the Loans made by, or participations in Letters of Credit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and liquidity), then from time to time the Borrowers will pay to such Lender or the Issuing Bank, as the case may be, such additional amount or amounts as will compensate such Lender or the Issuing Bank or such Lender’s or the Issuing Bank’s holding company for any such reduction suffered.</w:t>
      </w:r>
    </w:p>
    <w:p>
      <w:pPr>
        <w:spacing w:after="0" w:line="194" w:lineRule="exact"/>
        <w:rPr>
          <w:rFonts w:ascii="Arial" w:cs="Arial" w:eastAsia="Arial" w:hAnsi="Arial"/>
          <w:sz w:val="18"/>
          <w:szCs w:val="18"/>
          <w:color w:val="auto"/>
        </w:rPr>
      </w:pPr>
    </w:p>
    <w:p>
      <w:pPr>
        <w:jc w:val="both"/>
        <w:ind w:firstLine="537"/>
        <w:spacing w:after="0" w:line="249" w:lineRule="auto"/>
        <w:tabs>
          <w:tab w:leader="none" w:pos="1254"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A certificate of a Lender or the Issuing Bank setting forth the amount or amounts necessary to compensate such Lender or the Issuing Bank or its holding company, as the case may be, as specified in paragraph </w:t>
      </w:r>
      <w:r>
        <w:rPr>
          <w:rFonts w:ascii="Arial" w:cs="Arial" w:eastAsia="Arial" w:hAnsi="Arial"/>
          <w:sz w:val="18"/>
          <w:szCs w:val="18"/>
          <w:u w:val="single" w:color="auto"/>
          <w:color w:val="auto"/>
        </w:rPr>
        <w:t>(a)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 shall be delivered to the Company and shall be conclusive absent manifest error. The Borrowers shall pay such Lender or the Issuing Bank, as the case may be, the amount shown as due on any such certificate within 10 days after receipt thereof.</w:t>
      </w:r>
    </w:p>
    <w:p>
      <w:pPr>
        <w:spacing w:after="0" w:line="188" w:lineRule="exact"/>
        <w:rPr>
          <w:rFonts w:ascii="Arial" w:cs="Arial" w:eastAsia="Arial" w:hAnsi="Arial"/>
          <w:sz w:val="18"/>
          <w:szCs w:val="18"/>
          <w:color w:val="auto"/>
        </w:rPr>
      </w:pPr>
    </w:p>
    <w:p>
      <w:pPr>
        <w:jc w:val="both"/>
        <w:ind w:firstLine="537"/>
        <w:spacing w:after="0" w:line="263" w:lineRule="auto"/>
        <w:tabs>
          <w:tab w:leader="none" w:pos="1264"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Failure or delay on the part of any Lender or the Issuing Bank to demand compensation pursuant to this Section shall not constitute a waiver of such Lender’s or the Issuing Bank’s right to demand such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Borrowers shall not be required to compensate a Lender or the Issuing Bank pursuant to this Section for any increased costs or reductions incurred more than 270 days prior to the date that such Lender or the Issuing Bank, as the case may be, notifies the Company of the Change in Law giving rise to such increased costs or reductions and of such Lender’s or the Issuing Bank’s intention to claim compensation therefor;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the Change in Law giving rise to such increased costs or reductions is retroactive, then the 270-day period referred to above shall be extended to include the period of retroactive effect thereof.</w:t>
      </w:r>
    </w:p>
    <w:p>
      <w:pPr>
        <w:spacing w:after="0" w:line="181" w:lineRule="exact"/>
        <w:rPr>
          <w:sz w:val="20"/>
          <w:szCs w:val="20"/>
          <w:color w:val="auto"/>
        </w:rPr>
      </w:pPr>
    </w:p>
    <w:p>
      <w:pPr>
        <w:jc w:val="both"/>
        <w:ind w:firstLine="529"/>
        <w:spacing w:after="0" w:line="260" w:lineRule="auto"/>
        <w:rPr>
          <w:sz w:val="20"/>
          <w:szCs w:val="20"/>
          <w:color w:val="auto"/>
        </w:rPr>
      </w:pPr>
      <w:r>
        <w:rPr>
          <w:rFonts w:ascii="Arial" w:cs="Arial" w:eastAsia="Arial" w:hAnsi="Arial"/>
          <w:sz w:val="17"/>
          <w:szCs w:val="17"/>
          <w:color w:val="auto"/>
        </w:rPr>
        <w:t xml:space="preserve">SECTION 2.16 </w:t>
      </w:r>
      <w:r>
        <w:rPr>
          <w:rFonts w:ascii="Arial" w:cs="Arial" w:eastAsia="Arial" w:hAnsi="Arial"/>
          <w:sz w:val="17"/>
          <w:szCs w:val="17"/>
          <w:u w:val="single" w:color="auto"/>
          <w:color w:val="auto"/>
        </w:rPr>
        <w:t>Break Funding Payments</w:t>
      </w:r>
      <w:r>
        <w:rPr>
          <w:rFonts w:ascii="Arial" w:cs="Arial" w:eastAsia="Arial" w:hAnsi="Arial"/>
          <w:sz w:val="17"/>
          <w:szCs w:val="17"/>
          <w:color w:val="auto"/>
        </w:rPr>
        <w:t xml:space="preserve">. In the event of (a) the payment of any principal of any Eurocurrency Loan, CDOR Loan or EURIBOR Loan other than on the last day of an Interest Period applicable thereto (including as a result of an Event of Default or as a result of any prepayment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2.11</w:t>
      </w:r>
      <w:r>
        <w:rPr>
          <w:rFonts w:ascii="Arial" w:cs="Arial" w:eastAsia="Arial" w:hAnsi="Arial"/>
          <w:sz w:val="17"/>
          <w:szCs w:val="17"/>
          <w:color w:val="auto"/>
        </w:rPr>
        <w:t xml:space="preserve">), (b) the conversion of any Eurocurrency Loan denominated in U.S. Dollars or CDOR Loan other than on the last day of the Interest Period applicable thereto, (c) the failure to borrow, convert, continue or prepay any Eurocurrency Loan, CDOR Loan or EURIBOR Loan on the date specified in any notice delivered pursuant hereto (regardless of whether such notice may be revoked under </w:t>
      </w:r>
      <w:r>
        <w:rPr>
          <w:rFonts w:ascii="Arial" w:cs="Arial" w:eastAsia="Arial" w:hAnsi="Arial"/>
          <w:sz w:val="17"/>
          <w:szCs w:val="17"/>
          <w:u w:val="single" w:color="auto"/>
          <w:color w:val="auto"/>
        </w:rPr>
        <w:t>Section 2.11(a)</w:t>
      </w:r>
      <w:r>
        <w:rPr>
          <w:rFonts w:ascii="Arial" w:cs="Arial" w:eastAsia="Arial" w:hAnsi="Arial"/>
          <w:sz w:val="17"/>
          <w:szCs w:val="17"/>
          <w:color w:val="auto"/>
        </w:rPr>
        <w:t xml:space="preserve"> and is revoked in accordance therewith), or (d) the assignment of any Eurocurrency Loan, CDOR Loan or EURIBOR Loan other than on the last day of the Interest Period applicable thereto as a result of a request by the Company pursuant to </w:t>
      </w:r>
      <w:r>
        <w:rPr>
          <w:rFonts w:ascii="Arial" w:cs="Arial" w:eastAsia="Arial" w:hAnsi="Arial"/>
          <w:sz w:val="17"/>
          <w:szCs w:val="17"/>
          <w:u w:val="single" w:color="auto"/>
          <w:color w:val="auto"/>
        </w:rPr>
        <w:t>Section 2.19</w:t>
      </w:r>
      <w:r>
        <w:rPr>
          <w:rFonts w:ascii="Arial" w:cs="Arial" w:eastAsia="Arial" w:hAnsi="Arial"/>
          <w:sz w:val="17"/>
          <w:szCs w:val="17"/>
          <w:color w:val="auto"/>
        </w:rPr>
        <w:t>, then, in any such event, the Borrowers shall compensate each Lender for the loss, cost and expense attributable to such event. Such loss, cost or expense to any Lender shall be deemed to include an amount determined by such Lender to be the excess, if any, of (i) the amount of interest which would have accrued on the principal amount of such Loan had such event not occurred, at the Adjusted LIBO Rate, the Canadian Dealer Offered Rate or the EURIBOR Rate, as applicable, plus the Applicable Margin that would have been applicable to such Loan, for the period from the date of such event to the last day of</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ectPr>
          <w:pgSz w:w="11900" w:h="16838" w:orient="portrait"/>
          <w:cols w:equalWidth="0" w:num="1">
            <w:col w:w="11460"/>
          </w:cols>
          <w:pgMar w:left="220" w:top="508" w:right="219" w:bottom="1440" w:gutter="0" w:footer="0" w:header="0"/>
        </w:sectPr>
      </w:pPr>
    </w:p>
    <w:bookmarkStart w:id="109" w:name="page110"/>
    <w:bookmarkEnd w:id="109"/>
    <w:p>
      <w:pPr>
        <w:jc w:val="both"/>
        <w:spacing w:after="0" w:line="294" w:lineRule="auto"/>
        <w:rPr>
          <w:sz w:val="20"/>
          <w:szCs w:val="20"/>
          <w:color w:val="auto"/>
        </w:rPr>
      </w:pPr>
      <w:r>
        <w:rPr>
          <w:rFonts w:ascii="Arial" w:cs="Arial" w:eastAsia="Arial" w:hAnsi="Arial"/>
          <w:sz w:val="15"/>
          <w:szCs w:val="15"/>
          <w:color w:val="auto"/>
        </w:rPr>
        <w:t>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the applicable currency of a comparable amount and period from other banks in the London or European interbank market, or for Canadian Dollar deposits of a comparable amount and period to such CDOR Loan from other banks in the Canadian bankers’ acceptance market. A certificate of any Lender setting forth any amount or amounts that such Lender is entitled to receive pursuant to this Section shall be delivered to the Borrowers and shall be conclusive absent manifest error. The Borrowers shall pay such Lender the amount shown as due on any such certificate within ten</w:t>
      </w:r>
    </w:p>
    <w:p>
      <w:pPr>
        <w:spacing w:after="0" w:line="2" w:lineRule="exact"/>
        <w:rPr>
          <w:sz w:val="20"/>
          <w:szCs w:val="20"/>
          <w:color w:val="auto"/>
        </w:rPr>
      </w:pPr>
    </w:p>
    <w:p>
      <w:pPr>
        <w:jc w:val="right"/>
        <w:ind w:left="540" w:right="9320" w:hanging="532"/>
        <w:spacing w:after="0" w:line="573" w:lineRule="auto"/>
        <w:tabs>
          <w:tab w:leader="none" w:pos="349" w:val="left"/>
        </w:tabs>
        <w:numPr>
          <w:ilvl w:val="0"/>
          <w:numId w:val="74"/>
        </w:numPr>
        <w:rPr>
          <w:rFonts w:ascii="Arial" w:cs="Arial" w:eastAsia="Arial" w:hAnsi="Arial"/>
          <w:sz w:val="15"/>
          <w:szCs w:val="15"/>
          <w:color w:val="auto"/>
        </w:rPr>
      </w:pPr>
      <w:r>
        <w:rPr>
          <w:rFonts w:ascii="Arial" w:cs="Arial" w:eastAsia="Arial" w:hAnsi="Arial"/>
          <w:sz w:val="15"/>
          <w:szCs w:val="15"/>
          <w:color w:val="auto"/>
        </w:rPr>
        <w:t xml:space="preserve">days after receipt thereof. SECTION 2.17 </w:t>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jc w:val="both"/>
        <w:ind w:firstLine="537"/>
        <w:spacing w:after="0" w:line="245" w:lineRule="auto"/>
        <w:tabs>
          <w:tab w:leader="none" w:pos="1254"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Payments Free of Taxes</w:t>
      </w:r>
      <w:r>
        <w:rPr>
          <w:rFonts w:ascii="Arial" w:cs="Arial" w:eastAsia="Arial" w:hAnsi="Arial"/>
          <w:sz w:val="18"/>
          <w:szCs w:val="18"/>
          <w:color w:val="auto"/>
        </w:rPr>
        <w:t xml:space="preserve">. Any and all payments by or on account of any obligation of Credit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Credit Party shall be increased as necessary so that after such deduction or withholding has been made (including such deductions and withholdings applicable to additional sums payable under this </w:t>
      </w:r>
      <w:r>
        <w:rPr>
          <w:rFonts w:ascii="Arial" w:cs="Arial" w:eastAsia="Arial" w:hAnsi="Arial"/>
          <w:sz w:val="18"/>
          <w:szCs w:val="18"/>
          <w:u w:val="single" w:color="auto"/>
          <w:color w:val="auto"/>
        </w:rPr>
        <w:t>Section 2.17</w:t>
      </w:r>
      <w:r>
        <w:rPr>
          <w:rFonts w:ascii="Arial" w:cs="Arial" w:eastAsia="Arial" w:hAnsi="Arial"/>
          <w:sz w:val="18"/>
          <w:szCs w:val="18"/>
          <w:color w:val="auto"/>
        </w:rPr>
        <w:t>) the applicable Recipient receives an amount equal to the sum it would have received had no such deduction or withholding been made.</w:t>
      </w:r>
    </w:p>
    <w:p>
      <w:pPr>
        <w:spacing w:after="0" w:line="194" w:lineRule="exact"/>
        <w:rPr>
          <w:rFonts w:ascii="Arial" w:cs="Arial" w:eastAsia="Arial" w:hAnsi="Arial"/>
          <w:sz w:val="18"/>
          <w:szCs w:val="18"/>
          <w:color w:val="auto"/>
        </w:rPr>
      </w:pPr>
    </w:p>
    <w:p>
      <w:pPr>
        <w:ind w:firstLine="537"/>
        <w:spacing w:after="0" w:line="261" w:lineRule="auto"/>
        <w:tabs>
          <w:tab w:leader="none" w:pos="1264"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Borrowers</w:t>
      </w:r>
      <w:r>
        <w:rPr>
          <w:rFonts w:ascii="Arial" w:cs="Arial" w:eastAsia="Arial" w:hAnsi="Arial"/>
          <w:sz w:val="18"/>
          <w:szCs w:val="18"/>
          <w:color w:val="auto"/>
        </w:rPr>
        <w:t>. The Credit Parties shall timely pay to the relevant Governmental Authority in accordance with applicable law, or at the option of the Administrative Agent timely reimburse it for, Other Taxes.</w:t>
      </w:r>
    </w:p>
    <w:p>
      <w:pPr>
        <w:spacing w:after="0" w:line="178" w:lineRule="exact"/>
        <w:rPr>
          <w:rFonts w:ascii="Arial" w:cs="Arial" w:eastAsia="Arial" w:hAnsi="Arial"/>
          <w:sz w:val="18"/>
          <w:szCs w:val="18"/>
          <w:color w:val="auto"/>
        </w:rPr>
      </w:pPr>
    </w:p>
    <w:p>
      <w:pPr>
        <w:jc w:val="both"/>
        <w:ind w:firstLine="537"/>
        <w:spacing w:after="0" w:line="326" w:lineRule="auto"/>
        <w:tabs>
          <w:tab w:leader="none" w:pos="1254" w:val="left"/>
        </w:tabs>
        <w:numPr>
          <w:ilvl w:val="1"/>
          <w:numId w:val="74"/>
        </w:numPr>
        <w:rPr>
          <w:rFonts w:ascii="Arial" w:cs="Arial" w:eastAsia="Arial" w:hAnsi="Arial"/>
          <w:sz w:val="15"/>
          <w:szCs w:val="15"/>
          <w:color w:val="auto"/>
        </w:rPr>
      </w:pPr>
      <w:r>
        <w:rPr>
          <w:rFonts w:ascii="Arial" w:cs="Arial" w:eastAsia="Arial" w:hAnsi="Arial"/>
          <w:sz w:val="15"/>
          <w:szCs w:val="15"/>
          <w:u w:val="single" w:color="auto"/>
          <w:color w:val="auto"/>
        </w:rPr>
        <w:t>Evidence of Payments</w:t>
      </w:r>
      <w:r>
        <w:rPr>
          <w:rFonts w:ascii="Arial" w:cs="Arial" w:eastAsia="Arial" w:hAnsi="Arial"/>
          <w:sz w:val="15"/>
          <w:szCs w:val="15"/>
          <w:color w:val="auto"/>
        </w:rPr>
        <w:t xml:space="preserve">. As soon as practicable after any payment of Taxes by any Credit Party to a Governmental Authority pursuant to this </w:t>
      </w:r>
      <w:r>
        <w:rPr>
          <w:rFonts w:ascii="Arial" w:cs="Arial" w:eastAsia="Arial" w:hAnsi="Arial"/>
          <w:sz w:val="15"/>
          <w:szCs w:val="15"/>
          <w:u w:val="single" w:color="auto"/>
          <w:color w:val="auto"/>
        </w:rPr>
        <w:t>Section 2.17</w:t>
      </w:r>
      <w:r>
        <w:rPr>
          <w:rFonts w:ascii="Arial" w:cs="Arial" w:eastAsia="Arial" w:hAnsi="Arial"/>
          <w:sz w:val="15"/>
          <w:szCs w:val="15"/>
          <w:color w:val="auto"/>
        </w:rPr>
        <w:t>, such Credit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34" w:lineRule="exact"/>
        <w:rPr>
          <w:rFonts w:ascii="Arial" w:cs="Arial" w:eastAsia="Arial" w:hAnsi="Arial"/>
          <w:sz w:val="15"/>
          <w:szCs w:val="15"/>
          <w:color w:val="auto"/>
        </w:rPr>
      </w:pPr>
    </w:p>
    <w:p>
      <w:pPr>
        <w:jc w:val="both"/>
        <w:ind w:firstLine="537"/>
        <w:spacing w:after="0" w:line="263" w:lineRule="auto"/>
        <w:tabs>
          <w:tab w:leader="none" w:pos="1264" w:val="left"/>
        </w:tabs>
        <w:numPr>
          <w:ilvl w:val="1"/>
          <w:numId w:val="74"/>
        </w:numPr>
        <w:rPr>
          <w:rFonts w:ascii="Arial" w:cs="Arial" w:eastAsia="Arial" w:hAnsi="Arial"/>
          <w:sz w:val="17"/>
          <w:szCs w:val="17"/>
          <w:color w:val="auto"/>
        </w:rPr>
      </w:pPr>
      <w:r>
        <w:rPr>
          <w:rFonts w:ascii="Arial" w:cs="Arial" w:eastAsia="Arial" w:hAnsi="Arial"/>
          <w:sz w:val="17"/>
          <w:szCs w:val="17"/>
          <w:u w:val="single" w:color="auto"/>
          <w:color w:val="auto"/>
        </w:rPr>
        <w:t>Indemnification by the Borrowers</w:t>
      </w:r>
      <w:r>
        <w:rPr>
          <w:rFonts w:ascii="Arial" w:cs="Arial" w:eastAsia="Arial" w:hAnsi="Arial"/>
          <w:sz w:val="17"/>
          <w:szCs w:val="17"/>
          <w:color w:val="auto"/>
        </w:rPr>
        <w:t>. The Borrowers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Company by a Lender (with a copy to the Administrative Agent), or by the Administrative Agent on its own behalf or on behalf of a Lender, shall be conclusive absent manifest error.</w:t>
      </w:r>
    </w:p>
    <w:p>
      <w:pPr>
        <w:spacing w:after="0" w:line="180" w:lineRule="exact"/>
        <w:rPr>
          <w:rFonts w:ascii="Arial" w:cs="Arial" w:eastAsia="Arial" w:hAnsi="Arial"/>
          <w:sz w:val="17"/>
          <w:szCs w:val="17"/>
          <w:color w:val="auto"/>
        </w:rPr>
      </w:pPr>
    </w:p>
    <w:p>
      <w:pPr>
        <w:jc w:val="both"/>
        <w:ind w:firstLine="537"/>
        <w:spacing w:after="0" w:line="252" w:lineRule="auto"/>
        <w:tabs>
          <w:tab w:leader="none" w:pos="1254"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Indemnification by the Lenders</w:t>
      </w:r>
      <w:r>
        <w:rPr>
          <w:rFonts w:ascii="Arial" w:cs="Arial" w:eastAsia="Arial" w:hAnsi="Arial"/>
          <w:sz w:val="18"/>
          <w:szCs w:val="18"/>
          <w:color w:val="auto"/>
        </w:rPr>
        <w:t>. Each Lender shall severally indemnify the Administrative Agent, within 10 days after demand therefor, for (i) any Indemnified Taxes attributable to such Lender (but only to the extent that the Borrowers have not already indemnified the Administrative Agent for such Indemnified Taxes and without limiting the obligation of the Borrowers to do so), (ii) any Taxes attributable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ectPr>
          <w:pgSz w:w="11900" w:h="16838" w:orient="portrait"/>
          <w:cols w:equalWidth="0" w:num="1">
            <w:col w:w="11460"/>
          </w:cols>
          <w:pgMar w:left="220" w:top="508" w:right="219" w:bottom="1440" w:gutter="0" w:footer="0" w:header="0"/>
        </w:sectPr>
      </w:pPr>
    </w:p>
    <w:bookmarkStart w:id="110" w:name="page111"/>
    <w:bookmarkEnd w:id="110"/>
    <w:p>
      <w:pPr>
        <w:jc w:val="both"/>
        <w:spacing w:after="0" w:line="245" w:lineRule="auto"/>
        <w:rPr>
          <w:sz w:val="20"/>
          <w:szCs w:val="20"/>
          <w:color w:val="auto"/>
        </w:rPr>
      </w:pPr>
      <w:r>
        <w:rPr>
          <w:rFonts w:ascii="Arial" w:cs="Arial" w:eastAsia="Arial" w:hAnsi="Arial"/>
          <w:sz w:val="18"/>
          <w:szCs w:val="18"/>
          <w:color w:val="auto"/>
        </w:rPr>
        <w:t xml:space="preserve">to such Lender’s failure to comply with the provisions of </w:t>
      </w:r>
      <w:r>
        <w:rPr>
          <w:rFonts w:ascii="Arial" w:cs="Arial" w:eastAsia="Arial" w:hAnsi="Arial"/>
          <w:sz w:val="18"/>
          <w:szCs w:val="18"/>
          <w:u w:val="single" w:color="auto"/>
          <w:color w:val="auto"/>
        </w:rPr>
        <w:t>Section 9.04(c)</w:t>
      </w:r>
      <w:r>
        <w:rPr>
          <w:rFonts w:ascii="Arial" w:cs="Arial" w:eastAsia="Arial" w:hAnsi="Arial"/>
          <w:sz w:val="18"/>
          <w:szCs w:val="18"/>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w:t>
      </w:r>
      <w:r>
        <w:rPr>
          <w:rFonts w:ascii="Arial" w:cs="Arial" w:eastAsia="Arial" w:hAnsi="Arial"/>
          <w:sz w:val="18"/>
          <w:szCs w:val="18"/>
          <w:u w:val="single" w:color="auto"/>
          <w:color w:val="auto"/>
        </w:rPr>
        <w:t>(e)</w:t>
      </w:r>
      <w:r>
        <w:rPr>
          <w:rFonts w:ascii="Arial" w:cs="Arial" w:eastAsia="Arial" w:hAnsi="Arial"/>
          <w:sz w:val="18"/>
          <w:szCs w:val="18"/>
          <w:color w:val="auto"/>
        </w:rPr>
        <w:t>.</w:t>
      </w:r>
    </w:p>
    <w:p>
      <w:pPr>
        <w:spacing w:after="0" w:line="196" w:lineRule="exact"/>
        <w:rPr>
          <w:sz w:val="20"/>
          <w:szCs w:val="20"/>
          <w:color w:val="auto"/>
        </w:rPr>
      </w:pPr>
    </w:p>
    <w:p>
      <w:pPr>
        <w:ind w:left="1240" w:hanging="703"/>
        <w:spacing w:after="0"/>
        <w:tabs>
          <w:tab w:leader="none" w:pos="124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Status of the Lenders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540" w:firstLine="526"/>
        <w:spacing w:after="0" w:line="260" w:lineRule="auto"/>
        <w:tabs>
          <w:tab w:leader="none" w:pos="1764" w:val="left"/>
        </w:tabs>
        <w:numPr>
          <w:ilvl w:val="1"/>
          <w:numId w:val="75"/>
        </w:numPr>
        <w:rPr>
          <w:rFonts w:ascii="Arial" w:cs="Arial" w:eastAsia="Arial" w:hAnsi="Arial"/>
          <w:sz w:val="17"/>
          <w:szCs w:val="17"/>
          <w:color w:val="auto"/>
        </w:rPr>
      </w:pPr>
      <w:r>
        <w:rPr>
          <w:rFonts w:ascii="Arial" w:cs="Arial" w:eastAsia="Arial" w:hAnsi="Arial"/>
          <w:sz w:val="17"/>
          <w:szCs w:val="17"/>
          <w:color w:val="auto"/>
        </w:rPr>
        <w:t xml:space="preserve">Any Lender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Borrower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7"/>
          <w:szCs w:val="17"/>
          <w:u w:val="single" w:color="auto"/>
          <w:color w:val="auto"/>
        </w:rPr>
        <w:t>Section 2.17(f)(ii)(A)</w:t>
      </w:r>
      <w:r>
        <w:rPr>
          <w:rFonts w:ascii="Arial" w:cs="Arial" w:eastAsia="Arial" w:hAnsi="Arial"/>
          <w:sz w:val="17"/>
          <w:szCs w:val="17"/>
          <w:color w:val="auto"/>
        </w:rPr>
        <w:t xml:space="preserve">, </w:t>
      </w:r>
      <w:r>
        <w:rPr>
          <w:rFonts w:ascii="Arial" w:cs="Arial" w:eastAsia="Arial" w:hAnsi="Arial"/>
          <w:sz w:val="17"/>
          <w:szCs w:val="17"/>
          <w:u w:val="single" w:color="auto"/>
          <w:color w:val="auto"/>
        </w:rPr>
        <w:t>(ii)(B)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(ii)(D)</w:t>
      </w:r>
      <w:r>
        <w:rPr>
          <w:rFonts w:ascii="Arial" w:cs="Arial" w:eastAsia="Arial" w:hAnsi="Arial"/>
          <w:sz w:val="17"/>
          <w:szCs w:val="17"/>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5" w:lineRule="exact"/>
        <w:rPr>
          <w:rFonts w:ascii="Arial" w:cs="Arial" w:eastAsia="Arial" w:hAnsi="Arial"/>
          <w:sz w:val="17"/>
          <w:szCs w:val="17"/>
          <w:color w:val="auto"/>
        </w:rPr>
      </w:pPr>
    </w:p>
    <w:p>
      <w:pPr>
        <w:ind w:left="1820" w:hanging="754"/>
        <w:spacing w:after="0"/>
        <w:tabs>
          <w:tab w:leader="none" w:pos="18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if any Borrower is a U.S. Person,</w:t>
      </w:r>
    </w:p>
    <w:p>
      <w:pPr>
        <w:spacing w:after="0" w:line="211" w:lineRule="exact"/>
        <w:rPr>
          <w:rFonts w:ascii="Arial" w:cs="Arial" w:eastAsia="Arial" w:hAnsi="Arial"/>
          <w:sz w:val="18"/>
          <w:szCs w:val="18"/>
          <w:color w:val="auto"/>
        </w:rPr>
      </w:pPr>
    </w:p>
    <w:p>
      <w:pPr>
        <w:jc w:val="both"/>
        <w:ind w:left="1060" w:firstLine="535"/>
        <w:spacing w:after="0" w:line="326" w:lineRule="auto"/>
        <w:tabs>
          <w:tab w:leader="none" w:pos="2285" w:val="left"/>
        </w:tabs>
        <w:numPr>
          <w:ilvl w:val="2"/>
          <w:numId w:val="75"/>
        </w:numPr>
        <w:rPr>
          <w:rFonts w:ascii="Arial" w:cs="Arial" w:eastAsia="Arial" w:hAnsi="Arial"/>
          <w:sz w:val="15"/>
          <w:szCs w:val="15"/>
          <w:color w:val="auto"/>
        </w:rPr>
      </w:pPr>
      <w:r>
        <w:rPr>
          <w:rFonts w:ascii="Arial" w:cs="Arial" w:eastAsia="Arial" w:hAnsi="Arial"/>
          <w:sz w:val="15"/>
          <w:szCs w:val="15"/>
          <w:color w:val="auto"/>
        </w:rPr>
        <w:t>any Lender that is a U.S. Person shall deliver to such Borrower and the Administrative Agent on or before the date on which such Lender becomes a Lender under this Agreement (and from time to time thereafter upon the reasonable request of such Borrower or the Administrative Agent), executed originals of IRS Form W-9 certifying that such Lender is exempt from U.S. Federal backup withholding tax;</w:t>
      </w:r>
    </w:p>
    <w:p>
      <w:pPr>
        <w:spacing w:after="0" w:line="134" w:lineRule="exact"/>
        <w:rPr>
          <w:rFonts w:ascii="Arial" w:cs="Arial" w:eastAsia="Arial" w:hAnsi="Arial"/>
          <w:sz w:val="15"/>
          <w:szCs w:val="15"/>
          <w:color w:val="auto"/>
        </w:rPr>
      </w:pPr>
    </w:p>
    <w:p>
      <w:pPr>
        <w:jc w:val="both"/>
        <w:ind w:left="1060" w:firstLine="535"/>
        <w:spacing w:after="0" w:line="249" w:lineRule="auto"/>
        <w:tabs>
          <w:tab w:leader="none" w:pos="2334" w:val="left"/>
        </w:tabs>
        <w:numPr>
          <w:ilvl w:val="2"/>
          <w:numId w:val="75"/>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such Borrower and the Administrative Agent (in such number of copies as shall be requested by the recipient) on or before the date on which such Foreign Lender becomes a Lender under this Agreement (and from time to time thereafter upon the reasonable request of such Borrower or the Administrative Agent), whichever of the following is applicable:</w:t>
      </w:r>
    </w:p>
    <w:p>
      <w:pPr>
        <w:spacing w:after="0" w:line="188" w:lineRule="exact"/>
        <w:rPr>
          <w:rFonts w:ascii="Arial" w:cs="Arial" w:eastAsia="Arial" w:hAnsi="Arial"/>
          <w:sz w:val="18"/>
          <w:szCs w:val="18"/>
          <w:color w:val="auto"/>
        </w:rPr>
      </w:pPr>
    </w:p>
    <w:p>
      <w:pPr>
        <w:jc w:val="both"/>
        <w:ind w:left="1600" w:firstLine="524"/>
        <w:spacing w:after="0" w:line="247" w:lineRule="auto"/>
        <w:tabs>
          <w:tab w:leader="none" w:pos="2903" w:val="left"/>
        </w:tabs>
        <w:numPr>
          <w:ilvl w:val="3"/>
          <w:numId w:val="75"/>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(x) with respect to payments of interest under any Loan Document, executed originals of IRS Form W-8BEN or IRS Form W-8BEN-E (or applicable successor form) establishing an exemption from, or reduction of, U.S. Federal withholding Tax pursuant to the “interest” article of such tax treaty and (y) with respect to any other applicable payments under any Loan Document, IRS Form W-8BEN or IRS Form W-8BEN-E (or applicable successor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ectPr>
          <w:pgSz w:w="11900" w:h="16838" w:orient="portrait"/>
          <w:cols w:equalWidth="0" w:num="1">
            <w:col w:w="11460"/>
          </w:cols>
          <w:pgMar w:left="220" w:top="509" w:right="219" w:bottom="1440" w:gutter="0" w:footer="0" w:header="0"/>
        </w:sectPr>
      </w:pPr>
    </w:p>
    <w:bookmarkStart w:id="111" w:name="page112"/>
    <w:bookmarkEnd w:id="111"/>
    <w:p>
      <w:pPr>
        <w:ind w:left="380"/>
        <w:spacing w:after="0" w:line="261" w:lineRule="auto"/>
        <w:rPr>
          <w:sz w:val="20"/>
          <w:szCs w:val="20"/>
          <w:color w:val="auto"/>
        </w:rPr>
      </w:pPr>
      <w:r>
        <w:rPr>
          <w:rFonts w:ascii="Arial" w:cs="Arial" w:eastAsia="Arial" w:hAnsi="Arial"/>
          <w:sz w:val="18"/>
          <w:szCs w:val="18"/>
          <w:color w:val="auto"/>
        </w:rPr>
        <w:t>form) establishing an exemption from, or reduction of, U.S. Federal withholding Tax pursuant to the “business profits” or “other income” article of such tax treaty;</w:t>
      </w:r>
    </w:p>
    <w:p>
      <w:pPr>
        <w:spacing w:after="0" w:line="178" w:lineRule="exact"/>
        <w:rPr>
          <w:sz w:val="20"/>
          <w:szCs w:val="20"/>
          <w:color w:val="auto"/>
        </w:rPr>
      </w:pPr>
    </w:p>
    <w:p>
      <w:pPr>
        <w:ind w:left="1660" w:hanging="756"/>
        <w:spacing w:after="0"/>
        <w:tabs>
          <w:tab w:leader="none" w:pos="16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executed originals of IRS Form W-8ECI;</w:t>
      </w:r>
    </w:p>
    <w:p>
      <w:pPr>
        <w:spacing w:after="0" w:line="211" w:lineRule="exact"/>
        <w:rPr>
          <w:rFonts w:ascii="Arial" w:cs="Arial" w:eastAsia="Arial" w:hAnsi="Arial"/>
          <w:sz w:val="18"/>
          <w:szCs w:val="18"/>
          <w:color w:val="auto"/>
        </w:rPr>
      </w:pPr>
    </w:p>
    <w:p>
      <w:pPr>
        <w:jc w:val="both"/>
        <w:ind w:left="380" w:firstLine="524"/>
        <w:spacing w:after="0" w:line="309" w:lineRule="auto"/>
        <w:tabs>
          <w:tab w:leader="none" w:pos="1673" w:val="left"/>
        </w:tabs>
        <w:numPr>
          <w:ilvl w:val="1"/>
          <w:numId w:val="76"/>
        </w:numPr>
        <w:rPr>
          <w:rFonts w:ascii="Arial" w:cs="Arial" w:eastAsia="Arial" w:hAnsi="Arial"/>
          <w:sz w:val="15"/>
          <w:szCs w:val="15"/>
          <w:color w:val="auto"/>
        </w:rPr>
      </w:pPr>
      <w:r>
        <w:rPr>
          <w:rFonts w:ascii="Arial" w:cs="Arial" w:eastAsia="Arial" w:hAnsi="Arial"/>
          <w:sz w:val="15"/>
          <w:szCs w:val="15"/>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5"/>
          <w:szCs w:val="15"/>
          <w:u w:val="single" w:color="auto"/>
          <w:color w:val="auto"/>
        </w:rPr>
        <w:t>Exhibit G-1</w:t>
      </w:r>
      <w:r>
        <w:rPr>
          <w:rFonts w:ascii="Arial" w:cs="Arial" w:eastAsia="Arial" w:hAnsi="Arial"/>
          <w:sz w:val="15"/>
          <w:szCs w:val="15"/>
          <w:color w:val="auto"/>
        </w:rPr>
        <w:t xml:space="preserve"> to the effect that such Foreign Lender is not a “bank” within the meaning of Section 881(c)(3)(A) of the Code, a “10 percent shareholder” of any Borrower within the meaning of Section 881(c)(3)(B) of the Code, or a “controlled foreign corporation” described in Section 881(c)(3)(C) of the Code (a “</w:t>
      </w:r>
      <w:r>
        <w:rPr>
          <w:rFonts w:ascii="Arial" w:cs="Arial" w:eastAsia="Arial" w:hAnsi="Arial"/>
          <w:sz w:val="15"/>
          <w:szCs w:val="15"/>
          <w:u w:val="single" w:color="auto"/>
          <w:color w:val="auto"/>
        </w:rPr>
        <w:t>U.S. Tax Compliance Certificate</w:t>
      </w:r>
      <w:r>
        <w:rPr>
          <w:rFonts w:ascii="Arial" w:cs="Arial" w:eastAsia="Arial" w:hAnsi="Arial"/>
          <w:sz w:val="15"/>
          <w:szCs w:val="15"/>
          <w:color w:val="auto"/>
        </w:rPr>
        <w:t>”) and (y) executed originals of IRS Form W-8BEN or IRS Form W-8BEN-E (or applicable successor form); or</w:t>
      </w:r>
    </w:p>
    <w:p>
      <w:pPr>
        <w:spacing w:after="0" w:line="146" w:lineRule="exact"/>
        <w:rPr>
          <w:rFonts w:ascii="Arial" w:cs="Arial" w:eastAsia="Arial" w:hAnsi="Arial"/>
          <w:sz w:val="15"/>
          <w:szCs w:val="15"/>
          <w:color w:val="auto"/>
        </w:rPr>
      </w:pPr>
    </w:p>
    <w:p>
      <w:pPr>
        <w:jc w:val="both"/>
        <w:ind w:left="380" w:firstLine="524"/>
        <w:spacing w:after="0" w:line="263" w:lineRule="auto"/>
        <w:tabs>
          <w:tab w:leader="none" w:pos="1683" w:val="left"/>
        </w:tabs>
        <w:numPr>
          <w:ilvl w:val="1"/>
          <w:numId w:val="76"/>
        </w:numPr>
        <w:rPr>
          <w:rFonts w:ascii="Arial" w:cs="Arial" w:eastAsia="Arial" w:hAnsi="Arial"/>
          <w:sz w:val="17"/>
          <w:szCs w:val="17"/>
          <w:color w:val="auto"/>
        </w:rPr>
      </w:pPr>
      <w:r>
        <w:rPr>
          <w:rFonts w:ascii="Arial" w:cs="Arial" w:eastAsia="Arial" w:hAnsi="Arial"/>
          <w:sz w:val="17"/>
          <w:szCs w:val="17"/>
          <w:color w:val="auto"/>
        </w:rPr>
        <w:t xml:space="preserve">to the extent a Foreign Lender is not the beneficial owner, executed originals of IRS Form W-8IMY, accompanied by IRS Form W-8ECI, IRS Form W-8BEN or IRS Form W-8BEN-E (or applicable successor form), a U.S. Tax Compliance Certificate substantially in the form of </w:t>
      </w:r>
      <w:r>
        <w:rPr>
          <w:rFonts w:ascii="Arial" w:cs="Arial" w:eastAsia="Arial" w:hAnsi="Arial"/>
          <w:sz w:val="17"/>
          <w:szCs w:val="17"/>
          <w:u w:val="single" w:color="auto"/>
          <w:color w:val="auto"/>
        </w:rPr>
        <w:t>Exhibit G-2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G-3</w:t>
      </w:r>
      <w:r>
        <w:rPr>
          <w:rFonts w:ascii="Arial" w:cs="Arial" w:eastAsia="Arial" w:hAnsi="Arial"/>
          <w:sz w:val="17"/>
          <w:szCs w:val="17"/>
          <w:color w:val="auto"/>
        </w:rPr>
        <w:t xml:space="preserve">, IRS Form W-9, and/or other certification documents from each beneficial owner,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7"/>
          <w:szCs w:val="17"/>
          <w:u w:val="single" w:color="auto"/>
          <w:color w:val="auto"/>
        </w:rPr>
        <w:t>Exhibit G-4</w:t>
      </w:r>
      <w:r>
        <w:rPr>
          <w:rFonts w:ascii="Arial" w:cs="Arial" w:eastAsia="Arial" w:hAnsi="Arial"/>
          <w:sz w:val="17"/>
          <w:szCs w:val="17"/>
          <w:color w:val="auto"/>
        </w:rPr>
        <w:t xml:space="preserve"> on behalf of each such direct and indirect partner;</w:t>
      </w:r>
    </w:p>
    <w:p>
      <w:pPr>
        <w:spacing w:after="0" w:line="180" w:lineRule="exact"/>
        <w:rPr>
          <w:rFonts w:ascii="Arial" w:cs="Arial" w:eastAsia="Arial" w:hAnsi="Arial"/>
          <w:sz w:val="17"/>
          <w:szCs w:val="17"/>
          <w:color w:val="auto"/>
        </w:rPr>
      </w:pPr>
    </w:p>
    <w:p>
      <w:pPr>
        <w:jc w:val="both"/>
        <w:ind w:left="-160" w:firstLine="535"/>
        <w:spacing w:after="0" w:line="263" w:lineRule="auto"/>
        <w:tabs>
          <w:tab w:leader="none" w:pos="1163" w:val="left"/>
        </w:tabs>
        <w:numPr>
          <w:ilvl w:val="0"/>
          <w:numId w:val="77"/>
        </w:numPr>
        <w:rPr>
          <w:rFonts w:ascii="Arial" w:cs="Arial" w:eastAsia="Arial" w:hAnsi="Arial"/>
          <w:sz w:val="17"/>
          <w:szCs w:val="17"/>
          <w:color w:val="auto"/>
        </w:rPr>
      </w:pPr>
      <w:r>
        <w:rPr>
          <w:rFonts w:ascii="Arial" w:cs="Arial" w:eastAsia="Arial" w:hAnsi="Arial"/>
          <w:sz w:val="17"/>
          <w:szCs w:val="17"/>
          <w:color w:val="auto"/>
        </w:rPr>
        <w:t>any Foreign Lender shall, to the extent it is legally entitled to do so, deliver to such Borrower and the Administrative Agent (in such number of copies as shall be requested by the recipient) on or before the date on which such Foreign Lender becomes a Lender under this Agreement (and from time to time thereafter upon the reasonable request of such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such Borrower or the Administrative Agent to determine the withholding or deduction required to be made; and</w:t>
      </w:r>
    </w:p>
    <w:p>
      <w:pPr>
        <w:spacing w:after="0" w:line="180" w:lineRule="exact"/>
        <w:rPr>
          <w:rFonts w:ascii="Arial" w:cs="Arial" w:eastAsia="Arial" w:hAnsi="Arial"/>
          <w:sz w:val="17"/>
          <w:szCs w:val="17"/>
          <w:color w:val="auto"/>
        </w:rPr>
      </w:pPr>
    </w:p>
    <w:p>
      <w:pPr>
        <w:jc w:val="both"/>
        <w:ind w:left="-160" w:firstLine="535"/>
        <w:spacing w:after="0" w:line="261" w:lineRule="auto"/>
        <w:tabs>
          <w:tab w:leader="none" w:pos="1153" w:val="left"/>
        </w:tabs>
        <w:numPr>
          <w:ilvl w:val="0"/>
          <w:numId w:val="77"/>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such Borrower and the Administrative Agent at the time or times prescribed by law and at such time or times reasonably requested by such Borrower or the Administrative Agent such documentation prescribed by applicable law (including as prescribed by Section 1471(b)(3)(C)(i) of the Code) and such additional documentation reasonably requested by such Borrower or the Administrative Agent as may be necessary for such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65" w:lineRule="exact"/>
        <w:rPr>
          <w:sz w:val="20"/>
          <w:szCs w:val="20"/>
          <w:color w:val="auto"/>
        </w:rPr>
      </w:pPr>
    </w:p>
    <w:p>
      <w:pPr>
        <w:ind w:left="4440"/>
        <w:spacing w:after="0"/>
        <w:rPr>
          <w:sz w:val="20"/>
          <w:szCs w:val="20"/>
          <w:color w:val="auto"/>
        </w:rPr>
      </w:pPr>
      <w:r>
        <w:rPr>
          <w:rFonts w:ascii="Arial" w:cs="Arial" w:eastAsia="Arial" w:hAnsi="Arial"/>
          <w:sz w:val="15"/>
          <w:szCs w:val="15"/>
          <w:color w:val="auto"/>
        </w:rPr>
        <w:t>51</w:t>
      </w:r>
    </w:p>
    <w:p>
      <w:pPr>
        <w:sectPr>
          <w:pgSz w:w="11900" w:h="16838" w:orient="portrait"/>
          <w:cols w:equalWidth="0" w:num="1">
            <w:col w:w="10240"/>
          </w:cols>
          <w:pgMar w:left="1440" w:top="508" w:right="219" w:bottom="1440" w:gutter="0" w:footer="0" w:header="0"/>
        </w:sectPr>
      </w:pPr>
    </w:p>
    <w:bookmarkStart w:id="112" w:name="page113"/>
    <w:bookmarkEnd w:id="112"/>
    <w:p>
      <w:pPr>
        <w:ind w:firstLine="529"/>
        <w:spacing w:after="0" w:line="261" w:lineRule="auto"/>
        <w:rPr>
          <w:sz w:val="20"/>
          <w:szCs w:val="20"/>
          <w:color w:val="auto"/>
        </w:rPr>
      </w:pPr>
      <w:r>
        <w:rPr>
          <w:rFonts w:ascii="Arial" w:cs="Arial" w:eastAsia="Arial" w:hAnsi="Arial"/>
          <w:sz w:val="18"/>
          <w:szCs w:val="18"/>
          <w:color w:val="auto"/>
        </w:rPr>
        <w:t>Each Lender agrees that if any form or certification it previously delivered expires or becomes obsolete or inaccurate in any respect, it shall update such form or certification or promptly notify the Company and the Administrative Agent in writing of its legal inability to do so.</w:t>
      </w:r>
    </w:p>
    <w:p>
      <w:pPr>
        <w:spacing w:after="0" w:line="145" w:lineRule="exact"/>
        <w:rPr>
          <w:sz w:val="20"/>
          <w:szCs w:val="20"/>
          <w:color w:val="auto"/>
        </w:rPr>
      </w:pPr>
    </w:p>
    <w:p>
      <w:pPr>
        <w:ind w:left="1800" w:hanging="734"/>
        <w:spacing w:after="0"/>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Additional United Kingdom Withholding Tax Matters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1060" w:firstLine="535"/>
        <w:spacing w:after="0" w:line="252" w:lineRule="auto"/>
        <w:tabs>
          <w:tab w:leader="none" w:pos="2285" w:val="left"/>
        </w:tabs>
        <w:numPr>
          <w:ilvl w:val="1"/>
          <w:numId w:val="78"/>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below, each Lender and each U.K. Borrower that makes a payment to such Lender shall cooperate in completing in a timely manner any procedural formalities necessary for such U.K. Borrower to obtain authorization to make such payment without withholding or deduction for Taxes imposed under the laws of the United Kingdom.</w:t>
      </w:r>
    </w:p>
    <w:p>
      <w:pPr>
        <w:spacing w:after="0" w:line="185" w:lineRule="exact"/>
        <w:rPr>
          <w:rFonts w:ascii="Arial" w:cs="Arial" w:eastAsia="Arial" w:hAnsi="Arial"/>
          <w:sz w:val="18"/>
          <w:szCs w:val="18"/>
          <w:color w:val="auto"/>
        </w:rPr>
      </w:pPr>
    </w:p>
    <w:p>
      <w:pPr>
        <w:jc w:val="both"/>
        <w:ind w:left="1060" w:firstLine="535"/>
        <w:spacing w:after="0" w:line="252" w:lineRule="auto"/>
        <w:tabs>
          <w:tab w:leader="none" w:pos="2334" w:val="left"/>
        </w:tabs>
        <w:numPr>
          <w:ilvl w:val="1"/>
          <w:numId w:val="78"/>
        </w:numPr>
        <w:rPr>
          <w:rFonts w:ascii="Arial" w:cs="Arial" w:eastAsia="Arial" w:hAnsi="Arial"/>
          <w:sz w:val="18"/>
          <w:szCs w:val="18"/>
          <w:color w:val="auto"/>
        </w:rPr>
      </w:pPr>
      <w:r>
        <w:rPr>
          <w:rFonts w:ascii="Arial" w:cs="Arial" w:eastAsia="Arial" w:hAnsi="Arial"/>
          <w:sz w:val="18"/>
          <w:szCs w:val="18"/>
          <w:color w:val="auto"/>
        </w:rPr>
        <w:t>(A) A Lender on the Effective Date that (1) holds a passport under the HMRC DT Treaty Passport scheme and (2) wishes such scheme to apply to this Agreement, shall provide its scheme reference number and its jurisdiction of tax residence to each U.K. Borrower and the Administrative Agent; and</w:t>
      </w:r>
    </w:p>
    <w:p>
      <w:pPr>
        <w:spacing w:after="0" w:line="185" w:lineRule="exact"/>
        <w:rPr>
          <w:rFonts w:ascii="Arial" w:cs="Arial" w:eastAsia="Arial" w:hAnsi="Arial"/>
          <w:sz w:val="18"/>
          <w:szCs w:val="18"/>
          <w:color w:val="auto"/>
        </w:rPr>
      </w:pPr>
    </w:p>
    <w:p>
      <w:pPr>
        <w:jc w:val="both"/>
        <w:ind w:left="1600" w:firstLine="524"/>
        <w:spacing w:after="0" w:line="252" w:lineRule="auto"/>
        <w:tabs>
          <w:tab w:leader="none" w:pos="2893" w:val="left"/>
        </w:tabs>
        <w:numPr>
          <w:ilvl w:val="2"/>
          <w:numId w:val="78"/>
        </w:numPr>
        <w:rPr>
          <w:rFonts w:ascii="Arial" w:cs="Arial" w:eastAsia="Arial" w:hAnsi="Arial"/>
          <w:sz w:val="18"/>
          <w:szCs w:val="18"/>
          <w:color w:val="auto"/>
        </w:rPr>
      </w:pPr>
      <w:r>
        <w:rPr>
          <w:rFonts w:ascii="Arial" w:cs="Arial" w:eastAsia="Arial" w:hAnsi="Arial"/>
          <w:sz w:val="18"/>
          <w:szCs w:val="18"/>
          <w:color w:val="auto"/>
        </w:rPr>
        <w:t>a Lender that becomes a Lender hereunder after the Effective Date that (1) holds a passport under the HMRC DT Treaty Passport scheme and (2) wishes such scheme to apply to this Agreement, shall provide its scheme reference number and its jurisdiction of tax residence to each U.K. Borrower and the Administrative Agent, and</w:t>
      </w:r>
    </w:p>
    <w:p>
      <w:pPr>
        <w:spacing w:after="0" w:line="185" w:lineRule="exact"/>
        <w:rPr>
          <w:rFonts w:ascii="Arial" w:cs="Arial" w:eastAsia="Arial" w:hAnsi="Arial"/>
          <w:sz w:val="18"/>
          <w:szCs w:val="18"/>
          <w:color w:val="auto"/>
        </w:rPr>
      </w:pPr>
    </w:p>
    <w:p>
      <w:pPr>
        <w:ind w:left="2880" w:hanging="756"/>
        <w:spacing w:after="0"/>
        <w:tabs>
          <w:tab w:leader="none" w:pos="2880" w:val="left"/>
        </w:tabs>
        <w:numPr>
          <w:ilvl w:val="2"/>
          <w:numId w:val="78"/>
        </w:numPr>
        <w:rPr>
          <w:rFonts w:ascii="Arial" w:cs="Arial" w:eastAsia="Arial" w:hAnsi="Arial"/>
          <w:sz w:val="15"/>
          <w:szCs w:val="15"/>
          <w:color w:val="auto"/>
        </w:rPr>
      </w:pPr>
      <w:r>
        <w:rPr>
          <w:rFonts w:ascii="Arial" w:cs="Arial" w:eastAsia="Arial" w:hAnsi="Arial"/>
          <w:sz w:val="15"/>
          <w:szCs w:val="15"/>
          <w:color w:val="auto"/>
        </w:rPr>
        <w:t xml:space="preserve">upon satisfying either clause </w:t>
      </w:r>
      <w:r>
        <w:rPr>
          <w:rFonts w:ascii="Arial" w:cs="Arial" w:eastAsia="Arial" w:hAnsi="Arial"/>
          <w:sz w:val="15"/>
          <w:szCs w:val="15"/>
          <w:u w:val="single" w:color="auto"/>
          <w:color w:val="auto"/>
        </w:rPr>
        <w:t>(A)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(B)</w:t>
      </w:r>
      <w:r>
        <w:rPr>
          <w:rFonts w:ascii="Arial" w:cs="Arial" w:eastAsia="Arial" w:hAnsi="Arial"/>
          <w:sz w:val="15"/>
          <w:szCs w:val="15"/>
          <w:color w:val="auto"/>
        </w:rPr>
        <w:t xml:space="preserve"> above, such Lender shall have satisfied its obligation under paragraph </w:t>
      </w:r>
      <w:r>
        <w:rPr>
          <w:rFonts w:ascii="Arial" w:cs="Arial" w:eastAsia="Arial" w:hAnsi="Arial"/>
          <w:sz w:val="15"/>
          <w:szCs w:val="15"/>
          <w:u w:val="single" w:color="auto"/>
          <w:color w:val="auto"/>
        </w:rPr>
        <w:t>(g)(i)</w:t>
      </w:r>
    </w:p>
    <w:p>
      <w:pPr>
        <w:spacing w:after="0" w:line="50" w:lineRule="exact"/>
        <w:rPr>
          <w:rFonts w:ascii="Arial" w:cs="Arial" w:eastAsia="Arial" w:hAnsi="Arial"/>
          <w:sz w:val="15"/>
          <w:szCs w:val="15"/>
          <w:color w:val="auto"/>
        </w:rPr>
      </w:pPr>
    </w:p>
    <w:p>
      <w:pPr>
        <w:ind w:left="1600"/>
        <w:spacing w:after="0"/>
        <w:rPr>
          <w:rFonts w:ascii="Arial" w:cs="Arial" w:eastAsia="Arial" w:hAnsi="Arial"/>
          <w:sz w:val="15"/>
          <w:szCs w:val="15"/>
          <w:color w:val="auto"/>
        </w:rPr>
      </w:pPr>
      <w:r>
        <w:rPr>
          <w:rFonts w:ascii="Arial" w:cs="Arial" w:eastAsia="Arial" w:hAnsi="Arial"/>
          <w:sz w:val="18"/>
          <w:szCs w:val="18"/>
          <w:color w:val="auto"/>
        </w:rPr>
        <w:t>above.</w:t>
      </w:r>
    </w:p>
    <w:p>
      <w:pPr>
        <w:spacing w:after="0" w:line="198" w:lineRule="exact"/>
        <w:rPr>
          <w:rFonts w:ascii="Arial" w:cs="Arial" w:eastAsia="Arial" w:hAnsi="Arial"/>
          <w:sz w:val="15"/>
          <w:szCs w:val="15"/>
          <w:color w:val="auto"/>
        </w:rPr>
      </w:pPr>
    </w:p>
    <w:p>
      <w:pPr>
        <w:jc w:val="both"/>
        <w:ind w:left="1060" w:firstLine="535"/>
        <w:spacing w:after="0" w:line="252" w:lineRule="auto"/>
        <w:tabs>
          <w:tab w:leader="none" w:pos="2383" w:val="left"/>
        </w:tabs>
        <w:numPr>
          <w:ilvl w:val="1"/>
          <w:numId w:val="78"/>
        </w:numPr>
        <w:rPr>
          <w:rFonts w:ascii="Arial" w:cs="Arial" w:eastAsia="Arial" w:hAnsi="Arial"/>
          <w:sz w:val="18"/>
          <w:szCs w:val="18"/>
          <w:color w:val="auto"/>
        </w:rPr>
      </w:pPr>
      <w:r>
        <w:rPr>
          <w:rFonts w:ascii="Arial" w:cs="Arial" w:eastAsia="Arial" w:hAnsi="Arial"/>
          <w:sz w:val="18"/>
          <w:szCs w:val="18"/>
          <w:color w:val="auto"/>
        </w:rPr>
        <w:t xml:space="preserve">If a Lender has confirmed its scheme reference number and its jurisdiction of tax residence in accordance with paragraph </w:t>
      </w:r>
      <w:r>
        <w:rPr>
          <w:rFonts w:ascii="Arial" w:cs="Arial" w:eastAsia="Arial" w:hAnsi="Arial"/>
          <w:sz w:val="18"/>
          <w:szCs w:val="18"/>
          <w:u w:val="single" w:color="auto"/>
          <w:color w:val="auto"/>
        </w:rPr>
        <w:t>(g)(ii)</w:t>
      </w:r>
      <w:r>
        <w:rPr>
          <w:rFonts w:ascii="Arial" w:cs="Arial" w:eastAsia="Arial" w:hAnsi="Arial"/>
          <w:sz w:val="18"/>
          <w:szCs w:val="18"/>
          <w:color w:val="auto"/>
        </w:rPr>
        <w:t xml:space="preserve"> above, the U.K. Borrower(s) shall make a DTTP Filing with respect to such Lender, and shall promptly provide such Lender with a copy of such filing;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w:t>
      </w:r>
    </w:p>
    <w:p>
      <w:pPr>
        <w:spacing w:after="0" w:line="185" w:lineRule="exact"/>
        <w:rPr>
          <w:rFonts w:ascii="Arial" w:cs="Arial" w:eastAsia="Arial" w:hAnsi="Arial"/>
          <w:sz w:val="18"/>
          <w:szCs w:val="18"/>
          <w:color w:val="auto"/>
        </w:rPr>
      </w:pPr>
    </w:p>
    <w:p>
      <w:pPr>
        <w:ind w:left="2900" w:hanging="776"/>
        <w:spacing w:after="0"/>
        <w:tabs>
          <w:tab w:leader="none" w:pos="2900" w:val="left"/>
        </w:tabs>
        <w:numPr>
          <w:ilvl w:val="2"/>
          <w:numId w:val="79"/>
        </w:numPr>
        <w:rPr>
          <w:rFonts w:ascii="Arial" w:cs="Arial" w:eastAsia="Arial" w:hAnsi="Arial"/>
          <w:sz w:val="17"/>
          <w:szCs w:val="17"/>
          <w:color w:val="auto"/>
        </w:rPr>
      </w:pPr>
      <w:r>
        <w:rPr>
          <w:rFonts w:ascii="Arial" w:cs="Arial" w:eastAsia="Arial" w:hAnsi="Arial"/>
          <w:sz w:val="17"/>
          <w:szCs w:val="17"/>
          <w:color w:val="auto"/>
        </w:rPr>
        <w:t>each U.K. Borrower making a payment to such Lender has not made a DTTP Filing in respect of such Lender; or</w:t>
      </w:r>
    </w:p>
    <w:p>
      <w:pPr>
        <w:spacing w:after="0" w:line="223" w:lineRule="exact"/>
        <w:rPr>
          <w:rFonts w:ascii="Arial" w:cs="Arial" w:eastAsia="Arial" w:hAnsi="Arial"/>
          <w:sz w:val="17"/>
          <w:szCs w:val="17"/>
          <w:color w:val="auto"/>
        </w:rPr>
      </w:pPr>
    </w:p>
    <w:p>
      <w:pPr>
        <w:ind w:left="2880" w:hanging="756"/>
        <w:spacing w:after="0"/>
        <w:tabs>
          <w:tab w:leader="none" w:pos="2880" w:val="left"/>
        </w:tabs>
        <w:numPr>
          <w:ilvl w:val="2"/>
          <w:numId w:val="79"/>
        </w:numPr>
        <w:rPr>
          <w:rFonts w:ascii="Arial" w:cs="Arial" w:eastAsia="Arial" w:hAnsi="Arial"/>
          <w:sz w:val="17"/>
          <w:szCs w:val="17"/>
          <w:color w:val="auto"/>
        </w:rPr>
      </w:pPr>
      <w:r>
        <w:rPr>
          <w:rFonts w:ascii="Arial" w:cs="Arial" w:eastAsia="Arial" w:hAnsi="Arial"/>
          <w:sz w:val="17"/>
          <w:szCs w:val="17"/>
          <w:color w:val="auto"/>
        </w:rPr>
        <w:t>each U.K. Borrower making a payment to such Lender has made a DTTP Filing in respect of such Lender but:</w:t>
      </w:r>
    </w:p>
    <w:p>
      <w:pPr>
        <w:spacing w:after="0" w:line="223" w:lineRule="exact"/>
        <w:rPr>
          <w:rFonts w:ascii="Arial" w:cs="Arial" w:eastAsia="Arial" w:hAnsi="Arial"/>
          <w:sz w:val="17"/>
          <w:szCs w:val="17"/>
          <w:color w:val="auto"/>
        </w:rPr>
      </w:pPr>
    </w:p>
    <w:p>
      <w:pPr>
        <w:ind w:left="3380" w:hanging="727"/>
        <w:spacing w:after="0"/>
        <w:tabs>
          <w:tab w:leader="none" w:pos="3380" w:val="left"/>
        </w:tabs>
        <w:numPr>
          <w:ilvl w:val="3"/>
          <w:numId w:val="79"/>
        </w:numPr>
        <w:rPr>
          <w:rFonts w:ascii="Arial" w:cs="Arial" w:eastAsia="Arial" w:hAnsi="Arial"/>
          <w:sz w:val="18"/>
          <w:szCs w:val="18"/>
          <w:color w:val="auto"/>
        </w:rPr>
      </w:pPr>
      <w:r>
        <w:rPr>
          <w:rFonts w:ascii="Arial" w:cs="Arial" w:eastAsia="Arial" w:hAnsi="Arial"/>
          <w:sz w:val="18"/>
          <w:szCs w:val="18"/>
          <w:color w:val="auto"/>
        </w:rPr>
        <w:t>such DTTP Filing has been rejected by HM Revenue &amp; Customs; or</w:t>
      </w:r>
    </w:p>
    <w:p>
      <w:pPr>
        <w:spacing w:after="0" w:line="211" w:lineRule="exact"/>
        <w:rPr>
          <w:rFonts w:ascii="Arial" w:cs="Arial" w:eastAsia="Arial" w:hAnsi="Arial"/>
          <w:sz w:val="18"/>
          <w:szCs w:val="18"/>
          <w:color w:val="auto"/>
        </w:rPr>
      </w:pPr>
    </w:p>
    <w:p>
      <w:pPr>
        <w:ind w:left="2120" w:firstLine="533"/>
        <w:spacing w:after="0" w:line="261" w:lineRule="auto"/>
        <w:tabs>
          <w:tab w:leader="none" w:pos="3384" w:val="left"/>
        </w:tabs>
        <w:numPr>
          <w:ilvl w:val="3"/>
          <w:numId w:val="79"/>
        </w:numPr>
        <w:rPr>
          <w:rFonts w:ascii="Arial" w:cs="Arial" w:eastAsia="Arial" w:hAnsi="Arial"/>
          <w:sz w:val="18"/>
          <w:szCs w:val="18"/>
          <w:color w:val="auto"/>
        </w:rPr>
      </w:pPr>
      <w:r>
        <w:rPr>
          <w:rFonts w:ascii="Arial" w:cs="Arial" w:eastAsia="Arial" w:hAnsi="Arial"/>
          <w:sz w:val="18"/>
          <w:szCs w:val="18"/>
          <w:color w:val="auto"/>
        </w:rPr>
        <w:t>HM Revenue &amp; Customs has not given such U.K. Borrower authority to make payments to such Lender without a deduction for tax within 60 days of the date of such DTTP Filing;</w:t>
      </w:r>
    </w:p>
    <w:p>
      <w:pPr>
        <w:spacing w:after="0" w:line="178" w:lineRule="exact"/>
        <w:rPr>
          <w:sz w:val="20"/>
          <w:szCs w:val="20"/>
          <w:color w:val="auto"/>
        </w:rPr>
      </w:pPr>
    </w:p>
    <w:p>
      <w:pPr>
        <w:jc w:val="both"/>
        <w:ind w:left="1060"/>
        <w:spacing w:after="0" w:line="274" w:lineRule="auto"/>
        <w:rPr>
          <w:sz w:val="20"/>
          <w:szCs w:val="20"/>
          <w:color w:val="auto"/>
        </w:rPr>
      </w:pPr>
      <w:r>
        <w:rPr>
          <w:rFonts w:ascii="Arial" w:cs="Arial" w:eastAsia="Arial" w:hAnsi="Arial"/>
          <w:sz w:val="17"/>
          <w:szCs w:val="17"/>
          <w:color w:val="auto"/>
        </w:rPr>
        <w:t xml:space="preserve">and in each case, such U.K. Borrower has notified that Lender in writing of either </w:t>
      </w:r>
      <w:r>
        <w:rPr>
          <w:rFonts w:ascii="Arial" w:cs="Arial" w:eastAsia="Arial" w:hAnsi="Arial"/>
          <w:sz w:val="17"/>
          <w:szCs w:val="17"/>
          <w:u w:val="single" w:color="auto"/>
          <w:color w:val="auto"/>
        </w:rPr>
        <w:t>(1)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w:t>
      </w:r>
      <w:r>
        <w:rPr>
          <w:rFonts w:ascii="Arial" w:cs="Arial" w:eastAsia="Arial" w:hAnsi="Arial"/>
          <w:sz w:val="17"/>
          <w:szCs w:val="17"/>
          <w:color w:val="auto"/>
        </w:rPr>
        <w:t xml:space="preserve"> above, then such Lender and such U.K. Borrower shall cooperate in completing in a timely manner any additional procedural formalities necessary for such U.K. Borrower to obtain authorization to make that payment without withholding or deduction for Taxes imposed under the laws of the United Kingdom.</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ectPr>
          <w:pgSz w:w="11900" w:h="16838" w:orient="portrait"/>
          <w:cols w:equalWidth="0" w:num="1">
            <w:col w:w="11460"/>
          </w:cols>
          <w:pgMar w:left="220" w:top="508" w:right="219" w:bottom="1440" w:gutter="0" w:footer="0" w:header="0"/>
        </w:sectPr>
      </w:pPr>
    </w:p>
    <w:bookmarkStart w:id="113" w:name="page114"/>
    <w:bookmarkEnd w:id="113"/>
    <w:p>
      <w:pPr>
        <w:jc w:val="both"/>
        <w:ind w:left="540" w:firstLine="526"/>
        <w:spacing w:after="0" w:line="252" w:lineRule="auto"/>
        <w:tabs>
          <w:tab w:leader="none" w:pos="1853" w:val="left"/>
        </w:tabs>
        <w:numPr>
          <w:ilvl w:val="1"/>
          <w:numId w:val="80"/>
        </w:numPr>
        <w:rPr>
          <w:rFonts w:ascii="Arial" w:cs="Arial" w:eastAsia="Arial" w:hAnsi="Arial"/>
          <w:sz w:val="18"/>
          <w:szCs w:val="18"/>
          <w:color w:val="auto"/>
        </w:rPr>
      </w:pPr>
      <w:r>
        <w:rPr>
          <w:rFonts w:ascii="Arial" w:cs="Arial" w:eastAsia="Arial" w:hAnsi="Arial"/>
          <w:sz w:val="18"/>
          <w:szCs w:val="18"/>
          <w:color w:val="auto"/>
        </w:rPr>
        <w:t xml:space="preserve">If a Lender has not confirmed its scheme reference number and jurisdiction of tax residence in accordance with paragraph </w:t>
      </w:r>
      <w:r>
        <w:rPr>
          <w:rFonts w:ascii="Arial" w:cs="Arial" w:eastAsia="Arial" w:hAnsi="Arial"/>
          <w:sz w:val="18"/>
          <w:szCs w:val="18"/>
          <w:u w:val="single" w:color="auto"/>
          <w:color w:val="auto"/>
        </w:rPr>
        <w:t>(g)(ii)</w:t>
      </w:r>
      <w:r>
        <w:rPr>
          <w:rFonts w:ascii="Arial" w:cs="Arial" w:eastAsia="Arial" w:hAnsi="Arial"/>
          <w:sz w:val="18"/>
          <w:szCs w:val="18"/>
          <w:color w:val="auto"/>
        </w:rPr>
        <w:t xml:space="preserve"> above, no U.K. Borrower shall make a DTTP Filing or file any other form relating to the HMRC DT Treaty Passport scheme in respect of that Lender’s Revolving Commitment(s) or its participation in any Loan unless the Lender otherwise agrees.</w:t>
      </w:r>
    </w:p>
    <w:p>
      <w:pPr>
        <w:spacing w:after="0" w:line="185" w:lineRule="exact"/>
        <w:rPr>
          <w:rFonts w:ascii="Arial" w:cs="Arial" w:eastAsia="Arial" w:hAnsi="Arial"/>
          <w:sz w:val="18"/>
          <w:szCs w:val="18"/>
          <w:color w:val="auto"/>
        </w:rPr>
      </w:pPr>
    </w:p>
    <w:p>
      <w:pPr>
        <w:ind w:left="540" w:firstLine="526"/>
        <w:spacing w:after="0" w:line="261" w:lineRule="auto"/>
        <w:tabs>
          <w:tab w:leader="none" w:pos="1804" w:val="left"/>
        </w:tabs>
        <w:numPr>
          <w:ilvl w:val="1"/>
          <w:numId w:val="80"/>
        </w:numPr>
        <w:rPr>
          <w:rFonts w:ascii="Arial" w:cs="Arial" w:eastAsia="Arial" w:hAnsi="Arial"/>
          <w:sz w:val="18"/>
          <w:szCs w:val="18"/>
          <w:color w:val="auto"/>
        </w:rPr>
      </w:pPr>
      <w:r>
        <w:rPr>
          <w:rFonts w:ascii="Arial" w:cs="Arial" w:eastAsia="Arial" w:hAnsi="Arial"/>
          <w:sz w:val="18"/>
          <w:szCs w:val="18"/>
          <w:color w:val="auto"/>
        </w:rPr>
        <w:t>Each U.K. Borrower shall, promptly on making a DTTP Filing, deliver a copy of such DTTP Filing to the Administrative Agent for delivery to the relevant Lender.</w:t>
      </w:r>
    </w:p>
    <w:p>
      <w:pPr>
        <w:spacing w:after="0" w:line="178" w:lineRule="exact"/>
        <w:rPr>
          <w:rFonts w:ascii="Arial" w:cs="Arial" w:eastAsia="Arial" w:hAnsi="Arial"/>
          <w:sz w:val="18"/>
          <w:szCs w:val="18"/>
          <w:color w:val="auto"/>
        </w:rPr>
      </w:pPr>
    </w:p>
    <w:p>
      <w:pPr>
        <w:jc w:val="both"/>
        <w:ind w:left="540" w:firstLine="526"/>
        <w:spacing w:after="0" w:line="252" w:lineRule="auto"/>
        <w:tabs>
          <w:tab w:leader="none" w:pos="1853" w:val="left"/>
        </w:tabs>
        <w:numPr>
          <w:ilvl w:val="1"/>
          <w:numId w:val="80"/>
        </w:numPr>
        <w:rPr>
          <w:rFonts w:ascii="Arial" w:cs="Arial" w:eastAsia="Arial" w:hAnsi="Arial"/>
          <w:sz w:val="18"/>
          <w:szCs w:val="18"/>
          <w:color w:val="auto"/>
        </w:rPr>
      </w:pPr>
      <w:r>
        <w:rPr>
          <w:rFonts w:ascii="Arial" w:cs="Arial" w:eastAsia="Arial" w:hAnsi="Arial"/>
          <w:sz w:val="18"/>
          <w:szCs w:val="18"/>
          <w:color w:val="auto"/>
        </w:rPr>
        <w:t>Each Lender shall notify promptly the Company and Administrative Agent if it determines in its sole discretion that it is ceases to be entitled to claim the benefits of an income tax treaty to which the United Kingdom is a party with respect to payments made by any U.K. Borrower hereunder.</w:t>
      </w:r>
    </w:p>
    <w:p>
      <w:pPr>
        <w:spacing w:after="0" w:line="185" w:lineRule="exact"/>
        <w:rPr>
          <w:rFonts w:ascii="Arial" w:cs="Arial" w:eastAsia="Arial" w:hAnsi="Arial"/>
          <w:sz w:val="18"/>
          <w:szCs w:val="18"/>
          <w:color w:val="auto"/>
        </w:rPr>
      </w:pPr>
    </w:p>
    <w:p>
      <w:pPr>
        <w:jc w:val="both"/>
        <w:ind w:firstLine="537"/>
        <w:spacing w:after="0" w:line="298" w:lineRule="auto"/>
        <w:tabs>
          <w:tab w:leader="none" w:pos="1264" w:val="left"/>
        </w:tabs>
        <w:numPr>
          <w:ilvl w:val="0"/>
          <w:numId w:val="81"/>
        </w:numPr>
        <w:rPr>
          <w:rFonts w:ascii="Arial" w:cs="Arial" w:eastAsia="Arial" w:hAnsi="Arial"/>
          <w:sz w:val="15"/>
          <w:szCs w:val="15"/>
          <w:color w:val="auto"/>
        </w:rPr>
      </w:pPr>
      <w:r>
        <w:rPr>
          <w:rFonts w:ascii="Arial" w:cs="Arial" w:eastAsia="Arial" w:hAnsi="Arial"/>
          <w:sz w:val="15"/>
          <w:szCs w:val="15"/>
          <w:u w:val="single" w:color="auto"/>
          <w:color w:val="auto"/>
        </w:rPr>
        <w:t>Treatment of Certain Refunds</w:t>
      </w:r>
      <w:r>
        <w:rPr>
          <w:rFonts w:ascii="Arial" w:cs="Arial" w:eastAsia="Arial" w:hAnsi="Arial"/>
          <w:sz w:val="15"/>
          <w:szCs w:val="15"/>
          <w:color w:val="auto"/>
        </w:rPr>
        <w:t xml:space="preserve">. If any party determines, in its sole discretion exercised in good faith, that it has received a refund of any Taxes as to which it has been indemnified pursuant to this </w:t>
      </w:r>
      <w:r>
        <w:rPr>
          <w:rFonts w:ascii="Arial" w:cs="Arial" w:eastAsia="Arial" w:hAnsi="Arial"/>
          <w:sz w:val="15"/>
          <w:szCs w:val="15"/>
          <w:u w:val="single" w:color="auto"/>
          <w:color w:val="auto"/>
        </w:rPr>
        <w:t>Section 2.17</w:t>
      </w:r>
      <w:r>
        <w:rPr>
          <w:rFonts w:ascii="Arial" w:cs="Arial" w:eastAsia="Arial" w:hAnsi="Arial"/>
          <w:sz w:val="15"/>
          <w:szCs w:val="15"/>
          <w:color w:val="auto"/>
        </w:rPr>
        <w:t xml:space="preserve"> (including by the payment of additional amounts pursuant to this </w:t>
      </w:r>
      <w:r>
        <w:rPr>
          <w:rFonts w:ascii="Arial" w:cs="Arial" w:eastAsia="Arial" w:hAnsi="Arial"/>
          <w:sz w:val="15"/>
          <w:szCs w:val="15"/>
          <w:u w:val="single" w:color="auto"/>
          <w:color w:val="auto"/>
        </w:rPr>
        <w:t>Section 2.17</w:t>
      </w:r>
      <w:r>
        <w:rPr>
          <w:rFonts w:ascii="Arial" w:cs="Arial" w:eastAsia="Arial" w:hAnsi="Arial"/>
          <w:sz w:val="15"/>
          <w:szCs w:val="15"/>
          <w:color w:val="auto"/>
        </w:rPr>
        <w:t xml:space="preserve">), it shall pay to the indemnifying party an amount equal to such refund (but only to the extent of indemnity payments made under this </w:t>
      </w:r>
      <w:r>
        <w:rPr>
          <w:rFonts w:ascii="Arial" w:cs="Arial" w:eastAsia="Arial" w:hAnsi="Arial"/>
          <w:sz w:val="15"/>
          <w:szCs w:val="15"/>
          <w:u w:val="single" w:color="auto"/>
          <w:color w:val="auto"/>
        </w:rPr>
        <w:t>Section 2.17</w:t>
      </w:r>
      <w:r>
        <w:rPr>
          <w:rFonts w:ascii="Arial" w:cs="Arial" w:eastAsia="Arial" w:hAnsi="Arial"/>
          <w:sz w:val="15"/>
          <w:szCs w:val="15"/>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w:t>
      </w:r>
      <w:r>
        <w:rPr>
          <w:rFonts w:ascii="Arial" w:cs="Arial" w:eastAsia="Arial" w:hAnsi="Arial"/>
          <w:sz w:val="15"/>
          <w:szCs w:val="15"/>
          <w:u w:val="single" w:color="auto"/>
          <w:color w:val="auto"/>
        </w:rPr>
        <w:t>(h)</w:t>
      </w:r>
      <w:r>
        <w:rPr>
          <w:rFonts w:ascii="Arial" w:cs="Arial" w:eastAsia="Arial" w:hAnsi="Arial"/>
          <w:sz w:val="15"/>
          <w:szCs w:val="15"/>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paragraph </w:t>
      </w:r>
      <w:r>
        <w:rPr>
          <w:rFonts w:ascii="Arial" w:cs="Arial" w:eastAsia="Arial" w:hAnsi="Arial"/>
          <w:sz w:val="15"/>
          <w:szCs w:val="15"/>
          <w:u w:val="single" w:color="auto"/>
          <w:color w:val="auto"/>
        </w:rPr>
        <w:t>(h)</w:t>
      </w:r>
      <w:r>
        <w:rPr>
          <w:rFonts w:ascii="Arial" w:cs="Arial" w:eastAsia="Arial" w:hAnsi="Arial"/>
          <w:sz w:val="15"/>
          <w:szCs w:val="15"/>
          <w:color w:val="auto"/>
        </w:rPr>
        <w:t xml:space="preserve">, in no event will the indemnified party be required to pay any amount to an indemnifying party pursuant to this paragraph </w:t>
      </w:r>
      <w:r>
        <w:rPr>
          <w:rFonts w:ascii="Arial" w:cs="Arial" w:eastAsia="Arial" w:hAnsi="Arial"/>
          <w:sz w:val="15"/>
          <w:szCs w:val="15"/>
          <w:u w:val="single" w:color="auto"/>
          <w:color w:val="auto"/>
        </w:rPr>
        <w:t>(h)</w:t>
      </w:r>
      <w:r>
        <w:rPr>
          <w:rFonts w:ascii="Arial" w:cs="Arial" w:eastAsia="Arial" w:hAnsi="Arial"/>
          <w:sz w:val="15"/>
          <w:szCs w:val="15"/>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366" w:lineRule="exact"/>
        <w:rPr>
          <w:rFonts w:ascii="Arial" w:cs="Arial" w:eastAsia="Arial" w:hAnsi="Arial"/>
          <w:sz w:val="15"/>
          <w:szCs w:val="15"/>
          <w:color w:val="auto"/>
        </w:rPr>
      </w:pPr>
    </w:p>
    <w:p>
      <w:pPr>
        <w:jc w:val="both"/>
        <w:ind w:firstLine="537"/>
        <w:spacing w:after="0" w:line="252" w:lineRule="auto"/>
        <w:tabs>
          <w:tab w:leader="none" w:pos="1224"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85" w:lineRule="exact"/>
        <w:rPr>
          <w:rFonts w:ascii="Arial" w:cs="Arial" w:eastAsia="Arial" w:hAnsi="Arial"/>
          <w:sz w:val="18"/>
          <w:szCs w:val="18"/>
          <w:color w:val="auto"/>
        </w:rPr>
      </w:pPr>
    </w:p>
    <w:p>
      <w:pPr>
        <w:ind w:left="1240" w:hanging="703"/>
        <w:spacing w:after="0"/>
        <w:tabs>
          <w:tab w:leader="none" w:pos="1240" w:val="left"/>
        </w:tabs>
        <w:numPr>
          <w:ilvl w:val="0"/>
          <w:numId w:val="81"/>
        </w:numPr>
        <w:rPr>
          <w:rFonts w:ascii="Arial" w:cs="Arial" w:eastAsia="Arial" w:hAnsi="Arial"/>
          <w:sz w:val="15"/>
          <w:szCs w:val="15"/>
          <w:color w:val="auto"/>
        </w:rPr>
      </w:pPr>
      <w:r>
        <w:rPr>
          <w:rFonts w:ascii="Arial" w:cs="Arial" w:eastAsia="Arial" w:hAnsi="Arial"/>
          <w:sz w:val="15"/>
          <w:szCs w:val="15"/>
          <w:u w:val="single" w:color="auto"/>
          <w:color w:val="auto"/>
        </w:rPr>
        <w:t>Defined Terms</w:t>
      </w:r>
      <w:r>
        <w:rPr>
          <w:rFonts w:ascii="Arial" w:cs="Arial" w:eastAsia="Arial" w:hAnsi="Arial"/>
          <w:sz w:val="15"/>
          <w:szCs w:val="15"/>
          <w:color w:val="auto"/>
        </w:rPr>
        <w:t xml:space="preserve">. For purposes of this </w:t>
      </w:r>
      <w:r>
        <w:rPr>
          <w:rFonts w:ascii="Arial" w:cs="Arial" w:eastAsia="Arial" w:hAnsi="Arial"/>
          <w:sz w:val="15"/>
          <w:szCs w:val="15"/>
          <w:u w:val="single" w:color="auto"/>
          <w:color w:val="auto"/>
        </w:rPr>
        <w:t>Section 2.17</w:t>
      </w:r>
      <w:r>
        <w:rPr>
          <w:rFonts w:ascii="Arial" w:cs="Arial" w:eastAsia="Arial" w:hAnsi="Arial"/>
          <w:sz w:val="15"/>
          <w:szCs w:val="15"/>
          <w:color w:val="auto"/>
        </w:rPr>
        <w:t>, the term “Lender” includes the Issuing Bank and the term “applicable law” includes FATCA.</w:t>
      </w:r>
    </w:p>
    <w:p>
      <w:pPr>
        <w:spacing w:after="0" w:line="246" w:lineRule="exact"/>
        <w:rPr>
          <w:rFonts w:ascii="Arial" w:cs="Arial" w:eastAsia="Arial" w:hAnsi="Arial"/>
          <w:sz w:val="15"/>
          <w:szCs w:val="15"/>
          <w:color w:val="auto"/>
        </w:rPr>
      </w:pPr>
    </w:p>
    <w:p>
      <w:pPr>
        <w:jc w:val="both"/>
        <w:ind w:firstLine="537"/>
        <w:spacing w:after="0" w:line="272" w:lineRule="auto"/>
        <w:tabs>
          <w:tab w:leader="none" w:pos="1264" w:val="left"/>
        </w:tabs>
        <w:numPr>
          <w:ilvl w:val="0"/>
          <w:numId w:val="81"/>
        </w:numPr>
        <w:rPr>
          <w:rFonts w:ascii="Arial" w:cs="Arial" w:eastAsia="Arial" w:hAnsi="Arial"/>
          <w:sz w:val="18"/>
          <w:szCs w:val="18"/>
          <w:color w:val="auto"/>
        </w:rPr>
      </w:pPr>
      <w:r>
        <w:rPr>
          <w:rFonts w:ascii="Arial" w:cs="Arial" w:eastAsia="Arial" w:hAnsi="Arial"/>
          <w:sz w:val="16"/>
          <w:szCs w:val="16"/>
          <w:u w:val="single" w:color="auto"/>
          <w:color w:val="auto"/>
        </w:rPr>
        <w:t>Grandfathered Obligation Status.</w:t>
      </w:r>
      <w:r>
        <w:rPr>
          <w:rFonts w:ascii="Arial" w:cs="Arial" w:eastAsia="Arial" w:hAnsi="Arial"/>
          <w:sz w:val="16"/>
          <w:szCs w:val="16"/>
          <w:color w:val="auto"/>
        </w:rPr>
        <w:t xml:space="preserve"> </w:t>
      </w:r>
      <w:r>
        <w:rPr>
          <w:rFonts w:ascii="Arial" w:cs="Arial" w:eastAsia="Arial" w:hAnsi="Arial"/>
          <w:sz w:val="17"/>
          <w:szCs w:val="17"/>
          <w:color w:val="auto"/>
        </w:rPr>
        <w:t>For purposes of determining withholding Taxes imposed under FATCA, from and after the Effective Date, the</w:t>
      </w:r>
      <w:r>
        <w:rPr>
          <w:rFonts w:ascii="Arial" w:cs="Arial" w:eastAsia="Arial" w:hAnsi="Arial"/>
          <w:sz w:val="16"/>
          <w:szCs w:val="16"/>
          <w:color w:val="auto"/>
        </w:rPr>
        <w:t xml:space="preserve"> </w:t>
      </w:r>
      <w:r>
        <w:rPr>
          <w:rFonts w:ascii="Arial" w:cs="Arial" w:eastAsia="Arial" w:hAnsi="Arial"/>
          <w:sz w:val="17"/>
          <w:szCs w:val="17"/>
          <w:color w:val="auto"/>
        </w:rPr>
        <w:t>Borrowers and the Administrative Agent shall treat (and the Lenders hereby authorize the Administrative Agent to treat) this Agreement as not qualifying as a “grandfathered obligation” within the meaning of Treasury Regulation Section 1.1471-2(b)(2)(i).</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u w:val="single" w:color="auto"/>
          <w:color w:val="auto"/>
        </w:rPr>
        <w:t>Payments Generally; Pro Rata Treatment; Sharing of Set-offs</w:t>
      </w:r>
      <w:r>
        <w:rPr>
          <w:rFonts w:ascii="Arial" w:cs="Arial" w:eastAsia="Arial" w:hAnsi="Arial"/>
          <w:sz w:val="18"/>
          <w:szCs w:val="18"/>
          <w:color w:val="auto"/>
        </w:rPr>
        <w:t>.</w:t>
      </w:r>
    </w:p>
    <w:p>
      <w:pPr>
        <w:spacing w:after="0" w:line="212" w:lineRule="exact"/>
        <w:rPr>
          <w:sz w:val="20"/>
          <w:szCs w:val="20"/>
          <w:color w:val="auto"/>
        </w:rPr>
      </w:pPr>
    </w:p>
    <w:p>
      <w:pPr>
        <w:ind w:firstLine="537"/>
        <w:spacing w:after="0" w:line="261" w:lineRule="auto"/>
        <w:tabs>
          <w:tab w:leader="none" w:pos="1254"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Borrowers shall make each payment required to be made by the Borrowers hereunder (whether of principal, interest, fees or reimbursement of LC Disbursements, or of amounts payable under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ectPr>
          <w:pgSz w:w="11900" w:h="16838" w:orient="portrait"/>
          <w:cols w:equalWidth="0" w:num="1">
            <w:col w:w="11460"/>
          </w:cols>
          <w:pgMar w:left="220" w:top="508" w:right="219" w:bottom="1440" w:gutter="0" w:footer="0" w:header="0"/>
        </w:sectPr>
      </w:pPr>
    </w:p>
    <w:bookmarkStart w:id="114" w:name="page115"/>
    <w:bookmarkEnd w:id="114"/>
    <w:p>
      <w:pPr>
        <w:jc w:val="both"/>
        <w:spacing w:after="0" w:line="300" w:lineRule="auto"/>
        <w:rPr>
          <w:sz w:val="20"/>
          <w:szCs w:val="20"/>
          <w:color w:val="auto"/>
        </w:rPr>
      </w:pPr>
      <w:r>
        <w:rPr>
          <w:rFonts w:ascii="Arial" w:cs="Arial" w:eastAsia="Arial" w:hAnsi="Arial"/>
          <w:sz w:val="15"/>
          <w:szCs w:val="15"/>
          <w:u w:val="single" w:color="auto"/>
          <w:color w:val="auto"/>
        </w:rPr>
        <w:t>Section 2.15</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2.16</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2.17</w:t>
      </w:r>
      <w:r>
        <w:rPr>
          <w:rFonts w:ascii="Arial" w:cs="Arial" w:eastAsia="Arial" w:hAnsi="Arial"/>
          <w:sz w:val="15"/>
          <w:szCs w:val="15"/>
          <w:color w:val="auto"/>
        </w:rPr>
        <w:t xml:space="preserve">, or otherwise) prior to 12:00 noon, Local Time, on the date when due, in immediately available funds, without set 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account as the Administrative Agent shall from time to time specify in a notice delivered to the Company, except payments to be made directly to the Issuing Bank or Swingline Lender as expressly provided herein and except that payments pursuant to </w:t>
      </w:r>
      <w:r>
        <w:rPr>
          <w:rFonts w:ascii="Arial" w:cs="Arial" w:eastAsia="Arial" w:hAnsi="Arial"/>
          <w:sz w:val="15"/>
          <w:szCs w:val="15"/>
          <w:u w:val="single" w:color="auto"/>
          <w:color w:val="auto"/>
        </w:rPr>
        <w:t>Section 2.15</w:t>
      </w:r>
      <w:r>
        <w:rPr>
          <w:rFonts w:ascii="Arial" w:cs="Arial" w:eastAsia="Arial" w:hAnsi="Arial"/>
          <w:sz w:val="15"/>
          <w:szCs w:val="15"/>
          <w:color w:val="auto"/>
        </w:rPr>
        <w:t xml:space="preserve">, </w:t>
      </w:r>
      <w:r>
        <w:rPr>
          <w:rFonts w:ascii="Arial" w:cs="Arial" w:eastAsia="Arial" w:hAnsi="Arial"/>
          <w:sz w:val="15"/>
          <w:szCs w:val="15"/>
          <w:u w:val="single" w:color="auto"/>
          <w:color w:val="auto"/>
        </w:rPr>
        <w:t>2.16</w:t>
      </w:r>
      <w:r>
        <w:rPr>
          <w:rFonts w:ascii="Arial" w:cs="Arial" w:eastAsia="Arial" w:hAnsi="Arial"/>
          <w:sz w:val="15"/>
          <w:szCs w:val="15"/>
          <w:color w:val="auto"/>
        </w:rPr>
        <w:t xml:space="preserve">, </w:t>
      </w:r>
      <w:r>
        <w:rPr>
          <w:rFonts w:ascii="Arial" w:cs="Arial" w:eastAsia="Arial" w:hAnsi="Arial"/>
          <w:sz w:val="15"/>
          <w:szCs w:val="15"/>
          <w:u w:val="single" w:color="auto"/>
          <w:color w:val="auto"/>
        </w:rPr>
        <w:t>2.17</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9.03</w:t>
      </w:r>
      <w:r>
        <w:rPr>
          <w:rFonts w:ascii="Arial" w:cs="Arial" w:eastAsia="Arial" w:hAnsi="Arial"/>
          <w:sz w:val="15"/>
          <w:szCs w:val="15"/>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the currency in which the applicable Obligations are denominated, and, if not otherwise specified, in U.S. Dollars.</w:t>
      </w:r>
    </w:p>
    <w:p>
      <w:pPr>
        <w:spacing w:after="0" w:line="154" w:lineRule="exact"/>
        <w:rPr>
          <w:sz w:val="20"/>
          <w:szCs w:val="20"/>
          <w:color w:val="auto"/>
        </w:rPr>
      </w:pPr>
    </w:p>
    <w:p>
      <w:pPr>
        <w:jc w:val="both"/>
        <w:ind w:firstLine="537"/>
        <w:spacing w:after="0" w:line="247" w:lineRule="auto"/>
        <w:tabs>
          <w:tab w:leader="none" w:pos="1264"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at any time insufficient funds are received by and available to the Administrative Agent to pay fully all amounts of principal, unreimbursed LC Disbursements,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spacing w:after="0" w:line="191" w:lineRule="exact"/>
        <w:rPr>
          <w:rFonts w:ascii="Arial" w:cs="Arial" w:eastAsia="Arial" w:hAnsi="Arial"/>
          <w:sz w:val="18"/>
          <w:szCs w:val="18"/>
          <w:color w:val="auto"/>
        </w:rPr>
      </w:pPr>
    </w:p>
    <w:p>
      <w:pPr>
        <w:jc w:val="both"/>
        <w:ind w:firstLine="537"/>
        <w:spacing w:after="0" w:line="297" w:lineRule="auto"/>
        <w:tabs>
          <w:tab w:leader="none" w:pos="1254" w:val="left"/>
        </w:tabs>
        <w:numPr>
          <w:ilvl w:val="0"/>
          <w:numId w:val="83"/>
        </w:numPr>
        <w:rPr>
          <w:rFonts w:ascii="Arial" w:cs="Arial" w:eastAsia="Arial" w:hAnsi="Arial"/>
          <w:sz w:val="15"/>
          <w:szCs w:val="15"/>
          <w:color w:val="auto"/>
        </w:rPr>
      </w:pPr>
      <w:r>
        <w:rPr>
          <w:rFonts w:ascii="Arial" w:cs="Arial" w:eastAsia="Arial" w:hAnsi="Arial"/>
          <w:sz w:val="15"/>
          <w:szCs w:val="15"/>
          <w:color w:val="auto"/>
        </w:rPr>
        <w:t xml:space="preserve">If any Lender shall, by exercising any right of set off or counterclaim or otherwise, obtain payment in respect of any principal of or interest on any of its Revolving Loans or participations in LC Disbursements or Swingline Loans resulting in such Lender receiving payment of a greater proportion of the aggregate amount of its Revolving Loans and participations in LC Disbursements and Swingline Loans and accrued interest thereon than the proportion received by any other Lender, then the Lender receiving such greater proportion shall purchase (for cash at face value) participations in the Revolving Loans and participations in LC Disbursements and Swingline Loans of other the Lenders to the extent necessary so that the benefit of all such payments shall be shared by the Lenders ratably in accordance with the aggregate amount of principal of and accrued interest on their respective Revolving Loans and participations in LC Disbursements and Swingline Loans;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Borrowers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Company or any Subsidiary or Affiliate thereof (as to which the provisions of this paragraph shall apply). The Borrowers consent to the foregoing and agree, to the extent it may effectively do so under applicable law, that any Lender acquiring a participation pursuant to the foregoing arrangements may exercise against the Borrowers rights of set-off and counterclaim with respect to such participation as fully as if such Lender were a direct creditor of the Borrowers in the amount of such participation.</w:t>
      </w:r>
    </w:p>
    <w:p>
      <w:pPr>
        <w:spacing w:after="0" w:line="366" w:lineRule="exact"/>
        <w:rPr>
          <w:rFonts w:ascii="Arial" w:cs="Arial" w:eastAsia="Arial" w:hAnsi="Arial"/>
          <w:sz w:val="15"/>
          <w:szCs w:val="15"/>
          <w:color w:val="auto"/>
        </w:rPr>
      </w:pPr>
    </w:p>
    <w:p>
      <w:pPr>
        <w:jc w:val="both"/>
        <w:ind w:firstLine="537"/>
        <w:spacing w:after="0" w:line="249" w:lineRule="auto"/>
        <w:tabs>
          <w:tab w:leader="none" w:pos="1264" w:val="left"/>
        </w:tabs>
        <w:numPr>
          <w:ilvl w:val="0"/>
          <w:numId w:val="83"/>
        </w:numPr>
        <w:rPr>
          <w:rFonts w:ascii="Arial" w:cs="Arial" w:eastAsia="Arial" w:hAnsi="Arial"/>
          <w:sz w:val="18"/>
          <w:szCs w:val="18"/>
          <w:color w:val="auto"/>
        </w:rPr>
      </w:pPr>
      <w:r>
        <w:rPr>
          <w:rFonts w:ascii="Arial" w:cs="Arial" w:eastAsia="Arial" w:hAnsi="Arial"/>
          <w:sz w:val="18"/>
          <w:szCs w:val="18"/>
          <w:color w:val="auto"/>
        </w:rPr>
        <w:t>Unless the Administrative Agent shall have received notice from any Borrower prior to the date on which any payment is due to the Administrative Agent for the account of the Lenders or the Issuing Bank hereunder that the Borrowers will not make such payment, the Administrative Agent may assume that the Borrowers have made such payment on such date in accordance herewith and may, in reliance upon such assumption, distribute to the Lenders or the Issuing Bank, as the case may be, the amount due. In such event,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ectPr>
          <w:pgSz w:w="11900" w:h="16838" w:orient="portrait"/>
          <w:cols w:equalWidth="0" w:num="1">
            <w:col w:w="11460"/>
          </w:cols>
          <w:pgMar w:left="220" w:top="508" w:right="219" w:bottom="1440" w:gutter="0" w:footer="0" w:header="0"/>
        </w:sectPr>
      </w:pPr>
    </w:p>
    <w:bookmarkStart w:id="115" w:name="page116"/>
    <w:bookmarkEnd w:id="115"/>
    <w:p>
      <w:pPr>
        <w:jc w:val="both"/>
        <w:spacing w:after="0" w:line="247" w:lineRule="auto"/>
        <w:rPr>
          <w:sz w:val="20"/>
          <w:szCs w:val="20"/>
          <w:color w:val="auto"/>
        </w:rPr>
      </w:pPr>
      <w:r>
        <w:rPr>
          <w:rFonts w:ascii="Arial" w:cs="Arial" w:eastAsia="Arial" w:hAnsi="Arial"/>
          <w:sz w:val="18"/>
          <w:szCs w:val="18"/>
          <w:color w:val="auto"/>
        </w:rPr>
        <w:t>if the Borrowers have not in fact made such payment,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 (including without limitation the Overnight Foreign Currency Rate in the case of Loans denominated in Foreign Currencies).</w:t>
      </w:r>
    </w:p>
    <w:p>
      <w:pPr>
        <w:spacing w:after="0" w:line="191" w:lineRule="exact"/>
        <w:rPr>
          <w:sz w:val="20"/>
          <w:szCs w:val="20"/>
          <w:color w:val="auto"/>
        </w:rPr>
      </w:pPr>
    </w:p>
    <w:p>
      <w:pPr>
        <w:jc w:val="both"/>
        <w:ind w:firstLine="537"/>
        <w:spacing w:after="0" w:line="326" w:lineRule="auto"/>
        <w:tabs>
          <w:tab w:leader="none" w:pos="1254" w:val="left"/>
        </w:tabs>
        <w:numPr>
          <w:ilvl w:val="0"/>
          <w:numId w:val="84"/>
        </w:numPr>
        <w:rPr>
          <w:rFonts w:ascii="Arial" w:cs="Arial" w:eastAsia="Arial" w:hAnsi="Arial"/>
          <w:sz w:val="15"/>
          <w:szCs w:val="15"/>
          <w:color w:val="auto"/>
        </w:rPr>
      </w:pPr>
      <w:r>
        <w:rPr>
          <w:rFonts w:ascii="Arial" w:cs="Arial" w:eastAsia="Arial" w:hAnsi="Arial"/>
          <w:sz w:val="15"/>
          <w:szCs w:val="15"/>
          <w:color w:val="auto"/>
        </w:rPr>
        <w:t xml:space="preserve">If any Lender shall fail to make any payment required to be made by it pursuant to </w:t>
      </w:r>
      <w:r>
        <w:rPr>
          <w:rFonts w:ascii="Arial" w:cs="Arial" w:eastAsia="Arial" w:hAnsi="Arial"/>
          <w:sz w:val="15"/>
          <w:szCs w:val="15"/>
          <w:u w:val="single" w:color="auto"/>
          <w:color w:val="auto"/>
        </w:rPr>
        <w:t>Section 2.05(c)</w:t>
      </w:r>
      <w:r>
        <w:rPr>
          <w:rFonts w:ascii="Arial" w:cs="Arial" w:eastAsia="Arial" w:hAnsi="Arial"/>
          <w:sz w:val="15"/>
          <w:szCs w:val="15"/>
          <w:color w:val="auto"/>
        </w:rPr>
        <w:t xml:space="preserve">, </w:t>
      </w:r>
      <w:r>
        <w:rPr>
          <w:rFonts w:ascii="Arial" w:cs="Arial" w:eastAsia="Arial" w:hAnsi="Arial"/>
          <w:sz w:val="15"/>
          <w:szCs w:val="15"/>
          <w:u w:val="single" w:color="auto"/>
          <w:color w:val="auto"/>
        </w:rPr>
        <w:t>2.06(d)</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(e)</w:t>
      </w:r>
      <w:r>
        <w:rPr>
          <w:rFonts w:ascii="Arial" w:cs="Arial" w:eastAsia="Arial" w:hAnsi="Arial"/>
          <w:sz w:val="15"/>
          <w:szCs w:val="15"/>
          <w:color w:val="auto"/>
        </w:rPr>
        <w:t xml:space="preserve">, </w:t>
      </w:r>
      <w:r>
        <w:rPr>
          <w:rFonts w:ascii="Arial" w:cs="Arial" w:eastAsia="Arial" w:hAnsi="Arial"/>
          <w:sz w:val="15"/>
          <w:szCs w:val="15"/>
          <w:u w:val="single" w:color="auto"/>
          <w:color w:val="auto"/>
        </w:rPr>
        <w:t>2.07(b)</w:t>
      </w:r>
      <w:r>
        <w:rPr>
          <w:rFonts w:ascii="Arial" w:cs="Arial" w:eastAsia="Arial" w:hAnsi="Arial"/>
          <w:sz w:val="15"/>
          <w:szCs w:val="15"/>
          <w:color w:val="auto"/>
        </w:rPr>
        <w:t xml:space="preserve">, </w:t>
      </w:r>
      <w:r>
        <w:rPr>
          <w:rFonts w:ascii="Arial" w:cs="Arial" w:eastAsia="Arial" w:hAnsi="Arial"/>
          <w:sz w:val="15"/>
          <w:szCs w:val="15"/>
          <w:u w:val="single" w:color="auto"/>
          <w:color w:val="auto"/>
        </w:rPr>
        <w:t>2.18(d)</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9.03(c)</w:t>
      </w:r>
      <w:r>
        <w:rPr>
          <w:rFonts w:ascii="Arial" w:cs="Arial" w:eastAsia="Arial" w:hAnsi="Arial"/>
          <w:sz w:val="15"/>
          <w:szCs w:val="15"/>
          <w:color w:val="auto"/>
        </w:rPr>
        <w:t>,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134" w:lineRule="exact"/>
        <w:rPr>
          <w:rFonts w:ascii="Arial" w:cs="Arial" w:eastAsia="Arial" w:hAnsi="Arial"/>
          <w:sz w:val="15"/>
          <w:szCs w:val="15"/>
          <w:color w:val="auto"/>
        </w:rPr>
      </w:pPr>
    </w:p>
    <w:p>
      <w:pPr>
        <w:ind w:firstLine="537"/>
        <w:spacing w:after="0" w:line="261" w:lineRule="auto"/>
        <w:tabs>
          <w:tab w:leader="none" w:pos="1234"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Notwithstanding the foregoing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or anything else to the contrary in this Agreement, amounts received from any Credit Party that is not a Qualified ECP Guarantor shall not be applied to any Excluded Swap Obligation of such Credit Party.</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2.19 </w:t>
      </w:r>
      <w:r>
        <w:rPr>
          <w:rFonts w:ascii="Arial" w:cs="Arial" w:eastAsia="Arial" w:hAnsi="Arial"/>
          <w:sz w:val="18"/>
          <w:szCs w:val="18"/>
          <w:u w:val="single" w:color="auto"/>
          <w:color w:val="auto"/>
        </w:rPr>
        <w:t>Mitigation Obligations; Replacement of the Lenders</w:t>
      </w:r>
      <w:r>
        <w:rPr>
          <w:rFonts w:ascii="Arial" w:cs="Arial" w:eastAsia="Arial" w:hAnsi="Arial"/>
          <w:sz w:val="18"/>
          <w:szCs w:val="18"/>
          <w:color w:val="auto"/>
        </w:rPr>
        <w:t>.</w:t>
      </w:r>
    </w:p>
    <w:p>
      <w:pPr>
        <w:spacing w:after="0" w:line="212" w:lineRule="exact"/>
        <w:rPr>
          <w:sz w:val="20"/>
          <w:szCs w:val="20"/>
          <w:color w:val="auto"/>
        </w:rPr>
      </w:pPr>
    </w:p>
    <w:p>
      <w:pPr>
        <w:jc w:val="both"/>
        <w:ind w:firstLine="537"/>
        <w:spacing w:after="0" w:line="305" w:lineRule="auto"/>
        <w:tabs>
          <w:tab w:leader="none" w:pos="1254" w:val="left"/>
        </w:tabs>
        <w:numPr>
          <w:ilvl w:val="0"/>
          <w:numId w:val="85"/>
        </w:numPr>
        <w:rPr>
          <w:rFonts w:ascii="Arial" w:cs="Arial" w:eastAsia="Arial" w:hAnsi="Arial"/>
          <w:sz w:val="15"/>
          <w:szCs w:val="15"/>
          <w:color w:val="auto"/>
        </w:rPr>
      </w:pPr>
      <w:r>
        <w:rPr>
          <w:rFonts w:ascii="Arial" w:cs="Arial" w:eastAsia="Arial" w:hAnsi="Arial"/>
          <w:sz w:val="15"/>
          <w:szCs w:val="15"/>
          <w:color w:val="auto"/>
        </w:rPr>
        <w:t xml:space="preserve">If any Lender requests compensation under </w:t>
      </w:r>
      <w:r>
        <w:rPr>
          <w:rFonts w:ascii="Arial" w:cs="Arial" w:eastAsia="Arial" w:hAnsi="Arial"/>
          <w:sz w:val="15"/>
          <w:szCs w:val="15"/>
          <w:u w:val="single" w:color="auto"/>
          <w:color w:val="auto"/>
        </w:rPr>
        <w:t>Section 2.15</w:t>
      </w:r>
      <w:r>
        <w:rPr>
          <w:rFonts w:ascii="Arial" w:cs="Arial" w:eastAsia="Arial" w:hAnsi="Arial"/>
          <w:sz w:val="15"/>
          <w:szCs w:val="15"/>
          <w:color w:val="auto"/>
        </w:rPr>
        <w:t xml:space="preserve">, or if any Borrower is required to pay any additional amount to any Lender or any Governmental Authority for the account of any Lender pursuant to </w:t>
      </w:r>
      <w:r>
        <w:rPr>
          <w:rFonts w:ascii="Arial" w:cs="Arial" w:eastAsia="Arial" w:hAnsi="Arial"/>
          <w:sz w:val="15"/>
          <w:szCs w:val="15"/>
          <w:u w:val="single" w:color="auto"/>
          <w:color w:val="auto"/>
        </w:rPr>
        <w:t>Section 2.17</w:t>
      </w:r>
      <w:r>
        <w:rPr>
          <w:rFonts w:ascii="Arial" w:cs="Arial" w:eastAsia="Arial" w:hAnsi="Arial"/>
          <w:sz w:val="15"/>
          <w:szCs w:val="15"/>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5"/>
          <w:szCs w:val="15"/>
          <w:u w:val="single" w:color="auto"/>
          <w:color w:val="auto"/>
        </w:rPr>
        <w:t>Section 2.15</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2.17</w:t>
      </w:r>
      <w:r>
        <w:rPr>
          <w:rFonts w:ascii="Arial" w:cs="Arial" w:eastAsia="Arial" w:hAnsi="Arial"/>
          <w:sz w:val="15"/>
          <w:szCs w:val="15"/>
          <w:color w:val="auto"/>
        </w:rPr>
        <w:t>, as the case may be, in the future and (ii) would not subject such Lender to any unreimbursed cost or expense and would not otherwise be disadvantageous to such Lender. The Borrowers hereby agree to pay all reasonable costs and expenses incurred by any Lender in connection with any such designation or assignment.</w:t>
      </w:r>
    </w:p>
    <w:p>
      <w:pPr>
        <w:spacing w:after="0" w:line="150" w:lineRule="exact"/>
        <w:rPr>
          <w:rFonts w:ascii="Arial" w:cs="Arial" w:eastAsia="Arial" w:hAnsi="Arial"/>
          <w:sz w:val="15"/>
          <w:szCs w:val="15"/>
          <w:color w:val="auto"/>
        </w:rPr>
      </w:pPr>
    </w:p>
    <w:p>
      <w:pPr>
        <w:jc w:val="both"/>
        <w:ind w:firstLine="537"/>
        <w:spacing w:after="0" w:line="298" w:lineRule="auto"/>
        <w:tabs>
          <w:tab w:leader="none" w:pos="1264" w:val="left"/>
        </w:tabs>
        <w:numPr>
          <w:ilvl w:val="0"/>
          <w:numId w:val="85"/>
        </w:numPr>
        <w:rPr>
          <w:rFonts w:ascii="Arial" w:cs="Arial" w:eastAsia="Arial" w:hAnsi="Arial"/>
          <w:sz w:val="15"/>
          <w:szCs w:val="15"/>
          <w:color w:val="auto"/>
        </w:rPr>
      </w:pPr>
      <w:r>
        <w:rPr>
          <w:rFonts w:ascii="Arial" w:cs="Arial" w:eastAsia="Arial" w:hAnsi="Arial"/>
          <w:sz w:val="15"/>
          <w:szCs w:val="15"/>
          <w:color w:val="auto"/>
        </w:rPr>
        <w:t xml:space="preserve">If any Lender requests compensation under </w:t>
      </w:r>
      <w:r>
        <w:rPr>
          <w:rFonts w:ascii="Arial" w:cs="Arial" w:eastAsia="Arial" w:hAnsi="Arial"/>
          <w:sz w:val="15"/>
          <w:szCs w:val="15"/>
          <w:u w:val="single" w:color="auto"/>
          <w:color w:val="auto"/>
        </w:rPr>
        <w:t>Section 2.15</w:t>
      </w:r>
      <w:r>
        <w:rPr>
          <w:rFonts w:ascii="Arial" w:cs="Arial" w:eastAsia="Arial" w:hAnsi="Arial"/>
          <w:sz w:val="15"/>
          <w:szCs w:val="15"/>
          <w:color w:val="auto"/>
        </w:rPr>
        <w:t xml:space="preserve">, or if a Borrower is required to pay any additional amount to any Lender or any Governmental Authority for the account of any Lender pursuant to </w:t>
      </w:r>
      <w:r>
        <w:rPr>
          <w:rFonts w:ascii="Arial" w:cs="Arial" w:eastAsia="Arial" w:hAnsi="Arial"/>
          <w:sz w:val="15"/>
          <w:szCs w:val="15"/>
          <w:u w:val="single" w:color="auto"/>
          <w:color w:val="auto"/>
        </w:rPr>
        <w:t>Section 2.17</w:t>
      </w:r>
      <w:r>
        <w:rPr>
          <w:rFonts w:ascii="Arial" w:cs="Arial" w:eastAsia="Arial" w:hAnsi="Arial"/>
          <w:sz w:val="15"/>
          <w:szCs w:val="15"/>
          <w:color w:val="auto"/>
        </w:rPr>
        <w:t xml:space="preserve">, or if any Lender becomes a Defaulting Lender, then the Borrowers may, at their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15"/>
          <w:szCs w:val="15"/>
          <w:u w:val="single" w:color="auto"/>
          <w:color w:val="auto"/>
        </w:rPr>
        <w:t>Section 9.04</w:t>
      </w:r>
      <w:r>
        <w:rPr>
          <w:rFonts w:ascii="Arial" w:cs="Arial" w:eastAsia="Arial" w:hAnsi="Arial"/>
          <w:sz w:val="15"/>
          <w:szCs w:val="15"/>
          <w:color w:val="auto"/>
        </w:rPr>
        <w:t xml:space="preserve">), all its interests, rights and obligations under this Agreement to an assignee that shall assume such obligations (which assignee may be another Lender, if a Lender accepts such assignment);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the Borrowers shall have received the prior written consent of the Administrative Agent (and if a Commitment is being assigned, the Issuing Bank and the Swingline Lender),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Borrowers (in the case of all other amounts) and (iii) in the case of any such assignment resulting from a claim for compensation under </w:t>
      </w:r>
      <w:r>
        <w:rPr>
          <w:rFonts w:ascii="Arial" w:cs="Arial" w:eastAsia="Arial" w:hAnsi="Arial"/>
          <w:sz w:val="15"/>
          <w:szCs w:val="15"/>
          <w:u w:val="single" w:color="auto"/>
          <w:color w:val="auto"/>
        </w:rPr>
        <w:t>Section 2.15</w:t>
      </w:r>
      <w:r>
        <w:rPr>
          <w:rFonts w:ascii="Arial" w:cs="Arial" w:eastAsia="Arial" w:hAnsi="Arial"/>
          <w:sz w:val="15"/>
          <w:szCs w:val="15"/>
          <w:color w:val="auto"/>
        </w:rPr>
        <w:t xml:space="preserve"> or payments required to be made pursuant to </w:t>
      </w:r>
      <w:r>
        <w:rPr>
          <w:rFonts w:ascii="Arial" w:cs="Arial" w:eastAsia="Arial" w:hAnsi="Arial"/>
          <w:sz w:val="15"/>
          <w:szCs w:val="15"/>
          <w:u w:val="single" w:color="auto"/>
          <w:color w:val="auto"/>
        </w:rPr>
        <w:t>Section 2.17</w:t>
      </w:r>
      <w:r>
        <w:rPr>
          <w:rFonts w:ascii="Arial" w:cs="Arial" w:eastAsia="Arial" w:hAnsi="Arial"/>
          <w:sz w:val="15"/>
          <w:szCs w:val="15"/>
          <w:color w:val="auto"/>
        </w:rPr>
        <w:t>, such assignment will result in a reduction in such compensation or payments. A Lender shall not be required to make any such assignment and delegation if, prior thereto, as a result of a waiver by such Lender or otherwise, the circumstances entitling the Borrowers to require such assignment and delegation cease to apply.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w:t>
      </w:r>
    </w:p>
    <w:p>
      <w:pPr>
        <w:sectPr>
          <w:pgSz w:w="11900" w:h="16838" w:orient="portrait"/>
          <w:cols w:equalWidth="0" w:num="1">
            <w:col w:w="11460"/>
          </w:cols>
          <w:pgMar w:left="220" w:top="508" w:right="219" w:bottom="1440" w:gutter="0" w:footer="0" w:header="0"/>
        </w:sectPr>
      </w:pPr>
    </w:p>
    <w:bookmarkStart w:id="116" w:name="page117"/>
    <w:bookmarkEnd w:id="116"/>
    <w:p>
      <w:pPr>
        <w:ind w:firstLine="529"/>
        <w:spacing w:after="0" w:line="261" w:lineRule="auto"/>
        <w:rPr>
          <w:sz w:val="20"/>
          <w:szCs w:val="20"/>
          <w:color w:val="auto"/>
        </w:rPr>
      </w:pPr>
      <w:r>
        <w:rPr>
          <w:rFonts w:ascii="Arial" w:cs="Arial" w:eastAsia="Arial" w:hAnsi="Arial"/>
          <w:sz w:val="18"/>
          <w:szCs w:val="18"/>
          <w:color w:val="auto"/>
        </w:rPr>
        <w:t xml:space="preserve">SECTION 2.20 </w:t>
      </w:r>
      <w:r>
        <w:rPr>
          <w:rFonts w:ascii="Arial" w:cs="Arial" w:eastAsia="Arial" w:hAnsi="Arial"/>
          <w:sz w:val="18"/>
          <w:szCs w:val="18"/>
          <w:u w:val="single" w:color="auto"/>
          <w:color w:val="auto"/>
        </w:rPr>
        <w:t>Defaulting Lenders</w:t>
      </w:r>
      <w:r>
        <w:rPr>
          <w:rFonts w:ascii="Arial" w:cs="Arial" w:eastAsia="Arial" w:hAnsi="Arial"/>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178" w:lineRule="exact"/>
        <w:rPr>
          <w:sz w:val="20"/>
          <w:szCs w:val="20"/>
          <w:color w:val="auto"/>
        </w:rPr>
      </w:pPr>
    </w:p>
    <w:p>
      <w:pPr>
        <w:ind w:left="1260" w:hanging="723"/>
        <w:spacing w:after="0"/>
        <w:tabs>
          <w:tab w:leader="none" w:pos="1260" w:val="left"/>
        </w:tabs>
        <w:numPr>
          <w:ilvl w:val="0"/>
          <w:numId w:val="86"/>
        </w:numPr>
        <w:rPr>
          <w:rFonts w:ascii="Arial" w:cs="Arial" w:eastAsia="Arial" w:hAnsi="Arial"/>
          <w:sz w:val="15"/>
          <w:szCs w:val="15"/>
          <w:color w:val="auto"/>
        </w:rPr>
      </w:pPr>
      <w:r>
        <w:rPr>
          <w:rFonts w:ascii="Arial" w:cs="Arial" w:eastAsia="Arial" w:hAnsi="Arial"/>
          <w:sz w:val="15"/>
          <w:szCs w:val="15"/>
          <w:color w:val="auto"/>
        </w:rPr>
        <w:t xml:space="preserve">Unused Fees shall cease to accrue on the unfunded portion of the Revolving Commitment of such Defaulting Lender pursuant to </w:t>
      </w:r>
      <w:r>
        <w:rPr>
          <w:rFonts w:ascii="Arial" w:cs="Arial" w:eastAsia="Arial" w:hAnsi="Arial"/>
          <w:sz w:val="15"/>
          <w:szCs w:val="15"/>
          <w:u w:val="single" w:color="auto"/>
          <w:color w:val="auto"/>
        </w:rPr>
        <w:t>Section</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u w:val="single" w:color="auto"/>
          <w:color w:val="auto"/>
        </w:rPr>
        <w:t>2.12(a)</w:t>
      </w:r>
      <w:r>
        <w:rPr>
          <w:rFonts w:ascii="Arial" w:cs="Arial" w:eastAsia="Arial" w:hAnsi="Arial"/>
          <w:sz w:val="18"/>
          <w:szCs w:val="18"/>
          <w:color w:val="auto"/>
        </w:rPr>
        <w:t>;</w:t>
      </w:r>
    </w:p>
    <w:p>
      <w:pPr>
        <w:spacing w:after="0" w:line="198" w:lineRule="exact"/>
        <w:rPr>
          <w:rFonts w:ascii="Arial" w:cs="Arial" w:eastAsia="Arial" w:hAnsi="Arial"/>
          <w:sz w:val="15"/>
          <w:szCs w:val="15"/>
          <w:color w:val="auto"/>
        </w:rPr>
      </w:pPr>
    </w:p>
    <w:p>
      <w:pPr>
        <w:jc w:val="both"/>
        <w:ind w:firstLine="537"/>
        <w:spacing w:after="0" w:line="249" w:lineRule="auto"/>
        <w:tabs>
          <w:tab w:leader="none" w:pos="1264"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the Revolving Commitment and Revolving Credit Exposure of such Defaulting Lender shall not be included in determining whether all the Lenders or the Required Lenders have taken or may take any action hereunder (including any consent to any amendment or waiver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waiver, amendment or modification requiring the consent of all the Lenders or each affected Lender which affects such Defaulting Lender differently than other affected the Lenders shall require the consent of such Defaulting Lender;</w:t>
      </w:r>
    </w:p>
    <w:p>
      <w:pPr>
        <w:spacing w:after="0" w:line="188" w:lineRule="exact"/>
        <w:rPr>
          <w:rFonts w:ascii="Arial" w:cs="Arial" w:eastAsia="Arial" w:hAnsi="Arial"/>
          <w:sz w:val="18"/>
          <w:szCs w:val="18"/>
          <w:color w:val="auto"/>
        </w:rPr>
      </w:pPr>
    </w:p>
    <w:p>
      <w:pPr>
        <w:ind w:left="1260" w:hanging="723"/>
        <w:spacing w:after="0"/>
        <w:tabs>
          <w:tab w:leader="none" w:pos="12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any Swingline Exposure or LC Exposure exists at the time a Lender becomes a Defaulting Lender then:</w:t>
      </w:r>
    </w:p>
    <w:p>
      <w:pPr>
        <w:spacing w:after="0" w:line="211" w:lineRule="exact"/>
        <w:rPr>
          <w:rFonts w:ascii="Arial" w:cs="Arial" w:eastAsia="Arial" w:hAnsi="Arial"/>
          <w:sz w:val="18"/>
          <w:szCs w:val="18"/>
          <w:color w:val="auto"/>
        </w:rPr>
      </w:pPr>
    </w:p>
    <w:p>
      <w:pPr>
        <w:jc w:val="both"/>
        <w:ind w:left="540" w:firstLine="526"/>
        <w:spacing w:after="0" w:line="262" w:lineRule="auto"/>
        <w:tabs>
          <w:tab w:leader="none" w:pos="1764" w:val="left"/>
        </w:tabs>
        <w:numPr>
          <w:ilvl w:val="1"/>
          <w:numId w:val="86"/>
        </w:numPr>
        <w:rPr>
          <w:rFonts w:ascii="Arial" w:cs="Arial" w:eastAsia="Arial" w:hAnsi="Arial"/>
          <w:sz w:val="17"/>
          <w:szCs w:val="17"/>
          <w:color w:val="auto"/>
        </w:rPr>
      </w:pPr>
      <w:r>
        <w:rPr>
          <w:rFonts w:ascii="Arial" w:cs="Arial" w:eastAsia="Arial" w:hAnsi="Arial"/>
          <w:sz w:val="17"/>
          <w:szCs w:val="17"/>
          <w:color w:val="auto"/>
        </w:rPr>
        <w:t xml:space="preserve">all or any part of such Swingline Exposure and LC Exposure shall be reallocated among the non-Defaulting Lenders in accordance with their respective Applicable Percentages but only to the extent that (A) such reallocation does not cause (1) the sum of all non-Defaulting Lenders’ Revolving Credit Exposures to exceed the total of all non-Defaulting Lenders’ Revolving Commitments or (2) any non-Defaulting Revolving Credit Exposure to exceed such non-Defaulting Lender’s Revolving Commitment and (B)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are satisfied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subject to </w:t>
      </w:r>
      <w:r>
        <w:rPr>
          <w:rFonts w:ascii="Arial" w:cs="Arial" w:eastAsia="Arial" w:hAnsi="Arial"/>
          <w:sz w:val="17"/>
          <w:szCs w:val="17"/>
          <w:u w:val="single" w:color="auto"/>
          <w:color w:val="auto"/>
        </w:rPr>
        <w:t>Section 9.19</w:t>
      </w:r>
      <w:r>
        <w:rPr>
          <w:rFonts w:ascii="Arial" w:cs="Arial" w:eastAsia="Arial" w:hAnsi="Arial"/>
          <w:sz w:val="17"/>
          <w:szCs w:val="17"/>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1" w:lineRule="exact"/>
        <w:rPr>
          <w:rFonts w:ascii="Arial" w:cs="Arial" w:eastAsia="Arial" w:hAnsi="Arial"/>
          <w:sz w:val="17"/>
          <w:szCs w:val="17"/>
          <w:color w:val="auto"/>
        </w:rPr>
      </w:pPr>
    </w:p>
    <w:p>
      <w:pPr>
        <w:jc w:val="both"/>
        <w:ind w:left="540" w:firstLine="526"/>
        <w:spacing w:after="0" w:line="326" w:lineRule="auto"/>
        <w:tabs>
          <w:tab w:leader="none" w:pos="1814" w:val="left"/>
        </w:tabs>
        <w:numPr>
          <w:ilvl w:val="1"/>
          <w:numId w:val="86"/>
        </w:numPr>
        <w:rPr>
          <w:rFonts w:ascii="Arial" w:cs="Arial" w:eastAsia="Arial" w:hAnsi="Arial"/>
          <w:sz w:val="15"/>
          <w:szCs w:val="15"/>
          <w:color w:val="auto"/>
        </w:rPr>
      </w:pPr>
      <w:r>
        <w:rPr>
          <w:rFonts w:ascii="Arial" w:cs="Arial" w:eastAsia="Arial" w:hAnsi="Arial"/>
          <w:sz w:val="15"/>
          <w:szCs w:val="15"/>
          <w:color w:val="auto"/>
        </w:rPr>
        <w:t xml:space="preserve">if the reallocation described in clause </w:t>
      </w:r>
      <w:r>
        <w:rPr>
          <w:rFonts w:ascii="Arial" w:cs="Arial" w:eastAsia="Arial" w:hAnsi="Arial"/>
          <w:sz w:val="15"/>
          <w:szCs w:val="15"/>
          <w:u w:val="single" w:color="auto"/>
          <w:color w:val="auto"/>
        </w:rPr>
        <w:t>(i)</w:t>
      </w:r>
      <w:r>
        <w:rPr>
          <w:rFonts w:ascii="Arial" w:cs="Arial" w:eastAsia="Arial" w:hAnsi="Arial"/>
          <w:sz w:val="15"/>
          <w:szCs w:val="15"/>
          <w:color w:val="auto"/>
        </w:rPr>
        <w:t xml:space="preserve"> above cannot, or can only partially, be effected, the Borrowers shall within one Business Day following notice by the Administrative Agent (x) first, prepay such Swingline Exposure and (y) second, cash collateralize such Defaulting Lender’s LC Exposure (after giving effect to any partial reallocation pursuant to clause </w:t>
      </w:r>
      <w:r>
        <w:rPr>
          <w:rFonts w:ascii="Arial" w:cs="Arial" w:eastAsia="Arial" w:hAnsi="Arial"/>
          <w:sz w:val="15"/>
          <w:szCs w:val="15"/>
          <w:u w:val="single" w:color="auto"/>
          <w:color w:val="auto"/>
        </w:rPr>
        <w:t>(i)</w:t>
      </w:r>
      <w:r>
        <w:rPr>
          <w:rFonts w:ascii="Arial" w:cs="Arial" w:eastAsia="Arial" w:hAnsi="Arial"/>
          <w:sz w:val="15"/>
          <w:szCs w:val="15"/>
          <w:color w:val="auto"/>
        </w:rPr>
        <w:t xml:space="preserve"> above) in accordance with the procedures set forth in </w:t>
      </w:r>
      <w:r>
        <w:rPr>
          <w:rFonts w:ascii="Arial" w:cs="Arial" w:eastAsia="Arial" w:hAnsi="Arial"/>
          <w:sz w:val="15"/>
          <w:szCs w:val="15"/>
          <w:u w:val="single" w:color="auto"/>
          <w:color w:val="auto"/>
        </w:rPr>
        <w:t>Section 2.06(j)</w:t>
      </w:r>
      <w:r>
        <w:rPr>
          <w:rFonts w:ascii="Arial" w:cs="Arial" w:eastAsia="Arial" w:hAnsi="Arial"/>
          <w:sz w:val="15"/>
          <w:szCs w:val="15"/>
          <w:color w:val="auto"/>
        </w:rPr>
        <w:t>;</w:t>
      </w:r>
    </w:p>
    <w:p>
      <w:pPr>
        <w:spacing w:after="0" w:line="134" w:lineRule="exact"/>
        <w:rPr>
          <w:rFonts w:ascii="Arial" w:cs="Arial" w:eastAsia="Arial" w:hAnsi="Arial"/>
          <w:sz w:val="15"/>
          <w:szCs w:val="15"/>
          <w:color w:val="auto"/>
        </w:rPr>
      </w:pPr>
    </w:p>
    <w:p>
      <w:pPr>
        <w:jc w:val="both"/>
        <w:ind w:left="540" w:firstLine="526"/>
        <w:spacing w:after="0" w:line="252" w:lineRule="auto"/>
        <w:tabs>
          <w:tab w:leader="none" w:pos="1862" w:val="left"/>
        </w:tabs>
        <w:numPr>
          <w:ilvl w:val="1"/>
          <w:numId w:val="86"/>
        </w:numPr>
        <w:rPr>
          <w:rFonts w:ascii="Arial" w:cs="Arial" w:eastAsia="Arial" w:hAnsi="Arial"/>
          <w:sz w:val="18"/>
          <w:szCs w:val="18"/>
          <w:color w:val="auto"/>
        </w:rPr>
      </w:pPr>
      <w:r>
        <w:rPr>
          <w:rFonts w:ascii="Arial" w:cs="Arial" w:eastAsia="Arial" w:hAnsi="Arial"/>
          <w:sz w:val="18"/>
          <w:szCs w:val="18"/>
          <w:color w:val="auto"/>
        </w:rPr>
        <w:t xml:space="preserve">if the Borrowers cash collateralize any portion of such Defaulting Lender’s LC Exposure pursuant to clause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the Borrowers shall not be required to pay any fees to such Defaulting Lender pursuant to </w:t>
      </w:r>
      <w:r>
        <w:rPr>
          <w:rFonts w:ascii="Arial" w:cs="Arial" w:eastAsia="Arial" w:hAnsi="Arial"/>
          <w:sz w:val="18"/>
          <w:szCs w:val="18"/>
          <w:u w:val="single" w:color="auto"/>
          <w:color w:val="auto"/>
        </w:rPr>
        <w:t>Section 2.12(b)</w:t>
      </w:r>
      <w:r>
        <w:rPr>
          <w:rFonts w:ascii="Arial" w:cs="Arial" w:eastAsia="Arial" w:hAnsi="Arial"/>
          <w:sz w:val="18"/>
          <w:szCs w:val="18"/>
          <w:color w:val="auto"/>
        </w:rPr>
        <w:t xml:space="preserve"> with respect to such Defaulting Lender’s LC Exposure during the period such Defaulting Lender’s LC Exposure is cash collateralized;</w:t>
      </w:r>
    </w:p>
    <w:p>
      <w:pPr>
        <w:spacing w:after="0" w:line="185" w:lineRule="exact"/>
        <w:rPr>
          <w:rFonts w:ascii="Arial" w:cs="Arial" w:eastAsia="Arial" w:hAnsi="Arial"/>
          <w:sz w:val="18"/>
          <w:szCs w:val="18"/>
          <w:color w:val="auto"/>
        </w:rPr>
      </w:pPr>
    </w:p>
    <w:p>
      <w:pPr>
        <w:ind w:left="540" w:firstLine="526"/>
        <w:spacing w:after="0" w:line="261" w:lineRule="auto"/>
        <w:tabs>
          <w:tab w:leader="none" w:pos="1853" w:val="left"/>
        </w:tabs>
        <w:numPr>
          <w:ilvl w:val="1"/>
          <w:numId w:val="86"/>
        </w:numPr>
        <w:rPr>
          <w:rFonts w:ascii="Arial" w:cs="Arial" w:eastAsia="Arial" w:hAnsi="Arial"/>
          <w:sz w:val="18"/>
          <w:szCs w:val="18"/>
          <w:color w:val="auto"/>
        </w:rPr>
      </w:pPr>
      <w:r>
        <w:rPr>
          <w:rFonts w:ascii="Arial" w:cs="Arial" w:eastAsia="Arial" w:hAnsi="Arial"/>
          <w:sz w:val="18"/>
          <w:szCs w:val="18"/>
          <w:color w:val="auto"/>
        </w:rPr>
        <w:t xml:space="preserve">if the LC Exposure of the non-Defaulting Lenders is reallocated pursuant to clause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above, then the fees payable to the Lenders pursuant to </w:t>
      </w:r>
      <w:r>
        <w:rPr>
          <w:rFonts w:ascii="Arial" w:cs="Arial" w:eastAsia="Arial" w:hAnsi="Arial"/>
          <w:sz w:val="18"/>
          <w:szCs w:val="18"/>
          <w:u w:val="single" w:color="auto"/>
          <w:color w:val="auto"/>
        </w:rPr>
        <w:t>Section 2.12(a)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shall be adjusted in accordance with such non-Defaulting Lenders’ Applicable Percentages;</w:t>
      </w:r>
    </w:p>
    <w:p>
      <w:pPr>
        <w:spacing w:after="0" w:line="178" w:lineRule="exact"/>
        <w:rPr>
          <w:rFonts w:ascii="Arial" w:cs="Arial" w:eastAsia="Arial" w:hAnsi="Arial"/>
          <w:sz w:val="18"/>
          <w:szCs w:val="18"/>
          <w:color w:val="auto"/>
        </w:rPr>
      </w:pPr>
    </w:p>
    <w:p>
      <w:pPr>
        <w:jc w:val="both"/>
        <w:ind w:left="540" w:firstLine="526"/>
        <w:spacing w:after="0" w:line="249" w:lineRule="auto"/>
        <w:tabs>
          <w:tab w:leader="none" w:pos="1804" w:val="left"/>
        </w:tabs>
        <w:numPr>
          <w:ilvl w:val="1"/>
          <w:numId w:val="86"/>
        </w:numPr>
        <w:rPr>
          <w:rFonts w:ascii="Arial" w:cs="Arial" w:eastAsia="Arial" w:hAnsi="Arial"/>
          <w:sz w:val="18"/>
          <w:szCs w:val="18"/>
          <w:color w:val="auto"/>
        </w:rPr>
      </w:pPr>
      <w:r>
        <w:rPr>
          <w:rFonts w:ascii="Arial" w:cs="Arial" w:eastAsia="Arial" w:hAnsi="Arial"/>
          <w:sz w:val="18"/>
          <w:szCs w:val="18"/>
          <w:color w:val="auto"/>
        </w:rPr>
        <w:t xml:space="preserve">if any Defaulting Lender’s LC Exposure is neither cash collateralized nor reallocated pursuant to clause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then, without prejudice to any rights or remedies of the Issuing Bank or any Lender hereunder, all Unused Fees that otherwise would have been payable to such Defaulting Lender (solely with respect to the portion of such Defaulting Lender’s Commitment that was utilized by such LC Exposure) and Letter of Credit fees payable under </w:t>
      </w:r>
      <w:r>
        <w:rPr>
          <w:rFonts w:ascii="Arial" w:cs="Arial" w:eastAsia="Arial" w:hAnsi="Arial"/>
          <w:sz w:val="18"/>
          <w:szCs w:val="18"/>
          <w:u w:val="single" w:color="auto"/>
          <w:color w:val="auto"/>
        </w:rPr>
        <w:t>Section 2.12(b)</w:t>
      </w:r>
      <w:r>
        <w:rPr>
          <w:rFonts w:ascii="Arial" w:cs="Arial" w:eastAsia="Arial" w:hAnsi="Arial"/>
          <w:sz w:val="18"/>
          <w:szCs w:val="18"/>
          <w:color w:val="auto"/>
        </w:rPr>
        <w:t xml:space="preserve"> with</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ectPr>
          <w:pgSz w:w="11900" w:h="16838" w:orient="portrait"/>
          <w:cols w:equalWidth="0" w:num="1">
            <w:col w:w="11460"/>
          </w:cols>
          <w:pgMar w:left="220" w:top="508" w:right="219" w:bottom="1440" w:gutter="0" w:footer="0" w:header="0"/>
        </w:sectPr>
      </w:pPr>
    </w:p>
    <w:bookmarkStart w:id="117" w:name="page118"/>
    <w:bookmarkEnd w:id="117"/>
    <w:p>
      <w:pPr>
        <w:ind w:left="540"/>
        <w:spacing w:after="0" w:line="261" w:lineRule="auto"/>
        <w:rPr>
          <w:sz w:val="20"/>
          <w:szCs w:val="20"/>
          <w:color w:val="auto"/>
        </w:rPr>
      </w:pPr>
      <w:r>
        <w:rPr>
          <w:rFonts w:ascii="Arial" w:cs="Arial" w:eastAsia="Arial" w:hAnsi="Arial"/>
          <w:sz w:val="18"/>
          <w:szCs w:val="18"/>
          <w:color w:val="auto"/>
        </w:rPr>
        <w:t>respect to such Defaulting Lender’s LC Exposure shall be payable to the Issuing Bank until such LC Exposure is cash collateralized and/or reallocated; and</w:t>
      </w:r>
    </w:p>
    <w:p>
      <w:pPr>
        <w:spacing w:after="0" w:line="178" w:lineRule="exact"/>
        <w:rPr>
          <w:sz w:val="20"/>
          <w:szCs w:val="20"/>
          <w:color w:val="auto"/>
        </w:rPr>
      </w:pPr>
    </w:p>
    <w:p>
      <w:pPr>
        <w:jc w:val="both"/>
        <w:ind w:firstLine="537"/>
        <w:spacing w:after="0" w:line="309" w:lineRule="auto"/>
        <w:tabs>
          <w:tab w:leader="none" w:pos="1264" w:val="left"/>
        </w:tabs>
        <w:numPr>
          <w:ilvl w:val="1"/>
          <w:numId w:val="87"/>
        </w:numPr>
        <w:rPr>
          <w:rFonts w:ascii="Arial" w:cs="Arial" w:eastAsia="Arial" w:hAnsi="Arial"/>
          <w:sz w:val="15"/>
          <w:szCs w:val="15"/>
          <w:color w:val="auto"/>
        </w:rPr>
      </w:pPr>
      <w:r>
        <w:rPr>
          <w:rFonts w:ascii="Arial" w:cs="Arial" w:eastAsia="Arial" w:hAnsi="Arial"/>
          <w:sz w:val="15"/>
          <w:szCs w:val="15"/>
          <w:color w:val="auto"/>
        </w:rPr>
        <w:t xml:space="preserve">so long as any Lender is a Defaulting Lender, the Swingline Lender shall not be required to fund any Swingline Loan and the Issuing Bank shall not be required to issue, amend or increase any Letter of Credit, unless it is satisfied that the related exposure and the Defaulting Lender’s then outstanding LC Exposure will be 100% covered by the Revolving Commitments of the non-Defaulting Lenders and/or cash collateral will be provided by the Borrowers in accordance with </w:t>
      </w:r>
      <w:r>
        <w:rPr>
          <w:rFonts w:ascii="Arial" w:cs="Arial" w:eastAsia="Arial" w:hAnsi="Arial"/>
          <w:sz w:val="15"/>
          <w:szCs w:val="15"/>
          <w:u w:val="single" w:color="auto"/>
          <w:color w:val="auto"/>
        </w:rPr>
        <w:t>Section 2.20(c)</w:t>
      </w:r>
      <w:r>
        <w:rPr>
          <w:rFonts w:ascii="Arial" w:cs="Arial" w:eastAsia="Arial" w:hAnsi="Arial"/>
          <w:sz w:val="15"/>
          <w:szCs w:val="15"/>
          <w:color w:val="auto"/>
        </w:rPr>
        <w:t xml:space="preserve">, and participating interests in any such newly issued or increased Letter of Credit or newly made Swingline Loan shall be allocated among non-Defaulting Lenders in a manner consistent with </w:t>
      </w:r>
      <w:r>
        <w:rPr>
          <w:rFonts w:ascii="Arial" w:cs="Arial" w:eastAsia="Arial" w:hAnsi="Arial"/>
          <w:sz w:val="15"/>
          <w:szCs w:val="15"/>
          <w:u w:val="single" w:color="auto"/>
          <w:color w:val="auto"/>
        </w:rPr>
        <w:t>Section 2.20(c)(i)</w:t>
      </w:r>
      <w:r>
        <w:rPr>
          <w:rFonts w:ascii="Arial" w:cs="Arial" w:eastAsia="Arial" w:hAnsi="Arial"/>
          <w:sz w:val="15"/>
          <w:szCs w:val="15"/>
          <w:color w:val="auto"/>
        </w:rPr>
        <w:t xml:space="preserve"> (and Defaulting Lenders shall not participate therein); and</w:t>
      </w:r>
    </w:p>
    <w:p>
      <w:pPr>
        <w:spacing w:after="0" w:line="146" w:lineRule="exact"/>
        <w:rPr>
          <w:rFonts w:ascii="Arial" w:cs="Arial" w:eastAsia="Arial" w:hAnsi="Arial"/>
          <w:sz w:val="15"/>
          <w:szCs w:val="15"/>
          <w:color w:val="auto"/>
        </w:rPr>
      </w:pPr>
    </w:p>
    <w:p>
      <w:pPr>
        <w:jc w:val="both"/>
        <w:ind w:firstLine="537"/>
        <w:spacing w:after="0" w:line="293" w:lineRule="auto"/>
        <w:tabs>
          <w:tab w:leader="none" w:pos="1254" w:val="left"/>
        </w:tabs>
        <w:numPr>
          <w:ilvl w:val="1"/>
          <w:numId w:val="87"/>
        </w:numPr>
        <w:rPr>
          <w:rFonts w:ascii="Arial" w:cs="Arial" w:eastAsia="Arial" w:hAnsi="Arial"/>
          <w:sz w:val="15"/>
          <w:szCs w:val="15"/>
          <w:color w:val="auto"/>
        </w:rPr>
      </w:pPr>
      <w:r>
        <w:rPr>
          <w:rFonts w:ascii="Arial" w:cs="Arial" w:eastAsia="Arial" w:hAnsi="Arial"/>
          <w:sz w:val="15"/>
          <w:szCs w:val="15"/>
          <w:color w:val="auto"/>
        </w:rPr>
        <w:t xml:space="preserve">any payment of principal, interest, fees or other amounts received by the Administrative Agent for the account of such Defaulting Lender (whether voluntary or mandatory, at maturity, pursuant to </w:t>
      </w:r>
      <w:r>
        <w:rPr>
          <w:rFonts w:ascii="Arial" w:cs="Arial" w:eastAsia="Arial" w:hAnsi="Arial"/>
          <w:sz w:val="15"/>
          <w:szCs w:val="15"/>
          <w:u w:val="single" w:color="auto"/>
          <w:color w:val="auto"/>
        </w:rPr>
        <w:t>Section 7.01</w:t>
      </w:r>
      <w:r>
        <w:rPr>
          <w:rFonts w:ascii="Arial" w:cs="Arial" w:eastAsia="Arial" w:hAnsi="Arial"/>
          <w:sz w:val="15"/>
          <w:szCs w:val="15"/>
          <w:color w:val="auto"/>
        </w:rPr>
        <w:t xml:space="preserve"> or otherwise) or received by the Administrative Agent from a Defaulting Lender pursuant to </w:t>
      </w:r>
      <w:r>
        <w:rPr>
          <w:rFonts w:ascii="Arial" w:cs="Arial" w:eastAsia="Arial" w:hAnsi="Arial"/>
          <w:sz w:val="15"/>
          <w:szCs w:val="15"/>
          <w:u w:val="single" w:color="auto"/>
          <w:color w:val="auto"/>
        </w:rPr>
        <w:t>Section 9.09</w:t>
      </w:r>
      <w:r>
        <w:rPr>
          <w:rFonts w:ascii="Arial" w:cs="Arial" w:eastAsia="Arial" w:hAnsi="Arial"/>
          <w:sz w:val="15"/>
          <w:szCs w:val="15"/>
          <w:color w:val="auto"/>
        </w:rPr>
        <w:t xml:space="preserve"> shall be applied at such time or times as may be determined by the Administrative Agent as follows: </w:t>
      </w:r>
      <w:r>
        <w:rPr>
          <w:rFonts w:ascii="Arial" w:cs="Arial" w:eastAsia="Arial" w:hAnsi="Arial"/>
          <w:sz w:val="15"/>
          <w:szCs w:val="15"/>
          <w:u w:val="single" w:color="auto"/>
          <w:color w:val="auto"/>
        </w:rPr>
        <w:t>first</w:t>
      </w:r>
      <w:r>
        <w:rPr>
          <w:rFonts w:ascii="Arial" w:cs="Arial" w:eastAsia="Arial" w:hAnsi="Arial"/>
          <w:sz w:val="15"/>
          <w:szCs w:val="15"/>
          <w:color w:val="auto"/>
        </w:rPr>
        <w:t xml:space="preserve">, to the payment of any amounts owing by such Defaulting Lender to the Administrative Agent hereunder; </w:t>
      </w:r>
      <w:r>
        <w:rPr>
          <w:rFonts w:ascii="Arial" w:cs="Arial" w:eastAsia="Arial" w:hAnsi="Arial"/>
          <w:sz w:val="15"/>
          <w:szCs w:val="15"/>
          <w:u w:val="single" w:color="auto"/>
          <w:color w:val="auto"/>
        </w:rPr>
        <w:t>second</w:t>
      </w:r>
      <w:r>
        <w:rPr>
          <w:rFonts w:ascii="Arial" w:cs="Arial" w:eastAsia="Arial" w:hAnsi="Arial"/>
          <w:sz w:val="15"/>
          <w:szCs w:val="15"/>
          <w:color w:val="auto"/>
        </w:rPr>
        <w:t xml:space="preserve">, to the payment on a pro rata basis of any amounts owing by such Defaulting Lender to the Issuing Bank or the Swingline Lender hereunder; </w:t>
      </w:r>
      <w:r>
        <w:rPr>
          <w:rFonts w:ascii="Arial" w:cs="Arial" w:eastAsia="Arial" w:hAnsi="Arial"/>
          <w:sz w:val="15"/>
          <w:szCs w:val="15"/>
          <w:u w:val="single" w:color="auto"/>
          <w:color w:val="auto"/>
        </w:rPr>
        <w:t>third</w:t>
      </w:r>
      <w:r>
        <w:rPr>
          <w:rFonts w:ascii="Arial" w:cs="Arial" w:eastAsia="Arial" w:hAnsi="Arial"/>
          <w:sz w:val="15"/>
          <w:szCs w:val="15"/>
          <w:color w:val="auto"/>
        </w:rPr>
        <w:t xml:space="preserve">, to be held as cash collateral for such Defaulting Lender’s LC Exposure other than any portion of such LC Exposure that has been reallocated to other Lenders or cash collateralized in accordance with the terms hereof; </w:t>
      </w:r>
      <w:r>
        <w:rPr>
          <w:rFonts w:ascii="Arial" w:cs="Arial" w:eastAsia="Arial" w:hAnsi="Arial"/>
          <w:sz w:val="15"/>
          <w:szCs w:val="15"/>
          <w:u w:val="single" w:color="auto"/>
          <w:color w:val="auto"/>
        </w:rPr>
        <w:t>fourth</w:t>
      </w:r>
      <w:r>
        <w:rPr>
          <w:rFonts w:ascii="Arial" w:cs="Arial" w:eastAsia="Arial" w:hAnsi="Arial"/>
          <w:sz w:val="15"/>
          <w:szCs w:val="15"/>
          <w:color w:val="auto"/>
        </w:rPr>
        <w:t xml:space="preserve">, as the Company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5"/>
          <w:szCs w:val="15"/>
          <w:u w:val="single" w:color="auto"/>
          <w:color w:val="auto"/>
        </w:rPr>
        <w:t>fifth</w:t>
      </w:r>
      <w:r>
        <w:rPr>
          <w:rFonts w:ascii="Arial" w:cs="Arial" w:eastAsia="Arial" w:hAnsi="Arial"/>
          <w:sz w:val="15"/>
          <w:szCs w:val="15"/>
          <w:color w:val="auto"/>
        </w:rPr>
        <w:t>, if so determined by the Administrative Agent and the Company, to be held in a deposit account and released pro rata in order to (x) satisfy such Defaulting Lender’s potential future funding obligations with respect to Loans under this Agreement and</w:t>
      </w:r>
    </w:p>
    <w:p>
      <w:pPr>
        <w:spacing w:after="0" w:line="3" w:lineRule="exact"/>
        <w:rPr>
          <w:rFonts w:ascii="Arial" w:cs="Arial" w:eastAsia="Arial" w:hAnsi="Arial"/>
          <w:sz w:val="15"/>
          <w:szCs w:val="15"/>
          <w:color w:val="auto"/>
        </w:rPr>
      </w:pPr>
    </w:p>
    <w:p>
      <w:pPr>
        <w:jc w:val="both"/>
        <w:ind w:firstLine="8"/>
        <w:spacing w:after="0" w:line="295" w:lineRule="auto"/>
        <w:tabs>
          <w:tab w:leader="none" w:pos="275" w:val="left"/>
        </w:tabs>
        <w:numPr>
          <w:ilvl w:val="0"/>
          <w:numId w:val="88"/>
        </w:numPr>
        <w:rPr>
          <w:rFonts w:ascii="Arial" w:cs="Arial" w:eastAsia="Arial" w:hAnsi="Arial"/>
          <w:sz w:val="15"/>
          <w:szCs w:val="15"/>
          <w:color w:val="auto"/>
        </w:rPr>
      </w:pPr>
      <w:r>
        <w:rPr>
          <w:rFonts w:ascii="Arial" w:cs="Arial" w:eastAsia="Arial" w:hAnsi="Arial"/>
          <w:sz w:val="15"/>
          <w:szCs w:val="15"/>
          <w:color w:val="auto"/>
        </w:rPr>
        <w:t xml:space="preserve">cash collateralize the future funding obligations of such Defaulting Lender of any participation in any Letter of Credit or Swingline Loan; </w:t>
      </w:r>
      <w:r>
        <w:rPr>
          <w:rFonts w:ascii="Arial" w:cs="Arial" w:eastAsia="Arial" w:hAnsi="Arial"/>
          <w:sz w:val="15"/>
          <w:szCs w:val="15"/>
          <w:u w:val="single" w:color="auto"/>
          <w:color w:val="auto"/>
        </w:rPr>
        <w:t>sixth</w:t>
      </w:r>
      <w:r>
        <w:rPr>
          <w:rFonts w:ascii="Arial" w:cs="Arial" w:eastAsia="Arial" w:hAnsi="Arial"/>
          <w:sz w:val="15"/>
          <w:szCs w:val="15"/>
          <w:color w:val="auto"/>
        </w:rPr>
        <w:t xml:space="preserve">, to the payment of any amounts owing to the Lenders, the Issuing Bank or the Swingline Lender as a result of any judgment of a court of competent jurisdiction obtained by any Lender, the Issuing Bank or the Swingline Lender against such Defaulting Lender as a result of such Defaulting Lender’s breach of its obligations under this Agreement; </w:t>
      </w:r>
      <w:r>
        <w:rPr>
          <w:rFonts w:ascii="Arial" w:cs="Arial" w:eastAsia="Arial" w:hAnsi="Arial"/>
          <w:sz w:val="15"/>
          <w:szCs w:val="15"/>
          <w:u w:val="single" w:color="auto"/>
          <w:color w:val="auto"/>
        </w:rPr>
        <w:t>seventh</w:t>
      </w:r>
      <w:r>
        <w:rPr>
          <w:rFonts w:ascii="Arial" w:cs="Arial" w:eastAsia="Arial" w:hAnsi="Arial"/>
          <w:sz w:val="15"/>
          <w:szCs w:val="15"/>
          <w:color w:val="auto"/>
        </w:rPr>
        <w:t xml:space="preserve">, so long as no Default or Event of Default exists, to the payment of any amounts owing to the Company as a result of any judgment of a court of competent jurisdiction obtained by the Company against such Defaulting Lender as a result of such Defaulting Lender’s breach of its obligations under this Agreement; and eighth, to such Defaulting Lender or as otherwise directed by a court of competent jurisdiction;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5"/>
          <w:szCs w:val="15"/>
          <w:u w:val="single" w:color="auto"/>
          <w:color w:val="auto"/>
        </w:rPr>
        <w:t>Section 4.02</w:t>
      </w:r>
      <w:r>
        <w:rPr>
          <w:rFonts w:ascii="Arial" w:cs="Arial" w:eastAsia="Arial" w:hAnsi="Arial"/>
          <w:sz w:val="15"/>
          <w:szCs w:val="15"/>
          <w:color w:val="auto"/>
        </w:rPr>
        <w:t xml:space="preserve">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LC Disbursements and Swingline Loans are held by the Lenders pro rata in accordance with the Revolving Commitments hereunder without giving effect to </w:t>
      </w:r>
      <w:r>
        <w:rPr>
          <w:rFonts w:ascii="Arial" w:cs="Arial" w:eastAsia="Arial" w:hAnsi="Arial"/>
          <w:sz w:val="15"/>
          <w:szCs w:val="15"/>
          <w:u w:val="single" w:color="auto"/>
          <w:color w:val="auto"/>
        </w:rPr>
        <w:t>(c)(i)</w:t>
      </w:r>
      <w:r>
        <w:rPr>
          <w:rFonts w:ascii="Arial" w:cs="Arial" w:eastAsia="Arial" w:hAnsi="Arial"/>
          <w:sz w:val="15"/>
          <w:szCs w:val="15"/>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5"/>
          <w:szCs w:val="15"/>
          <w:u w:val="single" w:color="auto"/>
          <w:color w:val="auto"/>
        </w:rPr>
        <w:t>Section 2.20(e)</w:t>
      </w:r>
      <w:r>
        <w:rPr>
          <w:rFonts w:ascii="Arial" w:cs="Arial" w:eastAsia="Arial" w:hAnsi="Arial"/>
          <w:sz w:val="15"/>
          <w:szCs w:val="15"/>
          <w:color w:val="auto"/>
        </w:rPr>
        <w:t xml:space="preserve"> shall be deemed paid to and redirected by such Defaulting Lender, and each Lender irrevocably consents hereto.</w:t>
      </w:r>
    </w:p>
    <w:p>
      <w:pPr>
        <w:spacing w:after="0" w:line="161" w:lineRule="exact"/>
        <w:rPr>
          <w:rFonts w:ascii="Arial" w:cs="Arial" w:eastAsia="Arial" w:hAnsi="Arial"/>
          <w:sz w:val="15"/>
          <w:szCs w:val="15"/>
          <w:color w:val="auto"/>
        </w:rPr>
      </w:pPr>
    </w:p>
    <w:p>
      <w:pPr>
        <w:jc w:val="both"/>
        <w:ind w:firstLine="537"/>
        <w:spacing w:after="0" w:line="252" w:lineRule="auto"/>
        <w:tabs>
          <w:tab w:leader="none" w:pos="1234" w:val="left"/>
        </w:tabs>
        <w:numPr>
          <w:ilvl w:val="1"/>
          <w:numId w:val="88"/>
        </w:numPr>
        <w:rPr>
          <w:rFonts w:ascii="Arial" w:cs="Arial" w:eastAsia="Arial" w:hAnsi="Arial"/>
          <w:sz w:val="18"/>
          <w:szCs w:val="18"/>
          <w:color w:val="auto"/>
        </w:rPr>
      </w:pPr>
      <w:r>
        <w:rPr>
          <w:rFonts w:ascii="Arial" w:cs="Arial" w:eastAsia="Arial" w:hAnsi="Arial"/>
          <w:sz w:val="18"/>
          <w:szCs w:val="18"/>
          <w:color w:val="auto"/>
        </w:rPr>
        <w:t>In the event that the Administrative Agent, the Company, the Issuing Bank and the Swingline Lender each agrees that a Defaulting Lender has adequately remedied all matters that caused such Lender to be a Defaulting Lender, then the Swingline Exposure and LC Exposure of the Lenders shall be readjusted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57</w:t>
      </w:r>
    </w:p>
    <w:p>
      <w:pPr>
        <w:sectPr>
          <w:pgSz w:w="11900" w:h="16838" w:orient="portrait"/>
          <w:cols w:equalWidth="0" w:num="1">
            <w:col w:w="11460"/>
          </w:cols>
          <w:pgMar w:left="220" w:top="508" w:right="219" w:bottom="1440" w:gutter="0" w:footer="0" w:header="0"/>
        </w:sectPr>
      </w:pPr>
    </w:p>
    <w:bookmarkStart w:id="118" w:name="page119"/>
    <w:bookmarkEnd w:id="118"/>
    <w:p>
      <w:pPr>
        <w:jc w:val="both"/>
        <w:spacing w:after="0" w:line="252" w:lineRule="auto"/>
        <w:rPr>
          <w:sz w:val="20"/>
          <w:szCs w:val="20"/>
          <w:color w:val="auto"/>
        </w:rPr>
      </w:pPr>
      <w:r>
        <w:rPr>
          <w:rFonts w:ascii="Arial" w:cs="Arial" w:eastAsia="Arial" w:hAnsi="Arial"/>
          <w:sz w:val="18"/>
          <w:szCs w:val="18"/>
          <w:color w:val="auto"/>
        </w:rPr>
        <w:t>to reflect the inclusion of such Lender’s Commitment and on such date such Lender shall purchase at par such of the Loans of the other the Lenders (other than Swingline Loans) as the Administrative Agent shall determine may be necessary in order for such Lender to hold such Loans in accordance with its Applicable Percentage.</w:t>
      </w:r>
    </w:p>
    <w:p>
      <w:pPr>
        <w:spacing w:after="0" w:line="186" w:lineRule="exact"/>
        <w:rPr>
          <w:sz w:val="20"/>
          <w:szCs w:val="20"/>
          <w:color w:val="auto"/>
        </w:rPr>
      </w:pPr>
    </w:p>
    <w:p>
      <w:pPr>
        <w:jc w:val="both"/>
        <w:ind w:firstLine="529"/>
        <w:spacing w:after="0" w:line="260" w:lineRule="auto"/>
        <w:rPr>
          <w:sz w:val="20"/>
          <w:szCs w:val="20"/>
          <w:color w:val="auto"/>
        </w:rPr>
      </w:pPr>
      <w:r>
        <w:rPr>
          <w:rFonts w:ascii="Arial" w:cs="Arial" w:eastAsia="Arial" w:hAnsi="Arial"/>
          <w:sz w:val="17"/>
          <w:szCs w:val="17"/>
          <w:color w:val="auto"/>
        </w:rPr>
        <w:t xml:space="preserve">SECTION 2.21 </w:t>
      </w:r>
      <w:r>
        <w:rPr>
          <w:rFonts w:ascii="Arial" w:cs="Arial" w:eastAsia="Arial" w:hAnsi="Arial"/>
          <w:sz w:val="17"/>
          <w:szCs w:val="17"/>
          <w:u w:val="single" w:color="auto"/>
          <w:color w:val="auto"/>
        </w:rPr>
        <w:t>Illegality</w:t>
      </w:r>
      <w:r>
        <w:rPr>
          <w:rFonts w:ascii="Arial" w:cs="Arial" w:eastAsia="Arial" w:hAnsi="Arial"/>
          <w:sz w:val="17"/>
          <w:szCs w:val="17"/>
          <w:color w:val="auto"/>
        </w:rPr>
        <w:t>. If, in any applicable jurisdiction, the Administrative Agent, the Issuing Bank or any Lender determines that any law has made it unlawful, or that any Governmental Authority has asserted that it is unlawful, for the Administrative Agent, the Issuing Bank or any Lender to (a) perform any of its obligations hereunder or under any other Loan Document, (b) to fund or maintain its participation in any Loan or (c) issue, make, maintain, fund or charge interest or fees with respect to any Loan or Letter of Credit to any Foreign Borrower, such Person shall promptly notify the Administrative Agent, then, upon the Administrative Agent notifying the Company, and until such notice by such Person is revoked, any obligation of such Person to issue, make, maintain, fund or charge interest or fees with respect to any such Loan or Letter of Credit shall be suspended, and to the extent required by applicable Law, cancelled. Upon receipt of such notice, the Company shall, or shall cause the applicable Foreign Borrower to, (i) repay that Person’s participation in the Loans or other applicable Obligations on the last day of the Interest Period for each Loan or other Obligation occurring after the Administrative Agent has notified the Company or, if earlier, the date specified by such Person in the notice delivered to the Administrative Agent (being no earlier than the last day of any applicable grace period permitted by applicable law), (ii) to the extent applicable to the Issuing Bank, cash collateralize that portion of the LC Exposure comprised of the aggregate undrawn amount of Letters of Credit to the extent not otherwise cash collateralized and (iii) take all reasonable actions requested by such Person to mitigate or avoid such illegality.</w:t>
      </w:r>
    </w:p>
    <w:p>
      <w:pPr>
        <w:spacing w:after="0" w:line="181" w:lineRule="exact"/>
        <w:rPr>
          <w:sz w:val="20"/>
          <w:szCs w:val="20"/>
          <w:color w:val="auto"/>
        </w:rPr>
      </w:pPr>
    </w:p>
    <w:p>
      <w:pPr>
        <w:jc w:val="both"/>
        <w:ind w:firstLine="529"/>
        <w:spacing w:after="0" w:line="252" w:lineRule="auto"/>
        <w:rPr>
          <w:sz w:val="20"/>
          <w:szCs w:val="20"/>
          <w:color w:val="auto"/>
        </w:rPr>
      </w:pPr>
      <w:r>
        <w:rPr>
          <w:rFonts w:ascii="Arial" w:cs="Arial" w:eastAsia="Arial" w:hAnsi="Arial"/>
          <w:sz w:val="18"/>
          <w:szCs w:val="18"/>
          <w:color w:val="auto"/>
        </w:rPr>
        <w:t xml:space="preserve">SECTION 2.22 </w:t>
      </w:r>
      <w:r>
        <w:rPr>
          <w:rFonts w:ascii="Arial" w:cs="Arial" w:eastAsia="Arial" w:hAnsi="Arial"/>
          <w:sz w:val="18"/>
          <w:szCs w:val="18"/>
          <w:u w:val="single" w:color="auto"/>
          <w:color w:val="auto"/>
        </w:rPr>
        <w:t>Borrower Representative</w:t>
      </w:r>
      <w:r>
        <w:rPr>
          <w:rFonts w:ascii="Arial" w:cs="Arial" w:eastAsia="Arial" w:hAnsi="Arial"/>
          <w:sz w:val="18"/>
          <w:szCs w:val="18"/>
          <w:color w:val="auto"/>
        </w:rPr>
        <w:t>. The Company is hereby appointed by each Foreign Borrower as its contractual representative hereunder and under each other Loan Document, and each of the Foreign Borrowers irrevocably authorizes the Company to act as the contractual representative of such Foreign Borrower in regard to this Agreement and the other Loan Documents.</w:t>
      </w:r>
    </w:p>
    <w:p>
      <w:pPr>
        <w:spacing w:after="0" w:line="180"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ARTICLE III</w:t>
      </w:r>
    </w:p>
    <w:p>
      <w:pPr>
        <w:spacing w:after="0" w:line="22"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Representations and Warranties</w:t>
      </w:r>
    </w:p>
    <w:p>
      <w:pPr>
        <w:spacing w:after="0" w:line="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Borrowers represent and warrant to the Administrative Agent and Lenders that:</w:t>
      </w:r>
    </w:p>
    <w:p>
      <w:pPr>
        <w:spacing w:after="0" w:line="165" w:lineRule="exact"/>
        <w:rPr>
          <w:sz w:val="20"/>
          <w:szCs w:val="20"/>
          <w:color w:val="auto"/>
        </w:rPr>
      </w:pPr>
    </w:p>
    <w:p>
      <w:pPr>
        <w:jc w:val="both"/>
        <w:ind w:firstLine="529"/>
        <w:spacing w:after="0" w:line="249"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 Powers</w:t>
      </w:r>
      <w:r>
        <w:rPr>
          <w:rFonts w:ascii="Arial" w:cs="Arial" w:eastAsia="Arial" w:hAnsi="Arial"/>
          <w:sz w:val="18"/>
          <w:szCs w:val="18"/>
          <w:color w:val="auto"/>
        </w:rPr>
        <w:t>. Each of the Company and its Subsidiaries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w:t>
      </w:r>
    </w:p>
    <w:p>
      <w:pPr>
        <w:spacing w:after="0" w:line="188" w:lineRule="exact"/>
        <w:rPr>
          <w:sz w:val="20"/>
          <w:szCs w:val="20"/>
          <w:color w:val="auto"/>
        </w:rPr>
      </w:pPr>
    </w:p>
    <w:p>
      <w:pPr>
        <w:jc w:val="both"/>
        <w:ind w:firstLine="529"/>
        <w:spacing w:after="0" w:line="247"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 The Transactions are within each Credit Party’s corporate powers and have been duly authorized by all necessary corporate and, if required, stockholder action. This Agreement and the other Loan Documents have been duly executed and delivered by each Credit Party that is a party thereto and constitute the legal, valid and binding obligation of such Credit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91" w:lineRule="exact"/>
        <w:rPr>
          <w:sz w:val="20"/>
          <w:szCs w:val="20"/>
          <w:color w:val="auto"/>
        </w:rPr>
      </w:pPr>
    </w:p>
    <w:p>
      <w:pPr>
        <w:jc w:val="both"/>
        <w:ind w:firstLine="529"/>
        <w:spacing w:after="0" w:line="361" w:lineRule="auto"/>
        <w:rPr>
          <w:sz w:val="20"/>
          <w:szCs w:val="20"/>
          <w:color w:val="auto"/>
        </w:rPr>
      </w:pPr>
      <w:r>
        <w:rPr>
          <w:rFonts w:ascii="Arial" w:cs="Arial" w:eastAsia="Arial" w:hAnsi="Arial"/>
          <w:sz w:val="15"/>
          <w:szCs w:val="15"/>
          <w:color w:val="auto"/>
        </w:rPr>
        <w:t xml:space="preserve">SECTION 3.03 </w:t>
      </w:r>
      <w:r>
        <w:rPr>
          <w:rFonts w:ascii="Arial" w:cs="Arial" w:eastAsia="Arial" w:hAnsi="Arial"/>
          <w:sz w:val="15"/>
          <w:szCs w:val="15"/>
          <w:u w:val="single" w:color="auto"/>
          <w:color w:val="auto"/>
        </w:rPr>
        <w:t>Governmental Approvals; No Conflicts</w:t>
      </w:r>
      <w:r>
        <w:rPr>
          <w:rFonts w:ascii="Arial" w:cs="Arial" w:eastAsia="Arial" w:hAnsi="Arial"/>
          <w:sz w:val="15"/>
          <w:szCs w:val="15"/>
          <w:color w:val="auto"/>
        </w:rPr>
        <w:t>. The Transactions (a) do not require any consent or approval of, registration or filing with, or any other action by, any Governmental Authority, except for the filing of a description of the entry into a material definitive agreement on either a Current Report 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58</w:t>
      </w:r>
    </w:p>
    <w:p>
      <w:pPr>
        <w:sectPr>
          <w:pgSz w:w="11900" w:h="16838" w:orient="portrait"/>
          <w:cols w:equalWidth="0" w:num="1">
            <w:col w:w="11460"/>
          </w:cols>
          <w:pgMar w:left="220" w:top="508" w:right="219" w:bottom="1440" w:gutter="0" w:footer="0" w:header="0"/>
        </w:sectPr>
      </w:pPr>
    </w:p>
    <w:bookmarkStart w:id="119" w:name="page120"/>
    <w:bookmarkEnd w:id="119"/>
    <w:p>
      <w:pPr>
        <w:jc w:val="both"/>
        <w:spacing w:after="0" w:line="246" w:lineRule="auto"/>
        <w:rPr>
          <w:sz w:val="20"/>
          <w:szCs w:val="20"/>
          <w:color w:val="auto"/>
        </w:rPr>
      </w:pPr>
      <w:r>
        <w:rPr>
          <w:rFonts w:ascii="Arial" w:cs="Arial" w:eastAsia="Arial" w:hAnsi="Arial"/>
          <w:sz w:val="18"/>
          <w:szCs w:val="18"/>
          <w:color w:val="auto"/>
        </w:rPr>
        <w:t>Form 8-K or Quarterly Report on Form 10-Q with the SEC and except such as have been obtained or made and are in full force and effect, (b) will not violate any applicable law or regulation or the charter, by-laws or other organizational documents of the Company or any of its Subsidiaries or any order of any Governmental Authority, (c) will not violate or result in a default under any indenture, agreement or other instrument binding upon the Company or any of its Subsidiaries or its assets, or give rise to a right thereunder to require any payment to be made by the Company or any of its Subsidiaries, and (d) will not result in the creation or imposition of any Lien on any asset of the Company or any of its Subsidiaries other than those Liens which are created or imposed hereunder or pursuant to the Collateral Documents.</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Financial Condition; No Material Adverse Change; Absence of Default</w:t>
      </w:r>
      <w:r>
        <w:rPr>
          <w:rFonts w:ascii="Arial" w:cs="Arial" w:eastAsia="Arial" w:hAnsi="Arial"/>
          <w:sz w:val="18"/>
          <w:szCs w:val="18"/>
          <w:color w:val="auto"/>
        </w:rPr>
        <w:t>.</w:t>
      </w:r>
    </w:p>
    <w:p>
      <w:pPr>
        <w:spacing w:after="0" w:line="212" w:lineRule="exact"/>
        <w:rPr>
          <w:sz w:val="20"/>
          <w:szCs w:val="20"/>
          <w:color w:val="auto"/>
        </w:rPr>
      </w:pPr>
    </w:p>
    <w:p>
      <w:pPr>
        <w:jc w:val="both"/>
        <w:ind w:firstLine="537"/>
        <w:spacing w:after="0" w:line="314" w:lineRule="auto"/>
        <w:tabs>
          <w:tab w:leader="none" w:pos="1254"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 Company has heretofore furnished to the Lenders its consolidated balance sheet and statements of income, stockholders equity and cash flows (i) as of and for the fiscal year ended June 30, 2016, reported on by Deloitte &amp; Touche LLP, independent registered public accountants and (ii) as of and for the fiscal quarter ended September 30, 2016 on an unaudited basis. Such financial statements present fairly, in all material respects, the financial position and results of operations and cash flows of the Company and its consolidated Subsidiaries as of such dates and for such periods in accordance with GAAP.</w:t>
      </w:r>
    </w:p>
    <w:p>
      <w:pPr>
        <w:spacing w:after="0" w:line="144" w:lineRule="exact"/>
        <w:rPr>
          <w:rFonts w:ascii="Arial" w:cs="Arial" w:eastAsia="Arial" w:hAnsi="Arial"/>
          <w:sz w:val="15"/>
          <w:szCs w:val="15"/>
          <w:color w:val="auto"/>
        </w:rPr>
      </w:pPr>
    </w:p>
    <w:p>
      <w:pPr>
        <w:ind w:firstLine="537"/>
        <w:spacing w:after="0" w:line="261" w:lineRule="auto"/>
        <w:tabs>
          <w:tab w:leader="none" w:pos="1264" w:val="left"/>
        </w:tabs>
        <w:numPr>
          <w:ilvl w:val="0"/>
          <w:numId w:val="89"/>
        </w:numPr>
        <w:rPr>
          <w:rFonts w:ascii="Arial" w:cs="Arial" w:eastAsia="Arial" w:hAnsi="Arial"/>
          <w:sz w:val="18"/>
          <w:szCs w:val="18"/>
          <w:color w:val="auto"/>
        </w:rPr>
      </w:pPr>
      <w:r>
        <w:rPr>
          <w:rFonts w:ascii="Arial" w:cs="Arial" w:eastAsia="Arial" w:hAnsi="Arial"/>
          <w:sz w:val="18"/>
          <w:szCs w:val="18"/>
          <w:color w:val="auto"/>
        </w:rPr>
        <w:t>Since June 30, 2016, there has been no adverse change in the business, assets, operations, prospects or condition, financial or otherwise, of the Company and its Subsidiaries, taken as a whole, that could reasonably be expected to have a Material Adverse Effect.</w:t>
      </w:r>
    </w:p>
    <w:p>
      <w:pPr>
        <w:spacing w:after="0" w:line="178" w:lineRule="exact"/>
        <w:rPr>
          <w:rFonts w:ascii="Arial" w:cs="Arial" w:eastAsia="Arial" w:hAnsi="Arial"/>
          <w:sz w:val="18"/>
          <w:szCs w:val="18"/>
          <w:color w:val="auto"/>
        </w:rPr>
      </w:pPr>
    </w:p>
    <w:p>
      <w:pPr>
        <w:ind w:left="1260" w:hanging="723"/>
        <w:spacing w:after="0"/>
        <w:tabs>
          <w:tab w:leader="none" w:pos="1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 Default has occurred and is continuing.</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Properties</w:t>
      </w:r>
      <w:r>
        <w:rPr>
          <w:rFonts w:ascii="Arial" w:cs="Arial" w:eastAsia="Arial" w:hAnsi="Arial"/>
          <w:sz w:val="18"/>
          <w:szCs w:val="18"/>
          <w:color w:val="auto"/>
        </w:rPr>
        <w:t>.</w:t>
      </w:r>
    </w:p>
    <w:p>
      <w:pPr>
        <w:spacing w:after="0" w:line="212" w:lineRule="exact"/>
        <w:rPr>
          <w:sz w:val="20"/>
          <w:szCs w:val="20"/>
          <w:color w:val="auto"/>
        </w:rPr>
      </w:pPr>
    </w:p>
    <w:p>
      <w:pPr>
        <w:jc w:val="both"/>
        <w:ind w:firstLine="537"/>
        <w:spacing w:after="0" w:line="252" w:lineRule="auto"/>
        <w:tabs>
          <w:tab w:leader="none" w:pos="1254"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of the Company and the other Credit Parties has good title to, or valid leasehold interests in, all its real and personal property material to its business, except for minor defects in title that do not interfere with its ability to conduct its business as currently conducted or to utilize such properties for their intended purposes.</w:t>
      </w:r>
    </w:p>
    <w:p>
      <w:pPr>
        <w:spacing w:after="0" w:line="185" w:lineRule="exact"/>
        <w:rPr>
          <w:rFonts w:ascii="Arial" w:cs="Arial" w:eastAsia="Arial" w:hAnsi="Arial"/>
          <w:sz w:val="18"/>
          <w:szCs w:val="18"/>
          <w:color w:val="auto"/>
        </w:rPr>
      </w:pPr>
    </w:p>
    <w:p>
      <w:pPr>
        <w:jc w:val="both"/>
        <w:ind w:firstLine="537"/>
        <w:spacing w:after="0" w:line="326" w:lineRule="auto"/>
        <w:tabs>
          <w:tab w:leader="none" w:pos="1264" w:val="left"/>
        </w:tabs>
        <w:numPr>
          <w:ilvl w:val="0"/>
          <w:numId w:val="90"/>
        </w:numPr>
        <w:rPr>
          <w:rFonts w:ascii="Arial" w:cs="Arial" w:eastAsia="Arial" w:hAnsi="Arial"/>
          <w:sz w:val="15"/>
          <w:szCs w:val="15"/>
          <w:color w:val="auto"/>
        </w:rPr>
      </w:pPr>
      <w:r>
        <w:rPr>
          <w:rFonts w:ascii="Arial" w:cs="Arial" w:eastAsia="Arial" w:hAnsi="Arial"/>
          <w:sz w:val="15"/>
          <w:szCs w:val="15"/>
          <w:color w:val="auto"/>
        </w:rPr>
        <w:t>Each of the Company and the other Credit Parties owns, or is licensed to use, all trademarks, tradenames, copyrights, patents and other intellectual property material to its business, and the use thereof by the Company and the other Credit Parties does not infringe upon the rights of any other Person, except for any such infringements that, individually or in the aggregate, could not reasonably be expected to result in a Material Adverse Effect.</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Litigation and Environmental Matters</w:t>
      </w:r>
      <w:r>
        <w:rPr>
          <w:rFonts w:ascii="Arial" w:cs="Arial" w:eastAsia="Arial" w:hAnsi="Arial"/>
          <w:sz w:val="18"/>
          <w:szCs w:val="18"/>
          <w:color w:val="auto"/>
        </w:rPr>
        <w:t>.</w:t>
      </w:r>
    </w:p>
    <w:p>
      <w:pPr>
        <w:spacing w:after="0" w:line="212" w:lineRule="exact"/>
        <w:rPr>
          <w:sz w:val="20"/>
          <w:szCs w:val="20"/>
          <w:color w:val="auto"/>
        </w:rPr>
      </w:pPr>
    </w:p>
    <w:p>
      <w:pPr>
        <w:jc w:val="both"/>
        <w:ind w:firstLine="537"/>
        <w:spacing w:after="0" w:line="249" w:lineRule="auto"/>
        <w:tabs>
          <w:tab w:leader="none" w:pos="1254"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There are no actions, suits or proceedings by or before any arbitrator or Governmental Authority pending against or, to the knowledge of the Company, threatened against or affecting the Company or any of its Subsidiaries (i) as to which there is a reasonable possibility of an adverse determination and that, if adversely determined, could reasonably be expected, individually or in the aggregate, to result in a Material Adverse Effect or (ii) that involve this Agreement or the Transactions.</w:t>
      </w:r>
    </w:p>
    <w:p>
      <w:pPr>
        <w:spacing w:after="0" w:line="188" w:lineRule="exact"/>
        <w:rPr>
          <w:rFonts w:ascii="Arial" w:cs="Arial" w:eastAsia="Arial" w:hAnsi="Arial"/>
          <w:sz w:val="18"/>
          <w:szCs w:val="18"/>
          <w:color w:val="auto"/>
        </w:rPr>
      </w:pPr>
    </w:p>
    <w:p>
      <w:pPr>
        <w:jc w:val="both"/>
        <w:ind w:firstLine="537"/>
        <w:spacing w:after="0" w:line="252" w:lineRule="auto"/>
        <w:tabs>
          <w:tab w:leader="none" w:pos="1264"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the ordinary course of its business the officers of the Company consider the effect of Environmental Laws on the business of the Company and its Subsidiaries, in the course of which they identify and evaluate potential risks and liabilities to which the Company or its Subsidiaries may be subject due to Environmental Laws. On the basis of this consideration, except with respect to matters that, individually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ectPr>
          <w:pgSz w:w="11900" w:h="16838" w:orient="portrait"/>
          <w:cols w:equalWidth="0" w:num="1">
            <w:col w:w="11460"/>
          </w:cols>
          <w:pgMar w:left="220" w:top="508" w:right="219" w:bottom="1440" w:gutter="0" w:footer="0" w:header="0"/>
        </w:sectPr>
      </w:pPr>
    </w:p>
    <w:bookmarkStart w:id="120" w:name="page121"/>
    <w:bookmarkEnd w:id="120"/>
    <w:p>
      <w:pPr>
        <w:jc w:val="both"/>
        <w:spacing w:after="0" w:line="262" w:lineRule="auto"/>
        <w:rPr>
          <w:sz w:val="20"/>
          <w:szCs w:val="20"/>
          <w:color w:val="auto"/>
        </w:rPr>
      </w:pPr>
      <w:r>
        <w:rPr>
          <w:rFonts w:ascii="Arial" w:cs="Arial" w:eastAsia="Arial" w:hAnsi="Arial"/>
          <w:sz w:val="17"/>
          <w:szCs w:val="17"/>
          <w:color w:val="auto"/>
        </w:rPr>
        <w:t>in the aggregate, could not reasonably be expected to result in a Material Adverse Effect, neither the Company nor any of its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 Neither the Company nor any Subsidiary has received any notice to the effect that its operations are not in material compliance with any of the requirements of applicable Environmental Laws or are the subject of any federal, state, provincial or territorial investigation evaluating whether any remedial action is needed to respond to a release of any toxic or hazardous waste or substance into the environment, which non-compliance or remedial action could reasonably be expected to have a Material Adverse Effect.</w:t>
      </w:r>
    </w:p>
    <w:p>
      <w:pPr>
        <w:spacing w:after="0" w:line="182" w:lineRule="exact"/>
        <w:rPr>
          <w:sz w:val="20"/>
          <w:szCs w:val="20"/>
          <w:color w:val="auto"/>
        </w:rPr>
      </w:pPr>
    </w:p>
    <w:p>
      <w:pPr>
        <w:jc w:val="both"/>
        <w:ind w:firstLine="529"/>
        <w:spacing w:after="0" w:line="274" w:lineRule="auto"/>
        <w:rPr>
          <w:sz w:val="20"/>
          <w:szCs w:val="20"/>
          <w:color w:val="auto"/>
        </w:rPr>
      </w:pPr>
      <w:r>
        <w:rPr>
          <w:rFonts w:ascii="Arial" w:cs="Arial" w:eastAsia="Arial" w:hAnsi="Arial"/>
          <w:sz w:val="17"/>
          <w:szCs w:val="17"/>
          <w:color w:val="auto"/>
        </w:rPr>
        <w:t xml:space="preserve">SECTION 3.07 </w:t>
      </w:r>
      <w:r>
        <w:rPr>
          <w:rFonts w:ascii="Arial" w:cs="Arial" w:eastAsia="Arial" w:hAnsi="Arial"/>
          <w:sz w:val="17"/>
          <w:szCs w:val="17"/>
          <w:u w:val="single" w:color="auto"/>
          <w:color w:val="auto"/>
        </w:rPr>
        <w:t>Compliance with Laws and Agreements</w:t>
      </w:r>
      <w:r>
        <w:rPr>
          <w:rFonts w:ascii="Arial" w:cs="Arial" w:eastAsia="Arial" w:hAnsi="Arial"/>
          <w:sz w:val="17"/>
          <w:szCs w:val="17"/>
          <w:color w:val="auto"/>
        </w:rPr>
        <w:t>. Each of the Company and its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w:t>
      </w:r>
    </w:p>
    <w:p>
      <w:pPr>
        <w:spacing w:after="0" w:line="168"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Neither the Company nor any of its Subsidiaries is an “investment company” as defined in, or subject to regulation under, the Investment Company Act of 1940.</w:t>
      </w:r>
    </w:p>
    <w:p>
      <w:pPr>
        <w:spacing w:after="0" w:line="178" w:lineRule="exact"/>
        <w:rPr>
          <w:sz w:val="20"/>
          <w:szCs w:val="20"/>
          <w:color w:val="auto"/>
        </w:rPr>
      </w:pPr>
    </w:p>
    <w:p>
      <w:pPr>
        <w:jc w:val="both"/>
        <w:ind w:firstLine="529"/>
        <w:spacing w:after="0" w:line="262" w:lineRule="auto"/>
        <w:rPr>
          <w:sz w:val="20"/>
          <w:szCs w:val="20"/>
          <w:color w:val="auto"/>
        </w:rPr>
      </w:pPr>
      <w:r>
        <w:rPr>
          <w:rFonts w:ascii="Arial" w:cs="Arial" w:eastAsia="Arial" w:hAnsi="Arial"/>
          <w:sz w:val="17"/>
          <w:szCs w:val="17"/>
          <w:color w:val="auto"/>
        </w:rPr>
        <w:t xml:space="preserve">SECTION 3.09 </w:t>
      </w:r>
      <w:r>
        <w:rPr>
          <w:rFonts w:ascii="Arial" w:cs="Arial" w:eastAsia="Arial" w:hAnsi="Arial"/>
          <w:sz w:val="17"/>
          <w:szCs w:val="17"/>
          <w:u w:val="single" w:color="auto"/>
          <w:color w:val="auto"/>
        </w:rPr>
        <w:t>Taxes</w:t>
      </w:r>
      <w:r>
        <w:rPr>
          <w:rFonts w:ascii="Arial" w:cs="Arial" w:eastAsia="Arial" w:hAnsi="Arial"/>
          <w:sz w:val="17"/>
          <w:szCs w:val="17"/>
          <w:color w:val="auto"/>
        </w:rPr>
        <w:t>. Each of the Company and its Subsidiaries has timely filed or caused to be filed all Tax returns and reports required to have been filed and has paid or caused to be paid all Taxes required to have been paid by it, except (a) Taxes that are being contested in good faith by appropriate proceedings and for which the Company or such Subsidiary, as applicable, has set aside on its books adequate reserves in accordance with Agreement Accounting Principles and as to which no Lien exists or (b) to the extent that the failure to do so could not reasonably be expected to result in a Material Adverse Effect. The charges, accruals and reserves on the books of the Company and its Subsidiaries in respect of any Taxes or other governmental charges are adequate. Each of the Company and its Subsidiaries has withheld all employee withholdings and has made all employer contributions to be withheld and made by it pursuant to applicable law on account of employment insurance and employee income taxes.</w:t>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ERISA; Canadian Pension and Benefit Plans</w:t>
      </w:r>
      <w:r>
        <w:rPr>
          <w:rFonts w:ascii="Arial" w:cs="Arial" w:eastAsia="Arial" w:hAnsi="Arial"/>
          <w:sz w:val="18"/>
          <w:szCs w:val="18"/>
          <w:color w:val="auto"/>
        </w:rPr>
        <w:t>.</w:t>
      </w:r>
    </w:p>
    <w:p>
      <w:pPr>
        <w:spacing w:after="0" w:line="212" w:lineRule="exact"/>
        <w:rPr>
          <w:sz w:val="20"/>
          <w:szCs w:val="20"/>
          <w:color w:val="auto"/>
        </w:rPr>
      </w:pPr>
    </w:p>
    <w:p>
      <w:pPr>
        <w:jc w:val="both"/>
        <w:ind w:firstLine="537"/>
        <w:spacing w:after="0" w:line="326" w:lineRule="auto"/>
        <w:tabs>
          <w:tab w:leader="none" w:pos="1254" w:val="left"/>
        </w:tabs>
        <w:numPr>
          <w:ilvl w:val="0"/>
          <w:numId w:val="92"/>
        </w:numPr>
        <w:rPr>
          <w:rFonts w:ascii="Arial" w:cs="Arial" w:eastAsia="Arial" w:hAnsi="Arial"/>
          <w:sz w:val="15"/>
          <w:szCs w:val="15"/>
          <w:color w:val="auto"/>
        </w:rPr>
      </w:pPr>
      <w:r>
        <w:rPr>
          <w:rFonts w:ascii="Arial" w:cs="Arial" w:eastAsia="Arial" w:hAnsi="Arial"/>
          <w:sz w:val="15"/>
          <w:szCs w:val="15"/>
          <w:color w:val="auto"/>
        </w:rPr>
        <w:t>No ERISA Event has occurred or is reasonably expected to occur that, when taken together with all other such ERISA Events for which liability is reasonably expected to occur, could reasonably be expected to result in a Material Adverse Effect and neither the Company nor any other member of the Controlled Group has incurred, or is reasonably expected to incur, any Withdrawal Liability to Multiemployer Plans in excess of $1,000,000 in the aggregate.</w:t>
      </w:r>
    </w:p>
    <w:p>
      <w:pPr>
        <w:spacing w:after="0" w:line="134" w:lineRule="exact"/>
        <w:rPr>
          <w:rFonts w:ascii="Arial" w:cs="Arial" w:eastAsia="Arial" w:hAnsi="Arial"/>
          <w:sz w:val="15"/>
          <w:szCs w:val="15"/>
          <w:color w:val="auto"/>
        </w:rPr>
      </w:pPr>
    </w:p>
    <w:p>
      <w:pPr>
        <w:ind w:left="1280" w:hanging="743"/>
        <w:spacing w:after="0"/>
        <w:tabs>
          <w:tab w:leader="none" w:pos="12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None of the Company or any of its Subsidiaries has any Canadian Pension Plan.</w:t>
      </w:r>
    </w:p>
    <w:p>
      <w:pPr>
        <w:spacing w:after="0" w:line="211" w:lineRule="exact"/>
        <w:rPr>
          <w:rFonts w:ascii="Arial" w:cs="Arial" w:eastAsia="Arial" w:hAnsi="Arial"/>
          <w:sz w:val="18"/>
          <w:szCs w:val="18"/>
          <w:color w:val="auto"/>
        </w:rPr>
      </w:pPr>
    </w:p>
    <w:p>
      <w:pPr>
        <w:jc w:val="both"/>
        <w:ind w:firstLine="537"/>
        <w:spacing w:after="0" w:line="263" w:lineRule="auto"/>
        <w:tabs>
          <w:tab w:leader="none" w:pos="1254" w:val="left"/>
        </w:tabs>
        <w:numPr>
          <w:ilvl w:val="0"/>
          <w:numId w:val="92"/>
        </w:numPr>
        <w:rPr>
          <w:rFonts w:ascii="Arial" w:cs="Arial" w:eastAsia="Arial" w:hAnsi="Arial"/>
          <w:sz w:val="17"/>
          <w:szCs w:val="17"/>
          <w:color w:val="auto"/>
        </w:rPr>
      </w:pPr>
      <w:r>
        <w:rPr>
          <w:rFonts w:ascii="Arial" w:cs="Arial" w:eastAsia="Arial" w:hAnsi="Arial"/>
          <w:sz w:val="17"/>
          <w:szCs w:val="17"/>
          <w:color w:val="auto"/>
        </w:rPr>
        <w:t>Except where the failure to perform any obligation or make any withholding, collection or payment, as applicable, could not reasonably be expected, individually or in the aggregate, to result in a Material Adverse Effect: (i) all obligations of the Company and its Subsidiaries (including fiduciary, funding, investment, administration and reporting obligations) required to be performed by them in connection with the Canadian Benefit Plans and the funding agreements therefor have been performed (ii) all contributions or premiums required to be made or paid by the Company and its Subsidiaries to the Canadian Benefit Plans have been made or paid in a timely fashion in accordance with the terms of such plans and all applicable laws, and (iii) all employee contributions to the Canadian Benefit Plans by way of authorized payroll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w:t>
      </w:r>
    </w:p>
    <w:p>
      <w:pPr>
        <w:sectPr>
          <w:pgSz w:w="11900" w:h="16838" w:orient="portrait"/>
          <w:cols w:equalWidth="0" w:num="1">
            <w:col w:w="11460"/>
          </w:cols>
          <w:pgMar w:left="220" w:top="508" w:right="219" w:bottom="1440" w:gutter="0" w:footer="0" w:header="0"/>
        </w:sectPr>
      </w:pPr>
    </w:p>
    <w:bookmarkStart w:id="121" w:name="page122"/>
    <w:bookmarkEnd w:id="121"/>
    <w:p>
      <w:pPr>
        <w:jc w:val="both"/>
        <w:spacing w:after="0" w:line="262" w:lineRule="auto"/>
        <w:rPr>
          <w:sz w:val="20"/>
          <w:szCs w:val="20"/>
          <w:color w:val="auto"/>
        </w:rPr>
      </w:pPr>
      <w:r>
        <w:rPr>
          <w:rFonts w:ascii="Arial" w:cs="Arial" w:eastAsia="Arial" w:hAnsi="Arial"/>
          <w:sz w:val="17"/>
          <w:szCs w:val="17"/>
          <w:color w:val="auto"/>
        </w:rPr>
        <w:t>deduction or otherwise have been properly withheld or collected by the Company and its Subsidiaries and have been fully paid into those plans in compliance with the plans and applicable laws. There have been no improper withdrawals or applications of the assets of the Canadian Benefit Plans, except where any such withdrawals or applications could not reasonably be expected, individually or in the aggregate, to result in a Material Adverse Effect. There is no proceeding, action, suit or claim (other than routine claims for benefits) pending or threatened involving the Canadian Benefit Plans, and no facts exist which could reasonably be expected to give rise to that type of proceeding, action, suit or claim, except where the outcome thereof could not reasonably be expected, individually or in the aggregate, to result in a Material Adverse Effect. No promises of benefit improvements under the Canadian Benefit Plans the Company or any of its Subsidiaries have been made except where improvement could not have a Material Adverse Effect.</w:t>
      </w:r>
    </w:p>
    <w:p>
      <w:pPr>
        <w:spacing w:after="0" w:line="182" w:lineRule="exact"/>
        <w:rPr>
          <w:sz w:val="20"/>
          <w:szCs w:val="20"/>
          <w:color w:val="auto"/>
        </w:rPr>
      </w:pPr>
    </w:p>
    <w:p>
      <w:pPr>
        <w:jc w:val="both"/>
        <w:ind w:firstLine="529"/>
        <w:spacing w:after="0" w:line="247"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Plan Assets; Prohibited Transactions; ERISA</w:t>
      </w:r>
      <w:r>
        <w:rPr>
          <w:rFonts w:ascii="Arial" w:cs="Arial" w:eastAsia="Arial" w:hAnsi="Arial"/>
          <w:sz w:val="18"/>
          <w:szCs w:val="18"/>
          <w:color w:val="auto"/>
        </w:rPr>
        <w:t>. Except as to salary deferrals before they are put into trust, no Borrower is an entity deemed to hold “plan assets” within the meaning of 29 C.F.R. § 2510.3-101 of an “employee benefit plan” (as defined in Section 3(3) of ERISA) which is subject to Title I of ERISA or any “plan” (within the meaning of Section 4975 of the Code). Neither the execution of this Agreement nor the extending of Loans or issuance of Letters of Credit hereunder gives rise to a “prohibited transaction” within the meaning of Section 406 of ERISA or Section 4975 of the Code or results in or causes an ERISA Event.</w:t>
      </w:r>
    </w:p>
    <w:p>
      <w:pPr>
        <w:spacing w:after="0" w:line="191" w:lineRule="exact"/>
        <w:rPr>
          <w:sz w:val="20"/>
          <w:szCs w:val="20"/>
          <w:color w:val="auto"/>
        </w:rPr>
      </w:pPr>
    </w:p>
    <w:p>
      <w:pPr>
        <w:jc w:val="both"/>
        <w:ind w:firstLine="529"/>
        <w:spacing w:after="0" w:line="303" w:lineRule="auto"/>
        <w:rPr>
          <w:sz w:val="20"/>
          <w:szCs w:val="20"/>
          <w:color w:val="auto"/>
        </w:rPr>
      </w:pPr>
      <w:r>
        <w:rPr>
          <w:rFonts w:ascii="Arial" w:cs="Arial" w:eastAsia="Arial" w:hAnsi="Arial"/>
          <w:sz w:val="15"/>
          <w:szCs w:val="15"/>
          <w:color w:val="auto"/>
        </w:rPr>
        <w:t xml:space="preserve">SECTION 3.12 </w:t>
      </w:r>
      <w:r>
        <w:rPr>
          <w:rFonts w:ascii="Arial" w:cs="Arial" w:eastAsia="Arial" w:hAnsi="Arial"/>
          <w:sz w:val="15"/>
          <w:szCs w:val="15"/>
          <w:u w:val="single" w:color="auto"/>
          <w:color w:val="auto"/>
        </w:rPr>
        <w:t>Disclosure</w:t>
      </w:r>
      <w:r>
        <w:rPr>
          <w:rFonts w:ascii="Arial" w:cs="Arial" w:eastAsia="Arial" w:hAnsi="Arial"/>
          <w:sz w:val="15"/>
          <w:szCs w:val="15"/>
          <w:color w:val="auto"/>
        </w:rPr>
        <w:t>. The Company has disclosed to the Lenders all agreements, instruments and corporate or other restrictions to which it or any of its Subsidiaries is subject, and all other matters known to it, that, individually or in the aggregate, could reasonably be expected to result in a Material Adverse Effect. The reports, financial statements, certificates and other information furnished by or on behalf of the Company to the Administrative Agent or any Lender in connection with the negotiation of this Agreement or delivered hereunder (as modified or supplemented by other information so furnished), when taken as a whole, do not contain any material misstatement of fact or omit to state any material fact necessary to make the statements therein, in the light of the circumstances under which they were made, not misleading; provided that, with respect to projected financial information, the Company represents only that such information was prepared in good faith based upon assumptions believed to be reasonable at the time.</w:t>
      </w:r>
    </w:p>
    <w:p>
      <w:pPr>
        <w:spacing w:after="0" w:line="151" w:lineRule="exact"/>
        <w:rPr>
          <w:sz w:val="20"/>
          <w:szCs w:val="20"/>
          <w:color w:val="auto"/>
        </w:rPr>
      </w:pPr>
    </w:p>
    <w:p>
      <w:pPr>
        <w:jc w:val="both"/>
        <w:ind w:firstLine="529"/>
        <w:spacing w:after="0" w:line="245"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3.13</w:t>
      </w:r>
      <w:r>
        <w:rPr>
          <w:rFonts w:ascii="Arial" w:cs="Arial" w:eastAsia="Arial" w:hAnsi="Arial"/>
          <w:sz w:val="18"/>
          <w:szCs w:val="18"/>
          <w:color w:val="auto"/>
        </w:rPr>
        <w:t xml:space="preserve"> contains an accurate list of and other information regarding all Subsidiaries of the Company as of the Effective Date, setting forth (a) their respective jurisdictions of organization, (b) the percentage of their respective Equity Interests owned by the Company and/or other Subsidiaries and (c) whether the Subsidiaries are required to be Subsidiary Guarantors pursuant to </w:t>
      </w:r>
      <w:r>
        <w:rPr>
          <w:rFonts w:ascii="Arial" w:cs="Arial" w:eastAsia="Arial" w:hAnsi="Arial"/>
          <w:sz w:val="18"/>
          <w:szCs w:val="18"/>
          <w:u w:val="single" w:color="auto"/>
          <w:color w:val="auto"/>
        </w:rPr>
        <w:t>Section 5.09</w:t>
      </w:r>
      <w:r>
        <w:rPr>
          <w:rFonts w:ascii="Arial" w:cs="Arial" w:eastAsia="Arial" w:hAnsi="Arial"/>
          <w:sz w:val="18"/>
          <w:szCs w:val="18"/>
          <w:color w:val="auto"/>
        </w:rPr>
        <w:t>. Deliberately omitted from Schedule 3.13 are Matrix Service, Inc., Panama (formed in Panama) and San Luis Tank S.A. de C.V. (formed in Mexico), both of which the Company has represented and does hereby represent to the Administrative Agent and the Lenders are now dormant and neither of which (a) the Company has any plan or intention to revive or utilize in any way or (b) has any assets or operations whatsoever. All of the issued and outstanding shares of capital stock or other ownership interests of all Subsidiaries have been (to the extent such concepts are relevant with respect to such ownership interests) duly authorized and issued and are fully paid and non-assessable.</w:t>
      </w:r>
    </w:p>
    <w:p>
      <w:pPr>
        <w:spacing w:after="0" w:line="194" w:lineRule="exact"/>
        <w:rPr>
          <w:sz w:val="20"/>
          <w:szCs w:val="20"/>
          <w:color w:val="auto"/>
        </w:rPr>
      </w:pPr>
    </w:p>
    <w:p>
      <w:pPr>
        <w:jc w:val="both"/>
        <w:ind w:firstLine="529"/>
        <w:spacing w:after="0" w:line="314" w:lineRule="auto"/>
        <w:rPr>
          <w:sz w:val="20"/>
          <w:szCs w:val="20"/>
          <w:color w:val="auto"/>
        </w:rPr>
      </w:pPr>
      <w:r>
        <w:rPr>
          <w:rFonts w:ascii="Arial" w:cs="Arial" w:eastAsia="Arial" w:hAnsi="Arial"/>
          <w:sz w:val="15"/>
          <w:szCs w:val="15"/>
          <w:color w:val="auto"/>
        </w:rPr>
        <w:t xml:space="preserve">SECTION 3.14 </w:t>
      </w:r>
      <w:r>
        <w:rPr>
          <w:rFonts w:ascii="Arial" w:cs="Arial" w:eastAsia="Arial" w:hAnsi="Arial"/>
          <w:sz w:val="15"/>
          <w:szCs w:val="15"/>
          <w:u w:val="single" w:color="auto"/>
          <w:color w:val="auto"/>
        </w:rPr>
        <w:t>Material Agreements</w:t>
      </w:r>
      <w:r>
        <w:rPr>
          <w:rFonts w:ascii="Arial" w:cs="Arial" w:eastAsia="Arial" w:hAnsi="Arial"/>
          <w:sz w:val="15"/>
          <w:szCs w:val="15"/>
          <w:color w:val="auto"/>
        </w:rPr>
        <w:t>. Neither the Company nor any Subsidiary is subject to any charter or other corporate restriction which could reasonably be expected to have a Material Adverse Effect. Neither the Company nor any Subsidiary is in default in the performance, observance or fulfillment of any of the obligations, covenants or conditions contained in (a) any agreement to which it is a party, which default could reasonably be expected to have a Material Adverse Effect or (b) any agreement or instrument evidencing or governing Indebtedness, including but not limited to any of the Loan Documents.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61</w:t>
      </w:r>
    </w:p>
    <w:p>
      <w:pPr>
        <w:sectPr>
          <w:pgSz w:w="11900" w:h="16838" w:orient="portrait"/>
          <w:cols w:equalWidth="0" w:num="1">
            <w:col w:w="11460"/>
          </w:cols>
          <w:pgMar w:left="220" w:top="508" w:right="219" w:bottom="1440" w:gutter="0" w:footer="0" w:header="0"/>
        </w:sectPr>
      </w:pPr>
    </w:p>
    <w:bookmarkStart w:id="122" w:name="page123"/>
    <w:bookmarkEnd w:id="122"/>
    <w:p>
      <w:pPr>
        <w:jc w:val="both"/>
        <w:ind w:firstLine="529"/>
        <w:spacing w:after="0" w:line="249" w:lineRule="auto"/>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Post-Retirement Benefits</w:t>
      </w:r>
      <w:r>
        <w:rPr>
          <w:rFonts w:ascii="Arial" w:cs="Arial" w:eastAsia="Arial" w:hAnsi="Arial"/>
          <w:sz w:val="18"/>
          <w:szCs w:val="18"/>
          <w:color w:val="auto"/>
        </w:rPr>
        <w:t>. The present value of the expected cost of post-retirement medical (excluding the cost of continuation coverage as required by §4980(B) of the Code or by similar, applicable state insurance laws) and insurance benefits payable by the Company and its Subsidiaries to its employees and former employees, as estimated by the Company in accordance with procedures and assumptions deemed reasonable by the Required Lenders, does not exceed $500,000.</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Solvency</w:t>
      </w:r>
      <w:r>
        <w:rPr>
          <w:rFonts w:ascii="Arial" w:cs="Arial" w:eastAsia="Arial" w:hAnsi="Arial"/>
          <w:sz w:val="18"/>
          <w:szCs w:val="18"/>
          <w:color w:val="auto"/>
        </w:rPr>
        <w:t>.</w:t>
      </w:r>
    </w:p>
    <w:p>
      <w:pPr>
        <w:spacing w:after="0" w:line="212" w:lineRule="exact"/>
        <w:rPr>
          <w:sz w:val="20"/>
          <w:szCs w:val="20"/>
          <w:color w:val="auto"/>
        </w:rPr>
      </w:pPr>
    </w:p>
    <w:p>
      <w:pPr>
        <w:jc w:val="both"/>
        <w:ind w:firstLine="537"/>
        <w:spacing w:after="0" w:line="300" w:lineRule="auto"/>
        <w:tabs>
          <w:tab w:leader="none" w:pos="1254" w:val="left"/>
        </w:tabs>
        <w:numPr>
          <w:ilvl w:val="0"/>
          <w:numId w:val="93"/>
        </w:numPr>
        <w:rPr>
          <w:rFonts w:ascii="Arial" w:cs="Arial" w:eastAsia="Arial" w:hAnsi="Arial"/>
          <w:sz w:val="15"/>
          <w:szCs w:val="15"/>
          <w:color w:val="auto"/>
        </w:rPr>
      </w:pPr>
      <w:r>
        <w:rPr>
          <w:rFonts w:ascii="Arial" w:cs="Arial" w:eastAsia="Arial" w:hAnsi="Arial"/>
          <w:sz w:val="15"/>
          <w:szCs w:val="15"/>
          <w:color w:val="auto"/>
        </w:rPr>
        <w:t>Immediately after the consummation of the transactions to occur on the date hereof and immediately following the making of each Loan, if any, made on the date hereof and after giving effect to the application of the proceeds of such Loans, (i) the fair value of the assets of the Company and its Subsidiaries on a consolidated basis, at a fair valuation, will exceed the debts and liabilities, subordinated, contingent or otherwise, of the Company and its Subsidiaries on a consolidated basis; (ii) the present fair saleable value of the property of the Company and its Subsidiaries on a consolidated basis will be greater than the amount that will be required to pay the probable liability of the Company and its Subsidiaries on a consolidated basis on their debts and other liabilities, subordinated, contingent or otherwise, as such debts and other liabilities become absolute and matured; (iii) the Company and its Subsidiaries on a consolidated basis will be able to pay their debts and liabilities, subordinated, contingent or otherwise, as such debts and liabilities become absolute and matured; and (iv) the Company and its Subsidiaries on a consolidated basis will not have unreasonably small capital with which to conduct the businesses in which they are engaged as such businesses are now conducted and are proposed to be conducted after the date hereof.</w:t>
      </w:r>
    </w:p>
    <w:p>
      <w:pPr>
        <w:spacing w:after="0" w:line="153" w:lineRule="exact"/>
        <w:rPr>
          <w:rFonts w:ascii="Arial" w:cs="Arial" w:eastAsia="Arial" w:hAnsi="Arial"/>
          <w:sz w:val="15"/>
          <w:szCs w:val="15"/>
          <w:color w:val="auto"/>
        </w:rPr>
      </w:pPr>
    </w:p>
    <w:p>
      <w:pPr>
        <w:jc w:val="both"/>
        <w:ind w:firstLine="537"/>
        <w:spacing w:after="0" w:line="274" w:lineRule="auto"/>
        <w:tabs>
          <w:tab w:leader="none" w:pos="1264"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Company does not intend to, or to permit any of its Subsidiaries to, and does not believe that it or any of its Subsidiaries will, incur debts beyond its ability to pay such debts as they mature, taking into account the timing of and amounts of cash to be received by it or any such Subsidiary and the timing of the amounts of cash to be payable on or in respect of its Indebtedness or the Indebtedness of any such Subsidiary.</w:t>
      </w:r>
    </w:p>
    <w:p>
      <w:pPr>
        <w:spacing w:after="0" w:line="168" w:lineRule="exact"/>
        <w:rPr>
          <w:sz w:val="20"/>
          <w:szCs w:val="20"/>
          <w:color w:val="auto"/>
        </w:rPr>
      </w:pPr>
    </w:p>
    <w:p>
      <w:pPr>
        <w:jc w:val="both"/>
        <w:ind w:firstLine="529"/>
        <w:spacing w:after="0" w:line="274" w:lineRule="auto"/>
        <w:rPr>
          <w:sz w:val="20"/>
          <w:szCs w:val="20"/>
          <w:color w:val="auto"/>
        </w:rPr>
      </w:pPr>
      <w:r>
        <w:rPr>
          <w:rFonts w:ascii="Arial" w:cs="Arial" w:eastAsia="Arial" w:hAnsi="Arial"/>
          <w:sz w:val="17"/>
          <w:szCs w:val="17"/>
          <w:color w:val="auto"/>
        </w:rPr>
        <w:t xml:space="preserve">SECTION 3.17 </w:t>
      </w:r>
      <w:r>
        <w:rPr>
          <w:rFonts w:ascii="Arial" w:cs="Arial" w:eastAsia="Arial" w:hAnsi="Arial"/>
          <w:sz w:val="17"/>
          <w:szCs w:val="17"/>
          <w:u w:val="single" w:color="auto"/>
          <w:color w:val="auto"/>
        </w:rPr>
        <w:t>Payment and Performance Bonds</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3.17</w:t>
      </w:r>
      <w:r>
        <w:rPr>
          <w:rFonts w:ascii="Arial" w:cs="Arial" w:eastAsia="Arial" w:hAnsi="Arial"/>
          <w:sz w:val="17"/>
          <w:szCs w:val="17"/>
          <w:color w:val="auto"/>
        </w:rPr>
        <w:t xml:space="preserve"> sets forth an accurate list and brief description of all payment and performance bonds to which the Company or any of its Subsidiaries is a party as of December 31, 2016. No such bonds (or any application or related documents) currently evidence any collateral or security of any kind or nature in favor of the Surety thereunder other than Permitted Encumbrances.</w:t>
      </w:r>
    </w:p>
    <w:p>
      <w:pPr>
        <w:spacing w:after="0" w:line="168" w:lineRule="exact"/>
        <w:rPr>
          <w:sz w:val="20"/>
          <w:szCs w:val="20"/>
          <w:color w:val="auto"/>
        </w:rPr>
      </w:pPr>
    </w:p>
    <w:p>
      <w:pPr>
        <w:jc w:val="both"/>
        <w:ind w:firstLine="529"/>
        <w:spacing w:after="0" w:line="252" w:lineRule="auto"/>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Commercial Tort Claims</w:t>
      </w:r>
      <w:r>
        <w:rPr>
          <w:rFonts w:ascii="Arial" w:cs="Arial" w:eastAsia="Arial" w:hAnsi="Arial"/>
          <w:sz w:val="18"/>
          <w:szCs w:val="18"/>
          <w:color w:val="auto"/>
        </w:rPr>
        <w:t>. As of the Effective Date, neither the Company nor any of the Subsidiaries owns or has any interest in any “commercial tort claim” (as that term is defined in 12A Okla. Stat. §1-9-102(a)(13) as of the Effective Date) that has not been specifically described in a Security Agreement as part of the collateral thereunder.</w:t>
      </w:r>
    </w:p>
    <w:p>
      <w:pPr>
        <w:spacing w:after="0" w:line="186" w:lineRule="exact"/>
        <w:rPr>
          <w:sz w:val="20"/>
          <w:szCs w:val="20"/>
          <w:color w:val="auto"/>
        </w:rPr>
      </w:pPr>
    </w:p>
    <w:p>
      <w:pPr>
        <w:jc w:val="both"/>
        <w:ind w:firstLine="529"/>
        <w:spacing w:after="0" w:line="305" w:lineRule="auto"/>
        <w:rPr>
          <w:sz w:val="20"/>
          <w:szCs w:val="20"/>
          <w:color w:val="auto"/>
        </w:rPr>
      </w:pPr>
      <w:r>
        <w:rPr>
          <w:rFonts w:ascii="Arial" w:cs="Arial" w:eastAsia="Arial" w:hAnsi="Arial"/>
          <w:sz w:val="15"/>
          <w:szCs w:val="15"/>
          <w:color w:val="auto"/>
        </w:rPr>
        <w:t>SECTION 3.19</w:t>
      </w:r>
      <w:r>
        <w:rPr>
          <w:rFonts w:ascii="Arial" w:cs="Arial" w:eastAsia="Arial" w:hAnsi="Arial"/>
          <w:sz w:val="15"/>
          <w:szCs w:val="15"/>
          <w:u w:val="single" w:color="auto"/>
          <w:color w:val="auto"/>
        </w:rPr>
        <w:t>Anti-Corruption Laws and Sanctions</w:t>
      </w:r>
      <w:r>
        <w:rPr>
          <w:rFonts w:ascii="Arial" w:cs="Arial" w:eastAsia="Arial" w:hAnsi="Arial"/>
          <w:sz w:val="15"/>
          <w:szCs w:val="15"/>
          <w:color w:val="auto"/>
        </w:rPr>
        <w:t>. The Company has implemented and maintains in effect policies and procedures designed to ensure compliance by the Company, its Subsidiaries and their respective directors, officers, employees and agents with Anti-Corruption Laws and applicable Sanctions, and the Borrowers, their Subsidiaries and their respective officers and employees and to the knowledge of the Borrowers, their respective directors and agents, are in compliance with Anti-Corruption Laws and applicable Sanctions in all material respects. None of (a) the Borrowers, any Subsidiary or to the knowledge of the Borrowers, any of their respective directors, officers or employees, or (b) to the knowledge of the Borrowers, any agent of the Borrower or any Subsidiary that will act in any capacity in connection with or benefit from the credit facility established hereby, is a Sanctioned Person. No Borrowing or Letter of Credit,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ectPr>
          <w:pgSz w:w="11900" w:h="16838" w:orient="portrait"/>
          <w:cols w:equalWidth="0" w:num="1">
            <w:col w:w="11460"/>
          </w:cols>
          <w:pgMar w:left="220" w:top="508" w:right="21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t>use of proceeds or other transaction contemplated by this Agreement will violate Anti-Corruption Laws or applicable Sanctions.</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3.20 </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No Credit Party is an EEA Financial Institution.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w:t>
      </w:r>
    </w:p>
    <w:p>
      <w:pPr>
        <w:spacing w:after="0" w:line="2" w:lineRule="exact"/>
        <w:rPr>
          <w:sz w:val="20"/>
          <w:szCs w:val="20"/>
          <w:color w:val="auto"/>
        </w:rPr>
      </w:pPr>
    </w:p>
    <w:p>
      <w:pPr>
        <w:jc w:val="both"/>
        <w:ind w:firstLine="529"/>
        <w:spacing w:after="0" w:line="244"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The obligations of the Lenders to make Loans and of the Issuing Bank to issue Letters of Credit hereunder shall not become effective until the date on which each of the following conditions is satisfied to the satisfaction of each Lender (or waived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9.02</w:t>
      </w:r>
      <w:r>
        <w:rPr>
          <w:rFonts w:ascii="Arial" w:cs="Arial" w:eastAsia="Arial" w:hAnsi="Arial"/>
          <w:sz w:val="18"/>
          <w:szCs w:val="18"/>
          <w:color w:val="auto"/>
        </w:rPr>
        <w:t>):</w:t>
      </w:r>
    </w:p>
    <w:p>
      <w:pPr>
        <w:spacing w:after="0" w:line="193" w:lineRule="exact"/>
        <w:rPr>
          <w:sz w:val="20"/>
          <w:szCs w:val="20"/>
          <w:color w:val="auto"/>
        </w:rPr>
      </w:pPr>
    </w:p>
    <w:p>
      <w:pPr>
        <w:jc w:val="both"/>
        <w:ind w:firstLine="537"/>
        <w:spacing w:after="0" w:line="252" w:lineRule="auto"/>
        <w:tabs>
          <w:tab w:leader="none" w:pos="1254"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Administrative Agent (or its counsel) shall have received from each party hereto either (i) a counterpart of this Agreement signed on behalf of such party or (ii) written evidence satisfactory to the Administrative Agent (which may include telecopy or other electronic transmission of a signed signature page of this Agreement) that such party has signed a counterpart of this Agreement.</w:t>
      </w:r>
    </w:p>
    <w:p>
      <w:pPr>
        <w:spacing w:after="0" w:line="185" w:lineRule="exact"/>
        <w:rPr>
          <w:rFonts w:ascii="Arial" w:cs="Arial" w:eastAsia="Arial" w:hAnsi="Arial"/>
          <w:sz w:val="18"/>
          <w:szCs w:val="18"/>
          <w:color w:val="auto"/>
        </w:rPr>
      </w:pPr>
    </w:p>
    <w:p>
      <w:pPr>
        <w:jc w:val="both"/>
        <w:ind w:firstLine="537"/>
        <w:spacing w:after="0" w:line="245" w:lineRule="auto"/>
        <w:tabs>
          <w:tab w:leader="none" w:pos="1264"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Administrative Agent shall have received (i) such documents and certificates as the Administrative Agent or its counsel may reasonably request relating to the organization, existence and good standing (to the extent applicable in the relevant jurisdiction) of any of the Credit Parties, the authorization of the Transactions and any other legal matters relating to the Borrowers, the Credit Parties, this Agreement or the Transactions and (ii) a certificate of incumbency which identifies by name and title and bears the signatures of the Authorized Officers of each Credit Party authorized to sign the Loan Documents to which it is a party and, in the case of the Company, the Authorized Officers of the Company authorized to submit Borrowing Requests, upon which certificate the Administrative Agent shall be entitled to rely until informed of any change in writing by an Authorized Officer, all in form and substance satisfactory to the Administrative Agent and its counsel.</w:t>
      </w:r>
    </w:p>
    <w:p>
      <w:pPr>
        <w:spacing w:after="0" w:line="196" w:lineRule="exact"/>
        <w:rPr>
          <w:rFonts w:ascii="Arial" w:cs="Arial" w:eastAsia="Arial" w:hAnsi="Arial"/>
          <w:sz w:val="18"/>
          <w:szCs w:val="18"/>
          <w:color w:val="auto"/>
        </w:rPr>
      </w:pPr>
    </w:p>
    <w:p>
      <w:pPr>
        <w:jc w:val="both"/>
        <w:ind w:firstLine="537"/>
        <w:spacing w:after="0" w:line="249" w:lineRule="auto"/>
        <w:tabs>
          <w:tab w:leader="none" w:pos="1254"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a certificate, signed by an Authorized Officer of the Company, stating that, as of the Effective Date (i) no Default or Event of Default has occurred and is continuing, (ii) the representations and warranties contained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of this Agreement are true and correct in all material respects, and (iii) there has been no material adverse change in the business, assets, operations, or condition of the Company and its Subsidiaries, taken as a whole, since June 30, 2016.</w:t>
      </w:r>
    </w:p>
    <w:p>
      <w:pPr>
        <w:spacing w:after="0" w:line="188" w:lineRule="exact"/>
        <w:rPr>
          <w:rFonts w:ascii="Arial" w:cs="Arial" w:eastAsia="Arial" w:hAnsi="Arial"/>
          <w:sz w:val="18"/>
          <w:szCs w:val="18"/>
          <w:color w:val="auto"/>
        </w:rPr>
      </w:pPr>
    </w:p>
    <w:p>
      <w:pPr>
        <w:ind w:left="1280" w:hanging="743"/>
        <w:spacing w:after="0"/>
        <w:tabs>
          <w:tab w:leader="none" w:pos="1280" w:val="left"/>
        </w:tabs>
        <w:numPr>
          <w:ilvl w:val="0"/>
          <w:numId w:val="94"/>
        </w:numPr>
        <w:rPr>
          <w:rFonts w:ascii="Arial" w:cs="Arial" w:eastAsia="Arial" w:hAnsi="Arial"/>
          <w:sz w:val="15"/>
          <w:szCs w:val="15"/>
          <w:color w:val="auto"/>
        </w:rPr>
      </w:pPr>
      <w:r>
        <w:rPr>
          <w:rFonts w:ascii="Arial" w:cs="Arial" w:eastAsia="Arial" w:hAnsi="Arial"/>
          <w:sz w:val="15"/>
          <w:szCs w:val="15"/>
          <w:color w:val="auto"/>
        </w:rPr>
        <w:t>The Administrative Agent shall have received a Borrowing Request with respect to any Revolving Loans to be made on the Effective Date.</w:t>
      </w:r>
    </w:p>
    <w:p>
      <w:pPr>
        <w:spacing w:after="0" w:line="246" w:lineRule="exact"/>
        <w:rPr>
          <w:rFonts w:ascii="Arial" w:cs="Arial" w:eastAsia="Arial" w:hAnsi="Arial"/>
          <w:sz w:val="15"/>
          <w:szCs w:val="15"/>
          <w:color w:val="auto"/>
        </w:rPr>
      </w:pPr>
    </w:p>
    <w:p>
      <w:pPr>
        <w:ind w:left="1260" w:hanging="723"/>
        <w:spacing w:after="0"/>
        <w:tabs>
          <w:tab w:leader="none" w:pos="12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Administrative Agent shall have received Notes payable to the order of the appropriate Lenders.</w:t>
      </w:r>
    </w:p>
    <w:p>
      <w:pPr>
        <w:spacing w:after="0" w:line="211" w:lineRule="exact"/>
        <w:rPr>
          <w:rFonts w:ascii="Arial" w:cs="Arial" w:eastAsia="Arial" w:hAnsi="Arial"/>
          <w:sz w:val="18"/>
          <w:szCs w:val="18"/>
          <w:color w:val="auto"/>
        </w:rPr>
      </w:pPr>
    </w:p>
    <w:p>
      <w:pPr>
        <w:jc w:val="both"/>
        <w:ind w:firstLine="537"/>
        <w:spacing w:after="0" w:line="249" w:lineRule="auto"/>
        <w:tabs>
          <w:tab w:leader="none" w:pos="1234"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Administrative Agent shall have received all Collateral Documents (or amendments, supplements or ratifications thereof) that may be required by the Administrative Agent and any other documents, agreements, instruments or certificates as the Administrative Agent may require in order to evidence the grant to the Administrative Agent of a Lien against any property of the Company or any other Credit Party desired by the Administrative Agent or to perfect any such Lien, all of which shall be Collateral Documents hereunder.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63</w:t>
      </w:r>
    </w:p>
    <w:p>
      <w:pPr>
        <w:sectPr>
          <w:pgSz w:w="11900" w:h="16838" w:orient="portrait"/>
          <w:cols w:equalWidth="0" w:num="1">
            <w:col w:w="11460"/>
          </w:cols>
          <w:pgMar w:left="220" w:top="509" w:right="219" w:bottom="1440" w:gutter="0" w:footer="0" w:header="0"/>
        </w:sectPr>
      </w:pPr>
    </w:p>
    <w:bookmarkStart w:id="124" w:name="page125"/>
    <w:bookmarkEnd w:id="124"/>
    <w:p>
      <w:pPr>
        <w:ind w:left="1280" w:hanging="743"/>
        <w:spacing w:after="0"/>
        <w:tabs>
          <w:tab w:leader="none" w:pos="12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Administrative Agent shall have received the Subsidiary Guaranties duly executed by each Subsidiary Guarantor.</w:t>
      </w:r>
    </w:p>
    <w:p>
      <w:pPr>
        <w:spacing w:after="0" w:line="211" w:lineRule="exact"/>
        <w:rPr>
          <w:rFonts w:ascii="Arial" w:cs="Arial" w:eastAsia="Arial" w:hAnsi="Arial"/>
          <w:sz w:val="18"/>
          <w:szCs w:val="18"/>
          <w:color w:val="auto"/>
        </w:rPr>
      </w:pPr>
    </w:p>
    <w:p>
      <w:pPr>
        <w:ind w:firstLine="537"/>
        <w:spacing w:after="0" w:line="261" w:lineRule="auto"/>
        <w:tabs>
          <w:tab w:leader="none" w:pos="1264"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Administrative Agent shall have received a completed and appropriately executed Perfection Certificate in form acceptable to the Administrative Agent.</w:t>
      </w:r>
    </w:p>
    <w:p>
      <w:pPr>
        <w:spacing w:after="0" w:line="178" w:lineRule="exact"/>
        <w:rPr>
          <w:rFonts w:ascii="Arial" w:cs="Arial" w:eastAsia="Arial" w:hAnsi="Arial"/>
          <w:sz w:val="18"/>
          <w:szCs w:val="18"/>
          <w:color w:val="auto"/>
        </w:rPr>
      </w:pPr>
    </w:p>
    <w:p>
      <w:pPr>
        <w:jc w:val="both"/>
        <w:ind w:firstLine="537"/>
        <w:spacing w:after="0" w:line="245" w:lineRule="auto"/>
        <w:tabs>
          <w:tab w:leader="none" w:pos="1224" w:val="left"/>
        </w:tabs>
        <w:numPr>
          <w:ilvl w:val="1"/>
          <w:numId w:val="95"/>
        </w:numPr>
        <w:rPr>
          <w:rFonts w:ascii="Arial" w:cs="Arial" w:eastAsia="Arial" w:hAnsi="Arial"/>
          <w:sz w:val="18"/>
          <w:szCs w:val="18"/>
          <w:color w:val="auto"/>
        </w:rPr>
      </w:pPr>
      <w:r>
        <w:rPr>
          <w:rFonts w:ascii="Arial" w:cs="Arial" w:eastAsia="Arial" w:hAnsi="Arial"/>
          <w:sz w:val="18"/>
          <w:szCs w:val="18"/>
          <w:color w:val="auto"/>
        </w:rPr>
        <w:t xml:space="preserve">Except as contemplated by </w:t>
      </w:r>
      <w:r>
        <w:rPr>
          <w:rFonts w:ascii="Arial" w:cs="Arial" w:eastAsia="Arial" w:hAnsi="Arial"/>
          <w:sz w:val="18"/>
          <w:szCs w:val="18"/>
          <w:u w:val="single" w:color="auto"/>
          <w:color w:val="auto"/>
        </w:rPr>
        <w:t>Section 5.13</w:t>
      </w:r>
      <w:r>
        <w:rPr>
          <w:rFonts w:ascii="Arial" w:cs="Arial" w:eastAsia="Arial" w:hAnsi="Arial"/>
          <w:sz w:val="18"/>
          <w:szCs w:val="18"/>
          <w:color w:val="auto"/>
        </w:rPr>
        <w:t>, the Administrative Agent shall have received a favorable written opinion (addressed to the Administrative Agent and the Lenders and dated the Effective Date) of (i) Conner &amp; Winters, LLP, counsel for the Company, (ii) Baker &amp; McKenzie LLP (Toronto office), counsel for Matrix North American Construction Ltd., an Ontario corporation, (iii) Baker &amp; McKenzie LLP (London office), counsel for the Euro/Sterling Borrower, (iv) Baker &amp; McKenzie LLP (Sydney office), counsel for the Australian Borrower, (v) Lawson &amp; Lundell LLP, counsel for Matrix Service Canada ULC, an Alberta unlimited liability company and (vi) Stewart McKelvey, counsel for Matrix SME Canada ULC, a Nova Scotia unlimited liability company in each case, in form and substance satisfactory to the Administrative Agent. The Company hereby requests such counsel to deliver such opinion.</w:t>
      </w:r>
    </w:p>
    <w:p>
      <w:pPr>
        <w:spacing w:after="0" w:line="196" w:lineRule="exact"/>
        <w:rPr>
          <w:rFonts w:ascii="Arial" w:cs="Arial" w:eastAsia="Arial" w:hAnsi="Arial"/>
          <w:sz w:val="18"/>
          <w:szCs w:val="18"/>
          <w:color w:val="auto"/>
        </w:rPr>
      </w:pPr>
    </w:p>
    <w:p>
      <w:pPr>
        <w:jc w:val="both"/>
        <w:ind w:firstLine="537"/>
        <w:spacing w:after="0" w:line="300" w:lineRule="auto"/>
        <w:tabs>
          <w:tab w:leader="none" w:pos="1224" w:val="left"/>
        </w:tabs>
        <w:numPr>
          <w:ilvl w:val="1"/>
          <w:numId w:val="95"/>
        </w:numPr>
        <w:rPr>
          <w:rFonts w:ascii="Arial" w:cs="Arial" w:eastAsia="Arial" w:hAnsi="Arial"/>
          <w:sz w:val="15"/>
          <w:szCs w:val="15"/>
          <w:color w:val="auto"/>
        </w:rPr>
      </w:pPr>
      <w:r>
        <w:rPr>
          <w:rFonts w:ascii="Arial" w:cs="Arial" w:eastAsia="Arial" w:hAnsi="Arial"/>
          <w:sz w:val="15"/>
          <w:szCs w:val="15"/>
          <w:color w:val="auto"/>
        </w:rPr>
        <w:t>The Administrative Agent shall have received all fees and other amounts due and payable on or prior to the Effective Date, including but not limited to (i) to the extent invoiced, reimbursement or payment of all out-of-pocket expenses required to be reimbursed or paid by the Borrowers hereunder,</w:t>
      </w:r>
    </w:p>
    <w:p>
      <w:pPr>
        <w:spacing w:after="0" w:line="1" w:lineRule="exact"/>
        <w:rPr>
          <w:rFonts w:ascii="Arial" w:cs="Arial" w:eastAsia="Arial" w:hAnsi="Arial"/>
          <w:sz w:val="15"/>
          <w:szCs w:val="15"/>
          <w:color w:val="auto"/>
        </w:rPr>
      </w:pPr>
    </w:p>
    <w:p>
      <w:pPr>
        <w:ind w:firstLine="8"/>
        <w:spacing w:after="0" w:line="245" w:lineRule="auto"/>
        <w:tabs>
          <w:tab w:leader="none" w:pos="265"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fees previously agreed to be paid to the Administrative Agent, to any of the Lenders and to JPMorgan Chase as Sole Bookrunner and Sole Lead Arranger prior to or on the Effective Date and (iii) all fees due and payable to the lenders under the Existing Credit Agreement.</w:t>
      </w:r>
    </w:p>
    <w:p>
      <w:pPr>
        <w:spacing w:after="0" w:line="191" w:lineRule="exact"/>
        <w:rPr>
          <w:rFonts w:ascii="Arial" w:cs="Arial" w:eastAsia="Arial" w:hAnsi="Arial"/>
          <w:sz w:val="18"/>
          <w:szCs w:val="18"/>
          <w:color w:val="auto"/>
        </w:rPr>
      </w:pPr>
    </w:p>
    <w:p>
      <w:pPr>
        <w:ind w:firstLine="537"/>
        <w:spacing w:after="0" w:line="261" w:lineRule="auto"/>
        <w:tabs>
          <w:tab w:leader="none" w:pos="1264"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Administrative Agent shall have received payment of all accrued and unpaid interest on the loans outstanding under the Existing Credit Agreement up to the Effective Date.</w:t>
      </w:r>
    </w:p>
    <w:p>
      <w:pPr>
        <w:spacing w:after="0" w:line="178" w:lineRule="exact"/>
        <w:rPr>
          <w:rFonts w:ascii="Arial" w:cs="Arial" w:eastAsia="Arial" w:hAnsi="Arial"/>
          <w:sz w:val="18"/>
          <w:szCs w:val="18"/>
          <w:color w:val="auto"/>
        </w:rPr>
      </w:pPr>
    </w:p>
    <w:p>
      <w:pPr>
        <w:jc w:val="both"/>
        <w:ind w:firstLine="537"/>
        <w:spacing w:after="0" w:line="252" w:lineRule="auto"/>
        <w:tabs>
          <w:tab w:leader="none" w:pos="1224"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Administrative Agent shall have received all documentation and other information required by regulatory authorities under applicable “know your customer” rules and regulations, including the Patriot Act, that has been reasonably requested in writing at least three (3) Business Days prior to the Effective Date by the Lenders.</w:t>
      </w:r>
    </w:p>
    <w:p>
      <w:pPr>
        <w:spacing w:after="0" w:line="185" w:lineRule="exact"/>
        <w:rPr>
          <w:rFonts w:ascii="Arial" w:cs="Arial" w:eastAsia="Arial" w:hAnsi="Arial"/>
          <w:sz w:val="18"/>
          <w:szCs w:val="18"/>
          <w:color w:val="auto"/>
        </w:rPr>
      </w:pPr>
    </w:p>
    <w:p>
      <w:pPr>
        <w:jc w:val="both"/>
        <w:ind w:firstLine="537"/>
        <w:spacing w:after="0" w:line="252" w:lineRule="auto"/>
        <w:tabs>
          <w:tab w:leader="none" w:pos="1313" w:val="left"/>
        </w:tabs>
        <w:numPr>
          <w:ilvl w:val="1"/>
          <w:numId w:val="96"/>
        </w:numPr>
        <w:rPr>
          <w:rFonts w:ascii="Arial" w:cs="Arial" w:eastAsia="Arial" w:hAnsi="Arial"/>
          <w:sz w:val="18"/>
          <w:szCs w:val="18"/>
          <w:color w:val="auto"/>
        </w:rPr>
      </w:pPr>
      <w:r>
        <w:rPr>
          <w:rFonts w:ascii="Arial" w:cs="Arial" w:eastAsia="Arial" w:hAnsi="Arial"/>
          <w:sz w:val="18"/>
          <w:szCs w:val="18"/>
          <w:color w:val="auto"/>
        </w:rPr>
        <w:t>All consents, authorizations and approvals of, and filings and registrations with, and all other actions in respect of, any Governmental Authority or other Person required in connection with the making of the Loans or the conduct of the Borrowers’ business shall have been obtained and shall be in full force and effect.</w:t>
      </w:r>
    </w:p>
    <w:p>
      <w:pPr>
        <w:spacing w:after="0" w:line="185" w:lineRule="exact"/>
        <w:rPr>
          <w:rFonts w:ascii="Arial" w:cs="Arial" w:eastAsia="Arial" w:hAnsi="Arial"/>
          <w:sz w:val="18"/>
          <w:szCs w:val="18"/>
          <w:color w:val="auto"/>
        </w:rPr>
      </w:pPr>
    </w:p>
    <w:p>
      <w:pPr>
        <w:ind w:firstLine="537"/>
        <w:spacing w:after="0" w:line="261" w:lineRule="auto"/>
        <w:tabs>
          <w:tab w:leader="none" w:pos="1264"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Administrative Agent shall have received a copy of the financial statements of the Company for the most recently ended fiscal year and for each fiscal quarter ended thereafter as to which such financial statements are available.</w:t>
      </w:r>
    </w:p>
    <w:p>
      <w:pPr>
        <w:spacing w:after="0" w:line="178" w:lineRule="exact"/>
        <w:rPr>
          <w:rFonts w:ascii="Arial" w:cs="Arial" w:eastAsia="Arial" w:hAnsi="Arial"/>
          <w:sz w:val="18"/>
          <w:szCs w:val="18"/>
          <w:color w:val="auto"/>
        </w:rPr>
      </w:pPr>
    </w:p>
    <w:p>
      <w:pPr>
        <w:ind w:left="1280" w:hanging="743"/>
        <w:spacing w:after="0"/>
        <w:tabs>
          <w:tab w:leader="none" w:pos="12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Administrative Agent shall have received such other documents and instruments as it or its counsel may have requested.</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 xml:space="preserve">SECTION 4.02 </w:t>
      </w:r>
      <w:r>
        <w:rPr>
          <w:rFonts w:ascii="Arial" w:cs="Arial" w:eastAsia="Arial" w:hAnsi="Arial"/>
          <w:sz w:val="15"/>
          <w:szCs w:val="15"/>
          <w:u w:val="single" w:color="auto"/>
          <w:color w:val="auto"/>
        </w:rPr>
        <w:t>Each Credit Event</w:t>
      </w:r>
      <w:r>
        <w:rPr>
          <w:rFonts w:ascii="Arial" w:cs="Arial" w:eastAsia="Arial" w:hAnsi="Arial"/>
          <w:sz w:val="15"/>
          <w:szCs w:val="15"/>
          <w:color w:val="auto"/>
        </w:rPr>
        <w:t>. The obligation of each Lender to make a Revolving Loan on the occasion of any Revolving Borrowing, and of the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Issuing Bank to issue, amend, renew or extend any Letter of Credit, is subject to the satisfaction of the following conditions:</w:t>
      </w:r>
    </w:p>
    <w:p>
      <w:pPr>
        <w:spacing w:after="0" w:line="198" w:lineRule="exact"/>
        <w:rPr>
          <w:sz w:val="20"/>
          <w:szCs w:val="20"/>
          <w:color w:val="auto"/>
        </w:rPr>
      </w:pPr>
    </w:p>
    <w:p>
      <w:pPr>
        <w:ind w:firstLine="537"/>
        <w:spacing w:after="0" w:line="261" w:lineRule="auto"/>
        <w:tabs>
          <w:tab w:leader="none" w:pos="1254"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representations and warranties of the Borrowers set forth in this Agreement shall be true and correct in all material respects on and as of the date of such Revolving Borrowing or the date of issuance,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64</w:t>
      </w:r>
    </w:p>
    <w:p>
      <w:pPr>
        <w:sectPr>
          <w:pgSz w:w="11900" w:h="16838" w:orient="portrait"/>
          <w:cols w:equalWidth="0" w:num="1">
            <w:col w:w="11460"/>
          </w:cols>
          <w:pgMar w:left="220" w:top="508" w:right="219" w:bottom="1440" w:gutter="0" w:footer="0" w:header="0"/>
        </w:sectPr>
      </w:pPr>
    </w:p>
    <w:bookmarkStart w:id="125" w:name="page126"/>
    <w:bookmarkEnd w:id="125"/>
    <w:p>
      <w:pPr>
        <w:spacing w:after="0" w:line="261" w:lineRule="auto"/>
        <w:rPr>
          <w:sz w:val="20"/>
          <w:szCs w:val="20"/>
          <w:color w:val="auto"/>
        </w:rPr>
      </w:pPr>
      <w:r>
        <w:rPr>
          <w:rFonts w:ascii="Arial" w:cs="Arial" w:eastAsia="Arial" w:hAnsi="Arial"/>
          <w:sz w:val="18"/>
          <w:szCs w:val="18"/>
          <w:color w:val="auto"/>
        </w:rPr>
        <w:t>amendment, renewal or extension of such Letter of Credit, as applicable, except to the extent limited to a specific prior date or incorrect as a result of transactions permitted under the Loan Documents.</w:t>
      </w:r>
    </w:p>
    <w:p>
      <w:pPr>
        <w:spacing w:after="0" w:line="178" w:lineRule="exact"/>
        <w:rPr>
          <w:sz w:val="20"/>
          <w:szCs w:val="20"/>
          <w:color w:val="auto"/>
        </w:rPr>
      </w:pPr>
    </w:p>
    <w:p>
      <w:pPr>
        <w:ind w:firstLine="537"/>
        <w:spacing w:after="0" w:line="261" w:lineRule="auto"/>
        <w:tabs>
          <w:tab w:leader="none" w:pos="1264" w:val="left"/>
        </w:tabs>
        <w:numPr>
          <w:ilvl w:val="0"/>
          <w:numId w:val="98"/>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Revolving Borrowing or the issuance, amendment, renewal or extension of such Letter of Credit, as applicable, no Default shall have occurred and be continuing.</w:t>
      </w:r>
    </w:p>
    <w:p>
      <w:pPr>
        <w:spacing w:after="0" w:line="178"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 xml:space="preserve">Each Revolving Borrowing and each issuance, amendment, renewal or extension of a Letter of Credit shall be deemed to constitute a representation and warranty by the Borrowers on the date thereof as to the matters specified in paragraphs </w:t>
      </w:r>
      <w:r>
        <w:rPr>
          <w:rFonts w:ascii="Arial" w:cs="Arial" w:eastAsia="Arial" w:hAnsi="Arial"/>
          <w:sz w:val="18"/>
          <w:szCs w:val="18"/>
          <w:u w:val="single" w:color="auto"/>
          <w:color w:val="auto"/>
        </w:rPr>
        <w:t>(a)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Affirmative Covenants</w:t>
      </w:r>
    </w:p>
    <w:p>
      <w:pPr>
        <w:spacing w:after="0" w:line="198" w:lineRule="exact"/>
        <w:rPr>
          <w:sz w:val="20"/>
          <w:szCs w:val="20"/>
          <w:color w:val="auto"/>
        </w:rPr>
      </w:pPr>
    </w:p>
    <w:p>
      <w:pPr>
        <w:jc w:val="both"/>
        <w:ind w:firstLine="529"/>
        <w:spacing w:after="0" w:line="252" w:lineRule="auto"/>
        <w:rPr>
          <w:sz w:val="20"/>
          <w:szCs w:val="20"/>
          <w:color w:val="auto"/>
        </w:rPr>
      </w:pPr>
      <w:r>
        <w:rPr>
          <w:rFonts w:ascii="Arial" w:cs="Arial" w:eastAsia="Arial" w:hAnsi="Arial"/>
          <w:sz w:val="18"/>
          <w:szCs w:val="18"/>
          <w:color w:val="auto"/>
        </w:rPr>
        <w:t>Until the Revolving Commitments have expired or been terminated and the principal of and interest on each Loan and all fees payable hereunder shall have been paid in full and all Letters of Credit shall have expired or terminated and all LC Disbursements shall have been reimbursed, each Borrower covenants and agrees with the Lenders that:</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Financial Statements; Other Information</w:t>
      </w:r>
      <w:r>
        <w:rPr>
          <w:rFonts w:ascii="Arial" w:cs="Arial" w:eastAsia="Arial" w:hAnsi="Arial"/>
          <w:sz w:val="18"/>
          <w:szCs w:val="18"/>
          <w:color w:val="auto"/>
        </w:rPr>
        <w:t>. The Company will furnish to the Administrative Agent and each Lender:</w:t>
      </w:r>
    </w:p>
    <w:p>
      <w:pPr>
        <w:spacing w:after="0" w:line="212" w:lineRule="exact"/>
        <w:rPr>
          <w:sz w:val="20"/>
          <w:szCs w:val="20"/>
          <w:color w:val="auto"/>
        </w:rPr>
      </w:pPr>
    </w:p>
    <w:p>
      <w:pPr>
        <w:jc w:val="both"/>
        <w:ind w:firstLine="537"/>
        <w:spacing w:after="0" w:line="260" w:lineRule="auto"/>
        <w:tabs>
          <w:tab w:leader="none" w:pos="1254" w:val="left"/>
        </w:tabs>
        <w:numPr>
          <w:ilvl w:val="0"/>
          <w:numId w:val="99"/>
        </w:numPr>
        <w:rPr>
          <w:rFonts w:ascii="Arial" w:cs="Arial" w:eastAsia="Arial" w:hAnsi="Arial"/>
          <w:sz w:val="17"/>
          <w:szCs w:val="17"/>
          <w:color w:val="auto"/>
        </w:rPr>
      </w:pPr>
      <w:r>
        <w:rPr>
          <w:rFonts w:ascii="Arial" w:cs="Arial" w:eastAsia="Arial" w:hAnsi="Arial"/>
          <w:sz w:val="17"/>
          <w:szCs w:val="17"/>
          <w:color w:val="auto"/>
        </w:rPr>
        <w:t>Within ninety (90) days after the close of each of its fiscal years, copies of the audited consolidated balance sheets of the Company and its Subsidiaries as at the end of such fiscal year, together with the related audited consolidated statements of income and statements of comprehensive income, statements of cash flows and statements of changes in stockholders’ equity for such fiscal year, and the notes thereto, all in reasonable detail, setting forth in each case in comparative form the audited consolidated figures as of the end of and for the previous fiscal year, in reasonable detail and prepared in accordance with Agreement Accounting Principles, and accompanied by a report and opinion of an independent certified public accountant reasonably acceptable to the Lenders which report and opinion shall be prepared in accordance with generally accepted auditing standards and shall be unqualified (except for qualifications relating to changes in accounting principles or practices reflecting changes in generally accepted accounting principles and required or approved by the Company’s independent certified public accountants) and not subject to any “going concern” or like qualification or exception and shall state that such consolidated financial statements present fairly, in all material respects, the consolidated financial position of the Company and Subsidiaries as at the end of such fiscal year and their consolidated results of operations and cash flows for such fiscal year in conformity with Agreement Accounting Principles (or words substantially similar to the foregoing) and that the examination by such accountants in connection with such consolidated financial statements has been made in accordance with generally accepted auditing standards.</w:t>
      </w:r>
    </w:p>
    <w:p>
      <w:pPr>
        <w:spacing w:after="0" w:line="181" w:lineRule="exact"/>
        <w:rPr>
          <w:rFonts w:ascii="Arial" w:cs="Arial" w:eastAsia="Arial" w:hAnsi="Arial"/>
          <w:sz w:val="17"/>
          <w:szCs w:val="17"/>
          <w:color w:val="auto"/>
        </w:rPr>
      </w:pPr>
    </w:p>
    <w:p>
      <w:pPr>
        <w:jc w:val="both"/>
        <w:ind w:firstLine="537"/>
        <w:spacing w:after="0" w:line="246" w:lineRule="auto"/>
        <w:tabs>
          <w:tab w:leader="none" w:pos="1264" w:val="left"/>
        </w:tabs>
        <w:numPr>
          <w:ilvl w:val="0"/>
          <w:numId w:val="99"/>
        </w:numPr>
        <w:rPr>
          <w:rFonts w:ascii="Arial" w:cs="Arial" w:eastAsia="Arial" w:hAnsi="Arial"/>
          <w:sz w:val="18"/>
          <w:szCs w:val="18"/>
          <w:color w:val="auto"/>
        </w:rPr>
      </w:pPr>
      <w:r>
        <w:rPr>
          <w:rFonts w:ascii="Arial" w:cs="Arial" w:eastAsia="Arial" w:hAnsi="Arial"/>
          <w:sz w:val="18"/>
          <w:szCs w:val="18"/>
          <w:color w:val="auto"/>
        </w:rPr>
        <w:t>Within forty-five (45) days after the end of the first three fiscal quarters of the Company’s fiscal year, (i) condensed consolidated balance sheets of the Company and Subsidiaries as at the end of such fiscal quarter, (ii) the related condensed consolidated statements of income and the related condensed consolidated statements of comprehensive income, each for such fiscal quarter and for the portion of the fiscal year then ended and each setting forth in comparative form the consolidated figures for the corresponding fiscal quarter of the previous fiscal year and the corresponding portion of the previous fiscal year, and (iii) the related condensed consolidated statements of cash flows for the portion of the Company’s fiscal year then ended and the related condensed consolidated statements of changes in stockholders' equity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65</w:t>
      </w:r>
    </w:p>
    <w:p>
      <w:pPr>
        <w:sectPr>
          <w:pgSz w:w="11900" w:h="16838" w:orient="portrait"/>
          <w:cols w:equalWidth="0" w:num="1">
            <w:col w:w="11460"/>
          </w:cols>
          <w:pgMar w:left="220" w:top="509" w:right="219" w:bottom="1440" w:gutter="0" w:footer="0" w:header="0"/>
        </w:sectPr>
      </w:pPr>
    </w:p>
    <w:bookmarkStart w:id="126" w:name="page127"/>
    <w:bookmarkEnd w:id="126"/>
    <w:p>
      <w:pPr>
        <w:jc w:val="both"/>
        <w:spacing w:after="0" w:line="249" w:lineRule="auto"/>
        <w:rPr>
          <w:sz w:val="20"/>
          <w:szCs w:val="20"/>
          <w:color w:val="auto"/>
        </w:rPr>
      </w:pPr>
      <w:r>
        <w:rPr>
          <w:rFonts w:ascii="Arial" w:cs="Arial" w:eastAsia="Arial" w:hAnsi="Arial"/>
          <w:sz w:val="18"/>
          <w:szCs w:val="18"/>
          <w:color w:val="auto"/>
        </w:rPr>
        <w:t>for the portion of the Company’s fiscal year then ended and in each case setting forth in comparative form the consolidated figures for the corresponding portion of the previous fiscal year, all in reasonable detail and certified by a Financial Officer of the Company as fairly presenting the financial condition, results of operations, cash flows and changes in stockholders’ equity of the Company and its Subsidiaries in accordance with Agreement Accounting Principles, subject only to normal year-end audit adjustments and the absence of footnotes.</w:t>
      </w:r>
    </w:p>
    <w:p>
      <w:pPr>
        <w:spacing w:after="0" w:line="188" w:lineRule="exact"/>
        <w:rPr>
          <w:sz w:val="20"/>
          <w:szCs w:val="20"/>
          <w:color w:val="auto"/>
        </w:rPr>
      </w:pPr>
    </w:p>
    <w:p>
      <w:pPr>
        <w:jc w:val="both"/>
        <w:ind w:firstLine="537"/>
        <w:spacing w:after="0" w:line="314" w:lineRule="auto"/>
        <w:tabs>
          <w:tab w:leader="none" w:pos="1254" w:val="left"/>
        </w:tabs>
        <w:numPr>
          <w:ilvl w:val="0"/>
          <w:numId w:val="100"/>
        </w:numPr>
        <w:rPr>
          <w:rFonts w:ascii="Arial" w:cs="Arial" w:eastAsia="Arial" w:hAnsi="Arial"/>
          <w:sz w:val="15"/>
          <w:szCs w:val="15"/>
          <w:color w:val="auto"/>
        </w:rPr>
      </w:pPr>
      <w:r>
        <w:rPr>
          <w:rFonts w:ascii="Arial" w:cs="Arial" w:eastAsia="Arial" w:hAnsi="Arial"/>
          <w:sz w:val="15"/>
          <w:szCs w:val="15"/>
          <w:color w:val="auto"/>
        </w:rPr>
        <w:t xml:space="preserve">Together with the financial statements required under </w:t>
      </w:r>
      <w:r>
        <w:rPr>
          <w:rFonts w:ascii="Arial" w:cs="Arial" w:eastAsia="Arial" w:hAnsi="Arial"/>
          <w:sz w:val="15"/>
          <w:szCs w:val="15"/>
          <w:u w:val="single" w:color="auto"/>
          <w:color w:val="auto"/>
        </w:rPr>
        <w:t>Sections 5.01(a)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(b)</w:t>
      </w:r>
      <w:r>
        <w:rPr>
          <w:rFonts w:ascii="Arial" w:cs="Arial" w:eastAsia="Arial" w:hAnsi="Arial"/>
          <w:sz w:val="15"/>
          <w:szCs w:val="15"/>
          <w:color w:val="auto"/>
        </w:rPr>
        <w:t xml:space="preserve">, a compliance certificate in substantially the form of </w:t>
      </w:r>
      <w:r>
        <w:rPr>
          <w:rFonts w:ascii="Arial" w:cs="Arial" w:eastAsia="Arial" w:hAnsi="Arial"/>
          <w:sz w:val="15"/>
          <w:szCs w:val="15"/>
          <w:u w:val="single" w:color="auto"/>
          <w:color w:val="auto"/>
        </w:rPr>
        <w:t>Exhibit H</w:t>
      </w:r>
      <w:r>
        <w:rPr>
          <w:rFonts w:ascii="Arial" w:cs="Arial" w:eastAsia="Arial" w:hAnsi="Arial"/>
          <w:sz w:val="15"/>
          <w:szCs w:val="15"/>
          <w:color w:val="auto"/>
        </w:rPr>
        <w:t xml:space="preserve"> signed by its chief financial officer showing the calculations necessary to determine compliance with this Agreement (including without limitation all the calculations specified in </w:t>
      </w:r>
      <w:r>
        <w:rPr>
          <w:rFonts w:ascii="Arial" w:cs="Arial" w:eastAsia="Arial" w:hAnsi="Arial"/>
          <w:sz w:val="15"/>
          <w:szCs w:val="15"/>
          <w:u w:val="single" w:color="auto"/>
          <w:color w:val="auto"/>
        </w:rPr>
        <w:t>Exhibit H</w:t>
      </w:r>
      <w:r>
        <w:rPr>
          <w:rFonts w:ascii="Arial" w:cs="Arial" w:eastAsia="Arial" w:hAnsi="Arial"/>
          <w:sz w:val="15"/>
          <w:szCs w:val="15"/>
          <w:color w:val="auto"/>
        </w:rPr>
        <w:t>) and stating that no Default or Event of Default exists, or if any Default or Event of Default exists, stating the nature and status thereof and the action the Company has taken, is taking, or proposes to take in respect thereto (a “</w:t>
      </w:r>
      <w:r>
        <w:rPr>
          <w:rFonts w:ascii="Arial" w:cs="Arial" w:eastAsia="Arial" w:hAnsi="Arial"/>
          <w:sz w:val="15"/>
          <w:szCs w:val="15"/>
          <w:u w:val="single" w:color="auto"/>
          <w:color w:val="auto"/>
        </w:rPr>
        <w:t>Compliance Certificate</w:t>
      </w:r>
      <w:r>
        <w:rPr>
          <w:rFonts w:ascii="Arial" w:cs="Arial" w:eastAsia="Arial" w:hAnsi="Arial"/>
          <w:sz w:val="15"/>
          <w:szCs w:val="15"/>
          <w:color w:val="auto"/>
        </w:rPr>
        <w:t>”).</w:t>
      </w:r>
    </w:p>
    <w:p>
      <w:pPr>
        <w:spacing w:after="0" w:line="144" w:lineRule="exact"/>
        <w:rPr>
          <w:rFonts w:ascii="Arial" w:cs="Arial" w:eastAsia="Arial" w:hAnsi="Arial"/>
          <w:sz w:val="15"/>
          <w:szCs w:val="15"/>
          <w:color w:val="auto"/>
        </w:rPr>
      </w:pPr>
    </w:p>
    <w:p>
      <w:pPr>
        <w:jc w:val="both"/>
        <w:ind w:firstLine="537"/>
        <w:spacing w:after="0" w:line="268" w:lineRule="auto"/>
        <w:tabs>
          <w:tab w:leader="none" w:pos="1264"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As soon as possible and in any event within ten (10) days after receipt by the Company, a copy of (i) any notice or claim to the effect that the Company or any of its Subsidiaries is or may be liable to any Person as a result of the release by the Company, any of its Subsidiaries, or any other Person of any Hazardous Material into the environment, and (ii) any notice alleging any violation of any Environmental Law by the Company or any of its Subsidiaries which, in either case, could reasonably be expected to have a Material Adverse Effect.</w:t>
      </w:r>
    </w:p>
    <w:p>
      <w:pPr>
        <w:spacing w:after="0" w:line="173" w:lineRule="exact"/>
        <w:rPr>
          <w:rFonts w:ascii="Arial" w:cs="Arial" w:eastAsia="Arial" w:hAnsi="Arial"/>
          <w:sz w:val="17"/>
          <w:szCs w:val="17"/>
          <w:color w:val="auto"/>
        </w:rPr>
      </w:pPr>
    </w:p>
    <w:p>
      <w:pPr>
        <w:ind w:firstLine="537"/>
        <w:spacing w:after="0" w:line="261" w:lineRule="auto"/>
        <w:tabs>
          <w:tab w:leader="none" w:pos="125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Promptly upon the furnishing thereof to the shareholders of the Company, copies of all financial statements, reports and proxy statements so furnished, if not previously delivered to the Administrative Agent.</w:t>
      </w:r>
    </w:p>
    <w:p>
      <w:pPr>
        <w:spacing w:after="0" w:line="178" w:lineRule="exact"/>
        <w:rPr>
          <w:rFonts w:ascii="Arial" w:cs="Arial" w:eastAsia="Arial" w:hAnsi="Arial"/>
          <w:sz w:val="18"/>
          <w:szCs w:val="18"/>
          <w:color w:val="auto"/>
        </w:rPr>
      </w:pPr>
    </w:p>
    <w:p>
      <w:pPr>
        <w:ind w:firstLine="537"/>
        <w:spacing w:after="0" w:line="261" w:lineRule="auto"/>
        <w:tabs>
          <w:tab w:leader="none" w:pos="123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Promptly upon the filing thereof, copies of all annual, quarterly, monthly or other regular reports which the Company or any of its Subsidiaries files with the SEC, if not previously delivered to the Administrative Agent.</w:t>
      </w:r>
    </w:p>
    <w:p>
      <w:pPr>
        <w:spacing w:after="0" w:line="178" w:lineRule="exact"/>
        <w:rPr>
          <w:rFonts w:ascii="Arial" w:cs="Arial" w:eastAsia="Arial" w:hAnsi="Arial"/>
          <w:sz w:val="18"/>
          <w:szCs w:val="18"/>
          <w:color w:val="auto"/>
        </w:rPr>
      </w:pPr>
    </w:p>
    <w:p>
      <w:pPr>
        <w:jc w:val="both"/>
        <w:ind w:firstLine="537"/>
        <w:spacing w:after="0" w:line="268" w:lineRule="auto"/>
        <w:tabs>
          <w:tab w:leader="none" w:pos="1264" w:val="left"/>
        </w:tabs>
        <w:numPr>
          <w:ilvl w:val="0"/>
          <w:numId w:val="100"/>
        </w:numPr>
        <w:rPr>
          <w:rFonts w:ascii="Arial" w:cs="Arial" w:eastAsia="Arial" w:hAnsi="Arial"/>
          <w:sz w:val="17"/>
          <w:szCs w:val="17"/>
          <w:color w:val="auto"/>
        </w:rPr>
      </w:pPr>
      <w:r>
        <w:rPr>
          <w:rFonts w:ascii="Arial" w:cs="Arial" w:eastAsia="Arial" w:hAnsi="Arial"/>
          <w:sz w:val="17"/>
          <w:szCs w:val="17"/>
          <w:color w:val="auto"/>
        </w:rPr>
        <w:t>Promptly following any request therefor, a bonding report as of a date no earlier than the last day of the fiscal quarter showing, as to all bonds to which the Company or any Subsidiary is a party, the following: (i) the identity of the principal, the identity of the obligee, a description of the applicable project, the type of bond, the amount of the bond, the premium paid for the bond, and the effective date and expiration date of the bond, and (ii) such other information regarding such bonds as reasonably requested by the Administrative Agent or any Lender.</w:t>
      </w:r>
    </w:p>
    <w:p>
      <w:pPr>
        <w:spacing w:after="0" w:line="173" w:lineRule="exact"/>
        <w:rPr>
          <w:rFonts w:ascii="Arial" w:cs="Arial" w:eastAsia="Arial" w:hAnsi="Arial"/>
          <w:sz w:val="17"/>
          <w:szCs w:val="17"/>
          <w:color w:val="auto"/>
        </w:rPr>
      </w:pPr>
    </w:p>
    <w:p>
      <w:pPr>
        <w:ind w:firstLine="537"/>
        <w:spacing w:after="0" w:line="261" w:lineRule="auto"/>
        <w:tabs>
          <w:tab w:leader="none" w:pos="126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Within ninety (90) days after the end of the Company’s fiscal year, financial projections for the Company and each Subsidiary, and for the Company and the Subsidiaries on a consolidated basis, for the next fiscal year.</w:t>
      </w:r>
    </w:p>
    <w:p>
      <w:pPr>
        <w:spacing w:after="0" w:line="178" w:lineRule="exact"/>
        <w:rPr>
          <w:rFonts w:ascii="Arial" w:cs="Arial" w:eastAsia="Arial" w:hAnsi="Arial"/>
          <w:sz w:val="18"/>
          <w:szCs w:val="18"/>
          <w:color w:val="auto"/>
        </w:rPr>
      </w:pPr>
    </w:p>
    <w:p>
      <w:pPr>
        <w:ind w:firstLine="537"/>
        <w:spacing w:after="0" w:line="291" w:lineRule="auto"/>
        <w:tabs>
          <w:tab w:leader="none" w:pos="1224" w:val="left"/>
        </w:tabs>
        <w:numPr>
          <w:ilvl w:val="0"/>
          <w:numId w:val="100"/>
        </w:numPr>
        <w:rPr>
          <w:rFonts w:ascii="Arial" w:cs="Arial" w:eastAsia="Arial" w:hAnsi="Arial"/>
          <w:sz w:val="17"/>
          <w:szCs w:val="17"/>
          <w:color w:val="auto"/>
        </w:rPr>
      </w:pPr>
      <w:r>
        <w:rPr>
          <w:rFonts w:ascii="Arial" w:cs="Arial" w:eastAsia="Arial" w:hAnsi="Arial"/>
          <w:sz w:val="17"/>
          <w:szCs w:val="17"/>
          <w:color w:val="auto"/>
        </w:rPr>
        <w:t>Promptly following any request therefor, such other information regarding the operations, business affairs and financial condition of the Company or any Subsidiary, or compliance with the terms of this Agreement, as the Administrative Agent or any Lender may reasonably request.</w:t>
      </w:r>
    </w:p>
    <w:p>
      <w:pPr>
        <w:spacing w:after="0" w:line="154" w:lineRule="exact"/>
        <w:rPr>
          <w:sz w:val="20"/>
          <w:szCs w:val="20"/>
          <w:color w:val="auto"/>
        </w:rPr>
      </w:pPr>
    </w:p>
    <w:p>
      <w:pPr>
        <w:jc w:val="both"/>
        <w:ind w:firstLine="529"/>
        <w:spacing w:after="0" w:line="249" w:lineRule="auto"/>
        <w:rPr>
          <w:sz w:val="20"/>
          <w:szCs w:val="20"/>
          <w:color w:val="auto"/>
        </w:rPr>
      </w:pPr>
      <w:r>
        <w:rPr>
          <w:rFonts w:ascii="Arial" w:cs="Arial" w:eastAsia="Arial" w:hAnsi="Arial"/>
          <w:sz w:val="18"/>
          <w:szCs w:val="18"/>
          <w:color w:val="auto"/>
        </w:rPr>
        <w:t xml:space="preserve">Documents required to be delivered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(f)</w:t>
      </w:r>
      <w:r>
        <w:rPr>
          <w:rFonts w:ascii="Arial" w:cs="Arial" w:eastAsia="Arial" w:hAnsi="Arial"/>
          <w:sz w:val="18"/>
          <w:szCs w:val="18"/>
          <w:color w:val="auto"/>
        </w:rPr>
        <w:t xml:space="preserve"> (to the extent any such documents are included in materials otherwise filed with the SEC) may be delivered electronically and if so delivered, shall be deemed to have been delivered on the date (i) on which the Company posts such documents, or provides a link thereto on the Company’s website on the Internet at http://matrixservice.com/InvestorSECFiling.asp; or (ii) on which such documents are posted on the Company’s behalf on the SEC’s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66</w:t>
      </w:r>
    </w:p>
    <w:p>
      <w:pPr>
        <w:sectPr>
          <w:pgSz w:w="11900" w:h="16838" w:orient="portrait"/>
          <w:cols w:equalWidth="0" w:num="1">
            <w:col w:w="11460"/>
          </w:cols>
          <w:pgMar w:left="220" w:top="508" w:right="219" w:bottom="1440" w:gutter="0" w:footer="0" w:header="0"/>
        </w:sectPr>
      </w:pPr>
    </w:p>
    <w:bookmarkStart w:id="127" w:name="page128"/>
    <w:bookmarkEnd w:id="127"/>
    <w:p>
      <w:pPr>
        <w:jc w:val="both"/>
        <w:spacing w:after="0" w:line="268" w:lineRule="auto"/>
        <w:rPr>
          <w:sz w:val="20"/>
          <w:szCs w:val="20"/>
          <w:color w:val="auto"/>
        </w:rPr>
      </w:pPr>
      <w:r>
        <w:rPr>
          <w:rFonts w:ascii="Arial" w:cs="Arial" w:eastAsia="Arial" w:hAnsi="Arial"/>
          <w:sz w:val="17"/>
          <w:szCs w:val="17"/>
          <w:color w:val="auto"/>
        </w:rPr>
        <w:t xml:space="preserve">website;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the Company shall deliver paper copies of such documents to the Administrative Agent or any Lender that requests the Company to deliver such paper copies and (y) the Company shall notify (which may be by facsimile or electronic mail) the Administrative Agent (and the Administrative Agent shall promptly notify the Lenders thereof) of the posting of any such documents and provide to the Administrative Agent (and the Administrative Agent shall promptly provide such documents to the Lenders) by electronic mail electronic versions (i.e., soft copies) of such documents.</w:t>
      </w:r>
    </w:p>
    <w:p>
      <w:pPr>
        <w:spacing w:after="0" w:line="141" w:lineRule="exact"/>
        <w:rPr>
          <w:sz w:val="20"/>
          <w:szCs w:val="20"/>
          <w:color w:val="auto"/>
        </w:rPr>
      </w:pPr>
    </w:p>
    <w:p>
      <w:pPr>
        <w:jc w:val="both"/>
        <w:ind w:right="20" w:firstLine="529"/>
        <w:spacing w:after="0" w:line="261"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Notices of Material Events</w:t>
      </w:r>
      <w:r>
        <w:rPr>
          <w:rFonts w:ascii="Arial" w:cs="Arial" w:eastAsia="Arial" w:hAnsi="Arial"/>
          <w:sz w:val="18"/>
          <w:szCs w:val="18"/>
          <w:color w:val="auto"/>
        </w:rPr>
        <w:t>. The Company will furnish to the Administrative Agent and each Lender prompt written notice of the following:</w:t>
      </w:r>
    </w:p>
    <w:p>
      <w:pPr>
        <w:spacing w:after="0" w:line="178" w:lineRule="exact"/>
        <w:rPr>
          <w:sz w:val="20"/>
          <w:szCs w:val="20"/>
          <w:color w:val="auto"/>
        </w:rPr>
      </w:pPr>
    </w:p>
    <w:p>
      <w:pPr>
        <w:ind w:left="1260" w:hanging="723"/>
        <w:spacing w:after="0"/>
        <w:tabs>
          <w:tab w:leader="none" w:pos="12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211" w:lineRule="exact"/>
        <w:rPr>
          <w:rFonts w:ascii="Arial" w:cs="Arial" w:eastAsia="Arial" w:hAnsi="Arial"/>
          <w:sz w:val="18"/>
          <w:szCs w:val="18"/>
          <w:color w:val="auto"/>
        </w:rPr>
      </w:pPr>
    </w:p>
    <w:p>
      <w:pPr>
        <w:ind w:firstLine="537"/>
        <w:spacing w:after="0" w:line="261" w:lineRule="auto"/>
        <w:tabs>
          <w:tab w:leader="none" w:pos="126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filing or commencement of any action, suit or proceeding by or before any arbitrator or Governmental Authority against or affecting the Company or any Affiliate thereof that, if adversely determined, could reasonably be expected to result in a Material Adverse Effect;</w:t>
      </w:r>
    </w:p>
    <w:p>
      <w:pPr>
        <w:spacing w:after="0" w:line="178" w:lineRule="exact"/>
        <w:rPr>
          <w:rFonts w:ascii="Arial" w:cs="Arial" w:eastAsia="Arial" w:hAnsi="Arial"/>
          <w:sz w:val="18"/>
          <w:szCs w:val="18"/>
          <w:color w:val="auto"/>
        </w:rPr>
      </w:pPr>
    </w:p>
    <w:p>
      <w:pPr>
        <w:ind w:firstLine="537"/>
        <w:spacing w:after="0" w:line="261" w:lineRule="auto"/>
        <w:tabs>
          <w:tab w:leader="none" w:pos="125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occurrence of any ERISA Event that, alone or together with any other ERISA Events that have occurred, could reasonably be expected to result in a Material Adverse Effect; and</w:t>
      </w:r>
    </w:p>
    <w:p>
      <w:pPr>
        <w:spacing w:after="0" w:line="178" w:lineRule="exact"/>
        <w:rPr>
          <w:rFonts w:ascii="Arial" w:cs="Arial" w:eastAsia="Arial" w:hAnsi="Arial"/>
          <w:sz w:val="18"/>
          <w:szCs w:val="18"/>
          <w:color w:val="auto"/>
        </w:rPr>
      </w:pPr>
    </w:p>
    <w:p>
      <w:pPr>
        <w:ind w:left="1280" w:hanging="743"/>
        <w:spacing w:after="0"/>
        <w:tabs>
          <w:tab w:leader="none" w:pos="12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other development that results in, or could reasonably be expected to result in, a Material Adverse Effect.</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Each notice delivered under this Section shall be accompanied by a statement of a Financial Officer or other Authorized Officer of the Company setting forth the details of the event or development requiring such notice and any action taken or proposed to be taken with respect thereto.</w:t>
      </w:r>
    </w:p>
    <w:p>
      <w:pPr>
        <w:spacing w:after="0" w:line="145" w:lineRule="exact"/>
        <w:rPr>
          <w:sz w:val="20"/>
          <w:szCs w:val="20"/>
          <w:color w:val="auto"/>
        </w:rPr>
      </w:pPr>
    </w:p>
    <w:p>
      <w:pPr>
        <w:jc w:val="both"/>
        <w:ind w:firstLine="529"/>
        <w:spacing w:after="0" w:line="326" w:lineRule="auto"/>
        <w:rPr>
          <w:sz w:val="20"/>
          <w:szCs w:val="20"/>
          <w:color w:val="auto"/>
        </w:rPr>
      </w:pPr>
      <w:r>
        <w:rPr>
          <w:rFonts w:ascii="Arial" w:cs="Arial" w:eastAsia="Arial" w:hAnsi="Arial"/>
          <w:sz w:val="15"/>
          <w:szCs w:val="15"/>
          <w:color w:val="auto"/>
        </w:rPr>
        <w:t xml:space="preserve">SECTION 5.03 </w:t>
      </w:r>
      <w:r>
        <w:rPr>
          <w:rFonts w:ascii="Arial" w:cs="Arial" w:eastAsia="Arial" w:hAnsi="Arial"/>
          <w:sz w:val="15"/>
          <w:szCs w:val="15"/>
          <w:u w:val="single" w:color="auto"/>
          <w:color w:val="auto"/>
        </w:rPr>
        <w:t>Existence; Conduct of Business</w:t>
      </w:r>
      <w:r>
        <w:rPr>
          <w:rFonts w:ascii="Arial" w:cs="Arial" w:eastAsia="Arial" w:hAnsi="Arial"/>
          <w:sz w:val="15"/>
          <w:szCs w:val="15"/>
          <w:color w:val="auto"/>
        </w:rPr>
        <w:t xml:space="preserve">. The Company will, and will cause each of its Subsidiaries to, do or cause to be done all things necessary to preserve, renew and keep in full force and effect its legal existence and the rights, licenses, permits, privileges and franchises material to the conduct of its business;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foregoing shall not prohibit any merger, consolidation, liquidation or dissolution permitted under </w:t>
      </w:r>
      <w:r>
        <w:rPr>
          <w:rFonts w:ascii="Arial" w:cs="Arial" w:eastAsia="Arial" w:hAnsi="Arial"/>
          <w:sz w:val="15"/>
          <w:szCs w:val="15"/>
          <w:u w:val="single" w:color="auto"/>
          <w:color w:val="auto"/>
        </w:rPr>
        <w:t>Section 6.03</w:t>
      </w:r>
      <w:r>
        <w:rPr>
          <w:rFonts w:ascii="Arial" w:cs="Arial" w:eastAsia="Arial" w:hAnsi="Arial"/>
          <w:sz w:val="15"/>
          <w:szCs w:val="15"/>
          <w:color w:val="auto"/>
        </w:rPr>
        <w:t>.</w:t>
      </w:r>
    </w:p>
    <w:p>
      <w:pPr>
        <w:spacing w:after="0" w:line="135" w:lineRule="exact"/>
        <w:rPr>
          <w:sz w:val="20"/>
          <w:szCs w:val="20"/>
          <w:color w:val="auto"/>
        </w:rPr>
      </w:pPr>
    </w:p>
    <w:p>
      <w:pPr>
        <w:jc w:val="both"/>
        <w:ind w:firstLine="529"/>
        <w:spacing w:after="0" w:line="24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Payment of Obligations</w:t>
      </w:r>
      <w:r>
        <w:rPr>
          <w:rFonts w:ascii="Arial" w:cs="Arial" w:eastAsia="Arial" w:hAnsi="Arial"/>
          <w:sz w:val="18"/>
          <w:szCs w:val="18"/>
          <w:color w:val="auto"/>
        </w:rPr>
        <w:t>. The Company will, and will cause each of its Subsidiaries to, pay its obligations, including Tax liabilities, that, if not paid, could result in a Material Adverse Effect before the same shall become delinquent or in default, except where (a) the validity or amount thereof is being contested in good faith by appropriate proceedings, (b) the Company or such Subsidiary has set aside on its books adequate reserves with respect thereto in accordance with Agreement Accounting Principles and (c) the failure to make payment pending such contest could not reasonably be expected to result in a Material Adverse Effect.</w:t>
      </w:r>
    </w:p>
    <w:p>
      <w:pPr>
        <w:spacing w:after="0" w:line="191" w:lineRule="exact"/>
        <w:rPr>
          <w:sz w:val="20"/>
          <w:szCs w:val="20"/>
          <w:color w:val="auto"/>
        </w:rPr>
      </w:pPr>
    </w:p>
    <w:p>
      <w:pPr>
        <w:jc w:val="both"/>
        <w:ind w:firstLine="529"/>
        <w:spacing w:after="0" w:line="254"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Maintenance of Properties; Insurance</w:t>
      </w:r>
      <w:r>
        <w:rPr>
          <w:rFonts w:ascii="Arial" w:cs="Arial" w:eastAsia="Arial" w:hAnsi="Arial"/>
          <w:sz w:val="18"/>
          <w:szCs w:val="18"/>
          <w:color w:val="auto"/>
        </w:rPr>
        <w:t xml:space="preserve">. The Company will, and will cause each of its Subsidiaries to, (a) keep and maintain all property material to the conduct of its business in good working order and condition, ordinary wear and tear excepted, and (b) maintain, with financially sound and reputable insurance companies, insurance in such amounts and against such risks as are customarily maintained by companies engaged in the same or similar businesses operating in the same or similar locations, and the Company will furnish to any Lender upon request full information as to all insurance carried. </w:t>
      </w:r>
      <w:r>
        <w:rPr>
          <w:rFonts w:ascii="Arial" w:cs="Arial" w:eastAsia="Arial" w:hAnsi="Arial"/>
          <w:sz w:val="16"/>
          <w:szCs w:val="16"/>
          <w:color w:val="auto"/>
        </w:rPr>
        <w:t>With</w:t>
      </w:r>
      <w:r>
        <w:rPr>
          <w:rFonts w:ascii="Arial" w:cs="Arial" w:eastAsia="Arial" w:hAnsi="Arial"/>
          <w:sz w:val="18"/>
          <w:szCs w:val="18"/>
          <w:color w:val="auto"/>
        </w:rPr>
        <w:t xml:space="preserve"> </w:t>
      </w:r>
      <w:r>
        <w:rPr>
          <w:rFonts w:ascii="Arial" w:cs="Arial" w:eastAsia="Arial" w:hAnsi="Arial"/>
          <w:sz w:val="16"/>
          <w:szCs w:val="16"/>
          <w:color w:val="auto"/>
        </w:rPr>
        <w:t xml:space="preserve">respect to each Mortgaged Property that is located in an area identified by the Federal Emergency Management Agency (or any successor agency) as a “special flood hazard area” with respect to which flood </w:t>
      </w:r>
      <w:r>
        <w:rPr>
          <w:rFonts w:ascii="Arial" w:cs="Arial" w:eastAsia="Arial" w:hAnsi="Arial"/>
          <w:sz w:val="17"/>
          <w:szCs w:val="17"/>
          <w:color w:val="auto"/>
        </w:rPr>
        <w:t>insurance has been made available under Flood Insurance Laws, the Company or its applicable Subsidiary (a) has obtained and</w:t>
      </w:r>
      <w:r>
        <w:rPr>
          <w:rFonts w:ascii="Arial" w:cs="Arial" w:eastAsia="Arial" w:hAnsi="Arial"/>
          <w:sz w:val="16"/>
          <w:szCs w:val="16"/>
          <w:color w:val="auto"/>
        </w:rPr>
        <w:t xml:space="preserve"> </w:t>
      </w:r>
      <w:r>
        <w:rPr>
          <w:rFonts w:ascii="Arial" w:cs="Arial" w:eastAsia="Arial" w:hAnsi="Arial"/>
          <w:sz w:val="17"/>
          <w:szCs w:val="17"/>
          <w:color w:val="auto"/>
        </w:rPr>
        <w:t>will maintain,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67</w:t>
      </w:r>
    </w:p>
    <w:p>
      <w:pPr>
        <w:sectPr>
          <w:pgSz w:w="11900" w:h="16838" w:orient="portrait"/>
          <w:cols w:equalWidth="0" w:num="1">
            <w:col w:w="11460"/>
          </w:cols>
          <w:pgMar w:left="220" w:top="508" w:right="219" w:bottom="1440" w:gutter="0" w:footer="0" w:header="0"/>
        </w:sectPr>
      </w:pPr>
    </w:p>
    <w:bookmarkStart w:id="128" w:name="page129"/>
    <w:bookmarkEnd w:id="128"/>
    <w:p>
      <w:pPr>
        <w:jc w:val="both"/>
        <w:spacing w:after="0" w:line="262" w:lineRule="auto"/>
        <w:rPr>
          <w:sz w:val="20"/>
          <w:szCs w:val="20"/>
          <w:color w:val="auto"/>
        </w:rPr>
      </w:pPr>
      <w:r>
        <w:rPr>
          <w:rFonts w:ascii="Arial" w:cs="Arial" w:eastAsia="Arial" w:hAnsi="Arial"/>
          <w:sz w:val="17"/>
          <w:szCs w:val="17"/>
          <w:color w:val="auto"/>
        </w:rPr>
        <w:t>with financially sound and reputable insurance companies (except to the extent that any insurance company insuring the Mortgaged Property ceases to be financially sound and reputable, in which case, the Company shall (or shall cause its applicable to Subsidiary) to promptly replace such insurance company with a financially sound and reputable insurance company), such flood insurance in such reasonable total amount as the Administrative Agent and the Impacted Lender may from time to time reasonably require, and otherwise sufficient to comply with all applicable rules and regulations promulgated pursuant to the Flood Insurance Laws and (b) promptly upon request of the Administrative Agent or the Impacted Lender, will deliver to the Administrative Agent or the Impacted Lender, as applicable, evidence of such compliance in form and substance reasonably acceptable to the Administrative Agent and the Impacted Lender, including, without limitation, evidence of annual renewals of such insurance.</w:t>
      </w:r>
    </w:p>
    <w:p>
      <w:pPr>
        <w:spacing w:after="0" w:line="182" w:lineRule="exact"/>
        <w:rPr>
          <w:sz w:val="20"/>
          <w:szCs w:val="20"/>
          <w:color w:val="auto"/>
        </w:rPr>
      </w:pPr>
    </w:p>
    <w:p>
      <w:pPr>
        <w:jc w:val="both"/>
        <w:ind w:firstLine="529"/>
        <w:spacing w:after="0" w:line="305" w:lineRule="auto"/>
        <w:rPr>
          <w:sz w:val="20"/>
          <w:szCs w:val="20"/>
          <w:color w:val="auto"/>
        </w:rPr>
      </w:pPr>
      <w:r>
        <w:rPr>
          <w:rFonts w:ascii="Arial" w:cs="Arial" w:eastAsia="Arial" w:hAnsi="Arial"/>
          <w:sz w:val="15"/>
          <w:szCs w:val="15"/>
          <w:color w:val="auto"/>
        </w:rPr>
        <w:t xml:space="preserve">SECTION 5.06 </w:t>
      </w:r>
      <w:r>
        <w:rPr>
          <w:rFonts w:ascii="Arial" w:cs="Arial" w:eastAsia="Arial" w:hAnsi="Arial"/>
          <w:sz w:val="15"/>
          <w:szCs w:val="15"/>
          <w:u w:val="single" w:color="auto"/>
          <w:color w:val="auto"/>
        </w:rPr>
        <w:t>Books and Records; Inspection Rights</w:t>
      </w:r>
      <w:r>
        <w:rPr>
          <w:rFonts w:ascii="Arial" w:cs="Arial" w:eastAsia="Arial" w:hAnsi="Arial"/>
          <w:sz w:val="15"/>
          <w:szCs w:val="15"/>
          <w:color w:val="auto"/>
        </w:rPr>
        <w:t>. The Company will, and will cause each of its Subsidiaries to, keep proper books of record and account in which full, true and correct entries are made of all dealings and transactions in relation to its business and activities. The Company will, and will cause each of its Subsidiaries to, permit any representatives designated by the Administrative Agent or any Lender, upon reasonable prior notice, to audit, visit and inspect its properties, to examine and make extracts from its books and records, and to discuss its affairs, finances and condition with its officers and independent accountants, all at such reasonable times and as often as reasonably requested. The Company will, and will cause each of its Subsidiaries to, maintain at all times books and records pertaining to the Collateral in such detail, form and scope as the Administrative Agent or any Lender shall reasonably require.</w:t>
      </w:r>
    </w:p>
    <w:p>
      <w:pPr>
        <w:spacing w:after="0" w:line="151" w:lineRule="exact"/>
        <w:rPr>
          <w:sz w:val="20"/>
          <w:szCs w:val="20"/>
          <w:color w:val="auto"/>
        </w:rPr>
      </w:pPr>
    </w:p>
    <w:p>
      <w:pPr>
        <w:jc w:val="both"/>
        <w:ind w:firstLine="529"/>
        <w:spacing w:after="0" w:line="314" w:lineRule="auto"/>
        <w:rPr>
          <w:sz w:val="20"/>
          <w:szCs w:val="20"/>
          <w:color w:val="auto"/>
        </w:rPr>
      </w:pPr>
      <w:r>
        <w:rPr>
          <w:rFonts w:ascii="Arial" w:cs="Arial" w:eastAsia="Arial" w:hAnsi="Arial"/>
          <w:sz w:val="15"/>
          <w:szCs w:val="15"/>
          <w:color w:val="auto"/>
        </w:rPr>
        <w:t xml:space="preserve">SECTION 5.07 </w:t>
      </w:r>
      <w:r>
        <w:rPr>
          <w:rFonts w:ascii="Arial" w:cs="Arial" w:eastAsia="Arial" w:hAnsi="Arial"/>
          <w:sz w:val="15"/>
          <w:szCs w:val="15"/>
          <w:u w:val="single" w:color="auto"/>
          <w:color w:val="auto"/>
        </w:rPr>
        <w:t>Compliance with Laws</w:t>
      </w:r>
      <w:r>
        <w:rPr>
          <w:rFonts w:ascii="Arial" w:cs="Arial" w:eastAsia="Arial" w:hAnsi="Arial"/>
          <w:sz w:val="15"/>
          <w:szCs w:val="15"/>
          <w:color w:val="auto"/>
        </w:rPr>
        <w:t>. The Company will, and will cause each of its Subsidiaries to, comply with all laws, rules, regulations and orders of any Governmental Authority applicable to it or its property, except where the failure to do so, individually or in the aggregate, could not reasonably be expected to result in a Material Adverse Effect. The Company will maintain in effect and enforce policies and procedures designed to ensure compliance by the Company, its Subsidiaries and their respective directors, officers, employees and agents with Anti-Corruption Laws and applicable Sanctions.</w:t>
      </w:r>
    </w:p>
    <w:p>
      <w:pPr>
        <w:spacing w:after="0" w:line="144" w:lineRule="exact"/>
        <w:rPr>
          <w:sz w:val="20"/>
          <w:szCs w:val="20"/>
          <w:color w:val="auto"/>
        </w:rPr>
      </w:pPr>
    </w:p>
    <w:p>
      <w:pPr>
        <w:jc w:val="both"/>
        <w:ind w:firstLine="529"/>
        <w:spacing w:after="0" w:line="300" w:lineRule="auto"/>
        <w:rPr>
          <w:sz w:val="20"/>
          <w:szCs w:val="20"/>
          <w:color w:val="auto"/>
        </w:rPr>
      </w:pPr>
      <w:r>
        <w:rPr>
          <w:rFonts w:ascii="Arial" w:cs="Arial" w:eastAsia="Arial" w:hAnsi="Arial"/>
          <w:sz w:val="15"/>
          <w:szCs w:val="15"/>
          <w:color w:val="auto"/>
        </w:rPr>
        <w:t xml:space="preserve">SECTION 5.08 </w:t>
      </w:r>
      <w:r>
        <w:rPr>
          <w:rFonts w:ascii="Arial" w:cs="Arial" w:eastAsia="Arial" w:hAnsi="Arial"/>
          <w:sz w:val="15"/>
          <w:szCs w:val="15"/>
          <w:u w:val="single" w:color="auto"/>
          <w:color w:val="auto"/>
        </w:rPr>
        <w:t>Use of Proceeds and Letters of Credit</w:t>
      </w:r>
      <w:r>
        <w:rPr>
          <w:rFonts w:ascii="Arial" w:cs="Arial" w:eastAsia="Arial" w:hAnsi="Arial"/>
          <w:sz w:val="15"/>
          <w:szCs w:val="15"/>
          <w:color w:val="auto"/>
        </w:rPr>
        <w:t>. The proceeds of the Loans will be used only to fund working capital needs, Capital Expenditures, Acquisitions, issuance of letters of credit and for general corporate purposes of the Company and its Subsidiaries in the ordinary course of business. No part of the proceeds of any Loan will be used, whether directly or indirectly, for any purpose that entails a violation of any of the Regulations of the Board, including Regulations T, U and X. Letters of Credit will be issued only to support the working capital needs and general corporate obligations of the Company and its Subsidiaries. The Borrowers will not request any Borrowing or Letter of Credit, and each Borrower shall not use, and shall ensure that its Subsidiaries and its and their respective directors, officers, employees and agents shall not use, the proceeds of any Borrowing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or (c) in any manner that would result in the violation of any Sanctions applicable to any party hereto.</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Additional Subsidiaries; Subsidiary Guarantors</w:t>
      </w:r>
      <w:r>
        <w:rPr>
          <w:rFonts w:ascii="Arial" w:cs="Arial" w:eastAsia="Arial" w:hAnsi="Arial"/>
          <w:sz w:val="18"/>
          <w:szCs w:val="18"/>
          <w:color w:val="auto"/>
        </w:rPr>
        <w:t>.</w:t>
      </w:r>
    </w:p>
    <w:p>
      <w:pPr>
        <w:spacing w:after="0" w:line="212" w:lineRule="exact"/>
        <w:rPr>
          <w:sz w:val="20"/>
          <w:szCs w:val="20"/>
          <w:color w:val="auto"/>
        </w:rPr>
      </w:pPr>
    </w:p>
    <w:p>
      <w:pPr>
        <w:jc w:val="both"/>
        <w:ind w:firstLine="537"/>
        <w:spacing w:after="0" w:line="249" w:lineRule="auto"/>
        <w:tabs>
          <w:tab w:leader="none" w:pos="125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Within thirty (30) days after the date that any Person becomes a Subsidiary, the Company shall provide notice to the Administrative Agent, which notice shall be accompanied by a revised </w:t>
      </w:r>
      <w:r>
        <w:rPr>
          <w:rFonts w:ascii="Arial" w:cs="Arial" w:eastAsia="Arial" w:hAnsi="Arial"/>
          <w:sz w:val="18"/>
          <w:szCs w:val="18"/>
          <w:u w:val="single" w:color="auto"/>
          <w:color w:val="auto"/>
        </w:rPr>
        <w:t>Schedule 3.13</w:t>
      </w:r>
      <w:r>
        <w:rPr>
          <w:rFonts w:ascii="Arial" w:cs="Arial" w:eastAsia="Arial" w:hAnsi="Arial"/>
          <w:sz w:val="18"/>
          <w:szCs w:val="18"/>
          <w:color w:val="auto"/>
        </w:rPr>
        <w:t xml:space="preserve"> prepared by the Company and containing the information necessary to cause the representations and warranties of the Company set forth in </w:t>
      </w:r>
      <w:r>
        <w:rPr>
          <w:rFonts w:ascii="Arial" w:cs="Arial" w:eastAsia="Arial" w:hAnsi="Arial"/>
          <w:sz w:val="18"/>
          <w:szCs w:val="18"/>
          <w:u w:val="single" w:color="auto"/>
          <w:color w:val="auto"/>
        </w:rPr>
        <w:t>Section 3.13</w:t>
      </w:r>
      <w:r>
        <w:rPr>
          <w:rFonts w:ascii="Arial" w:cs="Arial" w:eastAsia="Arial" w:hAnsi="Arial"/>
          <w:sz w:val="18"/>
          <w:szCs w:val="18"/>
          <w:color w:val="auto"/>
        </w:rPr>
        <w:t xml:space="preserve"> of this Agreement to be true and correct in all material respects on and as of the date of delivery thereof to the Administrative Agent. </w:t>
      </w:r>
      <w:r>
        <w:rPr>
          <w:rFonts w:ascii="Arial" w:cs="Arial" w:eastAsia="Arial" w:hAnsi="Arial"/>
          <w:sz w:val="18"/>
          <w:szCs w:val="18"/>
          <w:u w:val="single" w:color="auto"/>
          <w:color w:val="auto"/>
        </w:rPr>
        <w:t>Schedule 3.13</w:t>
      </w:r>
      <w:r>
        <w:rPr>
          <w:rFonts w:ascii="Arial" w:cs="Arial" w:eastAsia="Arial" w:hAnsi="Arial"/>
          <w:sz w:val="18"/>
          <w:szCs w:val="18"/>
          <w:color w:val="auto"/>
        </w:rPr>
        <w:t xml:space="preserve"> shall be replaced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68</w:t>
      </w:r>
    </w:p>
    <w:p>
      <w:pPr>
        <w:sectPr>
          <w:pgSz w:w="11900" w:h="16838" w:orient="portrait"/>
          <w:cols w:equalWidth="0" w:num="1">
            <w:col w:w="11460"/>
          </w:cols>
          <w:pgMar w:left="220" w:top="508" w:right="219" w:bottom="1440" w:gutter="0" w:footer="0" w:header="0"/>
        </w:sectPr>
      </w:pPr>
    </w:p>
    <w:bookmarkStart w:id="129" w:name="page130"/>
    <w:bookmarkEnd w:id="129"/>
    <w:p>
      <w:pPr>
        <w:spacing w:after="0" w:line="261" w:lineRule="auto"/>
        <w:rPr>
          <w:sz w:val="20"/>
          <w:szCs w:val="20"/>
          <w:color w:val="auto"/>
        </w:rPr>
      </w:pPr>
      <w:r>
        <w:rPr>
          <w:rFonts w:ascii="Arial" w:cs="Arial" w:eastAsia="Arial" w:hAnsi="Arial"/>
          <w:sz w:val="18"/>
          <w:szCs w:val="18"/>
          <w:color w:val="auto"/>
        </w:rPr>
        <w:t>by any such revised Schedule 3.13, and this Agreement shall be amended accordingly, upon approval of such revised Schedule 3.13 by the Administrative Agent, notwithstanding any contrary provision of this Agreement.</w:t>
      </w:r>
    </w:p>
    <w:p>
      <w:pPr>
        <w:spacing w:after="0" w:line="178" w:lineRule="exact"/>
        <w:rPr>
          <w:sz w:val="20"/>
          <w:szCs w:val="20"/>
          <w:color w:val="auto"/>
        </w:rPr>
      </w:pPr>
    </w:p>
    <w:p>
      <w:pPr>
        <w:ind w:left="1280" w:hanging="743"/>
        <w:spacing w:after="0"/>
        <w:tabs>
          <w:tab w:leader="none" w:pos="12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Subject to the time periods set forth below, the Company shall at all times cause all Material Subsidiaries to be Subsidiary Guarantors.</w:t>
      </w:r>
    </w:p>
    <w:p>
      <w:pPr>
        <w:spacing w:after="0" w:line="223" w:lineRule="exact"/>
        <w:rPr>
          <w:rFonts w:ascii="Arial" w:cs="Arial" w:eastAsia="Arial" w:hAnsi="Arial"/>
          <w:sz w:val="17"/>
          <w:szCs w:val="17"/>
          <w:color w:val="auto"/>
        </w:rPr>
      </w:pPr>
    </w:p>
    <w:p>
      <w:pPr>
        <w:jc w:val="both"/>
        <w:ind w:firstLine="537"/>
        <w:spacing w:after="0" w:line="299" w:lineRule="auto"/>
        <w:tabs>
          <w:tab w:leader="none" w:pos="1254" w:val="left"/>
        </w:tabs>
        <w:numPr>
          <w:ilvl w:val="0"/>
          <w:numId w:val="103"/>
        </w:numPr>
        <w:rPr>
          <w:rFonts w:ascii="Arial" w:cs="Arial" w:eastAsia="Arial" w:hAnsi="Arial"/>
          <w:sz w:val="15"/>
          <w:szCs w:val="15"/>
          <w:color w:val="auto"/>
        </w:rPr>
      </w:pPr>
      <w:r>
        <w:rPr>
          <w:rFonts w:ascii="Arial" w:cs="Arial" w:eastAsia="Arial" w:hAnsi="Arial"/>
          <w:sz w:val="15"/>
          <w:szCs w:val="15"/>
          <w:color w:val="auto"/>
        </w:rPr>
        <w:t xml:space="preserve">Within forty-five (45) days (or such later period as may be agreed by the Administrative Agent up to thirty (30) days after the end of such forty-five (45) day period) after (i) the Company acquires or creates a new Subsidiary, to the extent that such Subsidiary is a Material Subsidiary, or (ii) any Subsidiary ceases to be an Immaterial Subsidiary, the Company shall cause such Subsidiary to (A) become a Subsidiary Guarantor by delivering a duly executed supplement to the applicable Subsidiary Guaranty or such other document as the Administrative Agent shall deem appropriate for such purpose, (B) grant a security interest in all Collateral (subject to the exceptions set forth in the applicable Collateral Documents) owned by such Subsidiary by delivering to the Administrative Agent a duly executed supplement to the applicable Collateral Documents or such other document as the Administrative Agent shall deem appropriate for such purpose and comply with the terms of each applicable Collateral Document, (C) deliver to the Administrative Agent such documents and certificates referred to in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4.01(b)</w:t>
      </w:r>
      <w:r>
        <w:rPr>
          <w:rFonts w:ascii="Arial" w:cs="Arial" w:eastAsia="Arial" w:hAnsi="Arial"/>
          <w:sz w:val="15"/>
          <w:szCs w:val="15"/>
          <w:color w:val="auto"/>
        </w:rPr>
        <w:t xml:space="preserve">, </w:t>
      </w:r>
      <w:r>
        <w:rPr>
          <w:rFonts w:ascii="Arial" w:cs="Arial" w:eastAsia="Arial" w:hAnsi="Arial"/>
          <w:sz w:val="15"/>
          <w:szCs w:val="15"/>
          <w:u w:val="single" w:color="auto"/>
          <w:color w:val="auto"/>
        </w:rPr>
        <w:t>(h)</w:t>
      </w:r>
      <w:r>
        <w:rPr>
          <w:rFonts w:ascii="Arial" w:cs="Arial" w:eastAsia="Arial" w:hAnsi="Arial"/>
          <w:sz w:val="15"/>
          <w:szCs w:val="15"/>
          <w:color w:val="auto"/>
        </w:rPr>
        <w:t xml:space="preserve">, </w:t>
      </w:r>
      <w:r>
        <w:rPr>
          <w:rFonts w:ascii="Arial" w:cs="Arial" w:eastAsia="Arial" w:hAnsi="Arial"/>
          <w:sz w:val="15"/>
          <w:szCs w:val="15"/>
          <w:u w:val="single" w:color="auto"/>
          <w:color w:val="auto"/>
        </w:rPr>
        <w:t>(i)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(l)</w:t>
      </w:r>
      <w:r>
        <w:rPr>
          <w:rFonts w:ascii="Arial" w:cs="Arial" w:eastAsia="Arial" w:hAnsi="Arial"/>
          <w:sz w:val="15"/>
          <w:szCs w:val="15"/>
          <w:color w:val="auto"/>
        </w:rPr>
        <w:t>, in each case, as may be reasonably requested by the Administrative Agent, (D) to the extent its parent entity is a Credit Party and its Equity Interests are certificated, deliver to the Administrative Agent such original certificated Equity Interests and stock or other transfer power in respect of such Equity Interests and (E) deliver to the Administrative Agent such other documents as may be reasonably requested by the Administrative Agent, all in form, content and scope reasonably satisfactory to the Administrative Agent.</w:t>
      </w:r>
    </w:p>
    <w:p>
      <w:pPr>
        <w:spacing w:after="0" w:line="364" w:lineRule="exact"/>
        <w:rPr>
          <w:rFonts w:ascii="Arial" w:cs="Arial" w:eastAsia="Arial" w:hAnsi="Arial"/>
          <w:sz w:val="15"/>
          <w:szCs w:val="15"/>
          <w:color w:val="auto"/>
        </w:rPr>
      </w:pPr>
    </w:p>
    <w:p>
      <w:pPr>
        <w:jc w:val="both"/>
        <w:ind w:firstLine="537"/>
        <w:spacing w:after="0" w:line="261" w:lineRule="auto"/>
        <w:tabs>
          <w:tab w:leader="none" w:pos="1264"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If as of the end of any fiscal quarter, (i) the total assets of the Immaterial Subsidiaries that are not Subsidiary Guarantors exceed 10% of the consolidated total assets of the Company and all of its Subsidiaries as of the end of such fiscal quarter or (ii) the consolidated revenues of the Immaterial Subsidiaries that are not Subsidiary Guarantors for the three months ending on the last day of such fiscal quarter exceed 10% of the consolidated total revenues of the Company and all of its Subsidiaries for the same period, the Company shall provide notice to the Administrative Agent concurrently with the delivery of the financial statements and Compliance Certificate for such fiscal quarter and, within forty-five (45) days after such notice, cause one or more Immaterial Subsidiaries to become Subsidiary Guarantors and comply with the other provisions of paragraph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above such that, after giving effect thereto, both the total assets and consolidated revenues of all remaining Immaterial Subsidiaries that are not Subsidiary Guarantors are less than 10% of the consolidated total assets and consolidated total revenues (calculated as of the end of, and for the three months ending on, the last day of such fiscal quarter), respectively, of the Company and all of its Subsidiaries.</w:t>
      </w:r>
    </w:p>
    <w:p>
      <w:pPr>
        <w:spacing w:after="0" w:line="181" w:lineRule="exact"/>
        <w:rPr>
          <w:sz w:val="20"/>
          <w:szCs w:val="20"/>
          <w:color w:val="auto"/>
        </w:rPr>
      </w:pPr>
    </w:p>
    <w:p>
      <w:pPr>
        <w:jc w:val="both"/>
        <w:ind w:firstLine="529"/>
        <w:spacing w:after="0" w:line="265"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Collateral Records</w:t>
      </w:r>
      <w:r>
        <w:rPr>
          <w:rFonts w:ascii="Arial" w:cs="Arial" w:eastAsia="Arial" w:hAnsi="Arial"/>
          <w:sz w:val="17"/>
          <w:szCs w:val="17"/>
          <w:color w:val="auto"/>
        </w:rPr>
        <w:t>. The Company agrees to execute and deliver promptly, and to cause each other Credit Party to execute and deliver promptly, to the Administrative Agent, from time to time, solely for the Administrative Agent’s convenience in maintaining a record of the Collateral, such written statements and schedules as the Administrative Agent may reasonably require designating, identifying or describing the Collateral. The failure by the Company or any other Credit Party, however, to promptly give the Administrative Agent such statements or schedules shall not affect, diminish, modify or otherwise limit the Liens on the Collateral granted pursuant to the Collateral Documents.</w:t>
      </w:r>
    </w:p>
    <w:p>
      <w:pPr>
        <w:spacing w:after="0" w:line="177" w:lineRule="exact"/>
        <w:rPr>
          <w:sz w:val="20"/>
          <w:szCs w:val="20"/>
          <w:color w:val="auto"/>
        </w:rPr>
      </w:pPr>
    </w:p>
    <w:p>
      <w:pPr>
        <w:jc w:val="both"/>
        <w:ind w:firstLine="529"/>
        <w:spacing w:after="0" w:line="361" w:lineRule="auto"/>
        <w:rPr>
          <w:sz w:val="20"/>
          <w:szCs w:val="20"/>
          <w:color w:val="auto"/>
        </w:rPr>
      </w:pPr>
      <w:r>
        <w:rPr>
          <w:rFonts w:ascii="Arial" w:cs="Arial" w:eastAsia="Arial" w:hAnsi="Arial"/>
          <w:sz w:val="15"/>
          <w:szCs w:val="15"/>
          <w:color w:val="auto"/>
        </w:rPr>
        <w:t xml:space="preserve">SECTION 5.11 </w:t>
      </w:r>
      <w:r>
        <w:rPr>
          <w:rFonts w:ascii="Arial" w:cs="Arial" w:eastAsia="Arial" w:hAnsi="Arial"/>
          <w:sz w:val="15"/>
          <w:szCs w:val="15"/>
          <w:u w:val="single" w:color="auto"/>
          <w:color w:val="auto"/>
        </w:rPr>
        <w:t>Security Interests</w:t>
      </w:r>
      <w:r>
        <w:rPr>
          <w:rFonts w:ascii="Arial" w:cs="Arial" w:eastAsia="Arial" w:hAnsi="Arial"/>
          <w:sz w:val="15"/>
          <w:szCs w:val="15"/>
          <w:color w:val="auto"/>
        </w:rPr>
        <w:t>. The Company shall, and shall cause each other Credit Party to, defend the Collateral against all claims and demands of all Persons at any time claiming the same or any interest therein. The Company shall, and shall cause each other Credit Party to, comply with the requirements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69</w:t>
      </w:r>
    </w:p>
    <w:p>
      <w:pPr>
        <w:sectPr>
          <w:pgSz w:w="11900" w:h="16838" w:orient="portrait"/>
          <w:cols w:equalWidth="0" w:num="1">
            <w:col w:w="11460"/>
          </w:cols>
          <w:pgMar w:left="220" w:top="508" w:right="219" w:bottom="1440" w:gutter="0" w:footer="0" w:header="0"/>
        </w:sectPr>
      </w:pPr>
    </w:p>
    <w:bookmarkStart w:id="130" w:name="page131"/>
    <w:bookmarkEnd w:id="130"/>
    <w:p>
      <w:pPr>
        <w:jc w:val="both"/>
        <w:spacing w:after="0" w:line="294" w:lineRule="auto"/>
        <w:rPr>
          <w:sz w:val="20"/>
          <w:szCs w:val="20"/>
          <w:color w:val="auto"/>
        </w:rPr>
      </w:pPr>
      <w:r>
        <w:rPr>
          <w:rFonts w:ascii="Arial" w:cs="Arial" w:eastAsia="Arial" w:hAnsi="Arial"/>
          <w:sz w:val="15"/>
          <w:szCs w:val="15"/>
          <w:color w:val="auto"/>
        </w:rPr>
        <w:t>of all state and federal laws in order to grant to the Administrative Agent valid and perfected first priority security interests in the Collateral, with perfection, in the case of any investment property or deposit account, being effected by giving the Administrative Agent control of such investment property or deposit account, rather than by the filing of a financing statement (under the UCC or PPSA) with respect to such investment property. The Administrative Agent is hereby authorized by the Company to file any financing statements (under the UCC or PPSA) covering the Collateral, including any financing statement describing the collateral as “all of the Debtor’s personal property” or “all of the Debtor’s assets”, notwithstanding that such wording may be broader in scope than the Collateral described in the applicable Collateral Documents. The Company shall, and shall cause each other Credit Party to, do whatever the Administrative Agent may reasonably request, from time to time, to effect the purposes of this Agreement and the other Loan Documents, including filing notices of liens, financing statements (under the UCC or PPSA), fixture filings and amendments, renewals and continuations thereof; cooperating with the Administrative Agent’s representatives; keeping stock records; obtaining waivers from landlords and mortgagees and from warehousemen and their landlords and mortgagees; and, paying claims which might, if unpaid, become a Lien on any of the Collateral. Without limitation of the foregoing, after the Effective Date the Company shall, and shall cause each other Credit Party to, execute and deliver (i) such modifications to the Mortgages, and (ii) control agreements covering any demand, time, savings, passbook, or other similar deposit account maintained by the Company or any other Credit Party with any bank or other financial institution, countersigned by such bank or financial institution, in each case, as required by the Administrative Agent and in form acceptable to the Administrative Agent. Notwithstanding the foregoing, the Administrative Agent shall not enter into any Mortgage in respect of any real property acquired by the Company or any of its Subsidiaries until the Administrative Agent has received written confirmation from the Impacted Lender that flood insurance due diligence and flood insurance compliance has been completed by the Impacted Lender (such written confirmation not to be unreasonably conditioned, withheld or delayed). If the Impacted Lender has not informed the Administrative Agent and the Company of any outstanding flood diligence requirements by the date that is thirty (30) days after the date on which the Administrative Agent made available to the Lenders (which may be delivered electronically) the following documents in respect of such real property: (i) a completed flood hazard determination from a third party vendor; (ii) if such real property is located in a “special flood hazard area”, (A) a notification to the Company of that fact and (if applicable) notification to the Company that flood insurance coverage is not available and (B) evidence of the receipt by the Company of such notice; and (iii) if such notice is required to be provided to the Company and flood insurance is available in the community in which such real property is located, evidence of required flood insurance with respect to any such Mortgage, Impacted Lender will be deemed to have completed its flood insurance due diligence and flood insurance compliance and to have consented to such Mortgage.</w:t>
      </w:r>
    </w:p>
    <w:p>
      <w:pPr>
        <w:spacing w:after="0" w:line="200" w:lineRule="exact"/>
        <w:rPr>
          <w:sz w:val="20"/>
          <w:szCs w:val="20"/>
          <w:color w:val="auto"/>
        </w:rPr>
      </w:pPr>
    </w:p>
    <w:p>
      <w:pPr>
        <w:spacing w:after="0" w:line="389" w:lineRule="exact"/>
        <w:rPr>
          <w:sz w:val="20"/>
          <w:szCs w:val="20"/>
          <w:color w:val="auto"/>
        </w:rPr>
      </w:pPr>
    </w:p>
    <w:p>
      <w:pPr>
        <w:jc w:val="both"/>
        <w:ind w:firstLine="529"/>
        <w:spacing w:after="0" w:line="246"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Canadian Benefit Plans</w:t>
      </w:r>
      <w:r>
        <w:rPr>
          <w:rFonts w:ascii="Arial" w:cs="Arial" w:eastAsia="Arial" w:hAnsi="Arial"/>
          <w:sz w:val="18"/>
          <w:szCs w:val="18"/>
          <w:color w:val="auto"/>
        </w:rPr>
        <w:t>. The Company shall perform, and shall cause its Subsidiaries to perform, all obligations (including fiduciary, funding, investment and administration obligations) required to be performed in connection with each Canadian Benefit Plan and the funding media therefor; make, and cause its Subsidiaries to make, all contributions and pay, and cause its Subsidiaries to pay, all premiums required to be made or paid by it or them in accordance with the terms of the plan and all applicable laws; and withhold, and cause its Subsidiaries to withhold, by way of authorized payroll deductions or otherwise collect and pay into the plan all employee contributions required to be withheld or collected in accordance with the terms of the plan and all applicable laws.</w:t>
      </w:r>
    </w:p>
    <w:p>
      <w:pPr>
        <w:spacing w:after="0" w:line="193" w:lineRule="exact"/>
        <w:rPr>
          <w:sz w:val="20"/>
          <w:szCs w:val="20"/>
          <w:color w:val="auto"/>
        </w:rPr>
      </w:pPr>
    </w:p>
    <w:p>
      <w:pPr>
        <w:jc w:val="both"/>
        <w:ind w:firstLine="529"/>
        <w:spacing w:after="0" w:line="249"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Post-Closing Obligations</w:t>
      </w:r>
      <w:r>
        <w:rPr>
          <w:rFonts w:ascii="Arial" w:cs="Arial" w:eastAsia="Arial" w:hAnsi="Arial"/>
          <w:sz w:val="18"/>
          <w:szCs w:val="18"/>
          <w:color w:val="auto"/>
        </w:rPr>
        <w:t xml:space="preserve">. The Company shall (a) deliver or cause to be delivered to the Administrative Agent each of the agreements, documents, instruments or certificates described on </w:t>
      </w:r>
      <w:r>
        <w:rPr>
          <w:rFonts w:ascii="Arial" w:cs="Arial" w:eastAsia="Arial" w:hAnsi="Arial"/>
          <w:sz w:val="18"/>
          <w:szCs w:val="18"/>
          <w:u w:val="single" w:color="auto"/>
          <w:color w:val="auto"/>
        </w:rPr>
        <w:t>Schedule 5.13</w:t>
      </w:r>
      <w:r>
        <w:rPr>
          <w:rFonts w:ascii="Arial" w:cs="Arial" w:eastAsia="Arial" w:hAnsi="Arial"/>
          <w:sz w:val="18"/>
          <w:szCs w:val="18"/>
          <w:color w:val="auto"/>
        </w:rPr>
        <w:t xml:space="preserve">, all in form and substance satisfactory to the Administrative Agent; (b) perform each of the actions described on </w:t>
      </w:r>
      <w:r>
        <w:rPr>
          <w:rFonts w:ascii="Arial" w:cs="Arial" w:eastAsia="Arial" w:hAnsi="Arial"/>
          <w:sz w:val="18"/>
          <w:szCs w:val="18"/>
          <w:u w:val="single" w:color="auto"/>
          <w:color w:val="auto"/>
        </w:rPr>
        <w:t>Schedule 5.13</w:t>
      </w:r>
      <w:r>
        <w:rPr>
          <w:rFonts w:ascii="Arial" w:cs="Arial" w:eastAsia="Arial" w:hAnsi="Arial"/>
          <w:sz w:val="18"/>
          <w:szCs w:val="18"/>
          <w:color w:val="auto"/>
        </w:rPr>
        <w:t xml:space="preserve"> in a manner reasonably satisfactory to the Administrative Agent and (c) cause all such matters described in clauses </w:t>
      </w:r>
      <w:r>
        <w:rPr>
          <w:rFonts w:ascii="Arial" w:cs="Arial" w:eastAsia="Arial" w:hAnsi="Arial"/>
          <w:sz w:val="18"/>
          <w:szCs w:val="18"/>
          <w:u w:val="single" w:color="auto"/>
          <w:color w:val="auto"/>
        </w:rPr>
        <w:t>(a)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to be completed within the time periods set forth</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70</w:t>
      </w:r>
    </w:p>
    <w:p>
      <w:pPr>
        <w:sectPr>
          <w:pgSz w:w="11900" w:h="16838" w:orient="portrait"/>
          <w:cols w:equalWidth="0" w:num="1">
            <w:col w:w="11460"/>
          </w:cols>
          <w:pgMar w:left="220" w:top="508" w:right="21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 xml:space="preserve">opposite each such item or action on such </w:t>
      </w:r>
      <w:r>
        <w:rPr>
          <w:rFonts w:ascii="Arial" w:cs="Arial" w:eastAsia="Arial" w:hAnsi="Arial"/>
          <w:sz w:val="18"/>
          <w:szCs w:val="18"/>
          <w:u w:val="single" w:color="auto"/>
          <w:color w:val="auto"/>
        </w:rPr>
        <w:t>Schedule 5.13</w:t>
      </w:r>
      <w:r>
        <w:rPr>
          <w:rFonts w:ascii="Arial" w:cs="Arial" w:eastAsia="Arial" w:hAnsi="Arial"/>
          <w:sz w:val="18"/>
          <w:szCs w:val="18"/>
          <w:color w:val="auto"/>
        </w:rPr>
        <w:t xml:space="preserve"> (in each case, unless otherwise agreed by the Administrative Agent).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Negative Covenants</w:t>
      </w:r>
    </w:p>
    <w:p>
      <w:pPr>
        <w:spacing w:after="0" w:line="198" w:lineRule="exact"/>
        <w:rPr>
          <w:sz w:val="20"/>
          <w:szCs w:val="20"/>
          <w:color w:val="auto"/>
        </w:rPr>
      </w:pPr>
    </w:p>
    <w:p>
      <w:pPr>
        <w:jc w:val="both"/>
        <w:ind w:firstLine="529"/>
        <w:spacing w:after="0" w:line="252" w:lineRule="auto"/>
        <w:rPr>
          <w:sz w:val="20"/>
          <w:szCs w:val="20"/>
          <w:color w:val="auto"/>
        </w:rPr>
      </w:pPr>
      <w:r>
        <w:rPr>
          <w:rFonts w:ascii="Arial" w:cs="Arial" w:eastAsia="Arial" w:hAnsi="Arial"/>
          <w:sz w:val="18"/>
          <w:szCs w:val="18"/>
          <w:color w:val="auto"/>
        </w:rPr>
        <w:t>Until the Revolving Commitments have expired or terminated and the principal of and interest on each Loan and all fees payable hereunder have been paid in full and all Letters of Credit have expired or terminated and all LC Disbursements shall have been reimbursed, each Borrower covenants and agrees with the Lenders that:</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 xml:space="preserve">SECTION 6.01 </w:t>
      </w:r>
      <w:r>
        <w:rPr>
          <w:rFonts w:ascii="Arial" w:cs="Arial" w:eastAsia="Arial" w:hAnsi="Arial"/>
          <w:sz w:val="15"/>
          <w:szCs w:val="15"/>
          <w:u w:val="single" w:color="auto"/>
          <w:color w:val="auto"/>
        </w:rPr>
        <w:t>Indebtedness</w:t>
      </w:r>
      <w:r>
        <w:rPr>
          <w:rFonts w:ascii="Arial" w:cs="Arial" w:eastAsia="Arial" w:hAnsi="Arial"/>
          <w:sz w:val="15"/>
          <w:szCs w:val="15"/>
          <w:color w:val="auto"/>
        </w:rPr>
        <w:t>. The Company will not, and will not permit any Subsidiary to, create, incur, assume or permit to exist any Indebtedness,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except:</w:t>
      </w:r>
    </w:p>
    <w:p>
      <w:pPr>
        <w:spacing w:after="0" w:line="198" w:lineRule="exact"/>
        <w:rPr>
          <w:sz w:val="20"/>
          <w:szCs w:val="20"/>
          <w:color w:val="auto"/>
        </w:rPr>
      </w:pPr>
    </w:p>
    <w:p>
      <w:pPr>
        <w:ind w:left="1260" w:hanging="723"/>
        <w:spacing w:after="0"/>
        <w:tabs>
          <w:tab w:leader="none" w:pos="12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Obligations;</w:t>
      </w:r>
    </w:p>
    <w:p>
      <w:pPr>
        <w:spacing w:after="0" w:line="211" w:lineRule="exact"/>
        <w:rPr>
          <w:rFonts w:ascii="Arial" w:cs="Arial" w:eastAsia="Arial" w:hAnsi="Arial"/>
          <w:sz w:val="18"/>
          <w:szCs w:val="18"/>
          <w:color w:val="auto"/>
        </w:rPr>
      </w:pPr>
    </w:p>
    <w:p>
      <w:pPr>
        <w:ind w:firstLine="537"/>
        <w:spacing w:after="0" w:line="261" w:lineRule="auto"/>
        <w:tabs>
          <w:tab w:leader="none" w:pos="126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Indebtedness existing on the Effective Date and set forth in </w:t>
      </w:r>
      <w:r>
        <w:rPr>
          <w:rFonts w:ascii="Arial" w:cs="Arial" w:eastAsia="Arial" w:hAnsi="Arial"/>
          <w:sz w:val="18"/>
          <w:szCs w:val="18"/>
          <w:u w:val="single" w:color="auto"/>
          <w:color w:val="auto"/>
        </w:rPr>
        <w:t>Schedule 6.01</w:t>
      </w:r>
      <w:r>
        <w:rPr>
          <w:rFonts w:ascii="Arial" w:cs="Arial" w:eastAsia="Arial" w:hAnsi="Arial"/>
          <w:sz w:val="18"/>
          <w:szCs w:val="18"/>
          <w:color w:val="auto"/>
        </w:rPr>
        <w:t>, and extensions, renewals and replacements of any such Indebtedness that do not increase the outstanding principal amount thereof;</w:t>
      </w:r>
    </w:p>
    <w:p>
      <w:pPr>
        <w:spacing w:after="0" w:line="178" w:lineRule="exact"/>
        <w:rPr>
          <w:rFonts w:ascii="Arial" w:cs="Arial" w:eastAsia="Arial" w:hAnsi="Arial"/>
          <w:sz w:val="18"/>
          <w:szCs w:val="18"/>
          <w:color w:val="auto"/>
        </w:rPr>
      </w:pPr>
    </w:p>
    <w:p>
      <w:pPr>
        <w:ind w:left="1260" w:hanging="723"/>
        <w:spacing w:after="0"/>
        <w:tabs>
          <w:tab w:leader="none" w:pos="12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Indebtedness of the Company to any Subsidiary and of any Subsidiary to the Company or any other Subsidiary;</w:t>
      </w:r>
    </w:p>
    <w:p>
      <w:pPr>
        <w:spacing w:after="0" w:line="211" w:lineRule="exact"/>
        <w:rPr>
          <w:rFonts w:ascii="Arial" w:cs="Arial" w:eastAsia="Arial" w:hAnsi="Arial"/>
          <w:sz w:val="18"/>
          <w:szCs w:val="18"/>
          <w:color w:val="auto"/>
        </w:rPr>
      </w:pPr>
    </w:p>
    <w:p>
      <w:pPr>
        <w:ind w:left="1280" w:hanging="743"/>
        <w:spacing w:after="0"/>
        <w:tabs>
          <w:tab w:leader="none" w:pos="12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Capital Lease Obligations;</w:t>
      </w:r>
    </w:p>
    <w:p>
      <w:pPr>
        <w:spacing w:after="0" w:line="211" w:lineRule="exact"/>
        <w:rPr>
          <w:rFonts w:ascii="Arial" w:cs="Arial" w:eastAsia="Arial" w:hAnsi="Arial"/>
          <w:sz w:val="18"/>
          <w:szCs w:val="18"/>
          <w:color w:val="auto"/>
        </w:rPr>
      </w:pPr>
    </w:p>
    <w:p>
      <w:pPr>
        <w:jc w:val="both"/>
        <w:ind w:firstLine="537"/>
        <w:spacing w:after="0" w:line="246" w:lineRule="auto"/>
        <w:tabs>
          <w:tab w:leader="none" w:pos="125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Indebtedness incurred to finance the acquisition, construction or improvement of any fixed or capital assets other than Capital Lease Obligations, and including any Indebtedness assumed in connection with the acquisition of any such assets or secured by a Lien on any such assets prior to the acquisition thereof, and extensions, renewals and replacements of any such Indebtedness that do not increase the outstanding principal amount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Indebtedness is incurred or assumed prior to, contemporaneously with or within ninety (90) days after such acquisition or the completion of such construction or improvement and (ii) the aggregate principal amount of Indebtedness permitted by this clause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shall not exceed $2,500,000 at any time outstanding;</w:t>
      </w:r>
    </w:p>
    <w:p>
      <w:pPr>
        <w:spacing w:after="0" w:line="192" w:lineRule="exact"/>
        <w:rPr>
          <w:rFonts w:ascii="Arial" w:cs="Arial" w:eastAsia="Arial" w:hAnsi="Arial"/>
          <w:sz w:val="18"/>
          <w:szCs w:val="18"/>
          <w:color w:val="auto"/>
        </w:rPr>
      </w:pPr>
    </w:p>
    <w:p>
      <w:pPr>
        <w:jc w:val="both"/>
        <w:ind w:firstLine="537"/>
        <w:spacing w:after="0" w:line="252" w:lineRule="auto"/>
        <w:tabs>
          <w:tab w:leader="none" w:pos="123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Indebtedness incurred by the Company or any Subsidiary denominated in Korean Won in an aggregate principal amount not exceeding $5,000,000 at any time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entire outstanding principal amount of such Indebtedness is supported by one or more Letters of Credit at all times;</w:t>
      </w:r>
    </w:p>
    <w:p>
      <w:pPr>
        <w:spacing w:after="0" w:line="185" w:lineRule="exact"/>
        <w:rPr>
          <w:rFonts w:ascii="Arial" w:cs="Arial" w:eastAsia="Arial" w:hAnsi="Arial"/>
          <w:sz w:val="18"/>
          <w:szCs w:val="18"/>
          <w:color w:val="auto"/>
        </w:rPr>
      </w:pPr>
    </w:p>
    <w:p>
      <w:pPr>
        <w:jc w:val="both"/>
        <w:ind w:firstLine="537"/>
        <w:spacing w:after="0" w:line="249" w:lineRule="auto"/>
        <w:tabs>
          <w:tab w:leader="none" w:pos="126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Indebtedness incurred by the Company that is subordinate in writing to the Obligations on terms and conditions satisfactory to the Administrative Agent or that is convertible into common stock of the Company, in each case, so long as, at the time of and after giving effect thereto, (i) no Default or Event of Default shall have occurred and be continuing and (ii) the Company shall be in pro forma compliance with the Leverage Ratio and the Fixed Charge Coverage Ratio;</w:t>
      </w:r>
    </w:p>
    <w:p>
      <w:pPr>
        <w:spacing w:after="0" w:line="188" w:lineRule="exact"/>
        <w:rPr>
          <w:rFonts w:ascii="Arial" w:cs="Arial" w:eastAsia="Arial" w:hAnsi="Arial"/>
          <w:sz w:val="18"/>
          <w:szCs w:val="18"/>
          <w:color w:val="auto"/>
        </w:rPr>
      </w:pPr>
    </w:p>
    <w:p>
      <w:pPr>
        <w:jc w:val="both"/>
        <w:ind w:firstLine="537"/>
        <w:spacing w:after="0" w:line="274" w:lineRule="auto"/>
        <w:tabs>
          <w:tab w:leader="none" w:pos="1264" w:val="left"/>
        </w:tabs>
        <w:numPr>
          <w:ilvl w:val="0"/>
          <w:numId w:val="104"/>
        </w:numPr>
        <w:rPr>
          <w:rFonts w:ascii="Arial" w:cs="Arial" w:eastAsia="Arial" w:hAnsi="Arial"/>
          <w:sz w:val="17"/>
          <w:szCs w:val="17"/>
          <w:color w:val="auto"/>
        </w:rPr>
      </w:pPr>
      <w:r>
        <w:rPr>
          <w:rFonts w:ascii="Arial" w:cs="Arial" w:eastAsia="Arial" w:hAnsi="Arial"/>
          <w:sz w:val="17"/>
          <w:szCs w:val="17"/>
          <w:color w:val="auto"/>
        </w:rPr>
        <w:t xml:space="preserve">other Indebtedness not described in subsections </w:t>
      </w:r>
      <w:r>
        <w:rPr>
          <w:rFonts w:ascii="Arial" w:cs="Arial" w:eastAsia="Arial" w:hAnsi="Arial"/>
          <w:sz w:val="17"/>
          <w:szCs w:val="17"/>
          <w:u w:val="single" w:color="auto"/>
          <w:color w:val="auto"/>
        </w:rPr>
        <w:t>(a)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(g)</w:t>
      </w:r>
      <w:r>
        <w:rPr>
          <w:rFonts w:ascii="Arial" w:cs="Arial" w:eastAsia="Arial" w:hAnsi="Arial"/>
          <w:sz w:val="17"/>
          <w:szCs w:val="17"/>
          <w:color w:val="auto"/>
        </w:rPr>
        <w:t xml:space="preserve"> above (i) incurred by one or more Foreign Borrowers or Foreign Subsidiaries in an aggregate principal amount not exceeding $5,000,000 at any time outstanding, and (ii) incurred by the Company or any Subsidiary in an aggregate principal amount not exceeding $5,000,000 at any time outstanding (excluding any Indebtedness permitted by </w:t>
      </w:r>
      <w:r>
        <w:rPr>
          <w:rFonts w:ascii="Arial" w:cs="Arial" w:eastAsia="Arial" w:hAnsi="Arial"/>
          <w:sz w:val="17"/>
          <w:szCs w:val="17"/>
          <w:u w:val="single" w:color="auto"/>
          <w:color w:val="auto"/>
        </w:rPr>
        <w:t>Section 6.01(h)(i)</w:t>
      </w:r>
      <w:r>
        <w:rPr>
          <w:rFonts w:ascii="Arial" w:cs="Arial" w:eastAsia="Arial" w:hAnsi="Arial"/>
          <w:sz w:val="17"/>
          <w:szCs w:val="17"/>
          <w:color w:val="auto"/>
        </w:rPr>
        <w: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71</w:t>
      </w:r>
    </w:p>
    <w:p>
      <w:pPr>
        <w:sectPr>
          <w:pgSz w:w="11900" w:h="16838" w:orient="portrait"/>
          <w:cols w:equalWidth="0" w:num="1">
            <w:col w:w="11460"/>
          </w:cols>
          <w:pgMar w:left="220" w:top="508" w:right="219" w:bottom="1440" w:gutter="0" w:footer="0" w:header="0"/>
        </w:sectPr>
      </w:pPr>
    </w:p>
    <w:bookmarkStart w:id="132" w:name="page133"/>
    <w:bookmarkEnd w:id="132"/>
    <w:p>
      <w:pPr>
        <w:ind w:left="1240" w:hanging="703"/>
        <w:spacing w:after="0"/>
        <w:tabs>
          <w:tab w:leader="none" w:pos="12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Indebtedness of the Company or any Subsidiary in respect of Bonding Obligations;</w:t>
      </w:r>
    </w:p>
    <w:p>
      <w:pPr>
        <w:spacing w:after="0" w:line="211" w:lineRule="exact"/>
        <w:rPr>
          <w:rFonts w:ascii="Arial" w:cs="Arial" w:eastAsia="Arial" w:hAnsi="Arial"/>
          <w:sz w:val="18"/>
          <w:szCs w:val="18"/>
          <w:color w:val="auto"/>
        </w:rPr>
      </w:pPr>
    </w:p>
    <w:p>
      <w:pPr>
        <w:ind w:left="1240" w:hanging="703"/>
        <w:spacing w:after="0"/>
        <w:tabs>
          <w:tab w:leader="none" w:pos="124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Guarantees of the Company or any Subsidiary in respect of Indebtedness of the Company or any Subsidiary that is otherwise permitted under</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this Agreement;</w:t>
      </w:r>
    </w:p>
    <w:p>
      <w:pPr>
        <w:spacing w:after="0" w:line="198" w:lineRule="exact"/>
        <w:rPr>
          <w:rFonts w:ascii="Arial" w:cs="Arial" w:eastAsia="Arial" w:hAnsi="Arial"/>
          <w:sz w:val="15"/>
          <w:szCs w:val="15"/>
          <w:color w:val="auto"/>
        </w:rPr>
      </w:pPr>
    </w:p>
    <w:p>
      <w:pPr>
        <w:jc w:val="both"/>
        <w:ind w:firstLine="537"/>
        <w:spacing w:after="0" w:line="252" w:lineRule="auto"/>
        <w:tabs>
          <w:tab w:leader="none" w:pos="126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Indebtedness owed in respect of any overdrafts and related liabilities arising from treasury, depository and cash management and other bank product services (including purchase card services) or in connection with any automated clearing-house transfers of funds;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Indebtedness shall be repaid in full within five (5) Business Days of the incurrence thereof; and</w:t>
      </w:r>
    </w:p>
    <w:p>
      <w:pPr>
        <w:spacing w:after="0" w:line="185" w:lineRule="exact"/>
        <w:rPr>
          <w:rFonts w:ascii="Arial" w:cs="Arial" w:eastAsia="Arial" w:hAnsi="Arial"/>
          <w:sz w:val="18"/>
          <w:szCs w:val="18"/>
          <w:color w:val="auto"/>
        </w:rPr>
      </w:pPr>
    </w:p>
    <w:p>
      <w:pPr>
        <w:jc w:val="both"/>
        <w:ind w:firstLine="537"/>
        <w:spacing w:after="0" w:line="247" w:lineRule="auto"/>
        <w:tabs>
          <w:tab w:leader="none" w:pos="122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Indebtedness of a Person existing on the date such Person becomes a Subsidiary pursuant to a Permitted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Indebtedness was not incurred in connection with, or in contemplation of, such Person becoming a Subsidiary, (ii) neither the Company nor any other Subsidiary (other than such Person or such other Person that such Person merges with or acquires the assets of such Person) shall have any liability or other obligation with respect to such Indebtedness and (iii) the aggregate principal amount of Indebtedness permitted by this clause </w:t>
      </w:r>
      <w:r>
        <w:rPr>
          <w:rFonts w:ascii="Arial" w:cs="Arial" w:eastAsia="Arial" w:hAnsi="Arial"/>
          <w:sz w:val="18"/>
          <w:szCs w:val="18"/>
          <w:u w:val="single" w:color="auto"/>
          <w:color w:val="auto"/>
        </w:rPr>
        <w:t>(l)</w:t>
      </w:r>
      <w:r>
        <w:rPr>
          <w:rFonts w:ascii="Arial" w:cs="Arial" w:eastAsia="Arial" w:hAnsi="Arial"/>
          <w:sz w:val="18"/>
          <w:szCs w:val="18"/>
          <w:color w:val="auto"/>
        </w:rPr>
        <w:t xml:space="preserve"> shall not exceed $5,000,000 at any time outstanding.</w:t>
      </w:r>
    </w:p>
    <w:p>
      <w:pPr>
        <w:spacing w:after="0" w:line="191" w:lineRule="exact"/>
        <w:rPr>
          <w:sz w:val="20"/>
          <w:szCs w:val="20"/>
          <w:color w:val="auto"/>
        </w:rPr>
      </w:pPr>
    </w:p>
    <w:p>
      <w:pPr>
        <w:ind w:right="20" w:firstLine="529"/>
        <w:spacing w:after="0" w:line="361" w:lineRule="auto"/>
        <w:rPr>
          <w:sz w:val="20"/>
          <w:szCs w:val="20"/>
          <w:color w:val="auto"/>
        </w:rPr>
      </w:pPr>
      <w:r>
        <w:rPr>
          <w:rFonts w:ascii="Arial" w:cs="Arial" w:eastAsia="Arial" w:hAnsi="Arial"/>
          <w:sz w:val="15"/>
          <w:szCs w:val="15"/>
          <w:color w:val="auto"/>
        </w:rPr>
        <w:t xml:space="preserve">SECTION 6.02 </w:t>
      </w:r>
      <w:r>
        <w:rPr>
          <w:rFonts w:ascii="Arial" w:cs="Arial" w:eastAsia="Arial" w:hAnsi="Arial"/>
          <w:sz w:val="15"/>
          <w:szCs w:val="15"/>
          <w:u w:val="single" w:color="auto"/>
          <w:color w:val="auto"/>
        </w:rPr>
        <w:t>Liens</w:t>
      </w:r>
      <w:r>
        <w:rPr>
          <w:rFonts w:ascii="Arial" w:cs="Arial" w:eastAsia="Arial" w:hAnsi="Arial"/>
          <w:sz w:val="15"/>
          <w:szCs w:val="15"/>
          <w:color w:val="auto"/>
        </w:rPr>
        <w:t>. The Company will not, and will not permit any Subsidiary to, create, incur, assume or permit to exist any Lien on any property or asset now owned or hereafter acquired by it, or assign or sell any income or revenues (including accounts receivable) or rights in respect of any thereof, except:</w:t>
      </w:r>
    </w:p>
    <w:p>
      <w:pPr>
        <w:spacing w:after="0" w:line="109" w:lineRule="exact"/>
        <w:rPr>
          <w:sz w:val="20"/>
          <w:szCs w:val="20"/>
          <w:color w:val="auto"/>
        </w:rPr>
      </w:pPr>
    </w:p>
    <w:p>
      <w:pPr>
        <w:ind w:left="1260" w:hanging="723"/>
        <w:spacing w:after="0"/>
        <w:tabs>
          <w:tab w:leader="none" w:pos="12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211" w:lineRule="exact"/>
        <w:rPr>
          <w:rFonts w:ascii="Arial" w:cs="Arial" w:eastAsia="Arial" w:hAnsi="Arial"/>
          <w:sz w:val="18"/>
          <w:szCs w:val="18"/>
          <w:color w:val="auto"/>
        </w:rPr>
      </w:pPr>
    </w:p>
    <w:p>
      <w:pPr>
        <w:ind w:left="1280" w:hanging="743"/>
        <w:spacing w:after="0"/>
        <w:tabs>
          <w:tab w:leader="none" w:pos="1280" w:val="left"/>
        </w:tabs>
        <w:numPr>
          <w:ilvl w:val="1"/>
          <w:numId w:val="106"/>
        </w:numPr>
        <w:rPr>
          <w:rFonts w:ascii="Arial" w:cs="Arial" w:eastAsia="Arial" w:hAnsi="Arial"/>
          <w:sz w:val="15"/>
          <w:szCs w:val="15"/>
          <w:color w:val="auto"/>
        </w:rPr>
      </w:pPr>
      <w:r>
        <w:rPr>
          <w:rFonts w:ascii="Arial" w:cs="Arial" w:eastAsia="Arial" w:hAnsi="Arial"/>
          <w:sz w:val="15"/>
          <w:szCs w:val="15"/>
          <w:color w:val="auto"/>
        </w:rPr>
        <w:t xml:space="preserve">any Lien on any property or asset of the Company or any Subsidiary existing on the Effective Date and set forth in </w:t>
      </w:r>
      <w:r>
        <w:rPr>
          <w:rFonts w:ascii="Arial" w:cs="Arial" w:eastAsia="Arial" w:hAnsi="Arial"/>
          <w:sz w:val="15"/>
          <w:szCs w:val="15"/>
          <w:u w:val="single" w:color="auto"/>
          <w:color w:val="auto"/>
        </w:rPr>
        <w:t>Schedule 6.02</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w:t>
      </w:r>
    </w:p>
    <w:p>
      <w:pPr>
        <w:spacing w:after="0" w:line="50" w:lineRule="exact"/>
        <w:rPr>
          <w:rFonts w:ascii="Arial" w:cs="Arial" w:eastAsia="Arial" w:hAnsi="Arial"/>
          <w:sz w:val="15"/>
          <w:szCs w:val="15"/>
          <w:color w:val="auto"/>
        </w:rPr>
      </w:pPr>
    </w:p>
    <w:p>
      <w:pPr>
        <w:ind w:firstLine="8"/>
        <w:spacing w:after="0" w:line="274" w:lineRule="auto"/>
        <w:tabs>
          <w:tab w:leader="none" w:pos="229" w:val="left"/>
        </w:tabs>
        <w:numPr>
          <w:ilvl w:val="0"/>
          <w:numId w:val="107"/>
        </w:numPr>
        <w:rPr>
          <w:rFonts w:ascii="Arial" w:cs="Arial" w:eastAsia="Arial" w:hAnsi="Arial"/>
          <w:sz w:val="17"/>
          <w:szCs w:val="17"/>
          <w:color w:val="auto"/>
        </w:rPr>
      </w:pPr>
      <w:r>
        <w:rPr>
          <w:rFonts w:ascii="Arial" w:cs="Arial" w:eastAsia="Arial" w:hAnsi="Arial"/>
          <w:sz w:val="17"/>
          <w:szCs w:val="17"/>
          <w:color w:val="auto"/>
        </w:rPr>
        <w:t>such Lien shall not apply to any other property or asset of the Company or any Subsidiary and (ii) such Lien shall secure only those obligations which it secures on the Effective Date and extensions, renewals and replacements thereof that do not increase the outstanding principal amount thereof;</w:t>
      </w:r>
    </w:p>
    <w:p>
      <w:pPr>
        <w:spacing w:after="0" w:line="168" w:lineRule="exact"/>
        <w:rPr>
          <w:rFonts w:ascii="Arial" w:cs="Arial" w:eastAsia="Arial" w:hAnsi="Arial"/>
          <w:sz w:val="17"/>
          <w:szCs w:val="17"/>
          <w:color w:val="auto"/>
        </w:rPr>
      </w:pPr>
    </w:p>
    <w:p>
      <w:pPr>
        <w:jc w:val="both"/>
        <w:ind w:firstLine="537"/>
        <w:spacing w:after="0" w:line="247" w:lineRule="auto"/>
        <w:tabs>
          <w:tab w:leader="none" w:pos="1254" w:val="left"/>
        </w:tabs>
        <w:numPr>
          <w:ilvl w:val="1"/>
          <w:numId w:val="107"/>
        </w:numPr>
        <w:rPr>
          <w:rFonts w:ascii="Arial" w:cs="Arial" w:eastAsia="Arial" w:hAnsi="Arial"/>
          <w:sz w:val="18"/>
          <w:szCs w:val="18"/>
          <w:color w:val="auto"/>
        </w:rPr>
      </w:pPr>
      <w:r>
        <w:rPr>
          <w:rFonts w:ascii="Arial" w:cs="Arial" w:eastAsia="Arial" w:hAnsi="Arial"/>
          <w:sz w:val="18"/>
          <w:szCs w:val="18"/>
          <w:color w:val="auto"/>
        </w:rPr>
        <w:t xml:space="preserve">Liens on fixed or capital assets acquired, constructed or improved by the Company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Liens secure Indebtedness permitted by clause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6.01</w:t>
      </w:r>
      <w:r>
        <w:rPr>
          <w:rFonts w:ascii="Arial" w:cs="Arial" w:eastAsia="Arial" w:hAnsi="Arial"/>
          <w:sz w:val="18"/>
          <w:szCs w:val="18"/>
          <w:color w:val="auto"/>
        </w:rPr>
        <w:t>, (ii) such Liens and the Indebtedness secured thereby are incurred prior to or within ninety (90) days after such acquisition or the completion of such construction or improvement, (iii) the Indebtedness secured thereby does not exceed one hundred percent (100%) of the cost of acquiring, constructing or improving such fixed or capital assets and (iv) such Liens shall not apply to any other property or assets of the Company or any Subsidiary;</w:t>
      </w:r>
    </w:p>
    <w:p>
      <w:pPr>
        <w:spacing w:after="0" w:line="191" w:lineRule="exact"/>
        <w:rPr>
          <w:rFonts w:ascii="Arial" w:cs="Arial" w:eastAsia="Arial" w:hAnsi="Arial"/>
          <w:sz w:val="18"/>
          <w:szCs w:val="18"/>
          <w:color w:val="auto"/>
        </w:rPr>
      </w:pPr>
    </w:p>
    <w:p>
      <w:pPr>
        <w:ind w:left="1280" w:hanging="743"/>
        <w:spacing w:after="0"/>
        <w:tabs>
          <w:tab w:leader="none" w:pos="12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 xml:space="preserve">Liens relating to Capital Lease Obligations permitted by clause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260" w:hanging="723"/>
        <w:spacing w:after="0"/>
        <w:tabs>
          <w:tab w:leader="none" w:pos="12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in the case of any Subsidiary that is not a Wholly-Owned Subsidiary, any purchase options,</w:t>
      </w:r>
    </w:p>
    <w:p>
      <w:pPr>
        <w:spacing w:after="0" w:line="16" w:lineRule="exact"/>
        <w:rPr>
          <w:sz w:val="20"/>
          <w:szCs w:val="20"/>
          <w:color w:val="auto"/>
        </w:rPr>
      </w:pPr>
    </w:p>
    <w:p>
      <w:pPr>
        <w:jc w:val="both"/>
        <w:ind w:right="20"/>
        <w:spacing w:after="0" w:line="342" w:lineRule="auto"/>
        <w:rPr>
          <w:sz w:val="20"/>
          <w:szCs w:val="20"/>
          <w:color w:val="auto"/>
        </w:rPr>
      </w:pPr>
      <w:r>
        <w:rPr>
          <w:rFonts w:ascii="Arial" w:cs="Arial" w:eastAsia="Arial" w:hAnsi="Arial"/>
          <w:sz w:val="15"/>
          <w:szCs w:val="15"/>
          <w:color w:val="auto"/>
        </w:rPr>
        <w:t xml:space="preserve">calls or similar rights set forth in its organizational documents or any related joint venture or similar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any such case such purchase options, calls or similar rights are subordinated to any Lien in favor of the Administrative Agent in a manner reasonably satisfactory to the Administrative Agent;</w:t>
      </w:r>
    </w:p>
    <w:p>
      <w:pPr>
        <w:spacing w:after="0" w:line="123" w:lineRule="exact"/>
        <w:rPr>
          <w:sz w:val="20"/>
          <w:szCs w:val="20"/>
          <w:color w:val="auto"/>
        </w:rPr>
      </w:pPr>
    </w:p>
    <w:p>
      <w:pPr>
        <w:ind w:left="1240" w:hanging="703"/>
        <w:spacing w:after="0"/>
        <w:tabs>
          <w:tab w:leader="none" w:pos="12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by </w:t>
      </w:r>
      <w:r>
        <w:rPr>
          <w:rFonts w:ascii="Arial" w:cs="Arial" w:eastAsia="Arial" w:hAnsi="Arial"/>
          <w:sz w:val="18"/>
          <w:szCs w:val="18"/>
          <w:u w:val="single" w:color="auto"/>
          <w:color w:val="auto"/>
        </w:rPr>
        <w:t>Section 6.01(h)</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280" w:hanging="743"/>
        <w:spacing w:after="0"/>
        <w:tabs>
          <w:tab w:leader="none" w:pos="12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Liens securing the Obligations;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72</w:t>
      </w:r>
    </w:p>
    <w:p>
      <w:pPr>
        <w:sectPr>
          <w:pgSz w:w="11900" w:h="16838" w:orient="portrait"/>
          <w:cols w:equalWidth="0" w:num="1">
            <w:col w:w="11460"/>
          </w:cols>
          <w:pgMar w:left="220" w:top="508" w:right="219" w:bottom="1440" w:gutter="0" w:footer="0" w:header="0"/>
        </w:sectPr>
      </w:pPr>
    </w:p>
    <w:bookmarkStart w:id="133" w:name="page134"/>
    <w:bookmarkEnd w:id="133"/>
    <w:p>
      <w:pPr>
        <w:ind w:left="1280" w:hanging="743"/>
        <w:spacing w:after="0"/>
        <w:tabs>
          <w:tab w:leader="none" w:pos="128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Liens on any account receivable or its proceeds in favor of that account receivable’s purchaser pursuant to a sale or disposition permitted by</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u w:val="single" w:color="auto"/>
          <w:color w:val="auto"/>
        </w:rPr>
        <w:t>Section 6.10</w:t>
      </w:r>
      <w:r>
        <w:rPr>
          <w:rFonts w:ascii="Arial" w:cs="Arial" w:eastAsia="Arial" w:hAnsi="Arial"/>
          <w:sz w:val="18"/>
          <w:szCs w:val="18"/>
          <w:color w:val="auto"/>
        </w:rPr>
        <w:t>; and</w:t>
      </w:r>
    </w:p>
    <w:p>
      <w:pPr>
        <w:spacing w:after="0" w:line="198" w:lineRule="exact"/>
        <w:rPr>
          <w:rFonts w:ascii="Arial" w:cs="Arial" w:eastAsia="Arial" w:hAnsi="Arial"/>
          <w:sz w:val="15"/>
          <w:szCs w:val="15"/>
          <w:color w:val="auto"/>
        </w:rPr>
      </w:pPr>
    </w:p>
    <w:p>
      <w:pPr>
        <w:jc w:val="both"/>
        <w:ind w:firstLine="537"/>
        <w:spacing w:after="0" w:line="249" w:lineRule="auto"/>
        <w:tabs>
          <w:tab w:leader="none" w:pos="122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Liens on the property of any Subsidiary that are in existence at the time such Subsidiary is acquired pursuant to a Permitted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Liens secure Indebtedness permitted by </w:t>
      </w:r>
      <w:r>
        <w:rPr>
          <w:rFonts w:ascii="Arial" w:cs="Arial" w:eastAsia="Arial" w:hAnsi="Arial"/>
          <w:sz w:val="18"/>
          <w:szCs w:val="18"/>
          <w:u w:val="single" w:color="auto"/>
          <w:color w:val="auto"/>
        </w:rPr>
        <w:t>Section 6.01(l)</w:t>
      </w:r>
      <w:r>
        <w:rPr>
          <w:rFonts w:ascii="Arial" w:cs="Arial" w:eastAsia="Arial" w:hAnsi="Arial"/>
          <w:sz w:val="18"/>
          <w:szCs w:val="18"/>
          <w:color w:val="auto"/>
        </w:rPr>
        <w:t>, (ii) such Liens are not incurred in connection with, or in anticipation of, such Permitted Acquisition, (iii) such Liens do not apply to any property of the Company or any other Subsidiary and (iv) such Liens secure only those obligation which they secure on the date of such Permitted Acquisition.</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Fundamental Changes</w:t>
      </w:r>
      <w:r>
        <w:rPr>
          <w:rFonts w:ascii="Arial" w:cs="Arial" w:eastAsia="Arial" w:hAnsi="Arial"/>
          <w:sz w:val="18"/>
          <w:szCs w:val="18"/>
          <w:color w:val="auto"/>
        </w:rPr>
        <w:t>.</w:t>
      </w:r>
    </w:p>
    <w:p>
      <w:pPr>
        <w:spacing w:after="0" w:line="212" w:lineRule="exact"/>
        <w:rPr>
          <w:sz w:val="20"/>
          <w:szCs w:val="20"/>
          <w:color w:val="auto"/>
        </w:rPr>
      </w:pPr>
    </w:p>
    <w:p>
      <w:pPr>
        <w:jc w:val="both"/>
        <w:ind w:firstLine="537"/>
        <w:spacing w:after="0" w:line="300" w:lineRule="auto"/>
        <w:tabs>
          <w:tab w:leader="none" w:pos="1254" w:val="left"/>
        </w:tabs>
        <w:numPr>
          <w:ilvl w:val="0"/>
          <w:numId w:val="110"/>
        </w:numPr>
        <w:rPr>
          <w:rFonts w:ascii="Arial" w:cs="Arial" w:eastAsia="Arial" w:hAnsi="Arial"/>
          <w:sz w:val="15"/>
          <w:szCs w:val="15"/>
          <w:color w:val="auto"/>
        </w:rPr>
      </w:pPr>
      <w:r>
        <w:rPr>
          <w:rFonts w:ascii="Arial" w:cs="Arial" w:eastAsia="Arial" w:hAnsi="Arial"/>
          <w:sz w:val="15"/>
          <w:szCs w:val="15"/>
          <w:color w:val="auto"/>
        </w:rPr>
        <w:t xml:space="preserve">The Company will not, and will not permit any Subsidiary to, merge into, or amalgamate, or consolidate with any other Person, or permit any other Person to merge into, or amalgamate, or consolidate with it, or liquidate or dissolve, except that, if at the time thereof and immediately after giving effect thereto no Default shall have occurred and be continuing (i) any Subsidiary may merge, amalgamate or consolidate into the Company in a transaction in which the Company is the surviving corporation, (ii) any Subsidiary may merge, amalgamate or consolidate into any other Subsidiary in a transaction in which the surviving entity is a Subsidiary, and (iii) any Subsidiary may sell, transfer, lease or otherwise dispose of all its assets to the Company or to another Subsidiary and subsequently liquidate or dissolve;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at least fifteen (15) days prior to the effectiveness of any of the transactions described in </w:t>
      </w:r>
      <w:r>
        <w:rPr>
          <w:rFonts w:ascii="Arial" w:cs="Arial" w:eastAsia="Arial" w:hAnsi="Arial"/>
          <w:sz w:val="15"/>
          <w:szCs w:val="15"/>
          <w:u w:val="single" w:color="auto"/>
          <w:color w:val="auto"/>
        </w:rPr>
        <w:t>(a)(i)</w:t>
      </w:r>
      <w:r>
        <w:rPr>
          <w:rFonts w:ascii="Arial" w:cs="Arial" w:eastAsia="Arial" w:hAnsi="Arial"/>
          <w:sz w:val="15"/>
          <w:szCs w:val="15"/>
          <w:color w:val="auto"/>
        </w:rPr>
        <w:t xml:space="preserve">, </w:t>
      </w:r>
      <w:r>
        <w:rPr>
          <w:rFonts w:ascii="Arial" w:cs="Arial" w:eastAsia="Arial" w:hAnsi="Arial"/>
          <w:sz w:val="15"/>
          <w:szCs w:val="15"/>
          <w:u w:val="single" w:color="auto"/>
          <w:color w:val="auto"/>
        </w:rPr>
        <w:t>(ii)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(iii)</w:t>
      </w:r>
      <w:r>
        <w:rPr>
          <w:rFonts w:ascii="Arial" w:cs="Arial" w:eastAsia="Arial" w:hAnsi="Arial"/>
          <w:sz w:val="15"/>
          <w:szCs w:val="15"/>
          <w:color w:val="auto"/>
        </w:rPr>
        <w:t xml:space="preserve"> that involve a Material Subsidiary, the Company shall provide to the Administrative Agent notice and a description of the material provisions of such transaction, and (B) prior to the effectiveness of any such transaction, the Company shall provide to the Administrative Agent all documents, agreements and instruments that Administrative Agent shall request relating to the Liens against property of any Subsidiary and the perfection thereof.</w:t>
      </w:r>
    </w:p>
    <w:p>
      <w:pPr>
        <w:spacing w:after="0" w:line="153" w:lineRule="exact"/>
        <w:rPr>
          <w:rFonts w:ascii="Arial" w:cs="Arial" w:eastAsia="Arial" w:hAnsi="Arial"/>
          <w:sz w:val="15"/>
          <w:szCs w:val="15"/>
          <w:color w:val="auto"/>
        </w:rPr>
      </w:pPr>
    </w:p>
    <w:p>
      <w:pPr>
        <w:jc w:val="both"/>
        <w:ind w:firstLine="537"/>
        <w:spacing w:after="0" w:line="276" w:lineRule="auto"/>
        <w:tabs>
          <w:tab w:leader="none" w:pos="1264"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The Company will not, and will not permit any Subsidiary to, sell, transfer, lease or otherwise dispose of (in one transaction or in a series of transactions) any of its assets (including without limitation Equity Interests in any Subsidiaries), whether now owned or hereafter acquired, except (i) </w:t>
      </w:r>
      <w:r>
        <w:rPr>
          <w:rFonts w:ascii="Arial" w:cs="Arial" w:eastAsia="Arial" w:hAnsi="Arial"/>
          <w:sz w:val="15"/>
          <w:szCs w:val="15"/>
          <w:color w:val="auto"/>
        </w:rPr>
        <w:t>sales of</w:t>
      </w:r>
      <w:r>
        <w:rPr>
          <w:rFonts w:ascii="Arial" w:cs="Arial" w:eastAsia="Arial" w:hAnsi="Arial"/>
          <w:sz w:val="17"/>
          <w:szCs w:val="17"/>
          <w:color w:val="auto"/>
        </w:rPr>
        <w:t xml:space="preserve"> </w:t>
      </w:r>
      <w:r>
        <w:rPr>
          <w:rFonts w:ascii="Arial" w:cs="Arial" w:eastAsia="Arial" w:hAnsi="Arial"/>
          <w:sz w:val="15"/>
          <w:szCs w:val="15"/>
          <w:color w:val="auto"/>
        </w:rPr>
        <w:t xml:space="preserve">inventory and obsolete or unneeded equipment in the ordinary course of business, </w:t>
      </w:r>
      <w:r>
        <w:rPr>
          <w:rFonts w:ascii="Arial" w:cs="Arial" w:eastAsia="Arial" w:hAnsi="Arial"/>
          <w:sz w:val="16"/>
          <w:szCs w:val="16"/>
          <w:color w:val="auto"/>
        </w:rPr>
        <w:t>(ii)</w:t>
      </w:r>
      <w:r>
        <w:rPr>
          <w:rFonts w:ascii="Arial" w:cs="Arial" w:eastAsia="Arial" w:hAnsi="Arial"/>
          <w:sz w:val="15"/>
          <w:szCs w:val="15"/>
          <w:color w:val="auto"/>
        </w:rPr>
        <w:t xml:space="preserve"> sales or dispositions of accounts receivable permitted by </w:t>
      </w:r>
      <w:r>
        <w:rPr>
          <w:rFonts w:ascii="Arial" w:cs="Arial" w:eastAsia="Arial" w:hAnsi="Arial"/>
          <w:sz w:val="15"/>
          <w:szCs w:val="15"/>
          <w:u w:val="single" w:color="auto"/>
          <w:color w:val="auto"/>
        </w:rPr>
        <w:t>Section 6.10</w:t>
      </w:r>
      <w:r>
        <w:rPr>
          <w:rFonts w:ascii="Arial" w:cs="Arial" w:eastAsia="Arial" w:hAnsi="Arial"/>
          <w:sz w:val="15"/>
          <w:szCs w:val="15"/>
          <w:color w:val="auto"/>
        </w:rPr>
        <w:t xml:space="preserve">, and </w:t>
      </w:r>
      <w:r>
        <w:rPr>
          <w:rFonts w:ascii="Arial" w:cs="Arial" w:eastAsia="Arial" w:hAnsi="Arial"/>
          <w:sz w:val="16"/>
          <w:szCs w:val="16"/>
          <w:color w:val="auto"/>
        </w:rPr>
        <w:t>(iii) other</w:t>
      </w:r>
      <w:r>
        <w:rPr>
          <w:rFonts w:ascii="Arial" w:cs="Arial" w:eastAsia="Arial" w:hAnsi="Arial"/>
          <w:sz w:val="15"/>
          <w:szCs w:val="15"/>
          <w:color w:val="auto"/>
        </w:rPr>
        <w:t xml:space="preserve"> </w:t>
      </w:r>
      <w:r>
        <w:rPr>
          <w:rFonts w:ascii="Arial" w:cs="Arial" w:eastAsia="Arial" w:hAnsi="Arial"/>
          <w:sz w:val="16"/>
          <w:szCs w:val="16"/>
          <w:color w:val="auto"/>
        </w:rPr>
        <w:t xml:space="preserve">sales, transfers, leases or other dispositions of assets that, together with all other assets of the Company and its Subsidiaries previously leased, sold or disposed of under this </w:t>
      </w:r>
      <w:r>
        <w:rPr>
          <w:rFonts w:ascii="Arial" w:cs="Arial" w:eastAsia="Arial" w:hAnsi="Arial"/>
          <w:sz w:val="16"/>
          <w:szCs w:val="16"/>
          <w:u w:val="single" w:color="auto"/>
          <w:color w:val="auto"/>
        </w:rPr>
        <w:t>Section 6.03(b)(iii)</w:t>
      </w:r>
      <w:r>
        <w:rPr>
          <w:rFonts w:ascii="Arial" w:cs="Arial" w:eastAsia="Arial" w:hAnsi="Arial"/>
          <w:sz w:val="16"/>
          <w:szCs w:val="16"/>
          <w:color w:val="auto"/>
        </w:rPr>
        <w:t xml:space="preserve"> during the twelve-month period ending with the month in which any such transfer, lease, sale or other disposition occurs, do not have a fair market value, as reasonably determined by the Board of Directors of the Company, in excess of $20,000,000;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sell, transfer, lease or otherwise dispose of assets that, together with all other assets of the Company and its Subsidiaries previously leased, sold or disposed of under this </w:t>
      </w:r>
      <w:r>
        <w:rPr>
          <w:rFonts w:ascii="Arial" w:cs="Arial" w:eastAsia="Arial" w:hAnsi="Arial"/>
          <w:sz w:val="16"/>
          <w:szCs w:val="16"/>
          <w:u w:val="single" w:color="auto"/>
          <w:color w:val="auto"/>
        </w:rPr>
        <w:t>Section 6.03(b)(iii)</w:t>
      </w:r>
      <w:r>
        <w:rPr>
          <w:rFonts w:ascii="Arial" w:cs="Arial" w:eastAsia="Arial" w:hAnsi="Arial"/>
          <w:sz w:val="16"/>
          <w:szCs w:val="16"/>
          <w:color w:val="auto"/>
        </w:rPr>
        <w:t xml:space="preserve"> during the twelve-month period ending with the month in which any such transfer, lease, sale or other disposition occurs, have a fair market value, as so determined, in excess of $20,000,000 so long as 100% of the net cash proceeds of such sale, transfer, lease or other disposition are reinvested into the Company and its Subsidiaries within 180 days thereafter.</w:t>
      </w:r>
    </w:p>
    <w:p>
      <w:pPr>
        <w:spacing w:after="0" w:line="170" w:lineRule="exact"/>
        <w:rPr>
          <w:rFonts w:ascii="Arial" w:cs="Arial" w:eastAsia="Arial" w:hAnsi="Arial"/>
          <w:sz w:val="17"/>
          <w:szCs w:val="17"/>
          <w:color w:val="auto"/>
        </w:rPr>
      </w:pPr>
    </w:p>
    <w:p>
      <w:pPr>
        <w:jc w:val="both"/>
        <w:ind w:firstLine="537"/>
        <w:spacing w:after="0" w:line="314" w:lineRule="auto"/>
        <w:tabs>
          <w:tab w:leader="none" w:pos="1254" w:val="left"/>
        </w:tabs>
        <w:numPr>
          <w:ilvl w:val="0"/>
          <w:numId w:val="110"/>
        </w:numPr>
        <w:rPr>
          <w:rFonts w:ascii="Arial" w:cs="Arial" w:eastAsia="Arial" w:hAnsi="Arial"/>
          <w:sz w:val="15"/>
          <w:szCs w:val="15"/>
          <w:color w:val="auto"/>
        </w:rPr>
      </w:pPr>
      <w:r>
        <w:rPr>
          <w:rFonts w:ascii="Arial" w:cs="Arial" w:eastAsia="Arial" w:hAnsi="Arial"/>
          <w:sz w:val="15"/>
          <w:szCs w:val="15"/>
          <w:color w:val="auto"/>
        </w:rPr>
        <w:t>The Company will not, and will not permit any of its Subsidiaries to, engage to any material extent in any business other than businesses of the type conducted by the Company and/or any one or more of its Subsidiaries on the Effective Date and businesses substantially related or incidental thereto (it being understood that the Company and its Subsidiaries may expand their existing engineering services, construction services, fabrication services and/or repair and maintenance services businesses into additional market segments or industries and augment their existing technology and expertise).</w:t>
      </w:r>
    </w:p>
    <w:p>
      <w:pPr>
        <w:spacing w:after="0" w:line="144" w:lineRule="exact"/>
        <w:rPr>
          <w:rFonts w:ascii="Arial" w:cs="Arial" w:eastAsia="Arial" w:hAnsi="Arial"/>
          <w:sz w:val="15"/>
          <w:szCs w:val="15"/>
          <w:color w:val="auto"/>
        </w:rPr>
      </w:pPr>
    </w:p>
    <w:p>
      <w:pPr>
        <w:ind w:left="1280" w:hanging="743"/>
        <w:spacing w:after="0"/>
        <w:tabs>
          <w:tab w:leader="none" w:pos="12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Company will not change its fiscal year.</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73</w:t>
      </w:r>
    </w:p>
    <w:p>
      <w:pPr>
        <w:sectPr>
          <w:pgSz w:w="11900" w:h="16838" w:orient="portrait"/>
          <w:cols w:equalWidth="0" w:num="1">
            <w:col w:w="11460"/>
          </w:cols>
          <w:pgMar w:left="220" w:top="508" w:right="219" w:bottom="1440" w:gutter="0" w:footer="0" w:header="0"/>
        </w:sectPr>
      </w:pPr>
    </w:p>
    <w:bookmarkStart w:id="134" w:name="page135"/>
    <w:bookmarkEnd w:id="134"/>
    <w:p>
      <w:pPr>
        <w:jc w:val="both"/>
        <w:ind w:firstLine="529"/>
        <w:spacing w:after="0" w:line="252"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Investments, Loans, Advances, Guarantees and Acquisitions</w:t>
      </w:r>
      <w:r>
        <w:rPr>
          <w:rFonts w:ascii="Arial" w:cs="Arial" w:eastAsia="Arial" w:hAnsi="Arial"/>
          <w:sz w:val="18"/>
          <w:szCs w:val="18"/>
          <w:color w:val="auto"/>
        </w:rPr>
        <w:t>. The Company will not, and will not permit any of its Subsidiaries to, make or permit any Acquisition, make or permit to exist any loans or advances to any other Person, Guarantee any obligations of any other Person, or make or permit to exist any investment or any other interest in any other Person, except:</w:t>
      </w:r>
    </w:p>
    <w:p>
      <w:pPr>
        <w:spacing w:after="0" w:line="186" w:lineRule="exact"/>
        <w:rPr>
          <w:sz w:val="20"/>
          <w:szCs w:val="20"/>
          <w:color w:val="auto"/>
        </w:rPr>
      </w:pPr>
    </w:p>
    <w:p>
      <w:pPr>
        <w:ind w:left="1260" w:hanging="723"/>
        <w:spacing w:after="0"/>
        <w:tabs>
          <w:tab w:leader="none" w:pos="12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Permitted Investments;</w:t>
      </w:r>
    </w:p>
    <w:p>
      <w:pPr>
        <w:spacing w:after="0" w:line="211" w:lineRule="exact"/>
        <w:rPr>
          <w:rFonts w:ascii="Arial" w:cs="Arial" w:eastAsia="Arial" w:hAnsi="Arial"/>
          <w:sz w:val="18"/>
          <w:szCs w:val="18"/>
          <w:color w:val="auto"/>
        </w:rPr>
      </w:pPr>
    </w:p>
    <w:p>
      <w:pPr>
        <w:ind w:left="1280" w:hanging="743"/>
        <w:spacing w:after="0"/>
        <w:tabs>
          <w:tab w:leader="none" w:pos="12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investments by the Company existing on the Effective Date in the capital stock of its Subsidiaries;</w:t>
      </w:r>
    </w:p>
    <w:p>
      <w:pPr>
        <w:spacing w:after="0" w:line="211" w:lineRule="exact"/>
        <w:rPr>
          <w:rFonts w:ascii="Arial" w:cs="Arial" w:eastAsia="Arial" w:hAnsi="Arial"/>
          <w:sz w:val="18"/>
          <w:szCs w:val="18"/>
          <w:color w:val="auto"/>
        </w:rPr>
      </w:pPr>
    </w:p>
    <w:p>
      <w:pPr>
        <w:ind w:firstLine="537"/>
        <w:spacing w:after="0" w:line="261" w:lineRule="auto"/>
        <w:tabs>
          <w:tab w:leader="none" w:pos="125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loans, capital contributions or advances made by the Company to any Subsidiary and made by any Subsidiary to the Company or any other Subsidiary, to the extent made in the ordinary course of business consistent with past practices;</w:t>
      </w:r>
    </w:p>
    <w:p>
      <w:pPr>
        <w:spacing w:after="0" w:line="178" w:lineRule="exact"/>
        <w:rPr>
          <w:rFonts w:ascii="Arial" w:cs="Arial" w:eastAsia="Arial" w:hAnsi="Arial"/>
          <w:sz w:val="18"/>
          <w:szCs w:val="18"/>
          <w:color w:val="auto"/>
        </w:rPr>
      </w:pPr>
    </w:p>
    <w:p>
      <w:pPr>
        <w:ind w:left="1280" w:hanging="743"/>
        <w:spacing w:after="0"/>
        <w:tabs>
          <w:tab w:leader="none" w:pos="12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Guarantees constituting Indebtedness permitted by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firstLine="537"/>
        <w:spacing w:after="0" w:line="261" w:lineRule="auto"/>
        <w:tabs>
          <w:tab w:leader="none" w:pos="125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Guarantees of the Company or any Subsidiary in respect of obligations (other than obligations constituting Indebtedness) of the Company or any Subsidiary, made in the ordinary course of business consistent with past practices;</w:t>
      </w:r>
    </w:p>
    <w:p>
      <w:pPr>
        <w:spacing w:after="0" w:line="178" w:lineRule="exact"/>
        <w:rPr>
          <w:rFonts w:ascii="Arial" w:cs="Arial" w:eastAsia="Arial" w:hAnsi="Arial"/>
          <w:sz w:val="18"/>
          <w:szCs w:val="18"/>
          <w:color w:val="auto"/>
        </w:rPr>
      </w:pPr>
    </w:p>
    <w:p>
      <w:pPr>
        <w:ind w:firstLine="537"/>
        <w:spacing w:after="0" w:line="261" w:lineRule="auto"/>
        <w:tabs>
          <w:tab w:leader="none" w:pos="123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advances to officers, directors and employees of the Company for travel, entertainment, relocation and analogous ordinary business purposes in an aggregate amount not to exceed $1,000,000 at any time outstanding;</w:t>
      </w:r>
    </w:p>
    <w:p>
      <w:pPr>
        <w:spacing w:after="0" w:line="178" w:lineRule="exact"/>
        <w:rPr>
          <w:rFonts w:ascii="Arial" w:cs="Arial" w:eastAsia="Arial" w:hAnsi="Arial"/>
          <w:sz w:val="18"/>
          <w:szCs w:val="18"/>
          <w:color w:val="auto"/>
        </w:rPr>
      </w:pPr>
    </w:p>
    <w:p>
      <w:pPr>
        <w:jc w:val="both"/>
        <w:ind w:firstLine="537"/>
        <w:spacing w:after="0" w:line="252" w:lineRule="auto"/>
        <w:tabs>
          <w:tab w:leader="none" w:pos="126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85" w:lineRule="exact"/>
        <w:rPr>
          <w:rFonts w:ascii="Arial" w:cs="Arial" w:eastAsia="Arial" w:hAnsi="Arial"/>
          <w:sz w:val="18"/>
          <w:szCs w:val="18"/>
          <w:color w:val="auto"/>
        </w:rPr>
      </w:pPr>
    </w:p>
    <w:p>
      <w:pPr>
        <w:jc w:val="both"/>
        <w:ind w:firstLine="537"/>
        <w:spacing w:after="0" w:line="326" w:lineRule="auto"/>
        <w:tabs>
          <w:tab w:leader="none" w:pos="1264" w:val="left"/>
        </w:tabs>
        <w:numPr>
          <w:ilvl w:val="0"/>
          <w:numId w:val="111"/>
        </w:numPr>
        <w:rPr>
          <w:rFonts w:ascii="Arial" w:cs="Arial" w:eastAsia="Arial" w:hAnsi="Arial"/>
          <w:sz w:val="15"/>
          <w:szCs w:val="15"/>
          <w:color w:val="auto"/>
        </w:rPr>
      </w:pPr>
      <w:r>
        <w:rPr>
          <w:rFonts w:ascii="Arial" w:cs="Arial" w:eastAsia="Arial" w:hAnsi="Arial"/>
          <w:sz w:val="15"/>
          <w:szCs w:val="15"/>
          <w:color w:val="auto"/>
        </w:rPr>
        <w:t xml:space="preserve">investments in Joint Ventures;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no Default or Event of Default is in existence at the time thereof or would exist after giving effect thereto, (ii) the Company is in compliance on a pro forma basis after giving effect to the making of such investment, with the covenants set forth in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6.12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6.13</w:t>
      </w:r>
      <w:r>
        <w:rPr>
          <w:rFonts w:ascii="Arial" w:cs="Arial" w:eastAsia="Arial" w:hAnsi="Arial"/>
          <w:sz w:val="15"/>
          <w:szCs w:val="15"/>
          <w:color w:val="auto"/>
        </w:rPr>
        <w:t xml:space="preserve"> and (iii) the aggregate amount of investments in Joint Ventures shall not exceed $20,000,000 outstanding at any time; and</w:t>
      </w:r>
    </w:p>
    <w:p>
      <w:pPr>
        <w:spacing w:after="0" w:line="134" w:lineRule="exact"/>
        <w:rPr>
          <w:rFonts w:ascii="Arial" w:cs="Arial" w:eastAsia="Arial" w:hAnsi="Arial"/>
          <w:sz w:val="15"/>
          <w:szCs w:val="15"/>
          <w:color w:val="auto"/>
        </w:rPr>
      </w:pPr>
    </w:p>
    <w:p>
      <w:pPr>
        <w:ind w:left="1240" w:hanging="703"/>
        <w:spacing w:after="0"/>
        <w:tabs>
          <w:tab w:leader="none" w:pos="12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Acquisitions, subject to satisfaction of the following conditions:</w:t>
      </w:r>
    </w:p>
    <w:p>
      <w:pPr>
        <w:spacing w:after="0" w:line="211" w:lineRule="exact"/>
        <w:rPr>
          <w:rFonts w:ascii="Arial" w:cs="Arial" w:eastAsia="Arial" w:hAnsi="Arial"/>
          <w:sz w:val="18"/>
          <w:szCs w:val="18"/>
          <w:color w:val="auto"/>
        </w:rPr>
      </w:pPr>
    </w:p>
    <w:p>
      <w:pPr>
        <w:ind w:left="1680" w:hanging="614"/>
        <w:spacing w:after="0"/>
        <w:tabs>
          <w:tab w:leader="none" w:pos="1680" w:val="left"/>
        </w:tabs>
        <w:numPr>
          <w:ilvl w:val="1"/>
          <w:numId w:val="111"/>
        </w:numPr>
        <w:rPr>
          <w:rFonts w:ascii="Arial" w:cs="Arial" w:eastAsia="Arial" w:hAnsi="Arial"/>
          <w:sz w:val="13"/>
          <w:szCs w:val="13"/>
          <w:color w:val="auto"/>
        </w:rPr>
      </w:pPr>
      <w:r>
        <w:rPr>
          <w:rFonts w:ascii="Arial" w:cs="Arial" w:eastAsia="Arial" w:hAnsi="Arial"/>
          <w:sz w:val="15"/>
          <w:szCs w:val="15"/>
          <w:color w:val="auto"/>
        </w:rPr>
        <w:t>no Default or Event of Default is in existence at the time of the consummation of the proposed Acquisition or would exist after giving</w:t>
      </w:r>
    </w:p>
    <w:p>
      <w:pPr>
        <w:spacing w:after="0" w:line="50" w:lineRule="exact"/>
        <w:rPr>
          <w:rFonts w:ascii="Arial" w:cs="Arial" w:eastAsia="Arial" w:hAnsi="Arial"/>
          <w:sz w:val="13"/>
          <w:szCs w:val="13"/>
          <w:color w:val="auto"/>
        </w:rPr>
      </w:pPr>
    </w:p>
    <w:p>
      <w:pPr>
        <w:ind w:left="540"/>
        <w:spacing w:after="0"/>
        <w:rPr>
          <w:rFonts w:ascii="Arial" w:cs="Arial" w:eastAsia="Arial" w:hAnsi="Arial"/>
          <w:sz w:val="13"/>
          <w:szCs w:val="13"/>
          <w:color w:val="auto"/>
        </w:rPr>
      </w:pPr>
      <w:r>
        <w:rPr>
          <w:rFonts w:ascii="Arial" w:cs="Arial" w:eastAsia="Arial" w:hAnsi="Arial"/>
          <w:sz w:val="18"/>
          <w:szCs w:val="18"/>
          <w:color w:val="auto"/>
        </w:rPr>
        <w:t>effect thereto,</w:t>
      </w:r>
    </w:p>
    <w:p>
      <w:pPr>
        <w:spacing w:after="0" w:line="209" w:lineRule="exact"/>
        <w:rPr>
          <w:rFonts w:ascii="Arial" w:cs="Arial" w:eastAsia="Arial" w:hAnsi="Arial"/>
          <w:sz w:val="13"/>
          <w:szCs w:val="13"/>
          <w:color w:val="auto"/>
        </w:rPr>
      </w:pPr>
    </w:p>
    <w:p>
      <w:pPr>
        <w:jc w:val="both"/>
        <w:ind w:left="540" w:firstLine="526"/>
        <w:spacing w:after="0" w:line="253" w:lineRule="auto"/>
        <w:tabs>
          <w:tab w:leader="none" w:pos="1716" w:val="left"/>
        </w:tabs>
        <w:numPr>
          <w:ilvl w:val="1"/>
          <w:numId w:val="111"/>
        </w:numPr>
        <w:rPr>
          <w:rFonts w:ascii="Arial" w:cs="Arial" w:eastAsia="Arial" w:hAnsi="Arial"/>
          <w:sz w:val="15"/>
          <w:szCs w:val="15"/>
          <w:color w:val="auto"/>
        </w:rPr>
      </w:pPr>
      <w:r>
        <w:rPr>
          <w:rFonts w:ascii="Arial" w:cs="Arial" w:eastAsia="Arial" w:hAnsi="Arial"/>
          <w:sz w:val="18"/>
          <w:szCs w:val="18"/>
          <w:color w:val="auto"/>
        </w:rPr>
        <w:t>all representations and warranties contained in this Agreement and in the other Loan Documents shall be true and correct in all material respects with the same effect as though such representations and warranties were made on and as of the date of such proposed Acquisition (both before and after giving effect thereto) except to the extent limited to a specific prior date or incorrect as a result of transactions permitted under the Loan Documents,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74</w:t>
      </w:r>
    </w:p>
    <w:p>
      <w:pPr>
        <w:sectPr>
          <w:pgSz w:w="11900" w:h="16838" w:orient="portrait"/>
          <w:cols w:equalWidth="0" w:num="1">
            <w:col w:w="11460"/>
          </w:cols>
          <w:pgMar w:left="220" w:top="718" w:right="219" w:bottom="1440" w:gutter="0" w:footer="0" w:header="0"/>
        </w:sectPr>
      </w:pPr>
    </w:p>
    <w:bookmarkStart w:id="135" w:name="page136"/>
    <w:bookmarkEnd w:id="135"/>
    <w:p>
      <w:pPr>
        <w:ind w:left="540" w:firstLine="526"/>
        <w:spacing w:after="0" w:line="274" w:lineRule="auto"/>
        <w:tabs>
          <w:tab w:leader="none" w:pos="1757" w:val="left"/>
        </w:tabs>
        <w:numPr>
          <w:ilvl w:val="0"/>
          <w:numId w:val="112"/>
        </w:numPr>
        <w:rPr>
          <w:rFonts w:ascii="Arial" w:cs="Arial" w:eastAsia="Arial" w:hAnsi="Arial"/>
          <w:sz w:val="15"/>
          <w:szCs w:val="15"/>
          <w:color w:val="auto"/>
        </w:rPr>
      </w:pPr>
      <w:r>
        <w:rPr>
          <w:rFonts w:ascii="Arial" w:cs="Arial" w:eastAsia="Arial" w:hAnsi="Arial"/>
          <w:sz w:val="18"/>
          <w:szCs w:val="18"/>
          <w:color w:val="auto"/>
        </w:rPr>
        <w:t>the proposed Acquisition is not a hostile or contested Acquisition and is not opposed by the board of directors (or equivalent governing body) of the Person being acquired or the Person transferring the subject business unit or ongoing business,</w:t>
      </w:r>
    </w:p>
    <w:p>
      <w:pPr>
        <w:spacing w:after="0" w:line="166" w:lineRule="exact"/>
        <w:rPr>
          <w:rFonts w:ascii="Arial" w:cs="Arial" w:eastAsia="Arial" w:hAnsi="Arial"/>
          <w:sz w:val="15"/>
          <w:szCs w:val="15"/>
          <w:color w:val="auto"/>
        </w:rPr>
      </w:pPr>
    </w:p>
    <w:p>
      <w:pPr>
        <w:jc w:val="both"/>
        <w:ind w:left="540" w:firstLine="526"/>
        <w:spacing w:after="0" w:line="258" w:lineRule="auto"/>
        <w:tabs>
          <w:tab w:leader="none" w:pos="1740" w:val="left"/>
        </w:tabs>
        <w:numPr>
          <w:ilvl w:val="0"/>
          <w:numId w:val="112"/>
        </w:numPr>
        <w:rPr>
          <w:rFonts w:ascii="Arial" w:cs="Arial" w:eastAsia="Arial" w:hAnsi="Arial"/>
          <w:sz w:val="15"/>
          <w:szCs w:val="15"/>
          <w:color w:val="auto"/>
        </w:rPr>
      </w:pPr>
      <w:r>
        <w:rPr>
          <w:rFonts w:ascii="Arial" w:cs="Arial" w:eastAsia="Arial" w:hAnsi="Arial"/>
          <w:sz w:val="18"/>
          <w:szCs w:val="18"/>
          <w:color w:val="auto"/>
        </w:rPr>
        <w:t xml:space="preserve">in the case of an Acquisition that entails a merger, consolidation or other combination with another Person, the Company or one of its Wholly-Owned Subsidiaries is the surviving entity (or, in the case of a merger, consolidation or other combination involving a Wholly-Owned Subsidiary, the surviving entity complies with </w:t>
      </w:r>
      <w:r>
        <w:rPr>
          <w:rFonts w:ascii="Arial" w:cs="Arial" w:eastAsia="Arial" w:hAnsi="Arial"/>
          <w:sz w:val="18"/>
          <w:szCs w:val="18"/>
          <w:u w:val="single" w:color="auto"/>
          <w:color w:val="auto"/>
        </w:rPr>
        <w:t>Section 5.09</w:t>
      </w:r>
      <w:r>
        <w:rPr>
          <w:rFonts w:ascii="Arial" w:cs="Arial" w:eastAsia="Arial" w:hAnsi="Arial"/>
          <w:sz w:val="18"/>
          <w:szCs w:val="18"/>
          <w:color w:val="auto"/>
        </w:rPr>
        <w:t xml:space="preserve"> to the extent required),</w:t>
      </w:r>
    </w:p>
    <w:p>
      <w:pPr>
        <w:spacing w:after="0" w:line="181" w:lineRule="exact"/>
        <w:rPr>
          <w:rFonts w:ascii="Arial" w:cs="Arial" w:eastAsia="Arial" w:hAnsi="Arial"/>
          <w:sz w:val="15"/>
          <w:szCs w:val="15"/>
          <w:color w:val="auto"/>
        </w:rPr>
      </w:pPr>
    </w:p>
    <w:p>
      <w:pPr>
        <w:jc w:val="both"/>
        <w:ind w:left="540" w:firstLine="526"/>
        <w:spacing w:after="0" w:line="308" w:lineRule="auto"/>
        <w:tabs>
          <w:tab w:leader="none" w:pos="1699" w:val="left"/>
        </w:tabs>
        <w:numPr>
          <w:ilvl w:val="0"/>
          <w:numId w:val="112"/>
        </w:numPr>
        <w:rPr>
          <w:rFonts w:ascii="Arial" w:cs="Arial" w:eastAsia="Arial" w:hAnsi="Arial"/>
          <w:sz w:val="13"/>
          <w:szCs w:val="13"/>
          <w:color w:val="auto"/>
        </w:rPr>
      </w:pPr>
      <w:r>
        <w:rPr>
          <w:rFonts w:ascii="Arial" w:cs="Arial" w:eastAsia="Arial" w:hAnsi="Arial"/>
          <w:sz w:val="15"/>
          <w:szCs w:val="15"/>
          <w:color w:val="auto"/>
        </w:rPr>
        <w:t>the applicable Permitted Acquisition Notice (described below) reflects that after giving effect to the consummation of such proposed Acquisition (A) the Leverage Ratio would be less than 2.00 to 1.00 on a pro forma basis as of the last day of the fiscal quarter immediately prior to such proposed Acquisition (with the Leverage Ratio adjusted to take into account the financial impact of such proposed Acquisition as if such Acquisition had occurred prior to, and the Person or property acquired pursuant to such Acquisition had been owned by the Company or one or more of its consolidated Subsidiaries throughout, the entire calculation period prior to the date as of which such calculation is being made) and (B) the unused aggregate Revolving Commitments would be equal to at least 50% of the aggregate Revolving Commitments at such time,</w:t>
      </w:r>
    </w:p>
    <w:p>
      <w:pPr>
        <w:spacing w:after="0" w:line="148" w:lineRule="exact"/>
        <w:rPr>
          <w:rFonts w:ascii="Arial" w:cs="Arial" w:eastAsia="Arial" w:hAnsi="Arial"/>
          <w:sz w:val="13"/>
          <w:szCs w:val="13"/>
          <w:color w:val="auto"/>
        </w:rPr>
      </w:pPr>
    </w:p>
    <w:p>
      <w:pPr>
        <w:jc w:val="both"/>
        <w:ind w:left="540" w:firstLine="526"/>
        <w:spacing w:after="0" w:line="261" w:lineRule="auto"/>
        <w:tabs>
          <w:tab w:leader="none" w:pos="1749" w:val="left"/>
        </w:tabs>
        <w:numPr>
          <w:ilvl w:val="0"/>
          <w:numId w:val="112"/>
        </w:numPr>
        <w:rPr>
          <w:rFonts w:ascii="Arial" w:cs="Arial" w:eastAsia="Arial" w:hAnsi="Arial"/>
          <w:sz w:val="14"/>
          <w:szCs w:val="14"/>
          <w:color w:val="auto"/>
        </w:rPr>
      </w:pPr>
      <w:r>
        <w:rPr>
          <w:rFonts w:ascii="Arial" w:cs="Arial" w:eastAsia="Arial" w:hAnsi="Arial"/>
          <w:sz w:val="17"/>
          <w:szCs w:val="17"/>
          <w:color w:val="auto"/>
        </w:rPr>
        <w:t>the Company shall have given the Administrative Agent written notice at least five (5) Business Days prior to consummation of such proposed Acquisition (each of such notices, a “</w:t>
      </w:r>
      <w:r>
        <w:rPr>
          <w:rFonts w:ascii="Arial" w:cs="Arial" w:eastAsia="Arial" w:hAnsi="Arial"/>
          <w:sz w:val="17"/>
          <w:szCs w:val="17"/>
          <w:u w:val="single" w:color="auto"/>
          <w:color w:val="auto"/>
        </w:rPr>
        <w:t>Permitted Acquisition Notice</w:t>
      </w:r>
      <w:r>
        <w:rPr>
          <w:rFonts w:ascii="Arial" w:cs="Arial" w:eastAsia="Arial" w:hAnsi="Arial"/>
          <w:sz w:val="17"/>
          <w:szCs w:val="17"/>
          <w:color w:val="auto"/>
        </w:rPr>
        <w:t xml:space="preserve">”), which notice shall (A) contain a brief description of the proposed Acquisition (including the aggregate consideration to be paid in connection therewith) and the proposed closing date thereof, (B) be accompanied by a Compliance Certificate that includes calculations showing the Company’s compliance with the condition set forth above in clause </w:t>
      </w:r>
      <w:r>
        <w:rPr>
          <w:rFonts w:ascii="Arial" w:cs="Arial" w:eastAsia="Arial" w:hAnsi="Arial"/>
          <w:sz w:val="17"/>
          <w:szCs w:val="17"/>
          <w:u w:val="single" w:color="auto"/>
          <w:color w:val="auto"/>
        </w:rPr>
        <w:t>(v)(A)</w:t>
      </w:r>
      <w:r>
        <w:rPr>
          <w:rFonts w:ascii="Arial" w:cs="Arial" w:eastAsia="Arial" w:hAnsi="Arial"/>
          <w:sz w:val="17"/>
          <w:szCs w:val="17"/>
          <w:color w:val="auto"/>
        </w:rPr>
        <w:t xml:space="preserve"> above and compliance on a pro forma basis as of the last day of the fiscal quarter immediately prior to such proposed Acquisition with the covenant contained in </w:t>
      </w:r>
      <w:r>
        <w:rPr>
          <w:rFonts w:ascii="Arial" w:cs="Arial" w:eastAsia="Arial" w:hAnsi="Arial"/>
          <w:sz w:val="17"/>
          <w:szCs w:val="17"/>
          <w:u w:val="single" w:color="auto"/>
          <w:color w:val="auto"/>
        </w:rPr>
        <w:t>Section 6.13</w:t>
      </w:r>
      <w:r>
        <w:rPr>
          <w:rFonts w:ascii="Arial" w:cs="Arial" w:eastAsia="Arial" w:hAnsi="Arial"/>
          <w:sz w:val="17"/>
          <w:szCs w:val="17"/>
          <w:color w:val="auto"/>
        </w:rPr>
        <w:t xml:space="preserve"> after giving effect to the consummation of such proposed Acquisition (and for purposes of calculating such financial covenant, such calculation shall be adjusted to take into account the financial impact of such proposed Acquisition as if such Acquisition had occurred prior to, and the Person or property acquired pursuant to such Acquisition had been owned by the Company or one or more of its consolidated Subsidiaries throughout, the entire calculation period prior to the date as of which such calculation is being made), (C) be accompanied by pro forma consolidated financial statements of the Company after giving effect to such Acquisition (adjusted as set forth above in clause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if such Acquisition is of a Person, such Person’s historical financial statements (to the extent available) and (D) include an officer’s certificate executed by a Financial Officer of the Company, certifying as to compliance with the requirements of this </w:t>
      </w:r>
      <w:r>
        <w:rPr>
          <w:rFonts w:ascii="Arial" w:cs="Arial" w:eastAsia="Arial" w:hAnsi="Arial"/>
          <w:sz w:val="17"/>
          <w:szCs w:val="17"/>
          <w:u w:val="single" w:color="auto"/>
          <w:color w:val="auto"/>
        </w:rPr>
        <w:t>Section 6.04(i)</w:t>
      </w:r>
      <w:r>
        <w:rPr>
          <w:rFonts w:ascii="Arial" w:cs="Arial" w:eastAsia="Arial" w:hAnsi="Arial"/>
          <w:sz w:val="17"/>
          <w:szCs w:val="17"/>
          <w:color w:val="auto"/>
        </w:rPr>
        <w:t>,</w:t>
      </w:r>
    </w:p>
    <w:p>
      <w:pPr>
        <w:spacing w:after="0" w:line="182" w:lineRule="exact"/>
        <w:rPr>
          <w:rFonts w:ascii="Arial" w:cs="Arial" w:eastAsia="Arial" w:hAnsi="Arial"/>
          <w:sz w:val="14"/>
          <w:szCs w:val="14"/>
          <w:color w:val="auto"/>
        </w:rPr>
      </w:pPr>
    </w:p>
    <w:p>
      <w:pPr>
        <w:ind w:left="540" w:firstLine="526"/>
        <w:spacing w:after="0" w:line="304" w:lineRule="auto"/>
        <w:tabs>
          <w:tab w:leader="none" w:pos="1790" w:val="left"/>
        </w:tabs>
        <w:numPr>
          <w:ilvl w:val="0"/>
          <w:numId w:val="112"/>
        </w:numPr>
        <w:rPr>
          <w:rFonts w:ascii="Arial" w:cs="Arial" w:eastAsia="Arial" w:hAnsi="Arial"/>
          <w:sz w:val="14"/>
          <w:szCs w:val="14"/>
          <w:color w:val="auto"/>
        </w:rPr>
      </w:pPr>
      <w:r>
        <w:rPr>
          <w:rFonts w:ascii="Arial" w:cs="Arial" w:eastAsia="Arial" w:hAnsi="Arial"/>
          <w:sz w:val="17"/>
          <w:szCs w:val="17"/>
          <w:color w:val="auto"/>
        </w:rPr>
        <w:t>promptly upon request following delivery of the Permitted Acquisition Notice, the Company shall have provided the Administrative Agent and each of the Lenders with such additional information as the Administrative Agent shall have reasonably requested, and</w:t>
      </w:r>
    </w:p>
    <w:p>
      <w:pPr>
        <w:spacing w:after="0" w:line="144" w:lineRule="exact"/>
        <w:rPr>
          <w:rFonts w:ascii="Arial" w:cs="Arial" w:eastAsia="Arial" w:hAnsi="Arial"/>
          <w:sz w:val="14"/>
          <w:szCs w:val="14"/>
          <w:color w:val="auto"/>
        </w:rPr>
      </w:pPr>
    </w:p>
    <w:p>
      <w:pPr>
        <w:jc w:val="both"/>
        <w:ind w:left="540" w:firstLine="526"/>
        <w:spacing w:after="0" w:line="258" w:lineRule="auto"/>
        <w:tabs>
          <w:tab w:leader="none" w:pos="1831" w:val="left"/>
        </w:tabs>
        <w:numPr>
          <w:ilvl w:val="0"/>
          <w:numId w:val="112"/>
        </w:numPr>
        <w:rPr>
          <w:rFonts w:ascii="Arial" w:cs="Arial" w:eastAsia="Arial" w:hAnsi="Arial"/>
          <w:sz w:val="15"/>
          <w:szCs w:val="15"/>
          <w:color w:val="auto"/>
        </w:rPr>
      </w:pPr>
      <w:r>
        <w:rPr>
          <w:rFonts w:ascii="Arial" w:cs="Arial" w:eastAsia="Arial" w:hAnsi="Arial"/>
          <w:sz w:val="18"/>
          <w:szCs w:val="18"/>
          <w:color w:val="auto"/>
        </w:rPr>
        <w:t xml:space="preserve">if such Acquisition entails the acquisition of the Equity Interests of a Person, the Acquisition is structured so that such Person shall become a Subsidiary and, to the extent required pursuant to </w:t>
      </w:r>
      <w:r>
        <w:rPr>
          <w:rFonts w:ascii="Arial" w:cs="Arial" w:eastAsia="Arial" w:hAnsi="Arial"/>
          <w:sz w:val="18"/>
          <w:szCs w:val="18"/>
          <w:u w:val="single" w:color="auto"/>
          <w:color w:val="auto"/>
        </w:rPr>
        <w:t>Section 5.09(c)</w:t>
      </w:r>
      <w:r>
        <w:rPr>
          <w:rFonts w:ascii="Arial" w:cs="Arial" w:eastAsia="Arial" w:hAnsi="Arial"/>
          <w:sz w:val="18"/>
          <w:szCs w:val="18"/>
          <w:color w:val="auto"/>
        </w:rPr>
        <w:t xml:space="preserve">, the Company shall cause the provisions of said </w:t>
      </w:r>
      <w:r>
        <w:rPr>
          <w:rFonts w:ascii="Arial" w:cs="Arial" w:eastAsia="Arial" w:hAnsi="Arial"/>
          <w:sz w:val="18"/>
          <w:szCs w:val="18"/>
          <w:u w:val="single" w:color="auto"/>
          <w:color w:val="auto"/>
        </w:rPr>
        <w:t>Section 5.09(c)</w:t>
      </w:r>
      <w:r>
        <w:rPr>
          <w:rFonts w:ascii="Arial" w:cs="Arial" w:eastAsia="Arial" w:hAnsi="Arial"/>
          <w:sz w:val="18"/>
          <w:szCs w:val="18"/>
          <w:color w:val="auto"/>
        </w:rPr>
        <w:t xml:space="preserve"> to be satisfied in respect of such new Subsidiary.</w:t>
      </w:r>
    </w:p>
    <w:p>
      <w:pPr>
        <w:spacing w:after="0" w:line="18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consummation of each Acquisition shall be deemed to be a representation and warranty by the Borrowers that all conditions thereto have been satisfied and that same is permitted in accordance with the terms of this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75</w:t>
      </w:r>
    </w:p>
    <w:p>
      <w:pPr>
        <w:sectPr>
          <w:pgSz w:w="11900" w:h="16838" w:orient="portrait"/>
          <w:cols w:equalWidth="0" w:num="1">
            <w:col w:w="11460"/>
          </w:cols>
          <w:pgMar w:left="220" w:top="508" w:right="21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t>Agreement, which representation and warranty shall be deemed to be a representation and warranty for all purposes hereunder.</w:t>
      </w:r>
    </w:p>
    <w:p>
      <w:pPr>
        <w:spacing w:after="0" w:line="179" w:lineRule="exact"/>
        <w:rPr>
          <w:sz w:val="20"/>
          <w:szCs w:val="20"/>
          <w:color w:val="auto"/>
        </w:rPr>
      </w:pPr>
    </w:p>
    <w:p>
      <w:pPr>
        <w:jc w:val="both"/>
        <w:ind w:firstLine="529"/>
        <w:spacing w:after="0" w:line="314" w:lineRule="auto"/>
        <w:rPr>
          <w:sz w:val="20"/>
          <w:szCs w:val="20"/>
          <w:color w:val="auto"/>
        </w:rPr>
      </w:pPr>
      <w:r>
        <w:rPr>
          <w:rFonts w:ascii="Arial" w:cs="Arial" w:eastAsia="Arial" w:hAnsi="Arial"/>
          <w:sz w:val="15"/>
          <w:szCs w:val="15"/>
          <w:color w:val="auto"/>
        </w:rPr>
        <w:t xml:space="preserve">SECTION 6.05 </w:t>
      </w:r>
      <w:r>
        <w:rPr>
          <w:rFonts w:ascii="Arial" w:cs="Arial" w:eastAsia="Arial" w:hAnsi="Arial"/>
          <w:sz w:val="15"/>
          <w:szCs w:val="15"/>
          <w:u w:val="single" w:color="auto"/>
          <w:color w:val="auto"/>
        </w:rPr>
        <w:t>Swap Agreements</w:t>
      </w:r>
      <w:r>
        <w:rPr>
          <w:rFonts w:ascii="Arial" w:cs="Arial" w:eastAsia="Arial" w:hAnsi="Arial"/>
          <w:sz w:val="15"/>
          <w:szCs w:val="15"/>
          <w:color w:val="auto"/>
        </w:rPr>
        <w:t>. The Company will not, and will not permit any of its Subsidiaries to, enter into any Swap Agreement, except (a) Swap Agreements entered into to hedge or mitigate risks to which the Company or any Subsidiary has actual exposure (other than those in respect of Equity Interests of the Company or any of its Subsidiaries), and (b) Swap Agreements entered into in order to effectively cap, collar or exchange interest rates (from fixed to floating rates, from one floating rate to another floating rate or otherwise) with respect to any interest-bearing liability or investment of the Company or any Subsidiary.</w:t>
      </w:r>
    </w:p>
    <w:p>
      <w:pPr>
        <w:spacing w:after="0" w:line="144" w:lineRule="exact"/>
        <w:rPr>
          <w:sz w:val="20"/>
          <w:szCs w:val="20"/>
          <w:color w:val="auto"/>
        </w:rPr>
      </w:pPr>
    </w:p>
    <w:p>
      <w:pPr>
        <w:jc w:val="both"/>
        <w:ind w:firstLine="529"/>
        <w:spacing w:after="0" w:line="299" w:lineRule="auto"/>
        <w:rPr>
          <w:sz w:val="20"/>
          <w:szCs w:val="20"/>
          <w:color w:val="auto"/>
        </w:rPr>
      </w:pPr>
      <w:r>
        <w:rPr>
          <w:rFonts w:ascii="Arial" w:cs="Arial" w:eastAsia="Arial" w:hAnsi="Arial"/>
          <w:sz w:val="15"/>
          <w:szCs w:val="15"/>
          <w:color w:val="auto"/>
        </w:rPr>
        <w:t xml:space="preserve">SECTION 6.06 </w:t>
      </w:r>
      <w:r>
        <w:rPr>
          <w:rFonts w:ascii="Arial" w:cs="Arial" w:eastAsia="Arial" w:hAnsi="Arial"/>
          <w:sz w:val="15"/>
          <w:szCs w:val="15"/>
          <w:u w:val="single" w:color="auto"/>
          <w:color w:val="auto"/>
        </w:rPr>
        <w:t>Restricted Payments</w:t>
      </w:r>
      <w:r>
        <w:rPr>
          <w:rFonts w:ascii="Arial" w:cs="Arial" w:eastAsia="Arial" w:hAnsi="Arial"/>
          <w:sz w:val="15"/>
          <w:szCs w:val="15"/>
          <w:color w:val="auto"/>
        </w:rPr>
        <w:t xml:space="preserve">. The Company will not, and will not permit any of its Subsidiaries to, declare or make, or agree to pay or make, directly or indirectly, any Restricted Payment, except (a) the Company may declare and pay dividends with respect to its Equity Interests payable solely in additional shares of its common stock, (b) Subsidiaries may declare and pay dividends ratably with respect to their Equity Interests, (c) the Company may make Restricted Payments pursuant to and in accordance with stock incentive plans, employee stock purchase plans or other benefit plans for management or employees of the Company and its Subsidiaries, (d) the Company may declare and pay cash dividends on its capital stock or make other distributions during any fiscal year up to an amount which, when added to all other dividends and distributions paid pursuant to this clause </w:t>
      </w:r>
      <w:r>
        <w:rPr>
          <w:rFonts w:ascii="Arial" w:cs="Arial" w:eastAsia="Arial" w:hAnsi="Arial"/>
          <w:sz w:val="15"/>
          <w:szCs w:val="15"/>
          <w:u w:val="single" w:color="auto"/>
          <w:color w:val="auto"/>
        </w:rPr>
        <w:t>(d)</w:t>
      </w:r>
      <w:r>
        <w:rPr>
          <w:rFonts w:ascii="Arial" w:cs="Arial" w:eastAsia="Arial" w:hAnsi="Arial"/>
          <w:sz w:val="15"/>
          <w:szCs w:val="15"/>
          <w:color w:val="auto"/>
        </w:rPr>
        <w:t xml:space="preserve"> during such fiscal year, does not exceed fifty percent (50%) of cumulative net income of the Company for such fiscal year to date, and (e) the Company may make Restricted Payments for the purpose of repurchasing Equity Interests of the Company under the existing share buyback plan, as it may be amended from time to time, or under any other share buyback plan approved from time to time by the Company’s board of directors, in an aggregate amount not to exceed $30,000,000 in any calendar year;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in all cases </w:t>
      </w:r>
      <w:r>
        <w:rPr>
          <w:rFonts w:ascii="Arial" w:cs="Arial" w:eastAsia="Arial" w:hAnsi="Arial"/>
          <w:sz w:val="15"/>
          <w:szCs w:val="15"/>
          <w:u w:val="single" w:color="auto"/>
          <w:color w:val="auto"/>
        </w:rPr>
        <w:t>(a)</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(e)</w:t>
      </w:r>
      <w:r>
        <w:rPr>
          <w:rFonts w:ascii="Arial" w:cs="Arial" w:eastAsia="Arial" w:hAnsi="Arial"/>
          <w:sz w:val="15"/>
          <w:szCs w:val="15"/>
          <w:color w:val="auto"/>
        </w:rPr>
        <w:t>, inclusive, above that no Default or Event of Default shall exist before or after giving effect to such Restricted Payment.</w:t>
      </w:r>
    </w:p>
    <w:p>
      <w:pPr>
        <w:spacing w:after="0" w:line="155" w:lineRule="exact"/>
        <w:rPr>
          <w:sz w:val="20"/>
          <w:szCs w:val="20"/>
          <w:color w:val="auto"/>
        </w:rPr>
      </w:pPr>
    </w:p>
    <w:p>
      <w:pPr>
        <w:jc w:val="both"/>
        <w:ind w:firstLine="529"/>
        <w:spacing w:after="0" w:line="263" w:lineRule="auto"/>
        <w:rPr>
          <w:sz w:val="20"/>
          <w:szCs w:val="20"/>
          <w:color w:val="auto"/>
        </w:rPr>
      </w:pPr>
      <w:r>
        <w:rPr>
          <w:rFonts w:ascii="Arial" w:cs="Arial" w:eastAsia="Arial" w:hAnsi="Arial"/>
          <w:sz w:val="17"/>
          <w:szCs w:val="17"/>
          <w:color w:val="auto"/>
        </w:rPr>
        <w:t xml:space="preserve">SECTION 6.07 </w:t>
      </w:r>
      <w:r>
        <w:rPr>
          <w:rFonts w:ascii="Arial" w:cs="Arial" w:eastAsia="Arial" w:hAnsi="Arial"/>
          <w:sz w:val="17"/>
          <w:szCs w:val="17"/>
          <w:u w:val="single" w:color="auto"/>
          <w:color w:val="auto"/>
        </w:rPr>
        <w:t>Transactions with Affiliates</w:t>
      </w:r>
      <w:r>
        <w:rPr>
          <w:rFonts w:ascii="Arial" w:cs="Arial" w:eastAsia="Arial" w:hAnsi="Arial"/>
          <w:sz w:val="17"/>
          <w:szCs w:val="17"/>
          <w:color w:val="auto"/>
        </w:rPr>
        <w:t xml:space="preserve">. The Company will not, and will not permit any of its Subsidiaries to, sell, lease or otherwise transfer any property or assets to, or purchase, lease or otherwise acquire any property or assets from, or otherwise engage in any other transactions with, any of its Affiliates, except (a) in the ordinary course of business at prices and on terms and conditions either not less favorable to the Company or such Subsidiary than could be obtained on an arm’s-length basis from unrelated third parties or upon fair and reasonable terms consistent with past practices by the Company or such Subsidiary (provided that transfers that occur solely for tax-related purposes from the Company to Subsidiary or from Subsidiary to Subsidiary shall be permitted), and (b) any Restricted Payment permitted by </w:t>
      </w:r>
      <w:r>
        <w:rPr>
          <w:rFonts w:ascii="Arial" w:cs="Arial" w:eastAsia="Arial" w:hAnsi="Arial"/>
          <w:sz w:val="17"/>
          <w:szCs w:val="17"/>
          <w:u w:val="single" w:color="auto"/>
          <w:color w:val="auto"/>
        </w:rPr>
        <w:t>Section 6.06</w:t>
      </w:r>
      <w:r>
        <w:rPr>
          <w:rFonts w:ascii="Arial" w:cs="Arial" w:eastAsia="Arial" w:hAnsi="Arial"/>
          <w:sz w:val="17"/>
          <w:szCs w:val="17"/>
          <w:color w:val="auto"/>
        </w:rPr>
        <w:t>.</w:t>
      </w:r>
    </w:p>
    <w:p>
      <w:pPr>
        <w:spacing w:after="0" w:line="181" w:lineRule="exact"/>
        <w:rPr>
          <w:sz w:val="20"/>
          <w:szCs w:val="20"/>
          <w:color w:val="auto"/>
        </w:rPr>
      </w:pPr>
    </w:p>
    <w:p>
      <w:pPr>
        <w:jc w:val="both"/>
        <w:ind w:firstLine="529"/>
        <w:spacing w:after="0" w:line="299" w:lineRule="auto"/>
        <w:rPr>
          <w:sz w:val="20"/>
          <w:szCs w:val="20"/>
          <w:color w:val="auto"/>
        </w:rPr>
      </w:pPr>
      <w:r>
        <w:rPr>
          <w:rFonts w:ascii="Arial" w:cs="Arial" w:eastAsia="Arial" w:hAnsi="Arial"/>
          <w:sz w:val="15"/>
          <w:szCs w:val="15"/>
          <w:color w:val="auto"/>
        </w:rPr>
        <w:t xml:space="preserve">SECTION 6.08 </w:t>
      </w:r>
      <w:r>
        <w:rPr>
          <w:rFonts w:ascii="Arial" w:cs="Arial" w:eastAsia="Arial" w:hAnsi="Arial"/>
          <w:sz w:val="15"/>
          <w:szCs w:val="15"/>
          <w:u w:val="single" w:color="auto"/>
          <w:color w:val="auto"/>
        </w:rPr>
        <w:t>Restrictive Agreements</w:t>
      </w:r>
      <w:r>
        <w:rPr>
          <w:rFonts w:ascii="Arial" w:cs="Arial" w:eastAsia="Arial" w:hAnsi="Arial"/>
          <w:sz w:val="15"/>
          <w:szCs w:val="15"/>
          <w:color w:val="auto"/>
        </w:rPr>
        <w:t xml:space="preserve">. The Company will not, and will not permit any of its Subsidiaries to, directly or indirectly, enter into, incur or permit to exist any agreement or other arrangement that prohibits, restricts or imposes any condition upon (a) the ability of the Company or any Subsidiary to create, incur or permit to exist any Lien upon any of its property or assets, or (b) the ability of any Subsidiary to pay dividends or other Distributions with respect to any shares of its capital stock or to make or repay loans or advances to the Company or any other Subsidiary or to Guarantee Indebtedness of the Company or any other Subsidiary; provided that (i) the foregoing shall not apply to restrictions and conditions imposed by law or by this Agreement, (ii) the foregoing shall not apply to restrictions and conditions existing on the Effective Date identified on </w:t>
      </w:r>
      <w:r>
        <w:rPr>
          <w:rFonts w:ascii="Arial" w:cs="Arial" w:eastAsia="Arial" w:hAnsi="Arial"/>
          <w:sz w:val="15"/>
          <w:szCs w:val="15"/>
          <w:u w:val="single" w:color="auto"/>
          <w:color w:val="auto"/>
        </w:rPr>
        <w:t>Schedule 6.08</w:t>
      </w:r>
      <w:r>
        <w:rPr>
          <w:rFonts w:ascii="Arial" w:cs="Arial" w:eastAsia="Arial" w:hAnsi="Arial"/>
          <w:sz w:val="15"/>
          <w:szCs w:val="15"/>
          <w:color w:val="auto"/>
        </w:rPr>
        <w:t xml:space="preserve"> (but shall apply to any extension or renewal of, or any amendment or modification expanding the scope of, any such restriction or condition), (iii) the foregoing shall not apply to customary restrictions and conditions contained in agreements relating to the sale of a Subsidiary pending such sale, provided such restrictions and conditions apply only to the Subsidiary that is to be sold and such sale is permitted hereunder, (iv) clause </w:t>
      </w:r>
      <w:r>
        <w:rPr>
          <w:rFonts w:ascii="Arial" w:cs="Arial" w:eastAsia="Arial" w:hAnsi="Arial"/>
          <w:sz w:val="15"/>
          <w:szCs w:val="15"/>
          <w:u w:val="single" w:color="auto"/>
          <w:color w:val="auto"/>
        </w:rPr>
        <w:t>(a)</w:t>
      </w:r>
      <w:r>
        <w:rPr>
          <w:rFonts w:ascii="Arial" w:cs="Arial" w:eastAsia="Arial" w:hAnsi="Arial"/>
          <w:sz w:val="15"/>
          <w:szCs w:val="15"/>
          <w:color w:val="auto"/>
        </w:rPr>
        <w:t xml:space="preserve"> of the foregoing shall not apply to restrictions or conditions imposed by any agreement relating to secured Indebtedness permitted by this Agreement if such restrictions or</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76</w:t>
      </w:r>
    </w:p>
    <w:p>
      <w:pPr>
        <w:sectPr>
          <w:pgSz w:w="11900" w:h="16838" w:orient="portrait"/>
          <w:cols w:equalWidth="0" w:num="1">
            <w:col w:w="11460"/>
          </w:cols>
          <w:pgMar w:left="220" w:top="509" w:right="219" w:bottom="1440" w:gutter="0" w:footer="0" w:header="0"/>
        </w:sectPr>
      </w:pPr>
    </w:p>
    <w:bookmarkStart w:id="137" w:name="page138"/>
    <w:bookmarkEnd w:id="137"/>
    <w:p>
      <w:pPr>
        <w:spacing w:after="0" w:line="261" w:lineRule="auto"/>
        <w:rPr>
          <w:sz w:val="20"/>
          <w:szCs w:val="20"/>
          <w:color w:val="auto"/>
        </w:rPr>
      </w:pPr>
      <w:r>
        <w:rPr>
          <w:rFonts w:ascii="Arial" w:cs="Arial" w:eastAsia="Arial" w:hAnsi="Arial"/>
          <w:sz w:val="18"/>
          <w:szCs w:val="18"/>
          <w:color w:val="auto"/>
        </w:rPr>
        <w:t xml:space="preserve">conditions apply only to the property or assets securing such Indebtedness and (v) clause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of the foregoing shall not apply to customary provisions in leases and other contracts entered into in the ordinary course of business restricting the assignment thereof.</w:t>
      </w:r>
    </w:p>
    <w:p>
      <w:pPr>
        <w:spacing w:after="0" w:line="178" w:lineRule="exact"/>
        <w:rPr>
          <w:sz w:val="20"/>
          <w:szCs w:val="20"/>
          <w:color w:val="auto"/>
        </w:rPr>
      </w:pPr>
    </w:p>
    <w:p>
      <w:pPr>
        <w:ind w:firstLine="529"/>
        <w:spacing w:after="0" w:line="261"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Amendments to Agreements</w:t>
      </w:r>
      <w:r>
        <w:rPr>
          <w:rFonts w:ascii="Arial" w:cs="Arial" w:eastAsia="Arial" w:hAnsi="Arial"/>
          <w:sz w:val="18"/>
          <w:szCs w:val="18"/>
          <w:color w:val="auto"/>
        </w:rPr>
        <w:t>. The Company will not, and will not permit any Subsidiary to, amend or terminate any agreement or contract if such amendment or termination could reasonably be expected to cause a Material Adverse Effect.</w:t>
      </w:r>
    </w:p>
    <w:p>
      <w:pPr>
        <w:spacing w:after="0" w:line="178" w:lineRule="exact"/>
        <w:rPr>
          <w:sz w:val="20"/>
          <w:szCs w:val="20"/>
          <w:color w:val="auto"/>
        </w:rPr>
      </w:pPr>
    </w:p>
    <w:p>
      <w:pPr>
        <w:ind w:firstLine="529"/>
        <w:spacing w:after="0" w:line="261"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Sale of Accounts</w:t>
      </w:r>
      <w:r>
        <w:rPr>
          <w:rFonts w:ascii="Arial" w:cs="Arial" w:eastAsia="Arial" w:hAnsi="Arial"/>
          <w:sz w:val="18"/>
          <w:szCs w:val="18"/>
          <w:color w:val="auto"/>
        </w:rPr>
        <w:t>. The Company will not, and will not permit any Subsidiary to, sell or otherwise dispose of any notes receivable or accounts receivable, with or without recourse, except as follows:</w:t>
      </w:r>
    </w:p>
    <w:p>
      <w:pPr>
        <w:spacing w:after="0" w:line="178" w:lineRule="exact"/>
        <w:rPr>
          <w:sz w:val="20"/>
          <w:szCs w:val="20"/>
          <w:color w:val="auto"/>
        </w:rPr>
      </w:pPr>
    </w:p>
    <w:p>
      <w:pPr>
        <w:jc w:val="both"/>
        <w:ind w:firstLine="537"/>
        <w:spacing w:after="0" w:line="305" w:lineRule="auto"/>
        <w:tabs>
          <w:tab w:leader="none" w:pos="1254"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the Company and any Subsidiary may sell an account receivable if each of the following conditions are satisfied with respect to that account receivable: (i) the purchaser of the account receivable is a Lender or a Lender’s Affiliate, (ii) the account receivable is sold pursuant to a “put” option or other similar arrangement providing the Company or its Subsidiary (as applicable) the exclusive ability to sell or not sell the account receivable, at its option, (iii) the purchase price for the account receivable is not less than 100% of its face value (such face value calculated without discount or offset), and (iv) the sale is made pursuant to documentation acceptable in form and content in all respects to the Administrative Agent in its sole discretion, including, if required by the Administrative Agent, an intercreditor or other similar agreement between the Administrative Agent and the applicable purchaser; and</w:t>
      </w:r>
    </w:p>
    <w:p>
      <w:pPr>
        <w:spacing w:after="0" w:line="150" w:lineRule="exact"/>
        <w:rPr>
          <w:rFonts w:ascii="Arial" w:cs="Arial" w:eastAsia="Arial" w:hAnsi="Arial"/>
          <w:sz w:val="15"/>
          <w:szCs w:val="15"/>
          <w:color w:val="auto"/>
        </w:rPr>
      </w:pPr>
    </w:p>
    <w:p>
      <w:pPr>
        <w:jc w:val="both"/>
        <w:ind w:firstLine="537"/>
        <w:spacing w:after="0" w:line="265" w:lineRule="auto"/>
        <w:tabs>
          <w:tab w:leader="none" w:pos="1264"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Company and any Subsidiary may sell or otherwise dispose of, to any Person, up to $25,000,000 of accounts receivable during any 12-month period pursuant to any agreement or arrangement not described in Section 6.10(a) above, if the purchase price for the account receivable is not less than 96% of its face value (such face value calculated without discount or offset) and the sale or disposition, and all documentation needed to evidence such sale or disposition is otherwise acceptable in all respects to the Administrative Agent in its sole discretion, including, if required by the Administrative Agent, an intercreditor or other similar agreement between the Administrative Agent and the applicable purchaser.</w:t>
      </w:r>
    </w:p>
    <w:p>
      <w:pPr>
        <w:spacing w:after="0" w:line="177" w:lineRule="exact"/>
        <w:rPr>
          <w:sz w:val="20"/>
          <w:szCs w:val="20"/>
          <w:color w:val="auto"/>
        </w:rPr>
      </w:pPr>
    </w:p>
    <w:p>
      <w:pPr>
        <w:jc w:val="both"/>
        <w:ind w:firstLine="529"/>
        <w:spacing w:after="0" w:line="265" w:lineRule="auto"/>
        <w:rPr>
          <w:sz w:val="20"/>
          <w:szCs w:val="20"/>
          <w:color w:val="auto"/>
        </w:rPr>
      </w:pPr>
      <w:r>
        <w:rPr>
          <w:rFonts w:ascii="Arial" w:cs="Arial" w:eastAsia="Arial" w:hAnsi="Arial"/>
          <w:sz w:val="17"/>
          <w:szCs w:val="17"/>
          <w:color w:val="auto"/>
        </w:rPr>
        <w:t xml:space="preserve">SECTION 6.11 </w:t>
      </w:r>
      <w:r>
        <w:rPr>
          <w:rFonts w:ascii="Arial" w:cs="Arial" w:eastAsia="Arial" w:hAnsi="Arial"/>
          <w:sz w:val="17"/>
          <w:szCs w:val="17"/>
          <w:u w:val="single" w:color="auto"/>
          <w:color w:val="auto"/>
        </w:rPr>
        <w:t>Sale and Leaseback Transactions</w:t>
      </w:r>
      <w:r>
        <w:rPr>
          <w:rFonts w:ascii="Arial" w:cs="Arial" w:eastAsia="Arial" w:hAnsi="Arial"/>
          <w:sz w:val="17"/>
          <w:szCs w:val="17"/>
          <w:color w:val="auto"/>
        </w:rPr>
        <w:t xml:space="preserve">. Except for the sale and leaseback of assets sold as permitted by </w:t>
      </w:r>
      <w:r>
        <w:rPr>
          <w:rFonts w:ascii="Arial" w:cs="Arial" w:eastAsia="Arial" w:hAnsi="Arial"/>
          <w:sz w:val="17"/>
          <w:szCs w:val="17"/>
          <w:u w:val="single" w:color="auto"/>
          <w:color w:val="auto"/>
        </w:rPr>
        <w:t>Section 6.03(b)</w:t>
      </w:r>
      <w:r>
        <w:rPr>
          <w:rFonts w:ascii="Arial" w:cs="Arial" w:eastAsia="Arial" w:hAnsi="Arial"/>
          <w:sz w:val="17"/>
          <w:szCs w:val="17"/>
          <w:color w:val="auto"/>
        </w:rPr>
        <w:t>(iii), the Company will not, and will not permit any Subsidiary to, become or remain liable as lessee or as a guarantor or other surety with respect to any lease of any property (whether real, personal or mixed), whether now owned or hereafter acquired, that (a) the Company or any Subsidiary has sold or transferred or is to sell or transfer to any other Person or (b) the Company or any Subsidiary intends to use for substantially the same purpose as any other property that has been or is to be sold or transferred by the Company or any Subsidiary to any Person in connection with such lease.</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 xml:space="preserve">SECTION 6.12 </w:t>
      </w:r>
      <w:r>
        <w:rPr>
          <w:rFonts w:ascii="Arial" w:cs="Arial" w:eastAsia="Arial" w:hAnsi="Arial"/>
          <w:sz w:val="15"/>
          <w:szCs w:val="15"/>
          <w:u w:val="single" w:color="auto"/>
          <w:color w:val="auto"/>
        </w:rPr>
        <w:t>Leverage Ratio</w:t>
      </w:r>
      <w:r>
        <w:rPr>
          <w:rFonts w:ascii="Arial" w:cs="Arial" w:eastAsia="Arial" w:hAnsi="Arial"/>
          <w:sz w:val="15"/>
          <w:szCs w:val="15"/>
          <w:color w:val="auto"/>
        </w:rPr>
        <w:t>. The Company will not permit the Leverage Ratio, determined as of the end of each of its fiscal quarters, to exceed 3.00 to</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1.00.</w:t>
      </w:r>
    </w:p>
    <w:p>
      <w:pPr>
        <w:spacing w:after="0" w:line="198"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Fixed Charge Coverage Ratio</w:t>
      </w:r>
      <w:r>
        <w:rPr>
          <w:rFonts w:ascii="Arial" w:cs="Arial" w:eastAsia="Arial" w:hAnsi="Arial"/>
          <w:sz w:val="18"/>
          <w:szCs w:val="18"/>
          <w:color w:val="auto"/>
        </w:rPr>
        <w:t>. The Company will not permit the Fixed Charge Coverage Ratio, determined as of the end of each of its fiscal quarters, to be less than 1.25 to 1.00.</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Employee Pension Benefit Plan; Canadian Pension Plans</w:t>
      </w:r>
      <w:r>
        <w:rPr>
          <w:rFonts w:ascii="Arial" w:cs="Arial" w:eastAsia="Arial" w:hAnsi="Arial"/>
          <w:sz w:val="18"/>
          <w:szCs w:val="18"/>
          <w:color w:val="auto"/>
        </w:rPr>
        <w:t>.</w:t>
      </w:r>
    </w:p>
    <w:p>
      <w:pPr>
        <w:spacing w:after="0" w:line="212" w:lineRule="exact"/>
        <w:rPr>
          <w:sz w:val="20"/>
          <w:szCs w:val="20"/>
          <w:color w:val="auto"/>
        </w:rPr>
      </w:pPr>
    </w:p>
    <w:p>
      <w:pPr>
        <w:jc w:val="both"/>
        <w:ind w:firstLine="537"/>
        <w:spacing w:after="0" w:line="252" w:lineRule="auto"/>
        <w:tabs>
          <w:tab w:leader="none" w:pos="125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Company shall not (and shall not allow any Subsidiary to) adopt any employee pension benefit plan (other than a Multiemployer Plan) subject to the provisions of Title IV of ERISA or Section 412 of the Code or Section 302 of ERISA, and in respect of which the Company or any ERISA Affiliate is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77</w:t>
      </w:r>
    </w:p>
    <w:p>
      <w:pPr>
        <w:sectPr>
          <w:pgSz w:w="11900" w:h="16838" w:orient="portrait"/>
          <w:cols w:equalWidth="0" w:num="1">
            <w:col w:w="11460"/>
          </w:cols>
          <w:pgMar w:left="220" w:top="508" w:right="219" w:bottom="1440" w:gutter="0" w:footer="0" w:header="0"/>
        </w:sectPr>
      </w:pPr>
    </w:p>
    <w:bookmarkStart w:id="138" w:name="page139"/>
    <w:bookmarkEnd w:id="138"/>
    <w:p>
      <w:pPr>
        <w:spacing w:after="0" w:line="261" w:lineRule="auto"/>
        <w:rPr>
          <w:sz w:val="20"/>
          <w:szCs w:val="20"/>
          <w:color w:val="auto"/>
        </w:rPr>
      </w:pPr>
      <w:r>
        <w:rPr>
          <w:rFonts w:ascii="Arial" w:cs="Arial" w:eastAsia="Arial" w:hAnsi="Arial"/>
          <w:sz w:val="18"/>
          <w:szCs w:val="18"/>
          <w:color w:val="auto"/>
        </w:rPr>
        <w:t>if such plan were terminated, would under Section 4069 of ERISA be deemed to be) an “employer” which has established or maintained such plan, or is otherwise the employer in relation to it as described and defined in Section 3(5) of ERISA.</w:t>
      </w:r>
    </w:p>
    <w:p>
      <w:pPr>
        <w:spacing w:after="0" w:line="178" w:lineRule="exact"/>
        <w:rPr>
          <w:sz w:val="20"/>
          <w:szCs w:val="20"/>
          <w:color w:val="auto"/>
        </w:rPr>
      </w:pPr>
    </w:p>
    <w:p>
      <w:pPr>
        <w:ind w:left="1280" w:hanging="743"/>
        <w:spacing w:after="0"/>
        <w:tabs>
          <w:tab w:leader="none" w:pos="12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Company shall not (and shall not allow any Subsidiary to) establish or maintain a Canadian Pension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Events of Default</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If any of the following events (“</w:t>
      </w:r>
      <w:r>
        <w:rPr>
          <w:rFonts w:ascii="Arial" w:cs="Arial" w:eastAsia="Arial" w:hAnsi="Arial"/>
          <w:sz w:val="18"/>
          <w:szCs w:val="18"/>
          <w:u w:val="single" w:color="auto"/>
          <w:color w:val="auto"/>
        </w:rPr>
        <w:t>Events of Default</w:t>
      </w:r>
      <w:r>
        <w:rPr>
          <w:rFonts w:ascii="Arial" w:cs="Arial" w:eastAsia="Arial" w:hAnsi="Arial"/>
          <w:sz w:val="18"/>
          <w:szCs w:val="18"/>
          <w:color w:val="auto"/>
        </w:rPr>
        <w:t>”) shall occur:</w:t>
      </w:r>
    </w:p>
    <w:p>
      <w:pPr>
        <w:spacing w:after="0" w:line="212" w:lineRule="exact"/>
        <w:rPr>
          <w:sz w:val="20"/>
          <w:szCs w:val="20"/>
          <w:color w:val="auto"/>
        </w:rPr>
      </w:pPr>
    </w:p>
    <w:p>
      <w:pPr>
        <w:ind w:firstLine="537"/>
        <w:spacing w:after="0" w:line="261" w:lineRule="auto"/>
        <w:tabs>
          <w:tab w:leader="none" w:pos="1254"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Borrowers shall fail to pay any principal of any Loan when and as the same shall become due and payable, whether at the due date thereof or at a date fixed for prepayment thereof or otherwise;</w:t>
      </w:r>
    </w:p>
    <w:p>
      <w:pPr>
        <w:spacing w:after="0" w:line="178" w:lineRule="exact"/>
        <w:rPr>
          <w:rFonts w:ascii="Arial" w:cs="Arial" w:eastAsia="Arial" w:hAnsi="Arial"/>
          <w:sz w:val="18"/>
          <w:szCs w:val="18"/>
          <w:color w:val="auto"/>
        </w:rPr>
      </w:pPr>
    </w:p>
    <w:p>
      <w:pPr>
        <w:jc w:val="both"/>
        <w:ind w:firstLine="537"/>
        <w:spacing w:after="0" w:line="252" w:lineRule="auto"/>
        <w:tabs>
          <w:tab w:leader="none" w:pos="1264" w:val="left"/>
        </w:tabs>
        <w:numPr>
          <w:ilvl w:val="1"/>
          <w:numId w:val="116"/>
        </w:numPr>
        <w:rPr>
          <w:rFonts w:ascii="Arial" w:cs="Arial" w:eastAsia="Arial" w:hAnsi="Arial"/>
          <w:sz w:val="18"/>
          <w:szCs w:val="18"/>
          <w:color w:val="auto"/>
        </w:rPr>
      </w:pPr>
      <w:r>
        <w:rPr>
          <w:rFonts w:ascii="Arial" w:cs="Arial" w:eastAsia="Arial" w:hAnsi="Arial"/>
          <w:sz w:val="18"/>
          <w:szCs w:val="18"/>
          <w:color w:val="auto"/>
        </w:rPr>
        <w:t xml:space="preserve">the Borrowers shall fail to pay any interest on any Loan, any reimbursement obligation in respect of any LC Disbursement or any fee or any other amount (other than an amount referred to in clause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of this Article) payable under this Agreement, when and as the same shall become due and payable, and such failure shall continue unremedied for a period of three (3) Business Days;</w:t>
      </w:r>
    </w:p>
    <w:p>
      <w:pPr>
        <w:spacing w:after="0" w:line="185" w:lineRule="exact"/>
        <w:rPr>
          <w:rFonts w:ascii="Arial" w:cs="Arial" w:eastAsia="Arial" w:hAnsi="Arial"/>
          <w:sz w:val="18"/>
          <w:szCs w:val="18"/>
          <w:color w:val="auto"/>
        </w:rPr>
      </w:pPr>
    </w:p>
    <w:p>
      <w:pPr>
        <w:jc w:val="both"/>
        <w:ind w:firstLine="537"/>
        <w:spacing w:after="0" w:line="249" w:lineRule="auto"/>
        <w:tabs>
          <w:tab w:leader="none" w:pos="1254"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or on behalf of the Company or any Subsidiary in or in connection with this Agreement or any amendment or modification hereof or waiver hereunder, or in any report, certificate, financial statement or other document furnished pursuant to or in connection with this Agreement or any amendment or modification hereof or waiver hereunder, shall prove to have been incorrect in any material respect when made or deemed made;</w:t>
      </w:r>
    </w:p>
    <w:p>
      <w:pPr>
        <w:spacing w:after="0" w:line="188" w:lineRule="exact"/>
        <w:rPr>
          <w:rFonts w:ascii="Arial" w:cs="Arial" w:eastAsia="Arial" w:hAnsi="Arial"/>
          <w:sz w:val="18"/>
          <w:szCs w:val="18"/>
          <w:color w:val="auto"/>
        </w:rPr>
      </w:pPr>
    </w:p>
    <w:p>
      <w:pPr>
        <w:ind w:firstLine="537"/>
        <w:spacing w:after="0" w:line="261" w:lineRule="auto"/>
        <w:tabs>
          <w:tab w:leader="none" w:pos="1264" w:val="left"/>
        </w:tabs>
        <w:numPr>
          <w:ilvl w:val="1"/>
          <w:numId w:val="116"/>
        </w:numPr>
        <w:rPr>
          <w:rFonts w:ascii="Arial" w:cs="Arial" w:eastAsia="Arial" w:hAnsi="Arial"/>
          <w:sz w:val="18"/>
          <w:szCs w:val="18"/>
          <w:color w:val="auto"/>
        </w:rPr>
      </w:pPr>
      <w:r>
        <w:rPr>
          <w:rFonts w:ascii="Arial" w:cs="Arial" w:eastAsia="Arial" w:hAnsi="Arial"/>
          <w:sz w:val="18"/>
          <w:szCs w:val="18"/>
          <w:color w:val="auto"/>
        </w:rPr>
        <w:t xml:space="preserve">the Borrowers shall fail to observe or perform any covenant, condition or agreement contained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(with respect to any Borrower’s existence), or </w:t>
      </w:r>
      <w:r>
        <w:rPr>
          <w:rFonts w:ascii="Arial" w:cs="Arial" w:eastAsia="Arial" w:hAnsi="Arial"/>
          <w:sz w:val="18"/>
          <w:szCs w:val="18"/>
          <w:u w:val="single" w:color="auto"/>
          <w:color w:val="auto"/>
        </w:rPr>
        <w:t>Section 5.08</w:t>
      </w:r>
      <w:r>
        <w:rPr>
          <w:rFonts w:ascii="Arial" w:cs="Arial" w:eastAsia="Arial" w:hAnsi="Arial"/>
          <w:sz w:val="18"/>
          <w:szCs w:val="18"/>
          <w:color w:val="auto"/>
        </w:rPr>
        <w:t xml:space="preserve"> or in </w:t>
      </w:r>
      <w:r>
        <w:rPr>
          <w:rFonts w:ascii="Arial" w:cs="Arial" w:eastAsia="Arial" w:hAnsi="Arial"/>
          <w:sz w:val="18"/>
          <w:szCs w:val="18"/>
          <w:u w:val="single" w:color="auto"/>
          <w:color w:val="auto"/>
        </w:rPr>
        <w:t>Article VI</w:t>
      </w:r>
      <w:r>
        <w:rPr>
          <w:rFonts w:ascii="Arial" w:cs="Arial" w:eastAsia="Arial" w:hAnsi="Arial"/>
          <w:sz w:val="18"/>
          <w:szCs w:val="18"/>
          <w:color w:val="auto"/>
        </w:rPr>
        <w:t>;</w:t>
      </w:r>
    </w:p>
    <w:p>
      <w:pPr>
        <w:spacing w:after="0" w:line="178" w:lineRule="exact"/>
        <w:rPr>
          <w:rFonts w:ascii="Arial" w:cs="Arial" w:eastAsia="Arial" w:hAnsi="Arial"/>
          <w:sz w:val="18"/>
          <w:szCs w:val="18"/>
          <w:color w:val="auto"/>
        </w:rPr>
      </w:pPr>
    </w:p>
    <w:p>
      <w:pPr>
        <w:jc w:val="both"/>
        <w:ind w:firstLine="537"/>
        <w:spacing w:after="0" w:line="300" w:lineRule="auto"/>
        <w:tabs>
          <w:tab w:leader="none" w:pos="1254" w:val="left"/>
        </w:tabs>
        <w:numPr>
          <w:ilvl w:val="1"/>
          <w:numId w:val="116"/>
        </w:numPr>
        <w:rPr>
          <w:rFonts w:ascii="Arial" w:cs="Arial" w:eastAsia="Arial" w:hAnsi="Arial"/>
          <w:sz w:val="15"/>
          <w:szCs w:val="15"/>
          <w:color w:val="auto"/>
        </w:rPr>
      </w:pPr>
      <w:r>
        <w:rPr>
          <w:rFonts w:ascii="Arial" w:cs="Arial" w:eastAsia="Arial" w:hAnsi="Arial"/>
          <w:sz w:val="15"/>
          <w:szCs w:val="15"/>
          <w:color w:val="auto"/>
        </w:rPr>
        <w:t xml:space="preserve">the Borrowers shall fail to observe or perform any covenant, condition or agreement contained in this Agreement (other than those specified in clause </w:t>
      </w:r>
      <w:r>
        <w:rPr>
          <w:rFonts w:ascii="Arial" w:cs="Arial" w:eastAsia="Arial" w:hAnsi="Arial"/>
          <w:sz w:val="15"/>
          <w:szCs w:val="15"/>
          <w:u w:val="single" w:color="auto"/>
          <w:color w:val="auto"/>
        </w:rPr>
        <w:t>(a)</w:t>
      </w:r>
      <w:r>
        <w:rPr>
          <w:rFonts w:ascii="Arial" w:cs="Arial" w:eastAsia="Arial" w:hAnsi="Arial"/>
          <w:sz w:val="15"/>
          <w:szCs w:val="15"/>
          <w:color w:val="auto"/>
        </w:rPr>
        <w:t xml:space="preserve">, </w:t>
      </w:r>
      <w:r>
        <w:rPr>
          <w:rFonts w:ascii="Arial" w:cs="Arial" w:eastAsia="Arial" w:hAnsi="Arial"/>
          <w:sz w:val="15"/>
          <w:szCs w:val="15"/>
          <w:u w:val="single" w:color="auto"/>
          <w:color w:val="auto"/>
        </w:rPr>
        <w:t>(b)</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(d)</w:t>
      </w:r>
      <w:r>
        <w:rPr>
          <w:rFonts w:ascii="Arial" w:cs="Arial" w:eastAsia="Arial" w:hAnsi="Arial"/>
          <w:sz w:val="15"/>
          <w:szCs w:val="15"/>
          <w:color w:val="auto"/>
        </w:rPr>
        <w:t xml:space="preserve"> of this Article), and such failure shall continue unremedied for a period of (x) ten (10) days in the case of </w:t>
      </w:r>
      <w:r>
        <w:rPr>
          <w:rFonts w:ascii="Arial" w:cs="Arial" w:eastAsia="Arial" w:hAnsi="Arial"/>
          <w:sz w:val="15"/>
          <w:szCs w:val="15"/>
          <w:u w:val="single" w:color="auto"/>
          <w:color w:val="auto"/>
        </w:rPr>
        <w:t>Section 5.01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5.05(b)</w:t>
      </w:r>
      <w:r>
        <w:rPr>
          <w:rFonts w:ascii="Arial" w:cs="Arial" w:eastAsia="Arial" w:hAnsi="Arial"/>
          <w:sz w:val="15"/>
          <w:szCs w:val="15"/>
          <w:color w:val="auto"/>
        </w:rPr>
        <w:t xml:space="preserve"> and</w:t>
      </w:r>
    </w:p>
    <w:p>
      <w:pPr>
        <w:spacing w:after="0" w:line="1" w:lineRule="exact"/>
        <w:rPr>
          <w:rFonts w:ascii="Arial" w:cs="Arial" w:eastAsia="Arial" w:hAnsi="Arial"/>
          <w:sz w:val="15"/>
          <w:szCs w:val="15"/>
          <w:color w:val="auto"/>
        </w:rPr>
      </w:pPr>
    </w:p>
    <w:p>
      <w:pPr>
        <w:ind w:firstLine="8"/>
        <w:spacing w:after="0" w:line="245" w:lineRule="auto"/>
        <w:tabs>
          <w:tab w:leader="none" w:pos="25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thirty (30) days in all other cases, in the case of (x) and (y) after the earlier of (i) notice thereof from the Administrative Agent to the Borrowers (which notice will be given at the request of any Lender) and (ii) the date on which Company has actual knowledge of such failure;</w:t>
      </w:r>
    </w:p>
    <w:p>
      <w:pPr>
        <w:spacing w:after="0" w:line="191" w:lineRule="exact"/>
        <w:rPr>
          <w:rFonts w:ascii="Arial" w:cs="Arial" w:eastAsia="Arial" w:hAnsi="Arial"/>
          <w:sz w:val="18"/>
          <w:szCs w:val="18"/>
          <w:color w:val="auto"/>
        </w:rPr>
      </w:pPr>
    </w:p>
    <w:p>
      <w:pPr>
        <w:ind w:firstLine="537"/>
        <w:spacing w:after="0" w:line="261" w:lineRule="auto"/>
        <w:tabs>
          <w:tab w:leader="none" w:pos="1234"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Company or any Subsidiary shall fail to make any payment (whether of principal or interest and regardless of amount) in respect of any Material Indebtedness, when and as the same shall become due and payable;</w:t>
      </w:r>
    </w:p>
    <w:p>
      <w:pPr>
        <w:spacing w:after="0" w:line="178" w:lineRule="exact"/>
        <w:rPr>
          <w:rFonts w:ascii="Arial" w:cs="Arial" w:eastAsia="Arial" w:hAnsi="Arial"/>
          <w:sz w:val="18"/>
          <w:szCs w:val="18"/>
          <w:color w:val="auto"/>
        </w:rPr>
      </w:pPr>
    </w:p>
    <w:p>
      <w:pPr>
        <w:jc w:val="both"/>
        <w:ind w:firstLine="537"/>
        <w:spacing w:after="0" w:line="247" w:lineRule="auto"/>
        <w:tabs>
          <w:tab w:leader="none" w:pos="1264" w:val="left"/>
        </w:tabs>
        <w:numPr>
          <w:ilvl w:val="1"/>
          <w:numId w:val="117"/>
        </w:numPr>
        <w:rPr>
          <w:rFonts w:ascii="Arial" w:cs="Arial" w:eastAsia="Arial" w:hAnsi="Arial"/>
          <w:sz w:val="18"/>
          <w:szCs w:val="18"/>
          <w:color w:val="auto"/>
        </w:rPr>
      </w:pPr>
      <w:r>
        <w:rPr>
          <w:rFonts w:ascii="Arial" w:cs="Arial" w:eastAsia="Arial" w:hAnsi="Arial"/>
          <w:sz w:val="18"/>
          <w:szCs w:val="18"/>
          <w:color w:val="auto"/>
        </w:rPr>
        <w:t xml:space="preserve">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w:t>
      </w:r>
      <w:r>
        <w:rPr>
          <w:rFonts w:ascii="Arial" w:cs="Arial" w:eastAsia="Arial" w:hAnsi="Arial"/>
          <w:sz w:val="18"/>
          <w:szCs w:val="18"/>
          <w:u w:val="single" w:color="auto"/>
          <w:color w:val="auto"/>
        </w:rPr>
        <w:t>(g)</w:t>
      </w:r>
      <w:r>
        <w:rPr>
          <w:rFonts w:ascii="Arial" w:cs="Arial" w:eastAsia="Arial" w:hAnsi="Arial"/>
          <w:sz w:val="18"/>
          <w:szCs w:val="18"/>
          <w:color w:val="auto"/>
        </w:rPr>
        <w:t xml:space="preserve"> shall not apply to secured Indebtedness that becomes due as a result of the voluntary sale or transfer of the property or assets securing such Indebtedness;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78</w:t>
      </w:r>
    </w:p>
    <w:p>
      <w:pPr>
        <w:sectPr>
          <w:pgSz w:w="11900" w:h="16838" w:orient="portrait"/>
          <w:cols w:equalWidth="0" w:num="1">
            <w:col w:w="11460"/>
          </w:cols>
          <w:pgMar w:left="220" w:top="508" w:right="219" w:bottom="1440" w:gutter="0" w:footer="0" w:header="0"/>
        </w:sectPr>
      </w:pPr>
    </w:p>
    <w:bookmarkStart w:id="139" w:name="page140"/>
    <w:bookmarkEnd w:id="139"/>
    <w:p>
      <w:pPr>
        <w:jc w:val="both"/>
        <w:ind w:firstLine="537"/>
        <w:spacing w:after="0" w:line="246" w:lineRule="auto"/>
        <w:tabs>
          <w:tab w:leader="none" w:pos="1264"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 involuntary proceeding shall be commenced or an involuntary petition or application shall be filed seeking (i) liquidation, reorganization or other relief in respect of the Company or any Subsidiary or its debts, or of a substantial part of its assets, under any Federal, state or foreign bankruptcy, insolvency, receivership or similar law now or hereafter in effect or (ii) the appointment of a receiver, interim receiver, receiver and manager, trustee, custodian, sequestrator, conservator or similar official for the Company or any Subsidiary or for a substantial part of the assets of the Company and its Subsidiaries, and, in any such case, such proceeding, petition or application shall continue undismissed for sixty (60) days or an order or decree approving or ordering any of the foregoing shall be entered;</w:t>
      </w:r>
    </w:p>
    <w:p>
      <w:pPr>
        <w:spacing w:after="0" w:line="192" w:lineRule="exact"/>
        <w:rPr>
          <w:rFonts w:ascii="Arial" w:cs="Arial" w:eastAsia="Arial" w:hAnsi="Arial"/>
          <w:sz w:val="18"/>
          <w:szCs w:val="18"/>
          <w:color w:val="auto"/>
        </w:rPr>
      </w:pPr>
    </w:p>
    <w:p>
      <w:pPr>
        <w:jc w:val="both"/>
        <w:ind w:firstLine="537"/>
        <w:spacing w:after="0" w:line="294" w:lineRule="auto"/>
        <w:tabs>
          <w:tab w:leader="none" w:pos="1224" w:val="left"/>
        </w:tabs>
        <w:numPr>
          <w:ilvl w:val="1"/>
          <w:numId w:val="118"/>
        </w:numPr>
        <w:rPr>
          <w:rFonts w:ascii="Arial" w:cs="Arial" w:eastAsia="Arial" w:hAnsi="Arial"/>
          <w:sz w:val="15"/>
          <w:szCs w:val="15"/>
          <w:color w:val="auto"/>
        </w:rPr>
      </w:pPr>
      <w:r>
        <w:rPr>
          <w:rFonts w:ascii="Arial" w:cs="Arial" w:eastAsia="Arial" w:hAnsi="Arial"/>
          <w:sz w:val="15"/>
          <w:szCs w:val="15"/>
          <w:color w:val="auto"/>
        </w:rPr>
        <w:t xml:space="preserve">the Company or any Subsidiary shall (i) voluntarily commence any proceeding or file any petition or application seeking liquidation, reorganization, arrangement with its creditors or other relief under any Federal, state or foreign bankruptcy, insolvency, receivership or similar law now or hereafter in effect, (ii) consent to the institution of, or fail to contest in a timely and appropriate manner, any proceeding, petition or application described in clause </w:t>
      </w:r>
      <w:r>
        <w:rPr>
          <w:rFonts w:ascii="Arial" w:cs="Arial" w:eastAsia="Arial" w:hAnsi="Arial"/>
          <w:sz w:val="15"/>
          <w:szCs w:val="15"/>
          <w:u w:val="single" w:color="auto"/>
          <w:color w:val="auto"/>
        </w:rPr>
        <w:t>(h)</w:t>
      </w:r>
      <w:r>
        <w:rPr>
          <w:rFonts w:ascii="Arial" w:cs="Arial" w:eastAsia="Arial" w:hAnsi="Arial"/>
          <w:sz w:val="15"/>
          <w:szCs w:val="15"/>
          <w:color w:val="auto"/>
        </w:rPr>
        <w:t xml:space="preserve"> of this Article, (iii) apply for or consent to the appointment of a receiver, interim receiver, receiver and manager, trustee, custodian, sequestrator, conservator or similar official for the Company or any Subsidiary or for a substantial part of the property of the Company and its Subsidiaries, (iv) file an answer admitting the material allegations of a petition or application filed against it in any such proceeding, (v) make a general assignment for the benefit of creditors or</w:t>
      </w:r>
    </w:p>
    <w:p>
      <w:pPr>
        <w:spacing w:after="0" w:line="2" w:lineRule="exact"/>
        <w:rPr>
          <w:rFonts w:ascii="Arial" w:cs="Arial" w:eastAsia="Arial" w:hAnsi="Arial"/>
          <w:sz w:val="15"/>
          <w:szCs w:val="15"/>
          <w:color w:val="auto"/>
        </w:rPr>
      </w:pPr>
    </w:p>
    <w:p>
      <w:pPr>
        <w:ind w:left="300" w:hanging="292"/>
        <w:spacing w:after="0"/>
        <w:tabs>
          <w:tab w:leader="none" w:pos="3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take any action for the purpose of effecting any of the foregoing;</w:t>
      </w:r>
    </w:p>
    <w:p>
      <w:pPr>
        <w:spacing w:after="0" w:line="198" w:lineRule="exact"/>
        <w:rPr>
          <w:rFonts w:ascii="Arial" w:cs="Arial" w:eastAsia="Arial" w:hAnsi="Arial"/>
          <w:sz w:val="18"/>
          <w:szCs w:val="18"/>
          <w:color w:val="auto"/>
        </w:rPr>
      </w:pPr>
    </w:p>
    <w:p>
      <w:pPr>
        <w:ind w:left="1240" w:hanging="703"/>
        <w:spacing w:after="0"/>
        <w:tabs>
          <w:tab w:leader="none" w:pos="124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the Company or any Subsidiary shall become unable, admit in writing its inability or fail generally to pay its debts as they become due;</w:t>
      </w:r>
    </w:p>
    <w:p>
      <w:pPr>
        <w:spacing w:after="0" w:line="223" w:lineRule="exact"/>
        <w:rPr>
          <w:rFonts w:ascii="Arial" w:cs="Arial" w:eastAsia="Arial" w:hAnsi="Arial"/>
          <w:sz w:val="17"/>
          <w:szCs w:val="17"/>
          <w:color w:val="auto"/>
        </w:rPr>
      </w:pPr>
    </w:p>
    <w:p>
      <w:pPr>
        <w:jc w:val="both"/>
        <w:ind w:firstLine="537"/>
        <w:spacing w:after="0" w:line="265" w:lineRule="auto"/>
        <w:tabs>
          <w:tab w:leader="none" w:pos="1264" w:val="left"/>
        </w:tabs>
        <w:numPr>
          <w:ilvl w:val="1"/>
          <w:numId w:val="119"/>
        </w:numPr>
        <w:rPr>
          <w:rFonts w:ascii="Arial" w:cs="Arial" w:eastAsia="Arial" w:hAnsi="Arial"/>
          <w:sz w:val="17"/>
          <w:szCs w:val="17"/>
          <w:color w:val="auto"/>
        </w:rPr>
      </w:pPr>
      <w:r>
        <w:rPr>
          <w:rFonts w:ascii="Arial" w:cs="Arial" w:eastAsia="Arial" w:hAnsi="Arial"/>
          <w:sz w:val="17"/>
          <w:szCs w:val="17"/>
          <w:color w:val="auto"/>
        </w:rPr>
        <w:t>(i) one or more judgments or orders shall be rendered against the Company, any Subsidiary or any combination thereof that shall remain undischarged for a period of thirty (30) consecutive days during which execution shall not be effectively stayed, either (A) for the payment of money in an aggregate amount in excess of $10,000,000 (or the Equivalent Amount in currencies other than U.S. Dollars) in excess of insurance coverage or (B) for nonmonetary relief which could reasonably be expected to have a Material Adverse Effect, or (ii) any action shall be legally taken by a judgment creditor to attach or levy upon any assets of the Company or any Subsidiary to enforce any such judgment or order;</w:t>
      </w:r>
    </w:p>
    <w:p>
      <w:pPr>
        <w:spacing w:after="0" w:line="177" w:lineRule="exact"/>
        <w:rPr>
          <w:rFonts w:ascii="Arial" w:cs="Arial" w:eastAsia="Arial" w:hAnsi="Arial"/>
          <w:sz w:val="17"/>
          <w:szCs w:val="17"/>
          <w:color w:val="auto"/>
        </w:rPr>
      </w:pPr>
    </w:p>
    <w:p>
      <w:pPr>
        <w:ind w:firstLine="537"/>
        <w:spacing w:after="0" w:line="261" w:lineRule="auto"/>
        <w:tabs>
          <w:tab w:leader="none" w:pos="1224"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 ERISA Event shall have occurred that when taken together with all other ERISA Events that have occurred, could reasonably be expected to result in a Material Adverse Effect;</w:t>
      </w:r>
    </w:p>
    <w:p>
      <w:pPr>
        <w:spacing w:after="0" w:line="178" w:lineRule="exact"/>
        <w:rPr>
          <w:rFonts w:ascii="Arial" w:cs="Arial" w:eastAsia="Arial" w:hAnsi="Arial"/>
          <w:sz w:val="18"/>
          <w:szCs w:val="18"/>
          <w:color w:val="auto"/>
        </w:rPr>
      </w:pPr>
    </w:p>
    <w:p>
      <w:pPr>
        <w:jc w:val="both"/>
        <w:ind w:firstLine="537"/>
        <w:spacing w:after="0" w:line="274" w:lineRule="auto"/>
        <w:tabs>
          <w:tab w:leader="none" w:pos="1313" w:val="left"/>
        </w:tabs>
        <w:numPr>
          <w:ilvl w:val="1"/>
          <w:numId w:val="119"/>
        </w:numPr>
        <w:rPr>
          <w:rFonts w:ascii="Arial" w:cs="Arial" w:eastAsia="Arial" w:hAnsi="Arial"/>
          <w:sz w:val="17"/>
          <w:szCs w:val="17"/>
          <w:color w:val="auto"/>
        </w:rPr>
      </w:pPr>
      <w:r>
        <w:rPr>
          <w:rFonts w:ascii="Arial" w:cs="Arial" w:eastAsia="Arial" w:hAnsi="Arial"/>
          <w:sz w:val="17"/>
          <w:szCs w:val="17"/>
          <w:color w:val="auto"/>
        </w:rPr>
        <w:t>the Company or any of its Subsidiaries shall be the subject of any proceeding or investigation pertaining to the release by the Company, any of its Subsidiaries or any other Person of any Hazardous Materials into the environment which results in remediation liability in excess of $10,000,000 (or the Equivalent Amount in currencies other than U.S. Dollars) not covered by insurance or indemnified by any third party;</w:t>
      </w:r>
    </w:p>
    <w:p>
      <w:pPr>
        <w:spacing w:after="0" w:line="168" w:lineRule="exact"/>
        <w:rPr>
          <w:rFonts w:ascii="Arial" w:cs="Arial" w:eastAsia="Arial" w:hAnsi="Arial"/>
          <w:sz w:val="17"/>
          <w:szCs w:val="17"/>
          <w:color w:val="auto"/>
        </w:rPr>
      </w:pPr>
    </w:p>
    <w:p>
      <w:pPr>
        <w:ind w:firstLine="537"/>
        <w:spacing w:after="0" w:line="261" w:lineRule="auto"/>
        <w:tabs>
          <w:tab w:leader="none" w:pos="1264"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occurrence of any “default” under any Loan Document (other than this Agreement) or the breach of any of the terms or provisions of any Loan Document (other than this Agreement), which default or breach continues beyond any period of grace therein provided;</w:t>
      </w:r>
    </w:p>
    <w:p>
      <w:pPr>
        <w:spacing w:after="0" w:line="178" w:lineRule="exact"/>
        <w:rPr>
          <w:rFonts w:ascii="Arial" w:cs="Arial" w:eastAsia="Arial" w:hAnsi="Arial"/>
          <w:sz w:val="18"/>
          <w:szCs w:val="18"/>
          <w:color w:val="auto"/>
        </w:rPr>
      </w:pPr>
    </w:p>
    <w:p>
      <w:pPr>
        <w:jc w:val="both"/>
        <w:ind w:firstLine="537"/>
        <w:spacing w:after="0" w:line="253" w:lineRule="auto"/>
        <w:tabs>
          <w:tab w:leader="none" w:pos="1264"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except as a result of actions taken which are mergers, consolidations, liquidations, dispositions or dissolutions that are not prohibited by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6.03</w:t>
      </w:r>
      <w:r>
        <w:rPr>
          <w:rFonts w:ascii="Arial" w:cs="Arial" w:eastAsia="Arial" w:hAnsi="Arial"/>
          <w:sz w:val="18"/>
          <w:szCs w:val="18"/>
          <w:color w:val="auto"/>
        </w:rPr>
        <w:t xml:space="preserve">, any Subsidiary Guaranty shall fail to remain in full force or effect or any action shall be taken to discontinue, terminate, or to assert the invalidity or unenforceability of any such Subsidiary Guaranty, or any </w:t>
      </w:r>
      <w:r>
        <w:rPr>
          <w:rFonts w:ascii="Arial" w:cs="Arial" w:eastAsia="Arial" w:hAnsi="Arial"/>
          <w:sz w:val="16"/>
          <w:szCs w:val="16"/>
          <w:color w:val="auto"/>
        </w:rPr>
        <w:t>Subsidiary</w:t>
      </w:r>
      <w:r>
        <w:rPr>
          <w:rFonts w:ascii="Arial" w:cs="Arial" w:eastAsia="Arial" w:hAnsi="Arial"/>
          <w:sz w:val="18"/>
          <w:szCs w:val="18"/>
          <w:color w:val="auto"/>
        </w:rPr>
        <w:t xml:space="preserve"> Guarantor shall fail to comply with any of the terms or provisions of any such Subsidiary Guaranty to which it is a party, or any </w:t>
      </w:r>
      <w:r>
        <w:rPr>
          <w:rFonts w:ascii="Arial" w:cs="Arial" w:eastAsia="Arial" w:hAnsi="Arial"/>
          <w:sz w:val="16"/>
          <w:szCs w:val="16"/>
          <w:color w:val="auto"/>
        </w:rPr>
        <w:t>Subsidiary</w:t>
      </w:r>
      <w:r>
        <w:rPr>
          <w:rFonts w:ascii="Arial" w:cs="Arial" w:eastAsia="Arial" w:hAnsi="Arial"/>
          <w:sz w:val="18"/>
          <w:szCs w:val="18"/>
          <w:color w:val="auto"/>
        </w:rPr>
        <w:t xml:space="preserve"> Guarantor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79</w:t>
      </w:r>
    </w:p>
    <w:p>
      <w:pPr>
        <w:sectPr>
          <w:pgSz w:w="11900" w:h="16838" w:orient="portrait"/>
          <w:cols w:equalWidth="0" w:num="1">
            <w:col w:w="11460"/>
          </w:cols>
          <w:pgMar w:left="220" w:top="508" w:right="21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color w:val="auto"/>
        </w:rPr>
        <w:t>shall deny that it has any further liability under any such Subsidiary Guaranty to which it is a party, or shall give notice to such effect;</w:t>
      </w:r>
    </w:p>
    <w:p>
      <w:pPr>
        <w:spacing w:after="0" w:line="212" w:lineRule="exact"/>
        <w:rPr>
          <w:sz w:val="20"/>
          <w:szCs w:val="20"/>
          <w:color w:val="auto"/>
        </w:rPr>
      </w:pPr>
    </w:p>
    <w:p>
      <w:pPr>
        <w:jc w:val="both"/>
        <w:ind w:firstLine="537"/>
        <w:spacing w:after="0" w:line="263" w:lineRule="auto"/>
        <w:tabs>
          <w:tab w:leader="none" w:pos="1264"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any Collateral Document shall for any reason fail to create a valid and perfected first priority security interest in any Collateral purported to be covered thereby, except as to equipment which has become obsolete or which is otherwise permitted to become released under the terms of any Collateral Document; or any Collateral Document shall fail to remain in full force or effect or any action shall be taken to discontinue or to assert the invalidity or unenforceability of any Collateral Document, or any Credit Party shall fail to comply with any term or provision of any Collateral Document that relates to the perfection of a security interest and such failure is not cured within thirty (30) days after the earlier of (i) Administrative Agent or any Lender provides the Company notice of such failure or (ii) the date on which the Company becomes aware of such failure;</w:t>
      </w:r>
    </w:p>
    <w:p>
      <w:pPr>
        <w:spacing w:after="0" w:line="180" w:lineRule="exact"/>
        <w:rPr>
          <w:rFonts w:ascii="Arial" w:cs="Arial" w:eastAsia="Arial" w:hAnsi="Arial"/>
          <w:sz w:val="17"/>
          <w:szCs w:val="17"/>
          <w:color w:val="auto"/>
        </w:rPr>
      </w:pPr>
    </w:p>
    <w:p>
      <w:pPr>
        <w:ind w:left="1280" w:hanging="743"/>
        <w:spacing w:after="0"/>
        <w:tabs>
          <w:tab w:leader="none" w:pos="12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Change in Control shall occur; or</w:t>
      </w:r>
    </w:p>
    <w:p>
      <w:pPr>
        <w:spacing w:after="0" w:line="211" w:lineRule="exact"/>
        <w:rPr>
          <w:rFonts w:ascii="Arial" w:cs="Arial" w:eastAsia="Arial" w:hAnsi="Arial"/>
          <w:sz w:val="18"/>
          <w:szCs w:val="18"/>
          <w:color w:val="auto"/>
        </w:rPr>
      </w:pPr>
    </w:p>
    <w:p>
      <w:pPr>
        <w:jc w:val="both"/>
        <w:ind w:firstLine="537"/>
        <w:spacing w:after="0" w:line="249" w:lineRule="auto"/>
        <w:tabs>
          <w:tab w:leader="none" w:pos="123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event or condition occurs that results in any Surety (i) taking possession of any Collateral with a book value in excess of $25,000,000 or (ii) exercising any other rights or remedies as a secured party with respect to Collateral with a book value in excess of $25,000,000 if such action continues for a period of fifteen (15) Business Days after the earlier of (A) the Administrative Agent’s delivery of written notice thereof to the Company and (B) the date an Authorized Officer of the Company or any Subsidiary first obtains knowledge thereof;</w:t>
      </w:r>
    </w:p>
    <w:p>
      <w:pPr>
        <w:spacing w:after="0" w:line="188"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 xml:space="preserve">then, and in every such event (other than an event with respect to a Borrower described in clause </w:t>
      </w:r>
      <w:r>
        <w:rPr>
          <w:rFonts w:ascii="Arial" w:cs="Arial" w:eastAsia="Arial" w:hAnsi="Arial"/>
          <w:sz w:val="15"/>
          <w:szCs w:val="15"/>
          <w:u w:val="single" w:color="auto"/>
          <w:color w:val="auto"/>
        </w:rPr>
        <w:t>(h)</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(i)</w:t>
      </w:r>
      <w:r>
        <w:rPr>
          <w:rFonts w:ascii="Arial" w:cs="Arial" w:eastAsia="Arial" w:hAnsi="Arial"/>
          <w:sz w:val="15"/>
          <w:szCs w:val="15"/>
          <w:color w:val="auto"/>
        </w:rPr>
        <w:t xml:space="preserve"> of this Article), and at any time thereafter during the continuance of such event, the Administrative Agent may (and at the request of the Required Lenders shall), by notice to the Company, take either or both of the following actions, at the same or different times: (i) terminate the Revolving Commitments, and thereupon the Revolving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hereunder, shall become due and payable immediately, without presentment, demand, protest or other notice of any kind, all of which are hereby waived by the Borrowers; and in case of any event with respect to any Borrower described in clause</w:t>
      </w:r>
    </w:p>
    <w:p>
      <w:pPr>
        <w:spacing w:after="0" w:line="1" w:lineRule="exact"/>
        <w:rPr>
          <w:sz w:val="20"/>
          <w:szCs w:val="20"/>
          <w:color w:val="auto"/>
        </w:rPr>
      </w:pPr>
    </w:p>
    <w:p>
      <w:pPr>
        <w:jc w:val="both"/>
        <w:ind w:firstLine="8"/>
        <w:spacing w:after="0" w:line="244" w:lineRule="auto"/>
        <w:tabs>
          <w:tab w:leader="none" w:pos="250" w:val="left"/>
        </w:tabs>
        <w:numPr>
          <w:ilvl w:val="0"/>
          <w:numId w:val="121"/>
        </w:numPr>
        <w:rPr>
          <w:rFonts w:ascii="Arial" w:cs="Arial" w:eastAsia="Arial" w:hAnsi="Arial"/>
          <w:sz w:val="18"/>
          <w:szCs w:val="18"/>
          <w:u w:val="single" w:color="auto"/>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(i)</w:t>
      </w:r>
      <w:r>
        <w:rPr>
          <w:rFonts w:ascii="Arial" w:cs="Arial" w:eastAsia="Arial" w:hAnsi="Arial"/>
          <w:sz w:val="18"/>
          <w:szCs w:val="18"/>
          <w:color w:val="auto"/>
        </w:rPr>
        <w:t xml:space="preserve"> of this Article, the Revolving Commitments shall automatically terminate and the principal of the Loans then outstanding, together with accrued interest thereon and all fees and other obligations of the Borrowers accrued hereunder, shall automatically become due and payable, without presentment, demand, protest or other notice of any kind, all of which are hereby waived by the Borrowers.</w:t>
      </w:r>
    </w:p>
    <w:p>
      <w:pPr>
        <w:spacing w:after="0" w:line="160" w:lineRule="exact"/>
        <w:rPr>
          <w:sz w:val="20"/>
          <w:szCs w:val="20"/>
          <w:color w:val="auto"/>
        </w:rPr>
      </w:pPr>
    </w:p>
    <w:p>
      <w:pPr>
        <w:jc w:val="both"/>
        <w:ind w:firstLine="529"/>
        <w:spacing w:after="0" w:line="361" w:lineRule="auto"/>
        <w:rPr>
          <w:sz w:val="20"/>
          <w:szCs w:val="20"/>
          <w:color w:val="auto"/>
        </w:rPr>
      </w:pPr>
      <w:r>
        <w:rPr>
          <w:rFonts w:ascii="Arial" w:cs="Arial" w:eastAsia="Arial" w:hAnsi="Arial"/>
          <w:sz w:val="15"/>
          <w:szCs w:val="15"/>
          <w:color w:val="auto"/>
        </w:rPr>
        <w:t xml:space="preserve">SECTION 7.02 </w:t>
      </w:r>
      <w:r>
        <w:rPr>
          <w:rFonts w:ascii="Arial" w:cs="Arial" w:eastAsia="Arial" w:hAnsi="Arial"/>
          <w:sz w:val="15"/>
          <w:szCs w:val="15"/>
          <w:u w:val="single" w:color="auto"/>
          <w:color w:val="auto"/>
        </w:rPr>
        <w:t>Cash Collateral</w:t>
      </w:r>
      <w:r>
        <w:rPr>
          <w:rFonts w:ascii="Arial" w:cs="Arial" w:eastAsia="Arial" w:hAnsi="Arial"/>
          <w:sz w:val="15"/>
          <w:szCs w:val="15"/>
          <w:color w:val="auto"/>
        </w:rPr>
        <w:t xml:space="preserve">. In addition to the remedies contained in </w:t>
      </w:r>
      <w:r>
        <w:rPr>
          <w:rFonts w:ascii="Arial" w:cs="Arial" w:eastAsia="Arial" w:hAnsi="Arial"/>
          <w:sz w:val="15"/>
          <w:szCs w:val="15"/>
          <w:u w:val="single" w:color="auto"/>
          <w:color w:val="auto"/>
        </w:rPr>
        <w:t>Section 7.01</w:t>
      </w:r>
      <w:r>
        <w:rPr>
          <w:rFonts w:ascii="Arial" w:cs="Arial" w:eastAsia="Arial" w:hAnsi="Arial"/>
          <w:sz w:val="15"/>
          <w:szCs w:val="15"/>
          <w:color w:val="auto"/>
        </w:rPr>
        <w:t xml:space="preserve">, upon the occurrence and during the continuance of an Event of Default, the Borrowers shall pay to the Administrative Agent cash collateral in such amounts and at such times as contemplated by </w:t>
      </w:r>
      <w:r>
        <w:rPr>
          <w:rFonts w:ascii="Arial" w:cs="Arial" w:eastAsia="Arial" w:hAnsi="Arial"/>
          <w:sz w:val="15"/>
          <w:szCs w:val="15"/>
          <w:u w:val="single" w:color="auto"/>
          <w:color w:val="auto"/>
        </w:rPr>
        <w:t>Section 2.06(j)</w:t>
      </w:r>
      <w:r>
        <w:rPr>
          <w:rFonts w:ascii="Arial" w:cs="Arial" w:eastAsia="Arial" w:hAnsi="Arial"/>
          <w:sz w:val="15"/>
          <w:szCs w:val="15"/>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Administrative Agent</w:t>
      </w:r>
    </w:p>
    <w:p>
      <w:pPr>
        <w:spacing w:after="0" w:line="198" w:lineRule="exact"/>
        <w:rPr>
          <w:sz w:val="20"/>
          <w:szCs w:val="20"/>
          <w:color w:val="auto"/>
        </w:rPr>
      </w:pPr>
    </w:p>
    <w:p>
      <w:pPr>
        <w:jc w:val="both"/>
        <w:ind w:firstLine="529"/>
        <w:spacing w:after="0" w:line="252"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Appointment</w:t>
      </w:r>
      <w:r>
        <w:rPr>
          <w:rFonts w:ascii="Arial" w:cs="Arial" w:eastAsia="Arial" w:hAnsi="Arial"/>
          <w:sz w:val="18"/>
          <w:szCs w:val="18"/>
          <w:color w:val="auto"/>
        </w:rPr>
        <w:t>. Each of the Lenders and the Issuing Bank hereby irrevocably appoints the Administrative Agent as its agent and authorizes the Administrative Agent to take such actions on its behalf and to exercise such powers as are delegated to the Administrative Agent by the terms hereof, together with such actions and powers as are reasonably incidental thereto.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80</w:t>
      </w:r>
    </w:p>
    <w:p>
      <w:pPr>
        <w:sectPr>
          <w:pgSz w:w="11900" w:h="16838" w:orient="portrait"/>
          <w:cols w:equalWidth="0" w:num="1">
            <w:col w:w="11460"/>
          </w:cols>
          <w:pgMar w:left="220" w:top="508" w:right="219" w:bottom="1440" w:gutter="0" w:footer="0" w:header="0"/>
        </w:sectPr>
      </w:pPr>
    </w:p>
    <w:bookmarkStart w:id="141" w:name="page142"/>
    <w:bookmarkEnd w:id="141"/>
    <w:p>
      <w:pPr>
        <w:jc w:val="both"/>
        <w:ind w:firstLine="529"/>
        <w:spacing w:after="0" w:line="249"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Administrative Agent and Lender</w:t>
      </w:r>
      <w:r>
        <w:rPr>
          <w:rFonts w:ascii="Arial" w:cs="Arial" w:eastAsia="Arial" w:hAnsi="Arial"/>
          <w:sz w:val="18"/>
          <w:szCs w:val="18"/>
          <w:color w:val="auto"/>
        </w:rPr>
        <w:t>. 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the Company or any Subsidiary or other Affiliate thereof as if it were not the Administrative Agent hereunder.</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Collateral; Required Lenders</w:t>
      </w:r>
      <w:r>
        <w:rPr>
          <w:rFonts w:ascii="Arial" w:cs="Arial" w:eastAsia="Arial" w:hAnsi="Arial"/>
          <w:sz w:val="18"/>
          <w:szCs w:val="18"/>
          <w:color w:val="auto"/>
        </w:rPr>
        <w:t>.</w:t>
      </w:r>
    </w:p>
    <w:p>
      <w:pPr>
        <w:spacing w:after="0" w:line="212" w:lineRule="exact"/>
        <w:rPr>
          <w:sz w:val="20"/>
          <w:szCs w:val="20"/>
          <w:color w:val="auto"/>
        </w:rPr>
      </w:pPr>
    </w:p>
    <w:p>
      <w:pPr>
        <w:jc w:val="both"/>
        <w:ind w:firstLine="537"/>
        <w:spacing w:after="0" w:line="261" w:lineRule="auto"/>
        <w:tabs>
          <w:tab w:leader="none" w:pos="1254"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Each Lender hereby irrevocably ratifies and accepts the Collateral Documents in effect as of the Effective Date and authorizes and directs Administrative Agent to enter into all additional Collateral Documents for the benefit of such Lender. Each Lender hereby agrees, and each holder of any Note by the acceptance thereof will be deemed to agree, that, except as otherwise set forth in </w:t>
      </w:r>
      <w:r>
        <w:rPr>
          <w:rFonts w:ascii="Arial" w:cs="Arial" w:eastAsia="Arial" w:hAnsi="Arial"/>
          <w:sz w:val="17"/>
          <w:szCs w:val="17"/>
          <w:u w:val="single" w:color="auto"/>
          <w:color w:val="auto"/>
        </w:rPr>
        <w:t>Section 9.02(b)</w:t>
      </w:r>
      <w:r>
        <w:rPr>
          <w:rFonts w:ascii="Arial" w:cs="Arial" w:eastAsia="Arial" w:hAnsi="Arial"/>
          <w:sz w:val="17"/>
          <w:szCs w:val="17"/>
          <w:color w:val="auto"/>
        </w:rPr>
        <w:t>, any action taken by the Required Lenders, in accordance with the provisions of this Agreement or the Collateral Documents, and the exercise by the Required Lenders of the powers set forth herein or therein, together with such other powers as are reasonably incidental thereto, shall be authorized and binding upon all of the Lenders. The Administrative Agent is hereby authorized on behalf of all of the Lenders, without the necessity of any notice to or further consent from any Lender from time to time prior to an Event of Default, to take any action with respect to any Collateral or Collateral Documents which may be necessary to perfect and maintain perfected the Liens upon the Collateral granted pursuant to the Collateral Documents.</w:t>
      </w:r>
    </w:p>
    <w:p>
      <w:pPr>
        <w:spacing w:after="0" w:line="184" w:lineRule="exact"/>
        <w:rPr>
          <w:rFonts w:ascii="Arial" w:cs="Arial" w:eastAsia="Arial" w:hAnsi="Arial"/>
          <w:sz w:val="17"/>
          <w:szCs w:val="17"/>
          <w:color w:val="auto"/>
        </w:rPr>
      </w:pPr>
    </w:p>
    <w:p>
      <w:pPr>
        <w:jc w:val="both"/>
        <w:ind w:firstLine="537"/>
        <w:spacing w:after="0" w:line="259" w:lineRule="auto"/>
        <w:tabs>
          <w:tab w:leader="none" w:pos="1264"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Each Lender hereby irrevocably authorizes Administrative Agent, at its option and in its discretion, (i) to release any Lien on any property granted to or held by Administrative Agent under any Loan Document (A) upon termination of the Revolving Commitments and payment in full of all Obligations (other than contingent indemnification obligations) and the expiration or termination of all Letters of Credit, (B) that is sold or to be sold as part of or in connection with any sale permitted hereunder or under any other Loan Document, (C) subject to </w:t>
      </w:r>
      <w:r>
        <w:rPr>
          <w:rFonts w:ascii="Arial" w:cs="Arial" w:eastAsia="Arial" w:hAnsi="Arial"/>
          <w:sz w:val="17"/>
          <w:szCs w:val="17"/>
          <w:u w:val="single" w:color="auto"/>
          <w:color w:val="auto"/>
        </w:rPr>
        <w:t>Section 9.02(b)</w:t>
      </w:r>
      <w:r>
        <w:rPr>
          <w:rFonts w:ascii="Arial" w:cs="Arial" w:eastAsia="Arial" w:hAnsi="Arial"/>
          <w:sz w:val="17"/>
          <w:szCs w:val="17"/>
          <w:color w:val="auto"/>
        </w:rPr>
        <w:t xml:space="preserve">, if approved, authorized or ratified in writing by the Required Lenders, or (D) in connection with any foreclosure sale or other disposition of Collateral after the occurrence of an Event of Default; and (ii) to subordinate any Lien on any property granted to or held by Administrative Agent under any Loan Document to the holder of any Lien on such property that is permitted by this Agreement or any other Loan Document. Upon request by Administrative Agent at any time, each Lender will confirm in writing Administrative Agent’s authority to release or subordinate its interest in particular types or items of Collateral pursuant to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Subject to the foregoing, Administrative Agent shall (and is hereby irrevocably authorized by each Lender, to) execute such documents as may be necessary to evidence the release or subordination of the Liens granted to Administrative Agent for the benefit of Administrative Agent and the Lenders herein or pursuant hereto upon the applicable Collateral;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Administrative Agent shall not be required to execute any such document on terms which, in Administrative Agent’s opinion, would expose Administrative Agent to or create any liability or entail any consequence other than the release or subordination of such Liens without recourse or warranty and (ii) such release or subordination shall not in any manner discharge, affect or impair the Obligations or any Liens upon (or obligations of the Borrowers or any other Credit Party in respect of) all interests retained by the Borrowers or any other Credit Party, including the proceeds of the sale, all of which shall continue to constitute part of the Collateral. In the event of any sale or transfer of Collateral, or any foreclosure with respect to any of the Collateral, Administrative Agent shall be authorized to deduct all expenses reasonably incurred by the Administrative Agent from the proceeds of any such sale, transfer or foreclosure.</w:t>
      </w:r>
    </w:p>
    <w:p>
      <w:pPr>
        <w:spacing w:after="0" w:line="183" w:lineRule="exact"/>
        <w:rPr>
          <w:rFonts w:ascii="Arial" w:cs="Arial" w:eastAsia="Arial" w:hAnsi="Arial"/>
          <w:sz w:val="17"/>
          <w:szCs w:val="17"/>
          <w:color w:val="auto"/>
        </w:rPr>
      </w:pPr>
    </w:p>
    <w:p>
      <w:pPr>
        <w:jc w:val="both"/>
        <w:ind w:firstLine="537"/>
        <w:spacing w:after="0" w:line="274" w:lineRule="auto"/>
        <w:tabs>
          <w:tab w:leader="none" w:pos="1254"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Administrative Agent shall have no obligation whatsoever to any Lender or any other Person to assure that the Collateral exists or is owned by the Borrowers or any other Credit Party or is cared for, protected or insured or that the Liens granted to the Administrative Agent herein or in any of the Collateral Documents or pursuant hereto or thereto have been properly or sufficiently or lawfully created, perfected,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81</w:t>
      </w:r>
    </w:p>
    <w:p>
      <w:pPr>
        <w:sectPr>
          <w:pgSz w:w="11900" w:h="16838" w:orient="portrait"/>
          <w:cols w:equalWidth="0" w:num="1">
            <w:col w:w="11460"/>
          </w:cols>
          <w:pgMar w:left="220" w:top="508" w:right="219" w:bottom="1440" w:gutter="0" w:footer="0" w:header="0"/>
        </w:sectPr>
      </w:pPr>
    </w:p>
    <w:bookmarkStart w:id="142" w:name="page143"/>
    <w:bookmarkEnd w:id="142"/>
    <w:p>
      <w:pPr>
        <w:jc w:val="both"/>
        <w:spacing w:after="0" w:line="247" w:lineRule="auto"/>
        <w:rPr>
          <w:sz w:val="20"/>
          <w:szCs w:val="20"/>
          <w:color w:val="auto"/>
        </w:rPr>
      </w:pPr>
      <w:r>
        <w:rPr>
          <w:rFonts w:ascii="Arial" w:cs="Arial" w:eastAsia="Arial" w:hAnsi="Arial"/>
          <w:sz w:val="18"/>
          <w:szCs w:val="18"/>
          <w:color w:val="auto"/>
        </w:rPr>
        <w:t xml:space="preserve">protected or enforced or are entitled to any particular priority, or to exercise or to continue exercising at all or in any manner or under any duty of care, disclosure or fidelity any of the rights, authorities and powers granted or available to the Administrative Agent in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in any of the Collateral Documents, it being understood and agreed that in respect of the Collateral, or any act, omission or event related thereto, the Administrative Agent may act in any manner it may deem appropriate, in its sole discretion, given the Administrative Agent’s own interest in the Collateral as one of the Lenders and that the Administrative Agent shall have no duty or liability whatsoever to the Lenders.</w:t>
      </w:r>
    </w:p>
    <w:p>
      <w:pPr>
        <w:spacing w:after="0" w:line="191" w:lineRule="exact"/>
        <w:rPr>
          <w:sz w:val="20"/>
          <w:szCs w:val="20"/>
          <w:color w:val="auto"/>
        </w:rPr>
      </w:pPr>
    </w:p>
    <w:p>
      <w:pPr>
        <w:jc w:val="both"/>
        <w:ind w:firstLine="537"/>
        <w:spacing w:after="0" w:line="249" w:lineRule="auto"/>
        <w:tabs>
          <w:tab w:leader="none" w:pos="126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Each Lender hereby appoints each other Lender as agent for the purpose of perfecting the Lenders’ security interest in assets which, in accordance with Article 9 of the UCC can be perfected only by possession. Should any Lender (other than the Administrative Agent) obtain possession of any such Collateral, such Lender shall notify the Administrative Agent thereof, and, promptly upon the Administrative Agent’s request therefor shall deliver such Collateral to the Administrative Agent or in accordance with the Administrative Agent’s instructions.</w:t>
      </w:r>
    </w:p>
    <w:p>
      <w:pPr>
        <w:spacing w:after="0" w:line="188" w:lineRule="exact"/>
        <w:rPr>
          <w:sz w:val="20"/>
          <w:szCs w:val="20"/>
          <w:color w:val="auto"/>
        </w:rPr>
      </w:pPr>
    </w:p>
    <w:p>
      <w:pPr>
        <w:jc w:val="both"/>
        <w:ind w:firstLine="529"/>
        <w:spacing w:after="0" w:line="296" w:lineRule="auto"/>
        <w:rPr>
          <w:sz w:val="20"/>
          <w:szCs w:val="20"/>
          <w:color w:val="auto"/>
        </w:rPr>
      </w:pPr>
      <w:r>
        <w:rPr>
          <w:rFonts w:ascii="Arial" w:cs="Arial" w:eastAsia="Arial" w:hAnsi="Arial"/>
          <w:sz w:val="15"/>
          <w:szCs w:val="15"/>
          <w:color w:val="auto"/>
        </w:rPr>
        <w:t xml:space="preserve">SECTION 8.04 </w:t>
      </w:r>
      <w:r>
        <w:rPr>
          <w:rFonts w:ascii="Arial" w:cs="Arial" w:eastAsia="Arial" w:hAnsi="Arial"/>
          <w:sz w:val="15"/>
          <w:szCs w:val="15"/>
          <w:u w:val="single" w:color="auto"/>
          <w:color w:val="auto"/>
        </w:rPr>
        <w:t>Duties</w:t>
      </w:r>
      <w:r>
        <w:rPr>
          <w:rFonts w:ascii="Arial" w:cs="Arial" w:eastAsia="Arial" w:hAnsi="Arial"/>
          <w:sz w:val="15"/>
          <w:szCs w:val="15"/>
          <w:color w:val="auto"/>
        </w:rPr>
        <w:t xml:space="preserve">. The Administrative Agent shall not have any duties or obligations except those expressly set forth herein. Without limiting the generality of the foregoing, (a) the Administrative Agent shall not be subject to any fiduciary or other implied duties, regardless of whether a Default or Event of Default has occurred and is continuing, (b) the Administrative Agent shall not have any duty to take any discretionary action or exercise any discretionary powers, except discretionary rights and powers expressly contemplated hereby that the Administrative Agent is required to exercise in writing as directed by the Required Lenders (or such other number or percentage of the Lenders as shall be necessary under the circumstances as provided in </w:t>
      </w:r>
      <w:r>
        <w:rPr>
          <w:rFonts w:ascii="Arial" w:cs="Arial" w:eastAsia="Arial" w:hAnsi="Arial"/>
          <w:sz w:val="15"/>
          <w:szCs w:val="15"/>
          <w:u w:val="single" w:color="auto"/>
          <w:color w:val="auto"/>
        </w:rPr>
        <w:t>Section 9.02</w:t>
      </w:r>
      <w:r>
        <w:rPr>
          <w:rFonts w:ascii="Arial" w:cs="Arial" w:eastAsia="Arial" w:hAnsi="Arial"/>
          <w:sz w:val="15"/>
          <w:szCs w:val="15"/>
          <w:color w:val="auto"/>
        </w:rPr>
        <w:t xml:space="preserve">), and (c) except as expressly set forth herein, the Administrative Agent shall not have any duty to disclose, and shall not be liable for the failure to disclose, any information relating to the Company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w:t>
      </w:r>
      <w:r>
        <w:rPr>
          <w:rFonts w:ascii="Arial" w:cs="Arial" w:eastAsia="Arial" w:hAnsi="Arial"/>
          <w:sz w:val="15"/>
          <w:szCs w:val="15"/>
          <w:u w:val="single" w:color="auto"/>
          <w:color w:val="auto"/>
        </w:rPr>
        <w:t>Section 9.02</w:t>
      </w:r>
      <w:r>
        <w:rPr>
          <w:rFonts w:ascii="Arial" w:cs="Arial" w:eastAsia="Arial" w:hAnsi="Arial"/>
          <w:sz w:val="15"/>
          <w:szCs w:val="15"/>
          <w:color w:val="auto"/>
        </w:rPr>
        <w:t xml:space="preserve">) or in the absence of its own gross negligence or willful misconduct. The Administrative Agent shall be deemed not to have knowledge of any Default unless and until written notice thereof is given to the Administrative Agent by the Company or a Lender, and the Administrative Agent shall not be responsible for or have any duty to ascertain or inquire into (i) any statement, warranty or representation made in or in connection with this Agreement, (ii) the contents of any certificate, report or other document delivered hereunder or in connection herewith, (iii) the performance or observance of any of the covenants, agreements or other terms or conditions set forth herein, (iv) the validity, enforceability, effectiveness or genuineness of this Agreement or any other agreement, instrument or document, or (v) the satisfaction of any condition set forth in </w:t>
      </w:r>
      <w:r>
        <w:rPr>
          <w:rFonts w:ascii="Arial" w:cs="Arial" w:eastAsia="Arial" w:hAnsi="Arial"/>
          <w:sz w:val="15"/>
          <w:szCs w:val="15"/>
          <w:u w:val="single" w:color="auto"/>
          <w:color w:val="auto"/>
        </w:rPr>
        <w:t>Article IV</w:t>
      </w:r>
      <w:r>
        <w:rPr>
          <w:rFonts w:ascii="Arial" w:cs="Arial" w:eastAsia="Arial" w:hAnsi="Arial"/>
          <w:sz w:val="15"/>
          <w:szCs w:val="15"/>
          <w:color w:val="auto"/>
        </w:rPr>
        <w:t xml:space="preserve"> or elsewhere herein, other than to confirm receipt of items expressly required to be delivered to the Administrative Agent.</w:t>
      </w:r>
    </w:p>
    <w:p>
      <w:pPr>
        <w:spacing w:after="0" w:line="372" w:lineRule="exact"/>
        <w:rPr>
          <w:sz w:val="20"/>
          <w:szCs w:val="20"/>
          <w:color w:val="auto"/>
        </w:rPr>
      </w:pPr>
    </w:p>
    <w:p>
      <w:pPr>
        <w:jc w:val="both"/>
        <w:ind w:firstLine="529"/>
        <w:spacing w:after="0" w:line="246" w:lineRule="auto"/>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Communications; Counsel</w:t>
      </w:r>
      <w:r>
        <w:rPr>
          <w:rFonts w:ascii="Arial" w:cs="Arial" w:eastAsia="Arial" w:hAnsi="Arial"/>
          <w:sz w:val="18"/>
          <w:szCs w:val="18"/>
          <w:color w:val="auto"/>
        </w:rPr>
        <w:t>. The Administrative Agent shall be entitled to rely upon, and shall not incur any liability for relying upon, any notice, request, certificate, consent, statement, instrument, document or other writing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82</w:t>
      </w:r>
    </w:p>
    <w:p>
      <w:pPr>
        <w:sectPr>
          <w:pgSz w:w="11900" w:h="16838" w:orient="portrait"/>
          <w:cols w:equalWidth="0" w:num="1">
            <w:col w:w="11460"/>
          </w:cols>
          <w:pgMar w:left="220" w:top="508" w:right="219" w:bottom="1440" w:gutter="0" w:footer="0" w:header="0"/>
        </w:sectPr>
      </w:pPr>
    </w:p>
    <w:bookmarkStart w:id="143" w:name="page144"/>
    <w:bookmarkEnd w:id="143"/>
    <w:p>
      <w:pPr>
        <w:jc w:val="both"/>
        <w:ind w:firstLine="529"/>
        <w:spacing w:after="0" w:line="247"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Sub-Agents</w:t>
      </w:r>
      <w:r>
        <w:rPr>
          <w:rFonts w:ascii="Arial" w:cs="Arial" w:eastAsia="Arial" w:hAnsi="Arial"/>
          <w:sz w:val="18"/>
          <w:szCs w:val="18"/>
          <w:color w:val="auto"/>
        </w:rPr>
        <w:t>. 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91" w:lineRule="exact"/>
        <w:rPr>
          <w:sz w:val="20"/>
          <w:szCs w:val="20"/>
          <w:color w:val="auto"/>
        </w:rPr>
      </w:pPr>
    </w:p>
    <w:p>
      <w:pPr>
        <w:jc w:val="both"/>
        <w:ind w:firstLine="529"/>
        <w:spacing w:after="0" w:line="299" w:lineRule="auto"/>
        <w:rPr>
          <w:sz w:val="20"/>
          <w:szCs w:val="20"/>
          <w:color w:val="auto"/>
        </w:rPr>
      </w:pPr>
      <w:r>
        <w:rPr>
          <w:rFonts w:ascii="Arial" w:cs="Arial" w:eastAsia="Arial" w:hAnsi="Arial"/>
          <w:sz w:val="15"/>
          <w:szCs w:val="15"/>
          <w:color w:val="auto"/>
        </w:rPr>
        <w:t xml:space="preserve">SECTION 8.07 </w:t>
      </w:r>
      <w:r>
        <w:rPr>
          <w:rFonts w:ascii="Arial" w:cs="Arial" w:eastAsia="Arial" w:hAnsi="Arial"/>
          <w:sz w:val="15"/>
          <w:szCs w:val="15"/>
          <w:u w:val="single" w:color="auto"/>
          <w:color w:val="auto"/>
        </w:rPr>
        <w:t>Successor</w:t>
      </w:r>
      <w:r>
        <w:rPr>
          <w:rFonts w:ascii="Arial" w:cs="Arial" w:eastAsia="Arial" w:hAnsi="Arial"/>
          <w:sz w:val="15"/>
          <w:szCs w:val="15"/>
          <w:color w:val="auto"/>
        </w:rPr>
        <w:t xml:space="preserve">. Subject to the appointment and acceptance of a successor Administrative Agent as provided in this </w:t>
      </w:r>
      <w:r>
        <w:rPr>
          <w:rFonts w:ascii="Arial" w:cs="Arial" w:eastAsia="Arial" w:hAnsi="Arial"/>
          <w:sz w:val="15"/>
          <w:szCs w:val="15"/>
          <w:u w:val="single" w:color="auto"/>
          <w:color w:val="auto"/>
        </w:rPr>
        <w:t>Section 8.07</w:t>
      </w:r>
      <w:r>
        <w:rPr>
          <w:rFonts w:ascii="Arial" w:cs="Arial" w:eastAsia="Arial" w:hAnsi="Arial"/>
          <w:sz w:val="15"/>
          <w:szCs w:val="15"/>
          <w:color w:val="auto"/>
        </w:rPr>
        <w:t xml:space="preserve">, the Administrative Agent may resign at any time by notifying the Lenders, the Issuing Bank and the Company. Upon any such resignation, the Required Lenders shall have the right, in consultation with the Company, to appoint a successor. If no successor shall have been so appointed by the Required Lenders and shall have accepted such appointment within thirty (30) days after the retiring Administrative Agent gives notice of its resignation, then the retiring Administrative Agent may, on behalf of the Lenders and the Issuing Bank, appoint a successor Administrative Agent which shall be a bank with an office in Tulsa, Oklahoma, or an Affiliate of any such bank.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The fees payable by the Borrowers to a successor Administrative Agent shall be the same as those payable to its predecessor unless otherwise agreed between the Borrowers and such successor. After the Administrative Agent’s resignation hereunder, the provisions of this Article and </w:t>
      </w:r>
      <w:r>
        <w:rPr>
          <w:rFonts w:ascii="Arial" w:cs="Arial" w:eastAsia="Arial" w:hAnsi="Arial"/>
          <w:sz w:val="15"/>
          <w:szCs w:val="15"/>
          <w:u w:val="single" w:color="auto"/>
          <w:color w:val="auto"/>
        </w:rPr>
        <w:t>Section 9.03</w:t>
      </w:r>
      <w:r>
        <w:rPr>
          <w:rFonts w:ascii="Arial" w:cs="Arial" w:eastAsia="Arial" w:hAnsi="Arial"/>
          <w:sz w:val="15"/>
          <w:szCs w:val="15"/>
          <w:color w:val="auto"/>
        </w:rPr>
        <w:t xml:space="preserve"> shall continue in effect for the benefit of such retiring Administrative Agent, its sub-agents and their respective Related Parties in respect of any actions taken or omitted to be taken by any of them while it was acting as Administrative Agent.</w:t>
      </w:r>
    </w:p>
    <w:p>
      <w:pPr>
        <w:spacing w:after="0" w:line="364" w:lineRule="exact"/>
        <w:rPr>
          <w:sz w:val="20"/>
          <w:szCs w:val="20"/>
          <w:color w:val="auto"/>
        </w:rPr>
      </w:pPr>
    </w:p>
    <w:p>
      <w:pPr>
        <w:jc w:val="both"/>
        <w:ind w:firstLine="529"/>
        <w:spacing w:after="0" w:line="305" w:lineRule="auto"/>
        <w:rPr>
          <w:sz w:val="20"/>
          <w:szCs w:val="20"/>
          <w:color w:val="auto"/>
        </w:rPr>
      </w:pPr>
      <w:r>
        <w:rPr>
          <w:rFonts w:ascii="Arial" w:cs="Arial" w:eastAsia="Arial" w:hAnsi="Arial"/>
          <w:sz w:val="15"/>
          <w:szCs w:val="15"/>
          <w:color w:val="auto"/>
        </w:rPr>
        <w:t xml:space="preserve">SECTION 8.08 </w:t>
      </w:r>
      <w:r>
        <w:rPr>
          <w:rFonts w:ascii="Arial" w:cs="Arial" w:eastAsia="Arial" w:hAnsi="Arial"/>
          <w:sz w:val="15"/>
          <w:szCs w:val="15"/>
          <w:u w:val="single" w:color="auto"/>
          <w:color w:val="auto"/>
        </w:rPr>
        <w:t>Lenders’ Reliance; Decisions</w:t>
      </w:r>
      <w:r>
        <w:rPr>
          <w:rFonts w:ascii="Arial" w:cs="Arial" w:eastAsia="Arial" w:hAnsi="Arial"/>
          <w:sz w:val="15"/>
          <w:szCs w:val="15"/>
          <w:color w:val="auto"/>
        </w:rPr>
        <w:t>. Each Lender acknowledges that it has, independently and without reliance upon the Administrative Agent, any arranger of this credit facility or any amendment thereto or any other Lender and their respective Related Parties and based on such documents and information as it has deemed appropriate, made its own credit analysis and decision to enter into this Agreement. Each Lender also acknowledges that it will, independently and without reliance upon the Administrative Agent, any arranger of this credit facility or any amendment thereto or any other Lender and their respective Related Parties and based on such documents and information as it shall from time to time deem appropriate, continue to make its own decisions in taking or not taking action under or based upon this Agreement, any related agreement or any document furnished hereunder or thereunder.</w:t>
      </w:r>
    </w:p>
    <w:p>
      <w:pPr>
        <w:spacing w:after="0" w:line="14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IX</w:t>
      </w:r>
    </w:p>
    <w:p>
      <w:pPr>
        <w:spacing w:after="0" w:line="22"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Miscellaneous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12" w:lineRule="exact"/>
        <w:rPr>
          <w:sz w:val="20"/>
          <w:szCs w:val="20"/>
          <w:color w:val="auto"/>
        </w:rPr>
      </w:pPr>
    </w:p>
    <w:p>
      <w:pPr>
        <w:jc w:val="both"/>
        <w:ind w:firstLine="537"/>
        <w:spacing w:after="0" w:line="252" w:lineRule="auto"/>
        <w:tabs>
          <w:tab w:leader="none" w:pos="125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Except in the case of notices and other communications expressly permitted to be given by telephone or by electronic communication (and subject to paragraph </w:t>
      </w:r>
      <w:r>
        <w:rPr>
          <w:rFonts w:ascii="Arial" w:cs="Arial" w:eastAsia="Arial" w:hAnsi="Arial"/>
          <w:sz w:val="18"/>
          <w:szCs w:val="18"/>
          <w:u w:val="single" w:color="auto"/>
          <w:color w:val="auto"/>
        </w:rPr>
        <w:t>(b)</w:t>
      </w:r>
      <w:r>
        <w:rPr>
          <w:rFonts w:ascii="Arial" w:cs="Arial" w:eastAsia="Arial" w:hAnsi="Arial"/>
          <w:sz w:val="18"/>
          <w:szCs w:val="18"/>
          <w:color w:val="auto"/>
        </w:rPr>
        <w:t xml:space="preserve"> below), all notices and other communications provided for herein shall be in writing and shall be delivered by hand or overnight courier service, mailed by certified or registered mail or sent by fax, as follows:</w:t>
      </w:r>
    </w:p>
    <w:p>
      <w:pPr>
        <w:spacing w:after="0" w:line="185" w:lineRule="exact"/>
        <w:rPr>
          <w:rFonts w:ascii="Arial" w:cs="Arial" w:eastAsia="Arial" w:hAnsi="Arial"/>
          <w:sz w:val="18"/>
          <w:szCs w:val="18"/>
          <w:color w:val="auto"/>
        </w:rPr>
      </w:pPr>
    </w:p>
    <w:p>
      <w:pPr>
        <w:jc w:val="both"/>
        <w:ind w:left="540" w:firstLine="526"/>
        <w:spacing w:after="0" w:line="274" w:lineRule="auto"/>
        <w:tabs>
          <w:tab w:leader="none" w:pos="1764" w:val="left"/>
        </w:tabs>
        <w:numPr>
          <w:ilvl w:val="1"/>
          <w:numId w:val="124"/>
        </w:numPr>
        <w:rPr>
          <w:rFonts w:ascii="Arial" w:cs="Arial" w:eastAsia="Arial" w:hAnsi="Arial"/>
          <w:sz w:val="17"/>
          <w:szCs w:val="17"/>
          <w:color w:val="auto"/>
        </w:rPr>
      </w:pPr>
      <w:r>
        <w:rPr>
          <w:rFonts w:ascii="Arial" w:cs="Arial" w:eastAsia="Arial" w:hAnsi="Arial"/>
          <w:sz w:val="17"/>
          <w:szCs w:val="17"/>
          <w:color w:val="auto"/>
        </w:rPr>
        <w:t xml:space="preserve">if to the Company or any other Borrower, to Matrix Service Company, Attention 5100 E. Skelly Drive, Suite 500, Tulsa, Oklahoma 74135, Attention: Kevin S. Cavanah; Telephone (918) 838-8832; Fax: (918) 838-8810; Email: </w:t>
      </w:r>
      <w:r>
        <w:rPr>
          <w:rFonts w:ascii="Arial" w:cs="Arial" w:eastAsia="Arial" w:hAnsi="Arial"/>
          <w:sz w:val="17"/>
          <w:szCs w:val="17"/>
          <w:u w:val="single" w:color="auto"/>
          <w:color w:val="0000FF"/>
        </w:rPr>
        <w:t>kcavanah@matrixservicecompany.com</w:t>
      </w:r>
      <w:r>
        <w:rPr>
          <w:rFonts w:ascii="Arial" w:cs="Arial" w:eastAsia="Arial" w:hAnsi="Arial"/>
          <w:sz w:val="17"/>
          <w:szCs w:val="17"/>
          <w:color w:val="auto"/>
        </w:rPr>
        <w:t>; with a copy to Matrix Service Company, Attention 5100 E. Skelly Drive, Suite 500, Tulsa, Oklahoma 74135,</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83</w:t>
      </w:r>
    </w:p>
    <w:p>
      <w:pPr>
        <w:sectPr>
          <w:pgSz w:w="11900" w:h="16838" w:orient="portrait"/>
          <w:cols w:equalWidth="0" w:num="1">
            <w:col w:w="11460"/>
          </w:cols>
          <w:pgMar w:left="220" w:top="508" w:right="219" w:bottom="1440" w:gutter="0" w:footer="0" w:header="0"/>
        </w:sectPr>
      </w:pPr>
    </w:p>
    <w:bookmarkStart w:id="144" w:name="page145"/>
    <w:bookmarkEnd w:id="144"/>
    <w:p>
      <w:pPr>
        <w:ind w:left="540"/>
        <w:spacing w:after="0"/>
        <w:rPr>
          <w:sz w:val="20"/>
          <w:szCs w:val="20"/>
          <w:color w:val="auto"/>
        </w:rPr>
      </w:pPr>
      <w:r>
        <w:rPr>
          <w:rFonts w:ascii="Arial" w:cs="Arial" w:eastAsia="Arial" w:hAnsi="Arial"/>
          <w:sz w:val="15"/>
          <w:szCs w:val="15"/>
          <w:color w:val="auto"/>
        </w:rPr>
        <w:t xml:space="preserve">Attention: Mike McMahon; Telephone (918) 838-8832; Fax: (918) 624-2555; Email: </w:t>
      </w:r>
      <w:r>
        <w:rPr>
          <w:rFonts w:ascii="Arial" w:cs="Arial" w:eastAsia="Arial" w:hAnsi="Arial"/>
          <w:sz w:val="15"/>
          <w:szCs w:val="15"/>
          <w:u w:val="single" w:color="auto"/>
          <w:color w:val="0000FF"/>
        </w:rPr>
        <w:t>mmcmahon@matrixservicecompany.com</w:t>
      </w:r>
      <w:r>
        <w:rPr>
          <w:rFonts w:ascii="Arial" w:cs="Arial" w:eastAsia="Arial" w:hAnsi="Arial"/>
          <w:sz w:val="15"/>
          <w:szCs w:val="15"/>
          <w:color w:val="auto"/>
        </w:rPr>
        <w:t>; with a copy to Conner &amp;</w:t>
      </w:r>
    </w:p>
    <w:p>
      <w:pPr>
        <w:spacing w:after="0" w:line="5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Winters, LLC, 4000 One Williams Center, Tulsa, Oklahoma 74172, Attention; Mark D. Berman; Telephone (918) 586-8961; Fax: (918) 586-8661; Email:</w:t>
      </w:r>
    </w:p>
    <w:p>
      <w:pPr>
        <w:spacing w:after="0" w:line="37"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0000FF"/>
        </w:rPr>
        <w:t>mberman@cwlaw.com</w:t>
      </w:r>
      <w:r>
        <w:rPr>
          <w:rFonts w:ascii="Arial" w:cs="Arial" w:eastAsia="Arial" w:hAnsi="Arial"/>
          <w:sz w:val="18"/>
          <w:szCs w:val="18"/>
          <w:color w:val="000000"/>
        </w:rPr>
        <w:t>;</w:t>
      </w:r>
    </w:p>
    <w:p>
      <w:pPr>
        <w:spacing w:after="0" w:line="198" w:lineRule="exact"/>
        <w:rPr>
          <w:sz w:val="20"/>
          <w:szCs w:val="20"/>
          <w:color w:val="auto"/>
        </w:rPr>
      </w:pPr>
    </w:p>
    <w:p>
      <w:pPr>
        <w:jc w:val="both"/>
        <w:ind w:left="540" w:firstLine="526"/>
        <w:spacing w:after="0" w:line="300" w:lineRule="auto"/>
        <w:tabs>
          <w:tab w:leader="none" w:pos="1814" w:val="left"/>
        </w:tabs>
        <w:numPr>
          <w:ilvl w:val="1"/>
          <w:numId w:val="125"/>
        </w:numPr>
        <w:rPr>
          <w:rFonts w:ascii="Arial" w:cs="Arial" w:eastAsia="Arial" w:hAnsi="Arial"/>
          <w:sz w:val="15"/>
          <w:szCs w:val="15"/>
          <w:color w:val="auto"/>
        </w:rPr>
      </w:pPr>
      <w:r>
        <w:rPr>
          <w:rFonts w:ascii="Arial" w:cs="Arial" w:eastAsia="Arial" w:hAnsi="Arial"/>
          <w:sz w:val="15"/>
          <w:szCs w:val="15"/>
          <w:color w:val="auto"/>
        </w:rPr>
        <w:t>if to the Administrative Agent, Issuing Bank or Swingline Lender in respect of Loans or Letters of Credit in U.S. Dollars or Canadian Dollars, to JPMorgan Chase Bank, N.A., 10 S. Dearborn, Floor L2, Chicago, Illinois 60603, Attention: Ashley Goad; Telephone (312) 732-2467; Fax:</w:t>
      </w:r>
    </w:p>
    <w:p>
      <w:pPr>
        <w:spacing w:after="0" w:line="1" w:lineRule="exact"/>
        <w:rPr>
          <w:rFonts w:ascii="Arial" w:cs="Arial" w:eastAsia="Arial" w:hAnsi="Arial"/>
          <w:sz w:val="15"/>
          <w:szCs w:val="15"/>
          <w:color w:val="auto"/>
        </w:rPr>
      </w:pPr>
    </w:p>
    <w:p>
      <w:pPr>
        <w:ind w:left="960" w:hanging="423"/>
        <w:spacing w:after="0"/>
        <w:tabs>
          <w:tab w:leader="none" w:pos="9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235-1788; Email: </w:t>
      </w:r>
      <w:r>
        <w:rPr>
          <w:rFonts w:ascii="Arial" w:cs="Arial" w:eastAsia="Arial" w:hAnsi="Arial"/>
          <w:sz w:val="18"/>
          <w:szCs w:val="18"/>
          <w:u w:val="single" w:color="auto"/>
          <w:color w:val="0000FF"/>
        </w:rPr>
        <w:t>CLS.CAD.Chicago@jpmorgan.com</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540" w:right="240" w:firstLine="526"/>
        <w:spacing w:after="0" w:line="300" w:lineRule="auto"/>
        <w:tabs>
          <w:tab w:leader="none" w:pos="1862" w:val="left"/>
        </w:tabs>
        <w:numPr>
          <w:ilvl w:val="1"/>
          <w:numId w:val="126"/>
        </w:numPr>
        <w:rPr>
          <w:rFonts w:ascii="Arial" w:cs="Arial" w:eastAsia="Arial" w:hAnsi="Arial"/>
          <w:sz w:val="15"/>
          <w:szCs w:val="15"/>
          <w:color w:val="auto"/>
        </w:rPr>
      </w:pPr>
      <w:r>
        <w:rPr>
          <w:rFonts w:ascii="Arial" w:cs="Arial" w:eastAsia="Arial" w:hAnsi="Arial"/>
          <w:sz w:val="15"/>
          <w:szCs w:val="15"/>
          <w:color w:val="auto"/>
        </w:rPr>
        <w:t>if to the Administrative Agent or Issuing Bank in respect of Loans or Letters of Credit in Foreign Currencies (other than Canadian Dollars), to J.P. Morgan Europe, Loan and Agency Group, 25 Bank Street, Canary Wharf, London E14 5JP, Telephone +44 (0) 20 7742 1000; Fax: +44</w:t>
      </w:r>
    </w:p>
    <w:p>
      <w:pPr>
        <w:spacing w:after="0" w:line="1" w:lineRule="exact"/>
        <w:rPr>
          <w:rFonts w:ascii="Arial" w:cs="Arial" w:eastAsia="Arial" w:hAnsi="Arial"/>
          <w:sz w:val="15"/>
          <w:szCs w:val="15"/>
          <w:color w:val="auto"/>
        </w:rPr>
      </w:pPr>
    </w:p>
    <w:p>
      <w:pPr>
        <w:ind w:left="780" w:hanging="243"/>
        <w:spacing w:after="0"/>
        <w:tabs>
          <w:tab w:leader="none" w:pos="7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20 7777 2360, E-Fax: </w:t>
      </w:r>
      <w:r>
        <w:rPr>
          <w:rFonts w:ascii="Arial" w:cs="Arial" w:eastAsia="Arial" w:hAnsi="Arial"/>
          <w:sz w:val="18"/>
          <w:szCs w:val="18"/>
          <w:u w:val="single" w:color="auto"/>
          <w:color w:val="0000FF"/>
        </w:rPr>
        <w:t>12016395145@tls.ldsprod.com</w:t>
      </w:r>
      <w:r>
        <w:rPr>
          <w:rFonts w:ascii="Arial" w:cs="Arial" w:eastAsia="Arial" w:hAnsi="Arial"/>
          <w:sz w:val="18"/>
          <w:szCs w:val="18"/>
          <w:color w:val="auto"/>
        </w:rPr>
        <w:t xml:space="preserve">; Email: </w:t>
      </w:r>
      <w:r>
        <w:rPr>
          <w:rFonts w:ascii="Arial" w:cs="Arial" w:eastAsia="Arial" w:hAnsi="Arial"/>
          <w:sz w:val="18"/>
          <w:szCs w:val="18"/>
          <w:u w:val="single" w:color="auto"/>
          <w:color w:val="0000FF"/>
        </w:rPr>
        <w:t>loan_and_agency_london@jpmorgan.com</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jc w:val="both"/>
        <w:ind w:left="540" w:firstLine="526"/>
        <w:spacing w:after="0" w:line="297" w:lineRule="auto"/>
        <w:tabs>
          <w:tab w:leader="none" w:pos="1853" w:val="left"/>
        </w:tabs>
        <w:numPr>
          <w:ilvl w:val="1"/>
          <w:numId w:val="127"/>
        </w:numPr>
        <w:rPr>
          <w:rFonts w:ascii="Arial" w:cs="Arial" w:eastAsia="Arial" w:hAnsi="Arial"/>
          <w:sz w:val="15"/>
          <w:szCs w:val="15"/>
          <w:color w:val="auto"/>
        </w:rPr>
      </w:pPr>
      <w:r>
        <w:rPr>
          <w:rFonts w:ascii="Arial" w:cs="Arial" w:eastAsia="Arial" w:hAnsi="Arial"/>
          <w:sz w:val="15"/>
          <w:szCs w:val="15"/>
          <w:color w:val="auto"/>
        </w:rPr>
        <w:t xml:space="preserve">if to the Administrative Agent in respect of any other matter, to JPMorgan Chase Bank, N.A., 110 W. 7th Street, 17th Floor, Tulsa, Oklahoma 74119, Attention: Kyle King; Telephone (918) 586-5088; Fax (918) 586-5474; Email: </w:t>
      </w:r>
      <w:r>
        <w:rPr>
          <w:rFonts w:ascii="Arial" w:cs="Arial" w:eastAsia="Arial" w:hAnsi="Arial"/>
          <w:sz w:val="15"/>
          <w:szCs w:val="15"/>
          <w:u w:val="single" w:color="auto"/>
          <w:color w:val="0000FF"/>
        </w:rPr>
        <w:t>johnathan.k.king@chase.com</w:t>
      </w:r>
      <w:r>
        <w:rPr>
          <w:rFonts w:ascii="Arial" w:cs="Arial" w:eastAsia="Arial" w:hAnsi="Arial"/>
          <w:sz w:val="15"/>
          <w:szCs w:val="15"/>
          <w:color w:val="auto"/>
        </w:rPr>
        <w:t>; and JPMorgan Chase Bank, N.A., 100 N. Broadway, 4th Floor (OK-1070), Oklahoma City, Oklahoma 73102-8606, Attention: David Jackson; Telephone: (405) 231-6566; Fax:</w:t>
      </w:r>
    </w:p>
    <w:p>
      <w:pPr>
        <w:spacing w:after="0" w:line="1" w:lineRule="exact"/>
        <w:rPr>
          <w:rFonts w:ascii="Arial" w:cs="Arial" w:eastAsia="Arial" w:hAnsi="Arial"/>
          <w:sz w:val="15"/>
          <w:szCs w:val="15"/>
          <w:color w:val="auto"/>
        </w:rPr>
      </w:pPr>
    </w:p>
    <w:p>
      <w:pPr>
        <w:ind w:left="960" w:hanging="423"/>
        <w:spacing w:after="0"/>
        <w:tabs>
          <w:tab w:leader="none" w:pos="9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231 6758; Email: </w:t>
      </w:r>
      <w:r>
        <w:rPr>
          <w:rFonts w:ascii="Arial" w:cs="Arial" w:eastAsia="Arial" w:hAnsi="Arial"/>
          <w:sz w:val="18"/>
          <w:szCs w:val="18"/>
          <w:u w:val="single" w:color="auto"/>
          <w:color w:val="0000FF"/>
        </w:rPr>
        <w:t>david.al.jackson@chase.com</w:t>
      </w:r>
      <w:r>
        <w:rPr>
          <w:rFonts w:ascii="Arial" w:cs="Arial" w:eastAsia="Arial" w:hAnsi="Arial"/>
          <w:sz w:val="18"/>
          <w:szCs w:val="18"/>
          <w:color w:val="auto"/>
        </w:rPr>
        <w:t>; and</w:t>
      </w:r>
    </w:p>
    <w:p>
      <w:pPr>
        <w:spacing w:after="0" w:line="198" w:lineRule="exact"/>
        <w:rPr>
          <w:rFonts w:ascii="Arial" w:cs="Arial" w:eastAsia="Arial" w:hAnsi="Arial"/>
          <w:sz w:val="18"/>
          <w:szCs w:val="18"/>
          <w:color w:val="auto"/>
        </w:rPr>
      </w:pPr>
    </w:p>
    <w:p>
      <w:pPr>
        <w:ind w:left="1800" w:hanging="734"/>
        <w:spacing w:after="0"/>
        <w:tabs>
          <w:tab w:leader="none" w:pos="180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if to any other Lender, to it at its address (or fax number) set forth in its Administrative Questionnaire.</w:t>
      </w:r>
    </w:p>
    <w:p>
      <w:pPr>
        <w:spacing w:after="0" w:line="212" w:lineRule="exact"/>
        <w:rPr>
          <w:sz w:val="20"/>
          <w:szCs w:val="20"/>
          <w:color w:val="auto"/>
        </w:rPr>
      </w:pPr>
    </w:p>
    <w:p>
      <w:pPr>
        <w:jc w:val="both"/>
        <w:ind w:firstLine="537"/>
        <w:spacing w:after="0" w:line="252" w:lineRule="auto"/>
        <w:tabs>
          <w:tab w:leader="none" w:pos="126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Notices and other communications to the Lenders and the Administrative Agent hereunder may be delivered or furnished by electronic communications (</w:t>
      </w:r>
      <w:r>
        <w:rPr>
          <w:rFonts w:ascii="Arial" w:cs="Arial" w:eastAsia="Arial" w:hAnsi="Arial"/>
          <w:sz w:val="18"/>
          <w:szCs w:val="18"/>
          <w:i w:val="1"/>
          <w:iCs w:val="1"/>
          <w:color w:val="auto"/>
        </w:rPr>
        <w:t>e.g.</w:t>
      </w:r>
      <w:r>
        <w:rPr>
          <w:rFonts w:ascii="Arial" w:cs="Arial" w:eastAsia="Arial" w:hAnsi="Arial"/>
          <w:sz w:val="18"/>
          <w:szCs w:val="18"/>
          <w:color w:val="auto"/>
        </w:rPr>
        <w:t xml:space="preserve"> email);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unless otherwise agreed by the Administrative Agent and the applicable Lender.</w:t>
      </w:r>
    </w:p>
    <w:p>
      <w:pPr>
        <w:spacing w:after="0" w:line="185" w:lineRule="exact"/>
        <w:rPr>
          <w:rFonts w:ascii="Arial" w:cs="Arial" w:eastAsia="Arial" w:hAnsi="Arial"/>
          <w:sz w:val="18"/>
          <w:szCs w:val="18"/>
          <w:color w:val="auto"/>
        </w:rPr>
      </w:pPr>
    </w:p>
    <w:p>
      <w:pPr>
        <w:jc w:val="both"/>
        <w:ind w:firstLine="537"/>
        <w:spacing w:after="0" w:line="274" w:lineRule="auto"/>
        <w:tabs>
          <w:tab w:leader="none" w:pos="1254"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 or with respect to notices or communications given by electronic communications, on the date of transmission.</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Waivers; Amendments</w:t>
      </w:r>
      <w:r>
        <w:rPr>
          <w:rFonts w:ascii="Arial" w:cs="Arial" w:eastAsia="Arial" w:hAnsi="Arial"/>
          <w:sz w:val="18"/>
          <w:szCs w:val="18"/>
          <w:color w:val="auto"/>
        </w:rPr>
        <w:t>.</w:t>
      </w:r>
    </w:p>
    <w:p>
      <w:pPr>
        <w:spacing w:after="0" w:line="212" w:lineRule="exact"/>
        <w:rPr>
          <w:sz w:val="20"/>
          <w:szCs w:val="20"/>
          <w:color w:val="auto"/>
        </w:rPr>
      </w:pPr>
    </w:p>
    <w:p>
      <w:pPr>
        <w:jc w:val="both"/>
        <w:ind w:firstLine="537"/>
        <w:spacing w:after="0" w:line="303" w:lineRule="auto"/>
        <w:tabs>
          <w:tab w:leader="none" w:pos="1254" w:val="left"/>
        </w:tabs>
        <w:numPr>
          <w:ilvl w:val="0"/>
          <w:numId w:val="130"/>
        </w:numPr>
        <w:rPr>
          <w:rFonts w:ascii="Arial" w:cs="Arial" w:eastAsia="Arial" w:hAnsi="Arial"/>
          <w:sz w:val="15"/>
          <w:szCs w:val="15"/>
          <w:color w:val="auto"/>
        </w:rPr>
      </w:pPr>
      <w:r>
        <w:rPr>
          <w:rFonts w:ascii="Arial" w:cs="Arial" w:eastAsia="Arial" w:hAnsi="Arial"/>
          <w:sz w:val="15"/>
          <w:szCs w:val="15"/>
          <w:color w:val="auto"/>
        </w:rPr>
        <w:t xml:space="preserve">No failure or delay by the Administrative Agent, the Issuing Bank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 and the Lenders hereunder are cumulative and are not exclusive of any rights or remedies that they would otherwise have. No waiver of any provision of this Agreement or consent to any departure by the Borrowers therefrom shall in any event be effective unless the same shall be permitted by paragraph </w:t>
      </w:r>
      <w:r>
        <w:rPr>
          <w:rFonts w:ascii="Arial" w:cs="Arial" w:eastAsia="Arial" w:hAnsi="Arial"/>
          <w:sz w:val="15"/>
          <w:szCs w:val="15"/>
          <w:u w:val="single" w:color="auto"/>
          <w:color w:val="auto"/>
        </w:rPr>
        <w:t>(b)</w:t>
      </w:r>
      <w:r>
        <w:rPr>
          <w:rFonts w:ascii="Arial" w:cs="Arial" w:eastAsia="Arial" w:hAnsi="Arial"/>
          <w:sz w:val="15"/>
          <w:szCs w:val="15"/>
          <w:color w:val="auto"/>
        </w:rPr>
        <w:t xml:space="preserve">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84</w:t>
      </w:r>
    </w:p>
    <w:p>
      <w:pPr>
        <w:sectPr>
          <w:pgSz w:w="11900" w:h="16838" w:orient="portrait"/>
          <w:cols w:equalWidth="0" w:num="1">
            <w:col w:w="11460"/>
          </w:cols>
          <w:pgMar w:left="220" w:top="508" w:right="21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of whether the Administrative Agent, any Lender or the Issuing Bank may have had notice or knowledge of such Default at the time.</w:t>
      </w:r>
    </w:p>
    <w:p>
      <w:pPr>
        <w:spacing w:after="0" w:line="212" w:lineRule="exact"/>
        <w:rPr>
          <w:sz w:val="20"/>
          <w:szCs w:val="20"/>
          <w:color w:val="auto"/>
        </w:rPr>
      </w:pPr>
    </w:p>
    <w:p>
      <w:pPr>
        <w:jc w:val="both"/>
        <w:ind w:firstLine="537"/>
        <w:spacing w:after="0" w:line="297" w:lineRule="auto"/>
        <w:tabs>
          <w:tab w:leader="none" w:pos="1264" w:val="left"/>
        </w:tabs>
        <w:numPr>
          <w:ilvl w:val="0"/>
          <w:numId w:val="131"/>
        </w:numPr>
        <w:rPr>
          <w:rFonts w:ascii="Arial" w:cs="Arial" w:eastAsia="Arial" w:hAnsi="Arial"/>
          <w:sz w:val="15"/>
          <w:szCs w:val="15"/>
          <w:color w:val="auto"/>
        </w:rPr>
      </w:pPr>
      <w:r>
        <w:rPr>
          <w:rFonts w:ascii="Arial" w:cs="Arial" w:eastAsia="Arial" w:hAnsi="Arial"/>
          <w:sz w:val="15"/>
          <w:szCs w:val="15"/>
          <w:color w:val="auto"/>
        </w:rPr>
        <w:t xml:space="preserve">Neither this Agreement nor any provision hereof may be waived, amended or modified except pursuant to an agreement or agreements in writing entered into by the Borrowers and the Required Lenders or by the Borrowers and the Administrative Agent with the written consent of the Required Lenders;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such agreement shall (i) increase the Revolving Commitment of any Lender without the written consent of such Lender, (ii) reduce the principal amount of any Loan or LC Disbursement or reduce the rate of interest thereon, or reduce any fees payable hereunder, without the written consent of each Lender affected thereby, (iii) postpone the scheduled date of payment of the principal amount of any Loan or LC Disbursement, or any interest thereon, or any fees payable hereunder, or reduce the amount of, waive or excuse any such payment, or postpone the scheduled date of expiration of any Revolving Commitment, without the written consent of each Lender affected thereby, (iv) change </w:t>
      </w:r>
      <w:r>
        <w:rPr>
          <w:rFonts w:ascii="Arial" w:cs="Arial" w:eastAsia="Arial" w:hAnsi="Arial"/>
          <w:sz w:val="15"/>
          <w:szCs w:val="15"/>
          <w:u w:val="single" w:color="auto"/>
          <w:color w:val="auto"/>
        </w:rPr>
        <w:t>Section 2.18(b)</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(c)</w:t>
      </w:r>
      <w:r>
        <w:rPr>
          <w:rFonts w:ascii="Arial" w:cs="Arial" w:eastAsia="Arial" w:hAnsi="Arial"/>
          <w:sz w:val="15"/>
          <w:szCs w:val="15"/>
          <w:color w:val="auto"/>
        </w:rPr>
        <w:t xml:space="preserve"> in a manner that would alter the sharing of payments required thereby, without the written consent of each Lender, (v) change any of the provisions of this Section or the definition of “Required Lenders” or any other provision hereof specifying the number or percentage of the Lenders required to waive, amend or modify any rights hereunder or make any determination or grant any consent hereunder, without the written consent of each Lender, (vi) release any Borrower from its Guarantee under </w:t>
      </w:r>
      <w:r>
        <w:rPr>
          <w:rFonts w:ascii="Arial" w:cs="Arial" w:eastAsia="Arial" w:hAnsi="Arial"/>
          <w:sz w:val="15"/>
          <w:szCs w:val="15"/>
          <w:u w:val="single" w:color="auto"/>
          <w:color w:val="auto"/>
        </w:rPr>
        <w:t>Article X</w:t>
      </w:r>
      <w:r>
        <w:rPr>
          <w:rFonts w:ascii="Arial" w:cs="Arial" w:eastAsia="Arial" w:hAnsi="Arial"/>
          <w:sz w:val="15"/>
          <w:szCs w:val="15"/>
          <w:color w:val="auto"/>
        </w:rPr>
        <w:t xml:space="preserve">, release any </w:t>
      </w:r>
      <w:r>
        <w:rPr>
          <w:rFonts w:ascii="Arial" w:cs="Arial" w:eastAsia="Arial" w:hAnsi="Arial"/>
          <w:sz w:val="14"/>
          <w:szCs w:val="14"/>
          <w:color w:val="auto"/>
        </w:rPr>
        <w:t>Subsidiary</w:t>
      </w:r>
      <w:r>
        <w:rPr>
          <w:rFonts w:ascii="Arial" w:cs="Arial" w:eastAsia="Arial" w:hAnsi="Arial"/>
          <w:sz w:val="15"/>
          <w:szCs w:val="15"/>
          <w:color w:val="auto"/>
        </w:rPr>
        <w:t xml:space="preserve"> Guarantor from any Subsidiary Guaranty or release the Liens on a substantial part of the Collateral except in accordance with the terms of any Loan Document, in each case, without the written consent of each Lender or (vii) amend the definition of “Foreign Currency” to add a new currency or permit any non-U.S. Person to become a “Foreign Borrower” hereunder, in each case, without the written consent of each Lender;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no such agreement shall amend, modify or otherwise affect the rights or duties of the Administrative Agent, the Issuing Bank or the Swingline Lender hereunder without the prior written consent of the Administrative Agent, the Issuing Bank or the Swingline Lender, as the case may be.</w:t>
      </w:r>
    </w:p>
    <w:p>
      <w:pPr>
        <w:spacing w:after="0" w:line="37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Expenses; Indemnity; Damage Waiver</w:t>
      </w:r>
      <w:r>
        <w:rPr>
          <w:rFonts w:ascii="Arial" w:cs="Arial" w:eastAsia="Arial" w:hAnsi="Arial"/>
          <w:sz w:val="18"/>
          <w:szCs w:val="18"/>
          <w:color w:val="auto"/>
        </w:rPr>
        <w:t>.</w:t>
      </w:r>
    </w:p>
    <w:p>
      <w:pPr>
        <w:spacing w:after="0" w:line="212" w:lineRule="exact"/>
        <w:rPr>
          <w:sz w:val="20"/>
          <w:szCs w:val="20"/>
          <w:color w:val="auto"/>
        </w:rPr>
      </w:pPr>
    </w:p>
    <w:p>
      <w:pPr>
        <w:jc w:val="both"/>
        <w:ind w:firstLine="537"/>
        <w:spacing w:after="0" w:line="263" w:lineRule="auto"/>
        <w:tabs>
          <w:tab w:leader="none" w:pos="1221" w:val="left"/>
        </w:tabs>
        <w:numPr>
          <w:ilvl w:val="0"/>
          <w:numId w:val="132"/>
        </w:numPr>
        <w:rPr>
          <w:rFonts w:ascii="Arial" w:cs="Arial" w:eastAsia="Arial" w:hAnsi="Arial"/>
          <w:sz w:val="14"/>
          <w:szCs w:val="14"/>
          <w:color w:val="auto"/>
        </w:rPr>
      </w:pPr>
      <w:r>
        <w:rPr>
          <w:rFonts w:ascii="Arial" w:cs="Arial" w:eastAsia="Arial" w:hAnsi="Arial"/>
          <w:sz w:val="17"/>
          <w:szCs w:val="17"/>
          <w:color w:val="auto"/>
        </w:rPr>
        <w:t>The Borrowers shall pay (i) all reasonable out-of-pocket expenses incurred by the Administrative Agent and its Affiliates, including the reasonable fees, charges and disbursements of counsel for the Administrative Agent, in connection with the syndication of the credit facilities provided for herein, the preparation and administration of this Agreement or any amendments, modifications or waivers of the provisions hereof (whether or not the transactions contemplated hereby or thereby shall be consummated), (ii) all reasonable out-of-pocket expenses incurred by the Issuing Bank in connection with the issuance, amendment, renewal or extension of any Letter of Credit or any demand for payment thereunder and (iii) all out-of-pocket expenses incurred by the Administrative Agent, the Issuing Bank or any Lender, including the fees, charges and disbursements of any counsel for the Administrative Agent, the Issuing Bank or any Lender, in connection with the enforcement or protection of its rights in connection with this Agreement, including its rights under this Section, or in connection with the Loans made or Letters of Credit issued hereunder, including all such out-of-pocket expenses incurred during any workout, restructuring or negotiations in respect of such Loans or Letters of Credit.</w:t>
      </w:r>
    </w:p>
    <w:p>
      <w:pPr>
        <w:spacing w:after="0" w:line="177" w:lineRule="exact"/>
        <w:rPr>
          <w:rFonts w:ascii="Arial" w:cs="Arial" w:eastAsia="Arial" w:hAnsi="Arial"/>
          <w:sz w:val="14"/>
          <w:szCs w:val="14"/>
          <w:color w:val="auto"/>
        </w:rPr>
      </w:pPr>
    </w:p>
    <w:p>
      <w:pPr>
        <w:jc w:val="both"/>
        <w:ind w:firstLine="537"/>
        <w:spacing w:after="0" w:line="309" w:lineRule="auto"/>
        <w:tabs>
          <w:tab w:leader="none" w:pos="1264" w:val="left"/>
        </w:tabs>
        <w:numPr>
          <w:ilvl w:val="0"/>
          <w:numId w:val="132"/>
        </w:numPr>
        <w:rPr>
          <w:rFonts w:ascii="Arial" w:cs="Arial" w:eastAsia="Arial" w:hAnsi="Arial"/>
          <w:sz w:val="15"/>
          <w:szCs w:val="15"/>
          <w:color w:val="auto"/>
        </w:rPr>
      </w:pPr>
      <w:r>
        <w:rPr>
          <w:rFonts w:ascii="Arial" w:cs="Arial" w:eastAsia="Arial" w:hAnsi="Arial"/>
          <w:sz w:val="15"/>
          <w:szCs w:val="15"/>
          <w:color w:val="auto"/>
        </w:rPr>
        <w:t>The Borrowers shall indemnify the Administrative Agent, the Issuing Bank and each Lender, and each Related Party of any of the foregoing Persons (each such Person being called an “</w:t>
      </w:r>
      <w:r>
        <w:rPr>
          <w:rFonts w:ascii="Arial" w:cs="Arial" w:eastAsia="Arial" w:hAnsi="Arial"/>
          <w:sz w:val="15"/>
          <w:szCs w:val="15"/>
          <w:u w:val="single" w:color="auto"/>
          <w:color w:val="auto"/>
        </w:rPr>
        <w:t>Indemnitee</w:t>
      </w:r>
      <w:r>
        <w:rPr>
          <w:rFonts w:ascii="Arial" w:cs="Arial" w:eastAsia="Arial" w:hAnsi="Arial"/>
          <w:sz w:val="15"/>
          <w:szCs w:val="15"/>
          <w:color w:val="auto"/>
        </w:rPr>
        <w:t>”) against, and hold each Indemnitee harmless from, any and all losses, claims, damages, liabilities and related expenses, including the fees, charges and disbursements of any counsel for any Indemnitee, incurred by or asserted against any Indemnitee arising out of, in connection with, or as a result of (i) the execution or delivery of this Agreement or any agreement or instrument contemplated hereby, the performance by the parties hereto of their respective obligations hereunder or the consummation of the Transactions or any other transactions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85</w:t>
      </w:r>
    </w:p>
    <w:p>
      <w:pPr>
        <w:sectPr>
          <w:pgSz w:w="11900" w:h="16838" w:orient="portrait"/>
          <w:cols w:equalWidth="0" w:num="1">
            <w:col w:w="11460"/>
          </w:cols>
          <w:pgMar w:left="220" w:top="509" w:right="219" w:bottom="1440" w:gutter="0" w:footer="0" w:header="0"/>
        </w:sectPr>
      </w:pPr>
    </w:p>
    <w:bookmarkStart w:id="146" w:name="page147"/>
    <w:bookmarkEnd w:id="146"/>
    <w:p>
      <w:pPr>
        <w:jc w:val="both"/>
        <w:spacing w:after="0" w:line="300" w:lineRule="auto"/>
        <w:rPr>
          <w:sz w:val="20"/>
          <w:szCs w:val="20"/>
          <w:color w:val="auto"/>
        </w:rPr>
      </w:pPr>
      <w:r>
        <w:rPr>
          <w:rFonts w:ascii="Arial" w:cs="Arial" w:eastAsia="Arial" w:hAnsi="Arial"/>
          <w:sz w:val="15"/>
          <w:szCs w:val="15"/>
          <w:color w:val="auto"/>
        </w:rPr>
        <w:t>contemplated hereby,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w:t>
      </w:r>
    </w:p>
    <w:p>
      <w:pPr>
        <w:spacing w:after="0" w:line="1" w:lineRule="exact"/>
        <w:rPr>
          <w:sz w:val="20"/>
          <w:szCs w:val="20"/>
          <w:color w:val="auto"/>
        </w:rPr>
      </w:pPr>
    </w:p>
    <w:p>
      <w:pPr>
        <w:jc w:val="both"/>
        <w:ind w:firstLine="8"/>
        <w:spacing w:after="0" w:line="297" w:lineRule="auto"/>
        <w:tabs>
          <w:tab w:leader="none" w:pos="318" w:val="left"/>
        </w:tabs>
        <w:numPr>
          <w:ilvl w:val="0"/>
          <w:numId w:val="133"/>
        </w:numPr>
        <w:rPr>
          <w:rFonts w:ascii="Arial" w:cs="Arial" w:eastAsia="Arial" w:hAnsi="Arial"/>
          <w:sz w:val="15"/>
          <w:szCs w:val="15"/>
          <w:color w:val="auto"/>
        </w:rPr>
      </w:pPr>
      <w:r>
        <w:rPr>
          <w:rFonts w:ascii="Arial" w:cs="Arial" w:eastAsia="Arial" w:hAnsi="Arial"/>
          <w:sz w:val="15"/>
          <w:szCs w:val="15"/>
          <w:color w:val="auto"/>
        </w:rPr>
        <w:t xml:space="preserve">any actual or alleged presence or release of Hazardous Materials on or from any property owned or operated by the Company or any of its Subsidiaries, or any Environmental Liability related in any way to the Company or any of its Subsidiaries, or (iv) any actual or prospective claim, litigation, investigation or proceeding relating to any of the foregoing, whether based on contract, tort or any other theory and regardless of whether any Indemnitee is a party thereto, and regardless of whether such claim, litigation, investigation or proceeding is brought by any Borrower or any Subsidiary Guarantor, their respective equity holders, their respective Affiliates, their respective creditors or any other Person;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indemnity shall not, as to any Indemnitee, be available to the extent that such losses, claims, damages, liabilities or related expenses (A) are determined by a court of competent jurisdiction by final and non-appealable judgment to have resulted from the gross negligence or willful misconduct of such Indemnitee or (B) result from a claim brought by the Company or any other Credit Party against an Indemnitee for breach in bad faith of such Indemnitee’s obligations hereunder or under any other Loan Document, if the Company or such Credit Party has obtained a final and nonappealable judgment in its favor on such claim as determined by a court of competent jurisdiction. This </w:t>
      </w:r>
      <w:r>
        <w:rPr>
          <w:rFonts w:ascii="Arial" w:cs="Arial" w:eastAsia="Arial" w:hAnsi="Arial"/>
          <w:sz w:val="15"/>
          <w:szCs w:val="15"/>
          <w:u w:val="single" w:color="auto"/>
          <w:color w:val="auto"/>
        </w:rPr>
        <w:t>Section 9.03(b)</w:t>
      </w:r>
      <w:r>
        <w:rPr>
          <w:rFonts w:ascii="Arial" w:cs="Arial" w:eastAsia="Arial" w:hAnsi="Arial"/>
          <w:sz w:val="15"/>
          <w:szCs w:val="15"/>
          <w:color w:val="auto"/>
        </w:rPr>
        <w:t xml:space="preserve"> shall not apply with respect to Taxes other than any Taxes that represent losses, claims, damages, liabilities or related expenses arising from any non-Tax claim.</w:t>
      </w:r>
    </w:p>
    <w:p>
      <w:pPr>
        <w:spacing w:after="0" w:line="155" w:lineRule="exact"/>
        <w:rPr>
          <w:rFonts w:ascii="Arial" w:cs="Arial" w:eastAsia="Arial" w:hAnsi="Arial"/>
          <w:sz w:val="15"/>
          <w:szCs w:val="15"/>
          <w:color w:val="auto"/>
        </w:rPr>
      </w:pPr>
    </w:p>
    <w:p>
      <w:pPr>
        <w:jc w:val="both"/>
        <w:ind w:firstLine="537"/>
        <w:spacing w:after="0" w:line="309" w:lineRule="auto"/>
        <w:tabs>
          <w:tab w:leader="none" w:pos="1254" w:val="left"/>
        </w:tabs>
        <w:numPr>
          <w:ilvl w:val="1"/>
          <w:numId w:val="133"/>
        </w:numPr>
        <w:rPr>
          <w:rFonts w:ascii="Arial" w:cs="Arial" w:eastAsia="Arial" w:hAnsi="Arial"/>
          <w:sz w:val="15"/>
          <w:szCs w:val="15"/>
          <w:color w:val="auto"/>
        </w:rPr>
      </w:pPr>
      <w:r>
        <w:rPr>
          <w:rFonts w:ascii="Arial" w:cs="Arial" w:eastAsia="Arial" w:hAnsi="Arial"/>
          <w:sz w:val="15"/>
          <w:szCs w:val="15"/>
          <w:color w:val="auto"/>
        </w:rPr>
        <w:t xml:space="preserve">To the extent that the Borrowers fail to pay any amount required to be paid to the Administrative Agent, the Issuing Bank or the Swingline Lender under paragraph </w:t>
      </w:r>
      <w:r>
        <w:rPr>
          <w:rFonts w:ascii="Arial" w:cs="Arial" w:eastAsia="Arial" w:hAnsi="Arial"/>
          <w:sz w:val="15"/>
          <w:szCs w:val="15"/>
          <w:u w:val="single" w:color="auto"/>
          <w:color w:val="auto"/>
        </w:rPr>
        <w:t>(a)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(b)</w:t>
      </w:r>
      <w:r>
        <w:rPr>
          <w:rFonts w:ascii="Arial" w:cs="Arial" w:eastAsia="Arial" w:hAnsi="Arial"/>
          <w:sz w:val="15"/>
          <w:szCs w:val="15"/>
          <w:color w:val="auto"/>
        </w:rPr>
        <w:t xml:space="preserve"> of this Section, each Lender severally agrees to pay to the Administrative Agent, the Issuing Bank or the Swingline Lender, as the case may be, such Lender’s Applicable Percentage (determined as of the time that the applicable unreimbursed expense or indemnity payment is sought) of such unpaid amount;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unreimbursed expense or indemnified loss, claim, damage, liability or related expense, as the case may be, was incurred by or asserted against the Administrative Agent, the Issuing Bank or the Swingline Lender in its capacity as such.</w:t>
      </w:r>
    </w:p>
    <w:p>
      <w:pPr>
        <w:spacing w:after="0" w:line="146" w:lineRule="exact"/>
        <w:rPr>
          <w:rFonts w:ascii="Arial" w:cs="Arial" w:eastAsia="Arial" w:hAnsi="Arial"/>
          <w:sz w:val="15"/>
          <w:szCs w:val="15"/>
          <w:color w:val="auto"/>
        </w:rPr>
      </w:pPr>
    </w:p>
    <w:p>
      <w:pPr>
        <w:jc w:val="both"/>
        <w:ind w:firstLine="537"/>
        <w:spacing w:after="0" w:line="326" w:lineRule="auto"/>
        <w:tabs>
          <w:tab w:leader="none" w:pos="1264" w:val="left"/>
        </w:tabs>
        <w:numPr>
          <w:ilvl w:val="1"/>
          <w:numId w:val="133"/>
        </w:numPr>
        <w:rPr>
          <w:rFonts w:ascii="Arial" w:cs="Arial" w:eastAsia="Arial" w:hAnsi="Arial"/>
          <w:sz w:val="15"/>
          <w:szCs w:val="15"/>
          <w:color w:val="auto"/>
        </w:rPr>
      </w:pPr>
      <w:r>
        <w:rPr>
          <w:rFonts w:ascii="Arial" w:cs="Arial" w:eastAsia="Arial" w:hAnsi="Arial"/>
          <w:sz w:val="15"/>
          <w:szCs w:val="15"/>
          <w:color w:val="auto"/>
        </w:rPr>
        <w:t>To the extent permitted by applicable law, the Borrowers shall not assert, and hereby waives, any claim against any Indemnitee,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w:t>
      </w:r>
    </w:p>
    <w:p>
      <w:pPr>
        <w:spacing w:after="0" w:line="134" w:lineRule="exact"/>
        <w:rPr>
          <w:rFonts w:ascii="Arial" w:cs="Arial" w:eastAsia="Arial" w:hAnsi="Arial"/>
          <w:sz w:val="15"/>
          <w:szCs w:val="15"/>
          <w:color w:val="auto"/>
        </w:rPr>
      </w:pPr>
    </w:p>
    <w:p>
      <w:pPr>
        <w:ind w:left="1260" w:hanging="723"/>
        <w:spacing w:after="0"/>
        <w:tabs>
          <w:tab w:leader="none" w:pos="126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All amounts due under this Section shall be payable not later than five (5) days after written demand therefor.</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212" w:lineRule="exact"/>
        <w:rPr>
          <w:sz w:val="20"/>
          <w:szCs w:val="20"/>
          <w:color w:val="auto"/>
        </w:rPr>
      </w:pPr>
    </w:p>
    <w:p>
      <w:pPr>
        <w:jc w:val="both"/>
        <w:ind w:firstLine="537"/>
        <w:spacing w:after="0" w:line="303" w:lineRule="auto"/>
        <w:tabs>
          <w:tab w:leader="none" w:pos="1254" w:val="left"/>
        </w:tabs>
        <w:numPr>
          <w:ilvl w:val="0"/>
          <w:numId w:val="134"/>
        </w:numPr>
        <w:rPr>
          <w:rFonts w:ascii="Arial" w:cs="Arial" w:eastAsia="Arial" w:hAnsi="Arial"/>
          <w:sz w:val="15"/>
          <w:szCs w:val="15"/>
          <w:color w:val="auto"/>
        </w:rPr>
      </w:pPr>
      <w:r>
        <w:rPr>
          <w:rFonts w:ascii="Arial" w:cs="Arial" w:eastAsia="Arial" w:hAnsi="Arial"/>
          <w:sz w:val="15"/>
          <w:szCs w:val="15"/>
          <w:color w:val="auto"/>
        </w:rPr>
        <w:t xml:space="preserve">The provisions of this Agreement shall be binding upon and inure to the benefit of the parties hereto and their respective successors and assigns permitted hereby (including any Affiliate of the Issuing Bank that issues any Letter of Credit), except that (i) the Borrowers may not assign or otherwise transfer any of their respective rights or obligations hereunder without the prior written consent of each Lender (and any attempted assignment or transfer by any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paragraph </w:t>
      </w:r>
      <w:r>
        <w:rPr>
          <w:rFonts w:ascii="Arial" w:cs="Arial" w:eastAsia="Arial" w:hAnsi="Arial"/>
          <w:sz w:val="15"/>
          <w:szCs w:val="15"/>
          <w:u w:val="single" w:color="auto"/>
          <w:color w:val="auto"/>
        </w:rPr>
        <w:t>(c)</w:t>
      </w:r>
      <w:r>
        <w:rPr>
          <w:rFonts w:ascii="Arial" w:cs="Arial" w:eastAsia="Arial" w:hAnsi="Arial"/>
          <w:sz w:val="15"/>
          <w:szCs w:val="15"/>
          <w:color w:val="auto"/>
        </w:rPr>
        <w:t xml:space="preserve"> of this Section) and, to the extent expressly contemplated hereby, the Related Parties of each of the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86</w:t>
      </w:r>
    </w:p>
    <w:p>
      <w:pPr>
        <w:sectPr>
          <w:pgSz w:w="11900" w:h="16838" w:orient="portrait"/>
          <w:cols w:equalWidth="0" w:num="1">
            <w:col w:w="11460"/>
          </w:cols>
          <w:pgMar w:left="220" w:top="508" w:right="21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t>Administrative Agent, the Issuing Bank and the Lenders) any legal or equitable right, remedy or claim under or by reason of this Agreement.</w:t>
      </w:r>
    </w:p>
    <w:p>
      <w:pPr>
        <w:spacing w:after="0" w:line="212" w:lineRule="exact"/>
        <w:rPr>
          <w:sz w:val="20"/>
          <w:szCs w:val="20"/>
          <w:color w:val="auto"/>
        </w:rPr>
      </w:pPr>
    </w:p>
    <w:p>
      <w:pPr>
        <w:jc w:val="both"/>
        <w:ind w:firstLine="537"/>
        <w:spacing w:after="0" w:line="252" w:lineRule="auto"/>
        <w:tabs>
          <w:tab w:leader="none" w:pos="126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(i) Subject to the conditions set forth in paragraph </w:t>
      </w:r>
      <w:r>
        <w:rPr>
          <w:rFonts w:ascii="Arial" w:cs="Arial" w:eastAsia="Arial" w:hAnsi="Arial"/>
          <w:sz w:val="18"/>
          <w:szCs w:val="18"/>
          <w:u w:val="single" w:color="auto"/>
          <w:color w:val="auto"/>
        </w:rPr>
        <w:t>(b)(ii)</w:t>
      </w:r>
      <w:r>
        <w:rPr>
          <w:rFonts w:ascii="Arial" w:cs="Arial" w:eastAsia="Arial" w:hAnsi="Arial"/>
          <w:sz w:val="18"/>
          <w:szCs w:val="18"/>
          <w:color w:val="auto"/>
        </w:rPr>
        <w:t xml:space="preserve"> below, any Lender may assign to one or more assignees all or a portion of its rights and obligations under this Agreement (including all or a portion of its Revolving Commitment (if any) and the Loans at the time owing to it) with the prior written consent (such consent not to be unreasonably withheld) of:</w:t>
      </w:r>
    </w:p>
    <w:p>
      <w:pPr>
        <w:spacing w:after="0" w:line="185" w:lineRule="exact"/>
        <w:rPr>
          <w:rFonts w:ascii="Arial" w:cs="Arial" w:eastAsia="Arial" w:hAnsi="Arial"/>
          <w:sz w:val="18"/>
          <w:szCs w:val="18"/>
          <w:color w:val="auto"/>
        </w:rPr>
      </w:pPr>
    </w:p>
    <w:p>
      <w:pPr>
        <w:jc w:val="both"/>
        <w:ind w:left="1060" w:firstLine="535"/>
        <w:spacing w:after="0" w:line="249" w:lineRule="auto"/>
        <w:tabs>
          <w:tab w:leader="none" w:pos="2363" w:val="left"/>
        </w:tabs>
        <w:numPr>
          <w:ilvl w:val="2"/>
          <w:numId w:val="135"/>
        </w:numPr>
        <w:rPr>
          <w:rFonts w:ascii="Arial" w:cs="Arial" w:eastAsia="Arial" w:hAnsi="Arial"/>
          <w:sz w:val="18"/>
          <w:szCs w:val="18"/>
          <w:color w:val="auto"/>
        </w:rPr>
      </w:pPr>
      <w:r>
        <w:rPr>
          <w:rFonts w:ascii="Arial" w:cs="Arial" w:eastAsia="Arial" w:hAnsi="Arial"/>
          <w:sz w:val="18"/>
          <w:szCs w:val="18"/>
          <w:color w:val="auto"/>
        </w:rPr>
        <w:t xml:space="preserve">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be deemed to have consented to any such assignment unless it shall object thereto by written notice to the Administrative Agent within five Business Days after having received written notice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 consent of the Company shall be required for an assignment to a Lender, an Affiliate of a Lender, an Approved Fund or, if an Event of Default has occurred and is continuing, any other assignee;</w:t>
      </w:r>
    </w:p>
    <w:p>
      <w:pPr>
        <w:spacing w:after="0" w:line="188" w:lineRule="exact"/>
        <w:rPr>
          <w:rFonts w:ascii="Arial" w:cs="Arial" w:eastAsia="Arial" w:hAnsi="Arial"/>
          <w:sz w:val="18"/>
          <w:szCs w:val="18"/>
          <w:color w:val="auto"/>
        </w:rPr>
      </w:pPr>
    </w:p>
    <w:p>
      <w:pPr>
        <w:ind w:left="1060" w:firstLine="535"/>
        <w:spacing w:after="0" w:line="261" w:lineRule="auto"/>
        <w:tabs>
          <w:tab w:leader="none" w:pos="2353" w:val="left"/>
        </w:tabs>
        <w:numPr>
          <w:ilvl w:val="2"/>
          <w:numId w:val="135"/>
        </w:numPr>
        <w:rPr>
          <w:rFonts w:ascii="Arial" w:cs="Arial" w:eastAsia="Arial" w:hAnsi="Arial"/>
          <w:sz w:val="18"/>
          <w:szCs w:val="18"/>
          <w:color w:val="auto"/>
        </w:rPr>
      </w:pPr>
      <w:r>
        <w:rPr>
          <w:rFonts w:ascii="Arial" w:cs="Arial" w:eastAsia="Arial" w:hAnsi="Arial"/>
          <w:sz w:val="18"/>
          <w:szCs w:val="18"/>
          <w:color w:val="auto"/>
        </w:rPr>
        <w:t xml:space="preserve">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Administrative Agent shall be required for an assignment of any Revolving Commitment to an assignee that is a Lender immediately prior to giving effect to such assignment; and</w:t>
      </w:r>
    </w:p>
    <w:p>
      <w:pPr>
        <w:spacing w:after="0" w:line="178" w:lineRule="exact"/>
        <w:rPr>
          <w:rFonts w:ascii="Arial" w:cs="Arial" w:eastAsia="Arial" w:hAnsi="Arial"/>
          <w:sz w:val="18"/>
          <w:szCs w:val="18"/>
          <w:color w:val="auto"/>
        </w:rPr>
      </w:pPr>
    </w:p>
    <w:p>
      <w:pPr>
        <w:ind w:left="2360" w:hanging="765"/>
        <w:spacing w:after="0"/>
        <w:tabs>
          <w:tab w:leader="none" w:pos="2360" w:val="left"/>
        </w:tabs>
        <w:numPr>
          <w:ilvl w:val="2"/>
          <w:numId w:val="135"/>
        </w:numPr>
        <w:rPr>
          <w:rFonts w:ascii="Arial" w:cs="Arial" w:eastAsia="Arial" w:hAnsi="Arial"/>
          <w:sz w:val="18"/>
          <w:szCs w:val="18"/>
          <w:color w:val="auto"/>
        </w:rPr>
      </w:pPr>
      <w:r>
        <w:rPr>
          <w:rFonts w:ascii="Arial" w:cs="Arial" w:eastAsia="Arial" w:hAnsi="Arial"/>
          <w:sz w:val="18"/>
          <w:szCs w:val="18"/>
          <w:color w:val="auto"/>
        </w:rPr>
        <w:t>the Issuing Bank and the Swingline Lender.</w:t>
      </w:r>
    </w:p>
    <w:p>
      <w:pPr>
        <w:spacing w:after="0" w:line="211" w:lineRule="exact"/>
        <w:rPr>
          <w:rFonts w:ascii="Arial" w:cs="Arial" w:eastAsia="Arial" w:hAnsi="Arial"/>
          <w:sz w:val="18"/>
          <w:szCs w:val="18"/>
          <w:color w:val="auto"/>
        </w:rPr>
      </w:pPr>
    </w:p>
    <w:p>
      <w:pPr>
        <w:ind w:left="1820" w:hanging="754"/>
        <w:spacing w:after="0"/>
        <w:tabs>
          <w:tab w:leader="none" w:pos="18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211" w:lineRule="exact"/>
        <w:rPr>
          <w:rFonts w:ascii="Arial" w:cs="Arial" w:eastAsia="Arial" w:hAnsi="Arial"/>
          <w:sz w:val="18"/>
          <w:szCs w:val="18"/>
          <w:color w:val="auto"/>
        </w:rPr>
      </w:pPr>
    </w:p>
    <w:p>
      <w:pPr>
        <w:jc w:val="both"/>
        <w:ind w:left="1060" w:firstLine="535"/>
        <w:spacing w:after="0" w:line="245" w:lineRule="auto"/>
        <w:tabs>
          <w:tab w:leader="none" w:pos="2363" w:val="left"/>
        </w:tabs>
        <w:numPr>
          <w:ilvl w:val="2"/>
          <w:numId w:val="135"/>
        </w:numPr>
        <w:rPr>
          <w:rFonts w:ascii="Arial" w:cs="Arial" w:eastAsia="Arial" w:hAnsi="Arial"/>
          <w:sz w:val="18"/>
          <w:szCs w:val="18"/>
          <w:color w:val="auto"/>
        </w:rPr>
      </w:pPr>
      <w:r>
        <w:rPr>
          <w:rFonts w:ascii="Arial" w:cs="Arial" w:eastAsia="Arial" w:hAnsi="Arial"/>
          <w:sz w:val="18"/>
          <w:szCs w:val="18"/>
          <w:color w:val="auto"/>
        </w:rPr>
        <w:t xml:space="preserve">except in the case of an assignment to a Lender or an Affiliate of a Lender or an Approved Fund or an assignment of the entire remaining amount of the assigning Lender’s Revolving Commitment or Loans of any Class, the amount of the Revolving Commitment or Loans of the assigning Lender subject to each such assignment (determined as of the date the Assignment and Assumption with respect to such assignment is delivered to the Administrative Agent) shall not be less than the lesser of (1) $5,000,000 or (2) the remaining amount of the assigning Lender’s Revolving Commitment (calculated as of the date of such assignment), if any, and outstanding Loans, unless each of the Company and the Administrative Agent otherwise consent,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consent of the Company shall be required if an Event of Default has occurred and is continuing;</w:t>
      </w:r>
    </w:p>
    <w:p>
      <w:pPr>
        <w:spacing w:after="0" w:line="196" w:lineRule="exact"/>
        <w:rPr>
          <w:rFonts w:ascii="Arial" w:cs="Arial" w:eastAsia="Arial" w:hAnsi="Arial"/>
          <w:sz w:val="18"/>
          <w:szCs w:val="18"/>
          <w:color w:val="auto"/>
        </w:rPr>
      </w:pPr>
    </w:p>
    <w:p>
      <w:pPr>
        <w:jc w:val="both"/>
        <w:ind w:left="1060" w:firstLine="535"/>
        <w:spacing w:after="0" w:line="249" w:lineRule="auto"/>
        <w:tabs>
          <w:tab w:leader="none" w:pos="2353" w:val="left"/>
        </w:tabs>
        <w:numPr>
          <w:ilvl w:val="2"/>
          <w:numId w:val="135"/>
        </w:numPr>
        <w:rPr>
          <w:rFonts w:ascii="Arial" w:cs="Arial" w:eastAsia="Arial" w:hAnsi="Arial"/>
          <w:sz w:val="18"/>
          <w:szCs w:val="18"/>
          <w:color w:val="auto"/>
        </w:rPr>
      </w:pPr>
      <w:r>
        <w:rPr>
          <w:rFonts w:ascii="Arial" w:cs="Arial" w:eastAsia="Arial" w:hAnsi="Arial"/>
          <w:sz w:val="18"/>
          <w:szCs w:val="18"/>
          <w:color w:val="auto"/>
        </w:rPr>
        <w:t xml:space="preserve">except in the case of an assignment to a Lender, an Affiliate of a Lender or an Approved Fund, each partial assignment shall be made as an assignment of a proportionate part of all the assigning Lender’s rights and obligations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shall not be construed to prohibit the assignment of a proportionate part of all the assigning Lender’s rights and obligations in respect of one Class of Revolving Commitments or Loans;</w:t>
      </w:r>
    </w:p>
    <w:p>
      <w:pPr>
        <w:spacing w:after="0" w:line="188" w:lineRule="exact"/>
        <w:rPr>
          <w:rFonts w:ascii="Arial" w:cs="Arial" w:eastAsia="Arial" w:hAnsi="Arial"/>
          <w:sz w:val="18"/>
          <w:szCs w:val="18"/>
          <w:color w:val="auto"/>
        </w:rPr>
      </w:pPr>
    </w:p>
    <w:p>
      <w:pPr>
        <w:ind w:left="1060" w:firstLine="535"/>
        <w:spacing w:after="0" w:line="261" w:lineRule="auto"/>
        <w:tabs>
          <w:tab w:leader="none" w:pos="2353" w:val="left"/>
        </w:tabs>
        <w:numPr>
          <w:ilvl w:val="2"/>
          <w:numId w:val="135"/>
        </w:numPr>
        <w:rPr>
          <w:rFonts w:ascii="Arial" w:cs="Arial" w:eastAsia="Arial" w:hAnsi="Arial"/>
          <w:sz w:val="18"/>
          <w:szCs w:val="18"/>
          <w:color w:val="auto"/>
        </w:rPr>
      </w:pPr>
      <w:r>
        <w:rPr>
          <w:rFonts w:ascii="Arial" w:cs="Arial" w:eastAsia="Arial" w:hAnsi="Arial"/>
          <w:sz w:val="18"/>
          <w:szCs w:val="18"/>
          <w:color w:val="auto"/>
        </w:rPr>
        <w:t>the parties to each assignment shall execute and deliver to the Administrative Agent an Assignment and Assumption, together with a processing and recordation fee of $3,500;</w:t>
      </w:r>
    </w:p>
    <w:p>
      <w:pPr>
        <w:spacing w:after="0" w:line="178" w:lineRule="exact"/>
        <w:rPr>
          <w:rFonts w:ascii="Arial" w:cs="Arial" w:eastAsia="Arial" w:hAnsi="Arial"/>
          <w:sz w:val="18"/>
          <w:szCs w:val="18"/>
          <w:color w:val="auto"/>
        </w:rPr>
      </w:pPr>
    </w:p>
    <w:p>
      <w:pPr>
        <w:ind w:left="2360" w:hanging="765"/>
        <w:spacing w:after="0"/>
        <w:tabs>
          <w:tab w:leader="none" w:pos="2360" w:val="left"/>
        </w:tabs>
        <w:numPr>
          <w:ilvl w:val="2"/>
          <w:numId w:val="135"/>
        </w:numPr>
        <w:rPr>
          <w:rFonts w:ascii="Arial" w:cs="Arial" w:eastAsia="Arial" w:hAnsi="Arial"/>
          <w:sz w:val="18"/>
          <w:szCs w:val="18"/>
          <w:color w:val="auto"/>
        </w:rPr>
      </w:pPr>
      <w:r>
        <w:rPr>
          <w:rFonts w:ascii="Arial" w:cs="Arial" w:eastAsia="Arial" w:hAnsi="Arial"/>
          <w:sz w:val="18"/>
          <w:szCs w:val="18"/>
          <w:color w:val="auto"/>
        </w:rPr>
        <w:t>the assignee, if it shall not be a Lender, shall deliver to the Administrative Agent an Administrative Questionnaire;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87</w:t>
      </w:r>
    </w:p>
    <w:p>
      <w:pPr>
        <w:sectPr>
          <w:pgSz w:w="11900" w:h="16838" w:orient="portrait"/>
          <w:cols w:equalWidth="0" w:num="1">
            <w:col w:w="11460"/>
          </w:cols>
          <w:pgMar w:left="220" w:top="508" w:right="219" w:bottom="1440" w:gutter="0" w:footer="0" w:header="0"/>
        </w:sectPr>
      </w:pPr>
    </w:p>
    <w:bookmarkStart w:id="148" w:name="page149"/>
    <w:bookmarkEnd w:id="148"/>
    <w:p>
      <w:pPr>
        <w:ind w:left="520" w:firstLine="535"/>
        <w:spacing w:after="0" w:line="261" w:lineRule="auto"/>
        <w:tabs>
          <w:tab w:leader="none" w:pos="180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the assignee shall deliver to the Administrative Agent, the Withholding Agent and/or the Company, as applicable, any documentation required by subsections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2.17</w:t>
      </w:r>
      <w:r>
        <w:rPr>
          <w:rFonts w:ascii="Arial" w:cs="Arial" w:eastAsia="Arial" w:hAnsi="Arial"/>
          <w:sz w:val="18"/>
          <w:szCs w:val="18"/>
          <w:color w:val="auto"/>
        </w:rPr>
        <w:t>; and</w:t>
      </w:r>
    </w:p>
    <w:p>
      <w:pPr>
        <w:spacing w:after="0" w:line="178" w:lineRule="exact"/>
        <w:rPr>
          <w:rFonts w:ascii="Arial" w:cs="Arial" w:eastAsia="Arial" w:hAnsi="Arial"/>
          <w:sz w:val="18"/>
          <w:szCs w:val="18"/>
          <w:color w:val="auto"/>
        </w:rPr>
      </w:pPr>
    </w:p>
    <w:p>
      <w:pPr>
        <w:jc w:val="both"/>
        <w:ind w:left="520" w:firstLine="535"/>
        <w:spacing w:after="0" w:line="326" w:lineRule="auto"/>
        <w:tabs>
          <w:tab w:leader="none" w:pos="1794" w:val="left"/>
        </w:tabs>
        <w:numPr>
          <w:ilvl w:val="0"/>
          <w:numId w:val="136"/>
        </w:numPr>
        <w:rPr>
          <w:rFonts w:ascii="Arial" w:cs="Arial" w:eastAsia="Arial" w:hAnsi="Arial"/>
          <w:sz w:val="15"/>
          <w:szCs w:val="15"/>
          <w:color w:val="auto"/>
        </w:rPr>
      </w:pPr>
      <w:r>
        <w:rPr>
          <w:rFonts w:ascii="Arial" w:cs="Arial" w:eastAsia="Arial" w:hAnsi="Arial"/>
          <w:sz w:val="15"/>
          <w:szCs w:val="15"/>
          <w:color w:val="auto"/>
        </w:rPr>
        <w:t>no assignment shall be made to (1) a natural person (or a holding company, investment vehicle or trust for, or owned or operated for the primary benefit of, a natural person), (2) the Company or any of the Company’s Affiliates or Subsidiaries or (3) to any Defaulting Lender or any of its Subsidiaries, or any Person who, upon becoming a Lender hereunder, would constitute a Defaulting Lender or a Subsidiary thereof.</w:t>
      </w:r>
    </w:p>
    <w:p>
      <w:pPr>
        <w:spacing w:after="0" w:line="13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 xml:space="preserve">For the purposes of this </w:t>
      </w:r>
      <w:r>
        <w:rPr>
          <w:rFonts w:ascii="Arial" w:cs="Arial" w:eastAsia="Arial" w:hAnsi="Arial"/>
          <w:sz w:val="18"/>
          <w:szCs w:val="18"/>
          <w:u w:val="single" w:color="auto"/>
          <w:color w:val="auto"/>
        </w:rPr>
        <w:t>(b)</w:t>
      </w:r>
      <w:r>
        <w:rPr>
          <w:rFonts w:ascii="Arial" w:cs="Arial" w:eastAsia="Arial" w:hAnsi="Arial"/>
          <w:sz w:val="18"/>
          <w:szCs w:val="18"/>
          <w:color w:val="auto"/>
        </w:rPr>
        <w:t>, the term “</w:t>
      </w:r>
      <w:r>
        <w:rPr>
          <w:rFonts w:ascii="Arial" w:cs="Arial" w:eastAsia="Arial" w:hAnsi="Arial"/>
          <w:sz w:val="18"/>
          <w:szCs w:val="18"/>
          <w:u w:val="single" w:color="auto"/>
          <w:color w:val="auto"/>
        </w:rPr>
        <w:t>Approved Fund</w:t>
      </w:r>
      <w:r>
        <w:rPr>
          <w:rFonts w:ascii="Arial" w:cs="Arial" w:eastAsia="Arial" w:hAnsi="Arial"/>
          <w:sz w:val="18"/>
          <w:szCs w:val="18"/>
          <w:color w:val="auto"/>
        </w:rPr>
        <w:t>” has the following meaning:</w:t>
      </w:r>
    </w:p>
    <w:p>
      <w:pPr>
        <w:spacing w:after="0" w:line="179" w:lineRule="exact"/>
        <w:rPr>
          <w:sz w:val="20"/>
          <w:szCs w:val="20"/>
          <w:color w:val="auto"/>
        </w:rPr>
      </w:pPr>
    </w:p>
    <w:p>
      <w:pPr>
        <w:jc w:val="both"/>
        <w:ind w:left="520" w:firstLine="529"/>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53" w:lineRule="exact"/>
        <w:rPr>
          <w:sz w:val="20"/>
          <w:szCs w:val="20"/>
          <w:color w:val="auto"/>
        </w:rPr>
      </w:pPr>
    </w:p>
    <w:p>
      <w:pPr>
        <w:jc w:val="both"/>
        <w:ind w:firstLine="526"/>
        <w:spacing w:after="0" w:line="261" w:lineRule="auto"/>
        <w:tabs>
          <w:tab w:leader="none" w:pos="1322" w:val="left"/>
        </w:tabs>
        <w:numPr>
          <w:ilvl w:val="0"/>
          <w:numId w:val="137"/>
        </w:numPr>
        <w:rPr>
          <w:rFonts w:ascii="Arial" w:cs="Arial" w:eastAsia="Arial" w:hAnsi="Arial"/>
          <w:sz w:val="17"/>
          <w:szCs w:val="17"/>
          <w:color w:val="auto"/>
        </w:rPr>
      </w:pPr>
      <w:r>
        <w:rPr>
          <w:rFonts w:ascii="Arial" w:cs="Arial" w:eastAsia="Arial" w:hAnsi="Arial"/>
          <w:sz w:val="17"/>
          <w:szCs w:val="17"/>
          <w:color w:val="auto"/>
        </w:rPr>
        <w:t xml:space="preserve">Subject to acceptance and recording thereof pursuant to paragraph </w:t>
      </w:r>
      <w:r>
        <w:rPr>
          <w:rFonts w:ascii="Arial" w:cs="Arial" w:eastAsia="Arial" w:hAnsi="Arial"/>
          <w:sz w:val="17"/>
          <w:szCs w:val="17"/>
          <w:u w:val="single" w:color="auto"/>
          <w:color w:val="auto"/>
        </w:rPr>
        <w:t>(b)(iv)</w:t>
      </w:r>
      <w:r>
        <w:rPr>
          <w:rFonts w:ascii="Arial" w:cs="Arial" w:eastAsia="Arial" w:hAnsi="Arial"/>
          <w:sz w:val="17"/>
          <w:szCs w:val="17"/>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9.03</w:t>
      </w:r>
      <w:r>
        <w:rPr>
          <w:rFonts w:ascii="Arial" w:cs="Arial" w:eastAsia="Arial" w:hAnsi="Arial"/>
          <w:sz w:val="17"/>
          <w:szCs w:val="17"/>
          <w:color w:val="auto"/>
        </w:rPr>
        <w:t xml:space="preserve">). Any assignment or transfer by a Lender of rights or obligations under this Agreement that does not comply with this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shall be treated for purposes of this Agreement as a sale by such Lender of a participation in such rights and obligations in accordance with paragraph </w:t>
      </w:r>
      <w:r>
        <w:rPr>
          <w:rFonts w:ascii="Arial" w:cs="Arial" w:eastAsia="Arial" w:hAnsi="Arial"/>
          <w:sz w:val="17"/>
          <w:szCs w:val="17"/>
          <w:u w:val="single" w:color="auto"/>
          <w:color w:val="auto"/>
        </w:rPr>
        <w:t>(c)</w:t>
      </w:r>
      <w:r>
        <w:rPr>
          <w:rFonts w:ascii="Arial" w:cs="Arial" w:eastAsia="Arial" w:hAnsi="Arial"/>
          <w:sz w:val="17"/>
          <w:szCs w:val="17"/>
          <w:color w:val="auto"/>
        </w:rPr>
        <w:t xml:space="preserve"> of this Section.</w:t>
      </w:r>
    </w:p>
    <w:p>
      <w:pPr>
        <w:spacing w:after="0" w:line="184" w:lineRule="exact"/>
        <w:rPr>
          <w:rFonts w:ascii="Arial" w:cs="Arial" w:eastAsia="Arial" w:hAnsi="Arial"/>
          <w:sz w:val="17"/>
          <w:szCs w:val="17"/>
          <w:color w:val="auto"/>
        </w:rPr>
      </w:pPr>
    </w:p>
    <w:p>
      <w:pPr>
        <w:jc w:val="both"/>
        <w:ind w:firstLine="526"/>
        <w:spacing w:after="0" w:line="262" w:lineRule="auto"/>
        <w:tabs>
          <w:tab w:leader="none" w:pos="1313"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Administrative Agent, acting for this purpose as a non-fiduciary agent of the Company, shall maintain at one of its offices a copy of each Assignment and Assumption delivered to it and a register for the recordation of the names and addresses of the Lenders, and the Revolving Commitment of, and principal amount of the Loans and LC Disbursements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The entries in the Register shall be conclusive, and the Borrowers, the Administrative Agent, the Issuing Bank and the Lenders may treat each Person whose name is recorded in the Register pursuant to the terms hereof as a Lender hereunder for all purposes of this Agreement, notwithstanding notice to the contrary. The Register shall be available for inspection by the Borrowers, the Issuing Bank and any Lender, at any reasonable time and from time to time upon reasonable prior notice.</w:t>
      </w:r>
    </w:p>
    <w:p>
      <w:pPr>
        <w:spacing w:after="0" w:line="181" w:lineRule="exact"/>
        <w:rPr>
          <w:rFonts w:ascii="Arial" w:cs="Arial" w:eastAsia="Arial" w:hAnsi="Arial"/>
          <w:sz w:val="17"/>
          <w:szCs w:val="17"/>
          <w:color w:val="auto"/>
        </w:rPr>
      </w:pPr>
    </w:p>
    <w:p>
      <w:pPr>
        <w:jc w:val="both"/>
        <w:ind w:firstLine="526"/>
        <w:spacing w:after="0" w:line="265" w:lineRule="auto"/>
        <w:tabs>
          <w:tab w:leader="none" w:pos="1264" w:val="left"/>
        </w:tabs>
        <w:numPr>
          <w:ilvl w:val="0"/>
          <w:numId w:val="137"/>
        </w:numPr>
        <w:rPr>
          <w:rFonts w:ascii="Arial" w:cs="Arial" w:eastAsia="Arial" w:hAnsi="Arial"/>
          <w:sz w:val="17"/>
          <w:szCs w:val="17"/>
          <w:color w:val="auto"/>
        </w:rPr>
      </w:pPr>
      <w:r>
        <w:rPr>
          <w:rFonts w:ascii="Arial" w:cs="Arial" w:eastAsia="Arial" w:hAnsi="Arial"/>
          <w:sz w:val="17"/>
          <w:szCs w:val="17"/>
          <w:color w:val="auto"/>
        </w:rPr>
        <w:t xml:space="preserve">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Section and any written consent to such assignment required by paragraph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Section, the Administrative Agent shall accept such Assignment and Assumption and record the information contained therein in the Register;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either the assigning Lender or the assignee shall have failed to make any payment required to be made by it pursuant to </w:t>
      </w:r>
      <w:r>
        <w:rPr>
          <w:rFonts w:ascii="Arial" w:cs="Arial" w:eastAsia="Arial" w:hAnsi="Arial"/>
          <w:sz w:val="17"/>
          <w:szCs w:val="17"/>
          <w:u w:val="single" w:color="auto"/>
          <w:color w:val="auto"/>
        </w:rPr>
        <w:t>Section 2.05</w:t>
      </w:r>
    </w:p>
    <w:p>
      <w:pPr>
        <w:spacing w:after="0" w:line="161"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88</w:t>
      </w:r>
    </w:p>
    <w:p>
      <w:pPr>
        <w:sectPr>
          <w:pgSz w:w="11900" w:h="16838" w:orient="portrait"/>
          <w:cols w:equalWidth="0" w:num="1">
            <w:col w:w="10920"/>
          </w:cols>
          <w:pgMar w:left="760" w:top="509" w:right="219" w:bottom="1440" w:gutter="0" w:footer="0" w:header="0"/>
        </w:sectPr>
      </w:pPr>
    </w:p>
    <w:bookmarkStart w:id="149" w:name="page150"/>
    <w:bookmarkEnd w:id="149"/>
    <w:p>
      <w:pPr>
        <w:jc w:val="both"/>
        <w:ind w:left="540"/>
        <w:spacing w:after="0" w:line="249" w:lineRule="auto"/>
        <w:rPr>
          <w:sz w:val="20"/>
          <w:szCs w:val="20"/>
          <w:color w:val="auto"/>
        </w:rPr>
      </w:pPr>
      <w:r>
        <w:rPr>
          <w:rFonts w:ascii="Arial" w:cs="Arial" w:eastAsia="Arial" w:hAnsi="Arial"/>
          <w:sz w:val="18"/>
          <w:szCs w:val="18"/>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2.06(d)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2.06(e)</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2.07(b)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2.18(d)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9.03(c)</w:t>
      </w:r>
      <w:r>
        <w:rPr>
          <w:rFonts w:ascii="Arial" w:cs="Arial" w:eastAsia="Arial" w:hAnsi="Arial"/>
          <w:sz w:val="18"/>
          <w:szCs w:val="18"/>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88" w:lineRule="exact"/>
        <w:rPr>
          <w:sz w:val="20"/>
          <w:szCs w:val="20"/>
          <w:color w:val="auto"/>
        </w:rPr>
      </w:pPr>
    </w:p>
    <w:p>
      <w:pPr>
        <w:jc w:val="both"/>
        <w:ind w:firstLine="537"/>
        <w:spacing w:after="0" w:line="298" w:lineRule="auto"/>
        <w:tabs>
          <w:tab w:leader="none" w:pos="1254" w:val="left"/>
        </w:tabs>
        <w:numPr>
          <w:ilvl w:val="0"/>
          <w:numId w:val="138"/>
        </w:numPr>
        <w:rPr>
          <w:rFonts w:ascii="Arial" w:cs="Arial" w:eastAsia="Arial" w:hAnsi="Arial"/>
          <w:sz w:val="15"/>
          <w:szCs w:val="15"/>
          <w:color w:val="auto"/>
        </w:rPr>
      </w:pPr>
      <w:r>
        <w:rPr>
          <w:rFonts w:ascii="Arial" w:cs="Arial" w:eastAsia="Arial" w:hAnsi="Arial"/>
          <w:sz w:val="15"/>
          <w:szCs w:val="15"/>
          <w:color w:val="auto"/>
        </w:rPr>
        <w:t>(i) Any Lender may, without the consent of the Borrowers, the Administrative Agent, the Issuing Bank or the Swingline Lender, sell participations to one or more banks or other entities (a “</w:t>
      </w:r>
      <w:r>
        <w:rPr>
          <w:rFonts w:ascii="Arial" w:cs="Arial" w:eastAsia="Arial" w:hAnsi="Arial"/>
          <w:sz w:val="15"/>
          <w:szCs w:val="15"/>
          <w:u w:val="single" w:color="auto"/>
          <w:color w:val="auto"/>
        </w:rPr>
        <w:t>Participant</w:t>
      </w:r>
      <w:r>
        <w:rPr>
          <w:rFonts w:ascii="Arial" w:cs="Arial" w:eastAsia="Arial" w:hAnsi="Arial"/>
          <w:sz w:val="15"/>
          <w:szCs w:val="15"/>
          <w:color w:val="auto"/>
        </w:rPr>
        <w:t xml:space="preserve">”) in all or a portion of such Lender’s rights and obligations under this Agreement (including all or a portion of its Revolving Commitment and the Loans owing to it);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such Lender’s obligations under this Agreement shall remain unchanged, (B) such Lender shall remain solely responsible to the other parties hereto for the performance of such obligations and (C) the Borrowers, the Administrative Agent, the Issuing Bank and the other the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5"/>
          <w:szCs w:val="15"/>
          <w:u w:val="single" w:color="auto"/>
          <w:color w:val="auto"/>
        </w:rPr>
        <w:t>Section 9.02(b)</w:t>
      </w:r>
      <w:r>
        <w:rPr>
          <w:rFonts w:ascii="Arial" w:cs="Arial" w:eastAsia="Arial" w:hAnsi="Arial"/>
          <w:sz w:val="15"/>
          <w:szCs w:val="15"/>
          <w:color w:val="auto"/>
        </w:rPr>
        <w:t xml:space="preserve"> that affects such Participant. Subject to paragraph </w:t>
      </w:r>
      <w:r>
        <w:rPr>
          <w:rFonts w:ascii="Arial" w:cs="Arial" w:eastAsia="Arial" w:hAnsi="Arial"/>
          <w:sz w:val="15"/>
          <w:szCs w:val="15"/>
          <w:u w:val="single" w:color="auto"/>
          <w:color w:val="auto"/>
        </w:rPr>
        <w:t>(c)(ii)</w:t>
      </w:r>
      <w:r>
        <w:rPr>
          <w:rFonts w:ascii="Arial" w:cs="Arial" w:eastAsia="Arial" w:hAnsi="Arial"/>
          <w:sz w:val="15"/>
          <w:szCs w:val="15"/>
          <w:color w:val="auto"/>
        </w:rPr>
        <w:t xml:space="preserve"> of this Section, the Borrowers agree that each Participant shall be entitled to the benefits of </w:t>
      </w:r>
      <w:r>
        <w:rPr>
          <w:rFonts w:ascii="Arial" w:cs="Arial" w:eastAsia="Arial" w:hAnsi="Arial"/>
          <w:sz w:val="15"/>
          <w:szCs w:val="15"/>
          <w:u w:val="single" w:color="auto"/>
          <w:color w:val="auto"/>
        </w:rPr>
        <w:t>Section 2.15</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2.16</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2.17</w:t>
      </w:r>
      <w:r>
        <w:rPr>
          <w:rFonts w:ascii="Arial" w:cs="Arial" w:eastAsia="Arial" w:hAnsi="Arial"/>
          <w:sz w:val="15"/>
          <w:szCs w:val="15"/>
          <w:color w:val="auto"/>
        </w:rPr>
        <w:t xml:space="preserve"> to the same extent as if it were a Lender and had acquired its interest by assignment pursuant to paragraph </w:t>
      </w:r>
      <w:r>
        <w:rPr>
          <w:rFonts w:ascii="Arial" w:cs="Arial" w:eastAsia="Arial" w:hAnsi="Arial"/>
          <w:sz w:val="15"/>
          <w:szCs w:val="15"/>
          <w:u w:val="single" w:color="auto"/>
          <w:color w:val="auto"/>
        </w:rPr>
        <w:t>(b)</w:t>
      </w:r>
      <w:r>
        <w:rPr>
          <w:rFonts w:ascii="Arial" w:cs="Arial" w:eastAsia="Arial" w:hAnsi="Arial"/>
          <w:sz w:val="15"/>
          <w:szCs w:val="15"/>
          <w:color w:val="auto"/>
        </w:rPr>
        <w:t xml:space="preserve"> of this Section. To the extent permitted by law, each Participant also shall be entitled to the benefits of </w:t>
      </w:r>
      <w:r>
        <w:rPr>
          <w:rFonts w:ascii="Arial" w:cs="Arial" w:eastAsia="Arial" w:hAnsi="Arial"/>
          <w:sz w:val="15"/>
          <w:szCs w:val="15"/>
          <w:u w:val="single" w:color="auto"/>
          <w:color w:val="auto"/>
        </w:rPr>
        <w:t>Section 9.08</w:t>
      </w:r>
      <w:r>
        <w:rPr>
          <w:rFonts w:ascii="Arial" w:cs="Arial" w:eastAsia="Arial" w:hAnsi="Arial"/>
          <w:sz w:val="15"/>
          <w:szCs w:val="15"/>
          <w:color w:val="auto"/>
        </w:rPr>
        <w:t xml:space="preserve"> as though it were a Lender, provided such Participant agrees to be subject to </w:t>
      </w:r>
      <w:r>
        <w:rPr>
          <w:rFonts w:ascii="Arial" w:cs="Arial" w:eastAsia="Arial" w:hAnsi="Arial"/>
          <w:sz w:val="15"/>
          <w:szCs w:val="15"/>
          <w:u w:val="single" w:color="auto"/>
          <w:color w:val="auto"/>
        </w:rPr>
        <w:t>Section 2.18(c)</w:t>
      </w:r>
      <w:r>
        <w:rPr>
          <w:rFonts w:ascii="Arial" w:cs="Arial" w:eastAsia="Arial" w:hAnsi="Arial"/>
          <w:sz w:val="15"/>
          <w:szCs w:val="15"/>
          <w:color w:val="auto"/>
        </w:rPr>
        <w:t xml:space="preserve"> as though it were a Lender.</w:t>
      </w:r>
    </w:p>
    <w:p>
      <w:pPr>
        <w:spacing w:after="0" w:line="366" w:lineRule="exact"/>
        <w:rPr>
          <w:rFonts w:ascii="Arial" w:cs="Arial" w:eastAsia="Arial" w:hAnsi="Arial"/>
          <w:sz w:val="15"/>
          <w:szCs w:val="15"/>
          <w:color w:val="auto"/>
        </w:rPr>
      </w:pPr>
    </w:p>
    <w:p>
      <w:pPr>
        <w:jc w:val="both"/>
        <w:ind w:left="540" w:firstLine="526"/>
        <w:spacing w:after="0" w:line="246" w:lineRule="auto"/>
        <w:tabs>
          <w:tab w:leader="none" w:pos="1814" w:val="left"/>
        </w:tabs>
        <w:numPr>
          <w:ilvl w:val="1"/>
          <w:numId w:val="138"/>
        </w:numPr>
        <w:rPr>
          <w:rFonts w:ascii="Arial" w:cs="Arial" w:eastAsia="Arial" w:hAnsi="Arial"/>
          <w:sz w:val="18"/>
          <w:szCs w:val="18"/>
          <w:color w:val="auto"/>
        </w:rPr>
      </w:pPr>
      <w:r>
        <w:rPr>
          <w:rFonts w:ascii="Arial" w:cs="Arial" w:eastAsia="Arial" w:hAnsi="Arial"/>
          <w:sz w:val="18"/>
          <w:szCs w:val="18"/>
          <w:color w:val="auto"/>
        </w:rPr>
        <w:t xml:space="preserve">A Participant shall not be entitled to receive any greater payment under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or a non-resident of Canada for purposes of the ITA in the case of any participation of rights and/or obligations with respect to a Canadian Borrower, shall not be entitled to the benefits of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unless the Borrowers are notified of the participation sold to such Participant and such Participant agrees, for the benefit of the Borrowers, to comply with </w:t>
      </w:r>
      <w:r>
        <w:rPr>
          <w:rFonts w:ascii="Arial" w:cs="Arial" w:eastAsia="Arial" w:hAnsi="Arial"/>
          <w:sz w:val="18"/>
          <w:szCs w:val="18"/>
          <w:u w:val="single" w:color="auto"/>
          <w:color w:val="auto"/>
        </w:rPr>
        <w:t>Section 2.17(e)</w:t>
      </w:r>
      <w:r>
        <w:rPr>
          <w:rFonts w:ascii="Arial" w:cs="Arial" w:eastAsia="Arial" w:hAnsi="Arial"/>
          <w:sz w:val="18"/>
          <w:szCs w:val="18"/>
          <w:color w:val="auto"/>
        </w:rPr>
        <w:t xml:space="preserve"> as though it were a Lender.</w:t>
      </w:r>
    </w:p>
    <w:p>
      <w:pPr>
        <w:spacing w:after="0" w:line="192" w:lineRule="exact"/>
        <w:rPr>
          <w:rFonts w:ascii="Arial" w:cs="Arial" w:eastAsia="Arial" w:hAnsi="Arial"/>
          <w:sz w:val="18"/>
          <w:szCs w:val="18"/>
          <w:color w:val="auto"/>
        </w:rPr>
      </w:pPr>
    </w:p>
    <w:p>
      <w:pPr>
        <w:jc w:val="both"/>
        <w:ind w:left="540" w:firstLine="526"/>
        <w:spacing w:after="0" w:line="300" w:lineRule="auto"/>
        <w:tabs>
          <w:tab w:leader="none" w:pos="1862" w:val="left"/>
        </w:tabs>
        <w:numPr>
          <w:ilvl w:val="1"/>
          <w:numId w:val="138"/>
        </w:numPr>
        <w:rPr>
          <w:rFonts w:ascii="Arial" w:cs="Arial" w:eastAsia="Arial" w:hAnsi="Arial"/>
          <w:sz w:val="15"/>
          <w:szCs w:val="15"/>
          <w:color w:val="auto"/>
        </w:rPr>
      </w:pPr>
      <w:r>
        <w:rPr>
          <w:rFonts w:ascii="Arial" w:cs="Arial" w:eastAsia="Arial" w:hAnsi="Arial"/>
          <w:sz w:val="15"/>
          <w:szCs w:val="15"/>
          <w:color w:val="auto"/>
        </w:rPr>
        <w:t>Each Lender that sells a participation shall, acting solely for this purpose as an agent of the Borrowers,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5"/>
          <w:szCs w:val="15"/>
          <w:u w:val="single" w:color="auto"/>
          <w:color w:val="auto"/>
        </w:rPr>
        <w:t>Participant Register</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89</w:t>
      </w:r>
    </w:p>
    <w:p>
      <w:pPr>
        <w:sectPr>
          <w:pgSz w:w="11900" w:h="16838" w:orient="portrait"/>
          <w:cols w:equalWidth="0" w:num="1">
            <w:col w:w="11460"/>
          </w:cols>
          <w:pgMar w:left="220" w:top="508" w:right="219" w:bottom="1440" w:gutter="0" w:footer="0" w:header="0"/>
        </w:sectPr>
      </w:pPr>
    </w:p>
    <w:bookmarkStart w:id="150" w:name="page151"/>
    <w:bookmarkEnd w:id="150"/>
    <w:p>
      <w:pPr>
        <w:jc w:val="both"/>
        <w:ind w:firstLine="537"/>
        <w:spacing w:after="0" w:line="249" w:lineRule="auto"/>
        <w:tabs>
          <w:tab w:leader="none" w:pos="126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88" w:lineRule="exact"/>
        <w:rPr>
          <w:sz w:val="20"/>
          <w:szCs w:val="20"/>
          <w:color w:val="auto"/>
        </w:rPr>
      </w:pPr>
    </w:p>
    <w:p>
      <w:pPr>
        <w:jc w:val="both"/>
        <w:ind w:firstLine="529"/>
        <w:spacing w:after="0" w:line="309" w:lineRule="auto"/>
        <w:rPr>
          <w:sz w:val="20"/>
          <w:szCs w:val="20"/>
          <w:color w:val="auto"/>
        </w:rPr>
      </w:pPr>
      <w:r>
        <w:rPr>
          <w:rFonts w:ascii="Arial" w:cs="Arial" w:eastAsia="Arial" w:hAnsi="Arial"/>
          <w:sz w:val="15"/>
          <w:szCs w:val="15"/>
          <w:color w:val="auto"/>
        </w:rPr>
        <w:t xml:space="preserve">SECTION 9.05 </w:t>
      </w:r>
      <w:r>
        <w:rPr>
          <w:rFonts w:ascii="Arial" w:cs="Arial" w:eastAsia="Arial" w:hAnsi="Arial"/>
          <w:sz w:val="15"/>
          <w:szCs w:val="15"/>
          <w:u w:val="single" w:color="auto"/>
          <w:color w:val="auto"/>
        </w:rPr>
        <w:t>Disclosure</w:t>
      </w:r>
      <w:r>
        <w:rPr>
          <w:rFonts w:ascii="Arial" w:cs="Arial" w:eastAsia="Arial" w:hAnsi="Arial"/>
          <w:sz w:val="15"/>
          <w:szCs w:val="15"/>
          <w:color w:val="auto"/>
        </w:rPr>
        <w:t>. The Borrowers and each Lender hereby (a) acknowledge and agree that (i) one or more Affiliates of JPMorgan Chase are or may become direct or indirect equity investors in the Company, and (ii) JPMorgan Chase and/or its Affiliates from time to time may hold other investments in, make other loans to or have other relationships with the Company, and (b) waive any liability of JPMorgan Chase or such Affiliate to the Company or any Lender, respectively, arising out of or resulting from such investments, loans or relationships other than liabilities arising out of the gross negligence or willful misconduct of JPMorgan Chase or its Affiliates, in each case, as determined by a court of competent jurisdiction by final and non-appealable judgment.</w:t>
      </w:r>
    </w:p>
    <w:p>
      <w:pPr>
        <w:spacing w:after="0" w:line="146" w:lineRule="exact"/>
        <w:rPr>
          <w:sz w:val="20"/>
          <w:szCs w:val="20"/>
          <w:color w:val="auto"/>
        </w:rPr>
      </w:pPr>
    </w:p>
    <w:p>
      <w:pPr>
        <w:jc w:val="both"/>
        <w:ind w:firstLine="529"/>
        <w:spacing w:after="0" w:line="300" w:lineRule="auto"/>
        <w:rPr>
          <w:sz w:val="20"/>
          <w:szCs w:val="20"/>
          <w:color w:val="auto"/>
        </w:rPr>
      </w:pPr>
      <w:r>
        <w:rPr>
          <w:rFonts w:ascii="Arial" w:cs="Arial" w:eastAsia="Arial" w:hAnsi="Arial"/>
          <w:sz w:val="15"/>
          <w:szCs w:val="15"/>
          <w:color w:val="auto"/>
        </w:rPr>
        <w:t xml:space="preserve">SECTION 9.06 </w:t>
      </w:r>
      <w:r>
        <w:rPr>
          <w:rFonts w:ascii="Arial" w:cs="Arial" w:eastAsia="Arial" w:hAnsi="Arial"/>
          <w:sz w:val="15"/>
          <w:szCs w:val="15"/>
          <w:u w:val="single" w:color="auto"/>
          <w:color w:val="auto"/>
        </w:rPr>
        <w:t>Survival</w:t>
      </w:r>
      <w:r>
        <w:rPr>
          <w:rFonts w:ascii="Arial" w:cs="Arial" w:eastAsia="Arial" w:hAnsi="Arial"/>
          <w:sz w:val="15"/>
          <w:szCs w:val="15"/>
          <w:color w:val="auto"/>
        </w:rPr>
        <w:t xml:space="preserve">. All covenants, agreements, representations and warranties made by the Borrowers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Revolving Commitments have not expired or terminated. The provisions of </w:t>
      </w:r>
      <w:r>
        <w:rPr>
          <w:rFonts w:ascii="Arial" w:cs="Arial" w:eastAsia="Arial" w:hAnsi="Arial"/>
          <w:sz w:val="15"/>
          <w:szCs w:val="15"/>
          <w:u w:val="single" w:color="auto"/>
          <w:color w:val="auto"/>
        </w:rPr>
        <w:t>Section 2.15</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2.16</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2.17</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9.03</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shall survive and remain in full force and effect regardless of the consummation of the transactions contemplated hereby, the repayment of the Loans, the expiration or termination of the Letters of Credit and the Revolving Commitments or the termination of this Agreement or any provision hereof.</w:t>
      </w:r>
    </w:p>
    <w:p>
      <w:pPr>
        <w:spacing w:after="0" w:line="154" w:lineRule="exact"/>
        <w:rPr>
          <w:sz w:val="20"/>
          <w:szCs w:val="20"/>
          <w:color w:val="auto"/>
        </w:rPr>
      </w:pPr>
    </w:p>
    <w:p>
      <w:pPr>
        <w:jc w:val="both"/>
        <w:ind w:firstLine="529"/>
        <w:spacing w:after="0" w:line="301" w:lineRule="auto"/>
        <w:rPr>
          <w:sz w:val="20"/>
          <w:szCs w:val="20"/>
          <w:color w:val="auto"/>
        </w:rPr>
      </w:pPr>
      <w:r>
        <w:rPr>
          <w:rFonts w:ascii="Arial" w:cs="Arial" w:eastAsia="Arial" w:hAnsi="Arial"/>
          <w:sz w:val="15"/>
          <w:szCs w:val="15"/>
          <w:color w:val="auto"/>
        </w:rPr>
        <w:t xml:space="preserve">SECTION 9.07 </w:t>
      </w:r>
      <w:r>
        <w:rPr>
          <w:rFonts w:ascii="Arial" w:cs="Arial" w:eastAsia="Arial" w:hAnsi="Arial"/>
          <w:sz w:val="15"/>
          <w:szCs w:val="15"/>
          <w:u w:val="single" w:color="auto"/>
          <w:color w:val="auto"/>
        </w:rPr>
        <w:t>Counterparts; Integration; Effectiveness</w:t>
      </w:r>
      <w:r>
        <w:rPr>
          <w:rFonts w:ascii="Arial" w:cs="Arial" w:eastAsia="Arial" w:hAnsi="Arial"/>
          <w:sz w:val="15"/>
          <w:szCs w:val="15"/>
          <w:color w:val="auto"/>
        </w:rPr>
        <w:t xml:space="preserve">.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5"/>
          <w:szCs w:val="15"/>
          <w:u w:val="single" w:color="auto"/>
          <w:color w:val="auto"/>
        </w:rPr>
        <w:t>Section 4.01</w:t>
      </w:r>
      <w:r>
        <w:rPr>
          <w:rFonts w:ascii="Arial" w:cs="Arial" w:eastAsia="Arial" w:hAnsi="Arial"/>
          <w:sz w:val="15"/>
          <w:szCs w:val="15"/>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other electronic transmission shall be effective as delivery of a manually executed counterpart of this Agreement.</w:t>
      </w:r>
    </w:p>
    <w:p>
      <w:pPr>
        <w:spacing w:after="0" w:line="154" w:lineRule="exact"/>
        <w:rPr>
          <w:sz w:val="20"/>
          <w:szCs w:val="20"/>
          <w:color w:val="auto"/>
        </w:rPr>
      </w:pPr>
    </w:p>
    <w:p>
      <w:pPr>
        <w:jc w:val="both"/>
        <w:ind w:firstLine="529"/>
        <w:spacing w:after="0" w:line="326" w:lineRule="auto"/>
        <w:rPr>
          <w:sz w:val="20"/>
          <w:szCs w:val="20"/>
          <w:color w:val="auto"/>
        </w:rPr>
      </w:pPr>
      <w:r>
        <w:rPr>
          <w:rFonts w:ascii="Arial" w:cs="Arial" w:eastAsia="Arial" w:hAnsi="Arial"/>
          <w:sz w:val="15"/>
          <w:szCs w:val="15"/>
          <w:color w:val="auto"/>
        </w:rPr>
        <w:t xml:space="preserve">SECTION 9.08 </w:t>
      </w:r>
      <w:r>
        <w:rPr>
          <w:rFonts w:ascii="Arial" w:cs="Arial" w:eastAsia="Arial" w:hAnsi="Arial"/>
          <w:sz w:val="15"/>
          <w:szCs w:val="15"/>
          <w:u w:val="single" w:color="auto"/>
          <w:color w:val="auto"/>
        </w:rPr>
        <w:t>Severability</w:t>
      </w:r>
      <w:r>
        <w:rPr>
          <w:rFonts w:ascii="Arial" w:cs="Arial" w:eastAsia="Arial" w:hAnsi="Arial"/>
          <w:sz w:val="15"/>
          <w:szCs w:val="15"/>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90</w:t>
      </w:r>
    </w:p>
    <w:p>
      <w:pPr>
        <w:sectPr>
          <w:pgSz w:w="11900" w:h="16838" w:orient="portrait"/>
          <w:cols w:equalWidth="0" w:num="1">
            <w:col w:w="11460"/>
          </w:cols>
          <w:pgMar w:left="220" w:top="508" w:right="219" w:bottom="1440" w:gutter="0" w:footer="0" w:header="0"/>
        </w:sectPr>
      </w:pPr>
    </w:p>
    <w:bookmarkStart w:id="151" w:name="page152"/>
    <w:bookmarkEnd w:id="151"/>
    <w:p>
      <w:pPr>
        <w:jc w:val="both"/>
        <w:ind w:firstLine="529"/>
        <w:spacing w:after="0" w:line="296" w:lineRule="auto"/>
        <w:rPr>
          <w:sz w:val="20"/>
          <w:szCs w:val="20"/>
          <w:color w:val="auto"/>
        </w:rPr>
      </w:pPr>
      <w:r>
        <w:rPr>
          <w:rFonts w:ascii="Arial" w:cs="Arial" w:eastAsia="Arial" w:hAnsi="Arial"/>
          <w:sz w:val="15"/>
          <w:szCs w:val="15"/>
          <w:color w:val="auto"/>
        </w:rPr>
        <w:t xml:space="preserve">SECTION 9.09 </w:t>
      </w:r>
      <w:r>
        <w:rPr>
          <w:rFonts w:ascii="Arial" w:cs="Arial" w:eastAsia="Arial" w:hAnsi="Arial"/>
          <w:sz w:val="15"/>
          <w:szCs w:val="15"/>
          <w:u w:val="single" w:color="auto"/>
          <w:color w:val="auto"/>
        </w:rPr>
        <w:t>Right of Set-off</w:t>
      </w:r>
      <w:r>
        <w:rPr>
          <w:rFonts w:ascii="Arial" w:cs="Arial" w:eastAsia="Arial" w:hAnsi="Arial"/>
          <w:sz w:val="15"/>
          <w:szCs w:val="15"/>
          <w:color w:val="auto"/>
        </w:rPr>
        <w:t xml:space="preserve">. If an Event of Default shall have occurred and be continuing, each Lender, the Issuing Bank and each of their respective Affiliates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Lender, the Issuing Bank or any such Affiliate to or for the credit or the account of the Borrowers against any of and all the obligations of the Borrowers now or hereafter existing under this Agreement or any other Loan Document to such Lender, the Issuing Bank or such Affiliate, irrespective of whether or not such Lender, the Issuing Bank or such Affiliate shall have made any demand under this Agreement or any other Loan Document and although such obligations may be contingent or unmatured or are owed to a branch, office or Affiliate of such Lender or the Issuing Bank different from the branch, office or Affiliate holding such deposit or obligated on such indebtedness;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event that any Defaulting Lender shall exercise any such right of set-off, (a) all amounts so set off shall be paid over immediately to the Administrative Agent for further application in accordance with the provisions of </w:t>
      </w:r>
      <w:r>
        <w:rPr>
          <w:rFonts w:ascii="Arial" w:cs="Arial" w:eastAsia="Arial" w:hAnsi="Arial"/>
          <w:sz w:val="15"/>
          <w:szCs w:val="15"/>
          <w:u w:val="single" w:color="auto"/>
          <w:color w:val="auto"/>
        </w:rPr>
        <w:t>Section 2.20(e)</w:t>
      </w:r>
      <w:r>
        <w:rPr>
          <w:rFonts w:ascii="Arial" w:cs="Arial" w:eastAsia="Arial" w:hAnsi="Arial"/>
          <w:sz w:val="15"/>
          <w:szCs w:val="15"/>
          <w:color w:val="auto"/>
        </w:rPr>
        <w:t xml:space="preserve"> and, pending such payment, shall be segregated by such Defaulting Lender from its other funds and deemed held in trust for the benefit of the Administrative Agent, the Issuing Bank and the Lenders, and (b) the Defaulting Lender shall provide promptly to the Administrative Agent a statement describing in reasonable detail the Obligations owing to such Defaulting Lender as to which it exercised such right of setoff. The rights of each Lender, the Issuing Bank and their respective Affiliates under this Section are in addition to other rights and remedies (including other rights of setoff) that such Lender, the Issuing Bank or their respective Affiliates may have. Each Lender and Issuing Bank agrees to notify the Borrower and the Administrative Agent promptly after any such setoff and application;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failure to give such notice shall not affect the validity of such setoff and application.</w:t>
      </w:r>
    </w:p>
    <w:p>
      <w:pPr>
        <w:spacing w:after="0" w:line="37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Governing Law; Jurisdiction; Consent to Service of Process</w:t>
      </w:r>
      <w:r>
        <w:rPr>
          <w:rFonts w:ascii="Arial" w:cs="Arial" w:eastAsia="Arial" w:hAnsi="Arial"/>
          <w:sz w:val="18"/>
          <w:szCs w:val="18"/>
          <w:color w:val="auto"/>
        </w:rPr>
        <w:t>.</w:t>
      </w:r>
    </w:p>
    <w:p>
      <w:pPr>
        <w:spacing w:after="0" w:line="212" w:lineRule="exact"/>
        <w:rPr>
          <w:sz w:val="20"/>
          <w:szCs w:val="20"/>
          <w:color w:val="auto"/>
        </w:rPr>
      </w:pPr>
    </w:p>
    <w:p>
      <w:pPr>
        <w:ind w:left="1260" w:hanging="723"/>
        <w:spacing w:after="0"/>
        <w:tabs>
          <w:tab w:leader="none" w:pos="12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and governed by the law of the State of Oklahoma.</w:t>
      </w:r>
    </w:p>
    <w:p>
      <w:pPr>
        <w:spacing w:after="0" w:line="211" w:lineRule="exact"/>
        <w:rPr>
          <w:rFonts w:ascii="Arial" w:cs="Arial" w:eastAsia="Arial" w:hAnsi="Arial"/>
          <w:sz w:val="18"/>
          <w:szCs w:val="18"/>
          <w:color w:val="auto"/>
        </w:rPr>
      </w:pPr>
    </w:p>
    <w:p>
      <w:pPr>
        <w:jc w:val="both"/>
        <w:ind w:firstLine="537"/>
        <w:spacing w:after="0" w:line="303" w:lineRule="auto"/>
        <w:tabs>
          <w:tab w:leader="none" w:pos="1264" w:val="left"/>
        </w:tabs>
        <w:numPr>
          <w:ilvl w:val="0"/>
          <w:numId w:val="140"/>
        </w:numPr>
        <w:rPr>
          <w:rFonts w:ascii="Arial" w:cs="Arial" w:eastAsia="Arial" w:hAnsi="Arial"/>
          <w:sz w:val="15"/>
          <w:szCs w:val="15"/>
          <w:color w:val="auto"/>
        </w:rPr>
      </w:pPr>
      <w:r>
        <w:rPr>
          <w:rFonts w:ascii="Arial" w:cs="Arial" w:eastAsia="Arial" w:hAnsi="Arial"/>
          <w:sz w:val="15"/>
          <w:szCs w:val="15"/>
          <w:color w:val="auto"/>
        </w:rPr>
        <w:t>Each Borrower hereby irrevocably and unconditionally submits, for itself and its property, to the nonexclusive jurisdiction of any United States federal court or Oklahoma state court sitting in Tulsa, Oklahoma,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the Issuing Bank or any Lender may otherwise have to bring any action or proceeding relating to this Agreement against the Borrowers or any of their properties in the courts of any jurisdiction.</w:t>
      </w:r>
    </w:p>
    <w:p>
      <w:pPr>
        <w:spacing w:after="0" w:line="150" w:lineRule="exact"/>
        <w:rPr>
          <w:rFonts w:ascii="Arial" w:cs="Arial" w:eastAsia="Arial" w:hAnsi="Arial"/>
          <w:sz w:val="15"/>
          <w:szCs w:val="15"/>
          <w:color w:val="auto"/>
        </w:rPr>
      </w:pPr>
    </w:p>
    <w:p>
      <w:pPr>
        <w:jc w:val="both"/>
        <w:ind w:firstLine="537"/>
        <w:spacing w:after="0" w:line="249" w:lineRule="auto"/>
        <w:tabs>
          <w:tab w:leader="none" w:pos="125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Each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paragraph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 Each of the parties hereto hereby irrevocably waives, to the fullest extent permitted by law, the defense of an inconvenient forum to the maintenance of such action or proceeding in any such court.</w:t>
      </w:r>
    </w:p>
    <w:p>
      <w:pPr>
        <w:spacing w:after="0" w:line="188" w:lineRule="exact"/>
        <w:rPr>
          <w:rFonts w:ascii="Arial" w:cs="Arial" w:eastAsia="Arial" w:hAnsi="Arial"/>
          <w:sz w:val="18"/>
          <w:szCs w:val="18"/>
          <w:color w:val="auto"/>
        </w:rPr>
      </w:pPr>
    </w:p>
    <w:p>
      <w:pPr>
        <w:ind w:firstLine="537"/>
        <w:spacing w:after="0" w:line="261" w:lineRule="auto"/>
        <w:tabs>
          <w:tab w:leader="none" w:pos="126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Each party to this Agreement irrevocably consents to service of process in the manner provided for notices in </w:t>
      </w:r>
      <w:r>
        <w:rPr>
          <w:rFonts w:ascii="Arial" w:cs="Arial" w:eastAsia="Arial" w:hAnsi="Arial"/>
          <w:sz w:val="18"/>
          <w:szCs w:val="18"/>
          <w:u w:val="single" w:color="auto"/>
          <w:color w:val="auto"/>
        </w:rPr>
        <w:t>Section 9.01</w:t>
      </w:r>
      <w:r>
        <w:rPr>
          <w:rFonts w:ascii="Arial" w:cs="Arial" w:eastAsia="Arial" w:hAnsi="Arial"/>
          <w:sz w:val="18"/>
          <w:szCs w:val="18"/>
          <w:color w:val="auto"/>
        </w:rPr>
        <w:t>. Nothing in this Agreement will affect the right of any party to this Agreement to serve process in any other manner permitted by law.</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91</w:t>
      </w:r>
    </w:p>
    <w:p>
      <w:pPr>
        <w:sectPr>
          <w:pgSz w:w="11900" w:h="16838" w:orient="portrait"/>
          <w:cols w:equalWidth="0" w:num="1">
            <w:col w:w="11460"/>
          </w:cols>
          <w:pgMar w:left="220" w:top="508" w:right="219" w:bottom="1440" w:gutter="0" w:footer="0" w:header="0"/>
        </w:sectPr>
      </w:pPr>
    </w:p>
    <w:bookmarkStart w:id="152" w:name="page153"/>
    <w:bookmarkEnd w:id="152"/>
    <w:p>
      <w:pPr>
        <w:jc w:val="both"/>
        <w:ind w:firstLine="529"/>
        <w:spacing w:after="0" w:line="262"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HERETO HEREBY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2"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212" w:lineRule="exact"/>
        <w:rPr>
          <w:sz w:val="20"/>
          <w:szCs w:val="20"/>
          <w:color w:val="auto"/>
        </w:rPr>
      </w:pPr>
    </w:p>
    <w:p>
      <w:pPr>
        <w:jc w:val="both"/>
        <w:ind w:firstLine="537"/>
        <w:spacing w:after="0" w:line="296" w:lineRule="auto"/>
        <w:tabs>
          <w:tab w:leader="none" w:pos="1254" w:val="left"/>
        </w:tabs>
        <w:numPr>
          <w:ilvl w:val="0"/>
          <w:numId w:val="141"/>
        </w:numPr>
        <w:rPr>
          <w:rFonts w:ascii="Arial" w:cs="Arial" w:eastAsia="Arial" w:hAnsi="Arial"/>
          <w:sz w:val="15"/>
          <w:szCs w:val="15"/>
          <w:color w:val="auto"/>
        </w:rPr>
      </w:pPr>
      <w:r>
        <w:rPr>
          <w:rFonts w:ascii="Arial" w:cs="Arial" w:eastAsia="Arial" w:hAnsi="Arial"/>
          <w:sz w:val="15"/>
          <w:szCs w:val="15"/>
          <w:color w:val="auto"/>
        </w:rPr>
        <w:t>Each of the Administrative Agent, the Issuing Bank and the Lenders agrees to maintain the confidentiality of the Information (as defined below), except that Information may be disclosed (i) to its and its Affiliates’ and Approved Funds’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(ii) to the extent requested by any regulatory authority, (iii) to the extent required by applicable laws or regulations or by any subpoena or similar legal process, (iv) to any other party to this Agreement, (v) in connection with the exercise of any remedies hereunder or any suit, action or proceeding relating to this Agreement or the enforcement of rights hereunder, (vi) subject to an agreement containing provisions substantially the same as those of this Section, to (A) any assignee of or Participant in, or any prospective assignee of or Participant in, any of its rights or obligations under this Agreement or (B) any actual or prospective counterparty (or its advisors) to any swap or derivative transaction relating to the Borrowers and their obligations, (vii) with the consent of the Borrowers or (viii) to the extent such Information (A) becomes publicly available other than as a result of a breach of this Section or (B) becomes available to the Administrative Agent, the Issuing Bank or any Lender on a non-confidential basis from a source other than the Borrowers. For the purposes of this Section, “</w:t>
      </w:r>
      <w:r>
        <w:rPr>
          <w:rFonts w:ascii="Arial" w:cs="Arial" w:eastAsia="Arial" w:hAnsi="Arial"/>
          <w:sz w:val="15"/>
          <w:szCs w:val="15"/>
          <w:u w:val="single" w:color="auto"/>
          <w:color w:val="auto"/>
        </w:rPr>
        <w:t>Information</w:t>
      </w:r>
      <w:r>
        <w:rPr>
          <w:rFonts w:ascii="Arial" w:cs="Arial" w:eastAsia="Arial" w:hAnsi="Arial"/>
          <w:sz w:val="15"/>
          <w:szCs w:val="15"/>
          <w:color w:val="auto"/>
        </w:rPr>
        <w:t xml:space="preserve">” means all information received from the Borrowers relating to the Borrowers or their business, other than any such information that is available to the Administrative Agent, the Issuing Bank or any Lender on a non-confidential basis prior to disclosure by the Borrowers;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case of information received from the Borrowers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363" w:lineRule="exact"/>
        <w:rPr>
          <w:rFonts w:ascii="Arial" w:cs="Arial" w:eastAsia="Arial" w:hAnsi="Arial"/>
          <w:sz w:val="15"/>
          <w:szCs w:val="15"/>
          <w:color w:val="auto"/>
        </w:rPr>
      </w:pPr>
    </w:p>
    <w:p>
      <w:pPr>
        <w:jc w:val="both"/>
        <w:ind w:firstLine="537"/>
        <w:spacing w:after="0" w:line="251" w:lineRule="auto"/>
        <w:tabs>
          <w:tab w:leader="none" w:pos="1274"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EACH LENDER ACKNOWLEDGES THAT INFORMATION AS DEFINED IN </w:t>
      </w:r>
      <w:r>
        <w:rPr>
          <w:rFonts w:ascii="Arial" w:cs="Arial" w:eastAsia="Arial" w:hAnsi="Arial"/>
          <w:sz w:val="18"/>
          <w:szCs w:val="18"/>
          <w:b w:val="1"/>
          <w:bCs w:val="1"/>
          <w:u w:val="single" w:color="auto"/>
          <w:color w:val="auto"/>
        </w:rPr>
        <w:t>SECTION 9.13(a)</w:t>
      </w:r>
      <w:r>
        <w:rPr>
          <w:rFonts w:ascii="Arial" w:cs="Arial" w:eastAsia="Arial" w:hAnsi="Arial"/>
          <w:sz w:val="18"/>
          <w:szCs w:val="18"/>
          <w:b w:val="1"/>
          <w:bCs w:val="1"/>
          <w:color w:val="auto"/>
        </w:rPr>
        <w:t xml:space="preserve"> FURNISHED TO IT PURSUANT TO THIS AGREEMENT MAY INCLUDE MATERIAL NON-PUBLIC INFORMATION CONCERNING THE BORROWER AND ITS RELATED PARTIES OR THEIR RESPECTIVE SECURITIES, THAT IT HAS DEVELOPED COMPLIANCE PROCEDURES REGARDING THE USE OF MATERIAL NON-PUBLIC INFORMATION AND THAT IT WILL HANDLE SUCH MATERIAL NON-PUBLIC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92</w:t>
      </w:r>
    </w:p>
    <w:p>
      <w:pPr>
        <w:sectPr>
          <w:pgSz w:w="11900" w:h="16838" w:orient="portrait"/>
          <w:cols w:equalWidth="0" w:num="1">
            <w:col w:w="11460"/>
          </w:cols>
          <w:pgMar w:left="220" w:top="509" w:right="219" w:bottom="1440" w:gutter="0" w:footer="0" w:header="0"/>
        </w:sectPr>
      </w:pPr>
    </w:p>
    <w:bookmarkStart w:id="153" w:name="page154"/>
    <w:bookmarkEnd w:id="153"/>
    <w:p>
      <w:pPr>
        <w:jc w:val="both"/>
        <w:spacing w:after="0" w:line="268" w:lineRule="auto"/>
        <w:rPr>
          <w:sz w:val="20"/>
          <w:szCs w:val="20"/>
          <w:color w:val="auto"/>
        </w:rPr>
      </w:pPr>
      <w:r>
        <w:rPr>
          <w:rFonts w:ascii="Arial" w:cs="Arial" w:eastAsia="Arial" w:hAnsi="Arial"/>
          <w:sz w:val="18"/>
          <w:szCs w:val="18"/>
          <w:b w:val="1"/>
          <w:bCs w:val="1"/>
          <w:color w:val="auto"/>
        </w:rPr>
        <w:t>INFORMATION IN ACCORDANCE WITH THOSE PROCEDURES AND APPLICABLE LAW, INCLUDING FEDERAL AND STATE SECURITIES LAWS.</w:t>
      </w:r>
    </w:p>
    <w:p>
      <w:pPr>
        <w:spacing w:after="0" w:line="172"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7"/>
          <w:szCs w:val="17"/>
          <w:color w:val="auto"/>
        </w:rPr>
        <w:t xml:space="preserve">SECTION 9.14 </w:t>
      </w:r>
      <w:r>
        <w:rPr>
          <w:rFonts w:ascii="Arial" w:cs="Arial" w:eastAsia="Arial" w:hAnsi="Arial"/>
          <w:sz w:val="17"/>
          <w:szCs w:val="17"/>
          <w:u w:val="single" w:color="auto"/>
          <w:color w:val="auto"/>
        </w:rPr>
        <w:t>Interest Rate Limitation</w:t>
      </w:r>
      <w:r>
        <w:rPr>
          <w:rFonts w:ascii="Arial" w:cs="Arial" w:eastAsia="Arial" w:hAnsi="Arial"/>
          <w:sz w:val="17"/>
          <w:szCs w:val="17"/>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17"/>
          <w:szCs w:val="17"/>
          <w:u w:val="single" w:color="auto"/>
          <w:color w:val="auto"/>
        </w:rPr>
        <w:t>Charges</w:t>
      </w:r>
      <w:r>
        <w:rPr>
          <w:rFonts w:ascii="Arial" w:cs="Arial" w:eastAsia="Arial" w:hAnsi="Arial"/>
          <w:sz w:val="17"/>
          <w:szCs w:val="17"/>
          <w:color w:val="auto"/>
        </w:rPr>
        <w:t>”), shall exceed the maximum lawful rate (the “</w:t>
      </w:r>
      <w:r>
        <w:rPr>
          <w:rFonts w:ascii="Arial" w:cs="Arial" w:eastAsia="Arial" w:hAnsi="Arial"/>
          <w:sz w:val="17"/>
          <w:szCs w:val="17"/>
          <w:u w:val="single" w:color="auto"/>
          <w:color w:val="auto"/>
        </w:rPr>
        <w:t>Maximum Rate</w:t>
      </w:r>
      <w:r>
        <w:rPr>
          <w:rFonts w:ascii="Arial" w:cs="Arial" w:eastAsia="Arial" w:hAnsi="Arial"/>
          <w:sz w:val="17"/>
          <w:szCs w:val="17"/>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84" w:lineRule="exact"/>
        <w:rPr>
          <w:sz w:val="20"/>
          <w:szCs w:val="20"/>
          <w:color w:val="auto"/>
        </w:rPr>
      </w:pPr>
    </w:p>
    <w:p>
      <w:pPr>
        <w:jc w:val="both"/>
        <w:ind w:firstLine="529"/>
        <w:spacing w:after="0" w:line="300" w:lineRule="auto"/>
        <w:rPr>
          <w:sz w:val="20"/>
          <w:szCs w:val="20"/>
          <w:color w:val="auto"/>
        </w:rPr>
      </w:pPr>
      <w:r>
        <w:rPr>
          <w:rFonts w:ascii="Arial" w:cs="Arial" w:eastAsia="Arial" w:hAnsi="Arial"/>
          <w:sz w:val="15"/>
          <w:szCs w:val="15"/>
          <w:color w:val="auto"/>
        </w:rPr>
        <w:t xml:space="preserve">SECTION 9.15 </w:t>
      </w:r>
      <w:r>
        <w:rPr>
          <w:rFonts w:ascii="Arial" w:cs="Arial" w:eastAsia="Arial" w:hAnsi="Arial"/>
          <w:sz w:val="15"/>
          <w:szCs w:val="15"/>
          <w:u w:val="single" w:color="auto"/>
          <w:color w:val="auto"/>
        </w:rPr>
        <w:t>No Fiduciary Duty</w:t>
      </w:r>
      <w:r>
        <w:rPr>
          <w:rFonts w:ascii="Arial" w:cs="Arial" w:eastAsia="Arial" w:hAnsi="Arial"/>
          <w:sz w:val="15"/>
          <w:szCs w:val="15"/>
          <w:color w:val="auto"/>
        </w:rPr>
        <w:t>. In connection with all aspects of each transaction contemplated hereby (including in connection with any amendment, waiver or other modification hereof or of any other Loan Document), the Company, for itself and the other Credit Parties, acknowledges and agrees that:</w:t>
      </w:r>
    </w:p>
    <w:p>
      <w:pPr>
        <w:spacing w:after="0" w:line="1" w:lineRule="exact"/>
        <w:rPr>
          <w:sz w:val="20"/>
          <w:szCs w:val="20"/>
          <w:color w:val="auto"/>
        </w:rPr>
      </w:pPr>
    </w:p>
    <w:p>
      <w:pPr>
        <w:jc w:val="both"/>
        <w:ind w:firstLine="8"/>
        <w:spacing w:after="0" w:line="258" w:lineRule="auto"/>
        <w:tabs>
          <w:tab w:leader="none" w:pos="242" w:val="left"/>
        </w:tabs>
        <w:numPr>
          <w:ilvl w:val="0"/>
          <w:numId w:val="142"/>
        </w:numPr>
        <w:rPr>
          <w:rFonts w:ascii="Arial" w:cs="Arial" w:eastAsia="Arial" w:hAnsi="Arial"/>
          <w:sz w:val="17"/>
          <w:szCs w:val="17"/>
          <w:color w:val="auto"/>
        </w:rPr>
      </w:pPr>
      <w:r>
        <w:rPr>
          <w:rFonts w:ascii="Arial" w:cs="Arial" w:eastAsia="Arial" w:hAnsi="Arial"/>
          <w:sz w:val="17"/>
          <w:szCs w:val="17"/>
          <w:color w:val="auto"/>
        </w:rPr>
        <w:t>(i) the arranging and other services regarding this Agreement provided by the Lenders are arm’s-length commercial transactions between the Company and its Affiliates, on the one hand, and the Lenders, on the other hand, (ii) the Company has consulted its own legal, accounting, regulatory and tax advisors to the extent it has deemed appropriate, and (iii) the Company is capable of evaluating, and understands and accepts, the terms, risks and conditions of the transactions contemplated hereby and by the other Loan Documents; (b) (i) each of the Lenders is and has been acting solely as a principal and, except as expressly agreed in writing by the relevant parties, has not been, is not, and will not be acting as an advisor, agent or fiduciary for the Company or any of its Affiliates, or any other Person and (ii) no Lender has any obligation to the Company or any of its Affiliates with respect to the transactions contemplated hereby except those obligations expressly set forth herein and in the other Loan Documents; and (c) each of the Lenders and their respective Affiliates may be engaged in a broad range of transactions that involve interests that differ from those of the Company and its Affiliates, and no Lender has any obligation to disclose any of such interests to the Company or its Affiliates. To the fullest extent permitted by law, the Company, for itself and the other Credit Parties, hereby waives and releases any claims that it may have against each of the Lenders with respect to any breach or alleged breach of agency or fiduciary duty in connection with any aspect of any transaction contemplated hereby.</w:t>
      </w:r>
    </w:p>
    <w:p>
      <w:pPr>
        <w:spacing w:after="0" w:line="188" w:lineRule="exact"/>
        <w:rPr>
          <w:sz w:val="20"/>
          <w:szCs w:val="20"/>
          <w:color w:val="auto"/>
        </w:rPr>
      </w:pPr>
    </w:p>
    <w:p>
      <w:pPr>
        <w:jc w:val="both"/>
        <w:ind w:firstLine="529"/>
        <w:spacing w:after="0" w:line="249" w:lineRule="auto"/>
        <w:rPr>
          <w:sz w:val="20"/>
          <w:szCs w:val="20"/>
          <w:color w:val="auto"/>
        </w:rPr>
      </w:pPr>
      <w:r>
        <w:rPr>
          <w:rFonts w:ascii="Arial" w:cs="Arial" w:eastAsia="Arial" w:hAnsi="Arial"/>
          <w:sz w:val="18"/>
          <w:szCs w:val="18"/>
          <w:color w:val="auto"/>
        </w:rPr>
        <w:t xml:space="preserve">SECTION 9.16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that is subject to the requirements of the USA Patriot Act (Title III of Pub. L. 107-56 (signed into law October 26, 2001)) (the “</w:t>
      </w:r>
      <w:r>
        <w:rPr>
          <w:rFonts w:ascii="Arial" w:cs="Arial" w:eastAsia="Arial" w:hAnsi="Arial"/>
          <w:sz w:val="18"/>
          <w:szCs w:val="18"/>
          <w:u w:val="single" w:color="auto"/>
          <w:color w:val="auto"/>
        </w:rPr>
        <w:t>Patriot Act</w:t>
      </w:r>
      <w:r>
        <w:rPr>
          <w:rFonts w:ascii="Arial" w:cs="Arial" w:eastAsia="Arial" w:hAnsi="Arial"/>
          <w:sz w:val="18"/>
          <w:szCs w:val="18"/>
          <w:color w:val="auto"/>
        </w:rPr>
        <w:t>”) hereby notifies the Borrowers that pursuant to the requirements of the Patriot Act, it is required to obtain, verify and record information that identifies the Borrowers, which information includes the name and address of the Borrowers and other information that will allow such Lender to identify the Borrowers in accordance with the Patriot Act.</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9.17 </w:t>
      </w:r>
      <w:r>
        <w:rPr>
          <w:rFonts w:ascii="Arial" w:cs="Arial" w:eastAsia="Arial" w:hAnsi="Arial"/>
          <w:sz w:val="18"/>
          <w:szCs w:val="18"/>
          <w:u w:val="single" w:color="auto"/>
          <w:color w:val="auto"/>
        </w:rPr>
        <w:t>Judgment Currency Conversion</w:t>
      </w:r>
      <w:r>
        <w:rPr>
          <w:rFonts w:ascii="Arial" w:cs="Arial" w:eastAsia="Arial" w:hAnsi="Arial"/>
          <w:sz w:val="18"/>
          <w:szCs w:val="18"/>
          <w:color w:val="auto"/>
        </w:rPr>
        <w:t>.</w:t>
      </w:r>
    </w:p>
    <w:p>
      <w:pPr>
        <w:spacing w:after="0" w:line="212" w:lineRule="exact"/>
        <w:rPr>
          <w:sz w:val="20"/>
          <w:szCs w:val="20"/>
          <w:color w:val="auto"/>
        </w:rPr>
      </w:pPr>
    </w:p>
    <w:p>
      <w:pPr>
        <w:jc w:val="both"/>
        <w:ind w:firstLine="537"/>
        <w:spacing w:after="0" w:line="247" w:lineRule="auto"/>
        <w:tabs>
          <w:tab w:leader="none" w:pos="125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obligations of the Borrowers or any of the other Credit Parties hereunder and under the other Loan Documents to make payments in U.S. Dollars or in Foreign Currencies, as the case may be (the “</w:t>
      </w:r>
      <w:r>
        <w:rPr>
          <w:rFonts w:ascii="Arial" w:cs="Arial" w:eastAsia="Arial" w:hAnsi="Arial"/>
          <w:sz w:val="18"/>
          <w:szCs w:val="18"/>
          <w:u w:val="single" w:color="auto"/>
          <w:color w:val="auto"/>
        </w:rPr>
        <w:t>Obligation Currency</w:t>
      </w:r>
      <w:r>
        <w:rPr>
          <w:rFonts w:ascii="Arial" w:cs="Arial" w:eastAsia="Arial" w:hAnsi="Arial"/>
          <w:sz w:val="18"/>
          <w:szCs w:val="18"/>
          <w:color w:val="auto"/>
        </w:rPr>
        <w:t>”), shall not be discharged or satisfied by any tender or recovery pursuant to any judgment expressed in or converted into any currency other than the Obligation Currency, except to the extent that such tender or recovery results in the effective receipt by the Administrative Agent or a Lender of the full amount of the Obligation Currency expressed to be payable to the Administrative Agent or such Lender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93</w:t>
      </w:r>
    </w:p>
    <w:p>
      <w:pPr>
        <w:sectPr>
          <w:pgSz w:w="11900" w:h="16838" w:orient="portrait"/>
          <w:cols w:equalWidth="0" w:num="1">
            <w:col w:w="11460"/>
          </w:cols>
          <w:pgMar w:left="220" w:top="502" w:right="219" w:bottom="1440" w:gutter="0" w:footer="0" w:header="0"/>
        </w:sectPr>
      </w:pPr>
    </w:p>
    <w:bookmarkStart w:id="154" w:name="page155"/>
    <w:bookmarkEnd w:id="154"/>
    <w:p>
      <w:pPr>
        <w:jc w:val="both"/>
        <w:spacing w:after="0" w:line="247" w:lineRule="auto"/>
        <w:rPr>
          <w:sz w:val="20"/>
          <w:szCs w:val="20"/>
          <w:color w:val="auto"/>
        </w:rPr>
      </w:pPr>
      <w:r>
        <w:rPr>
          <w:rFonts w:ascii="Arial" w:cs="Arial" w:eastAsia="Arial" w:hAnsi="Arial"/>
          <w:sz w:val="18"/>
          <w:szCs w:val="18"/>
          <w:color w:val="auto"/>
        </w:rPr>
        <w:t>under this Agreement or the other Loan Documents. If, for the purpose of obtaining or enforcing judgment against any Credit Party in any court or in any jurisdiction, it becomes necessary to convert into or from any currency other than the Obligation Currency (such other currency being hereinafter referred to as the “</w:t>
      </w:r>
      <w:r>
        <w:rPr>
          <w:rFonts w:ascii="Arial" w:cs="Arial" w:eastAsia="Arial" w:hAnsi="Arial"/>
          <w:sz w:val="18"/>
          <w:szCs w:val="18"/>
          <w:u w:val="single" w:color="auto"/>
          <w:color w:val="auto"/>
        </w:rPr>
        <w:t>Judgment Currency</w:t>
      </w:r>
      <w:r>
        <w:rPr>
          <w:rFonts w:ascii="Arial" w:cs="Arial" w:eastAsia="Arial" w:hAnsi="Arial"/>
          <w:sz w:val="18"/>
          <w:szCs w:val="18"/>
          <w:color w:val="auto"/>
        </w:rPr>
        <w:t>”) an amount due in the Obligation Currency, the conversion shall be made, at the Administrative Agent’s quoted rate of exchange prevailing, in each case, as of the date immediately preceding the day on which the judgment is given (such Business Day being hereinafter referred to as the “</w:t>
      </w:r>
      <w:r>
        <w:rPr>
          <w:rFonts w:ascii="Arial" w:cs="Arial" w:eastAsia="Arial" w:hAnsi="Arial"/>
          <w:sz w:val="18"/>
          <w:szCs w:val="18"/>
          <w:u w:val="single" w:color="auto"/>
          <w:color w:val="auto"/>
        </w:rPr>
        <w:t>Judgment Currency Conversion Date</w:t>
      </w:r>
      <w:r>
        <w:rPr>
          <w:rFonts w:ascii="Arial" w:cs="Arial" w:eastAsia="Arial" w:hAnsi="Arial"/>
          <w:sz w:val="18"/>
          <w:szCs w:val="18"/>
          <w:color w:val="auto"/>
        </w:rPr>
        <w:t>”).</w:t>
      </w:r>
    </w:p>
    <w:p>
      <w:pPr>
        <w:spacing w:after="0" w:line="191" w:lineRule="exact"/>
        <w:rPr>
          <w:sz w:val="20"/>
          <w:szCs w:val="20"/>
          <w:color w:val="auto"/>
        </w:rPr>
      </w:pPr>
    </w:p>
    <w:p>
      <w:pPr>
        <w:jc w:val="both"/>
        <w:ind w:firstLine="537"/>
        <w:spacing w:after="0" w:line="265" w:lineRule="auto"/>
        <w:tabs>
          <w:tab w:leader="none" w:pos="1264" w:val="left"/>
        </w:tabs>
        <w:numPr>
          <w:ilvl w:val="0"/>
          <w:numId w:val="144"/>
        </w:numPr>
        <w:rPr>
          <w:rFonts w:ascii="Arial" w:cs="Arial" w:eastAsia="Arial" w:hAnsi="Arial"/>
          <w:sz w:val="17"/>
          <w:szCs w:val="17"/>
          <w:color w:val="auto"/>
        </w:rPr>
      </w:pPr>
      <w:r>
        <w:rPr>
          <w:rFonts w:ascii="Arial" w:cs="Arial" w:eastAsia="Arial" w:hAnsi="Arial"/>
          <w:sz w:val="17"/>
          <w:szCs w:val="17"/>
          <w:color w:val="auto"/>
        </w:rPr>
        <w:t>If there is a change in the rate of exchange prevailing between the Judgment Currency Conversion Date and the date of actual payment of the amount due, the Credit Parties each covenant and agree to pay, or cause to be paid, such additional amounts, if any (but in any event not a lesser amount), as may be necessary to ensure that the amount paid in the Judgment Currency, when converted at the rate of exchange prevailing on the date of payment, will produce the amount of the Obligation Currency which could have been purchased with the amount of Judgment Currency stipulated in the judgment or judicial award at the rate of exchange prevailing on the Judgment Currency Conversion Date.</w:t>
      </w:r>
    </w:p>
    <w:p>
      <w:pPr>
        <w:spacing w:after="0" w:line="177" w:lineRule="exact"/>
        <w:rPr>
          <w:rFonts w:ascii="Arial" w:cs="Arial" w:eastAsia="Arial" w:hAnsi="Arial"/>
          <w:sz w:val="17"/>
          <w:szCs w:val="17"/>
          <w:color w:val="auto"/>
        </w:rPr>
      </w:pPr>
    </w:p>
    <w:p>
      <w:pPr>
        <w:ind w:firstLine="537"/>
        <w:spacing w:after="0" w:line="261" w:lineRule="auto"/>
        <w:tabs>
          <w:tab w:leader="none" w:pos="125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Any amount due from a Credit Party under this </w:t>
      </w:r>
      <w:r>
        <w:rPr>
          <w:rFonts w:ascii="Arial" w:cs="Arial" w:eastAsia="Arial" w:hAnsi="Arial"/>
          <w:sz w:val="18"/>
          <w:szCs w:val="18"/>
          <w:u w:val="single" w:color="auto"/>
          <w:color w:val="auto"/>
        </w:rPr>
        <w:t>Section 9.17</w:t>
      </w:r>
      <w:r>
        <w:rPr>
          <w:rFonts w:ascii="Arial" w:cs="Arial" w:eastAsia="Arial" w:hAnsi="Arial"/>
          <w:sz w:val="18"/>
          <w:szCs w:val="18"/>
          <w:color w:val="auto"/>
        </w:rPr>
        <w:t xml:space="preserve"> shall be due as a separate debt and shall not be affected by judgment being obtained for any other amounts due under or in respect of any of the Loan Documents.</w:t>
      </w:r>
    </w:p>
    <w:p>
      <w:pPr>
        <w:spacing w:after="0" w:line="178" w:lineRule="exact"/>
        <w:rPr>
          <w:rFonts w:ascii="Arial" w:cs="Arial" w:eastAsia="Arial" w:hAnsi="Arial"/>
          <w:sz w:val="18"/>
          <w:szCs w:val="18"/>
          <w:color w:val="auto"/>
        </w:rPr>
      </w:pPr>
    </w:p>
    <w:p>
      <w:pPr>
        <w:ind w:firstLine="537"/>
        <w:spacing w:after="0" w:line="261" w:lineRule="auto"/>
        <w:tabs>
          <w:tab w:leader="none" w:pos="126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For purposes of determining the prevailing rate of exchange, such amounts shall include any premium and costs payable in connection with the purchase of the Obligation Currency.</w:t>
      </w:r>
    </w:p>
    <w:p>
      <w:pPr>
        <w:spacing w:after="0" w:line="178" w:lineRule="exact"/>
        <w:rPr>
          <w:sz w:val="20"/>
          <w:szCs w:val="20"/>
          <w:color w:val="auto"/>
        </w:rPr>
      </w:pPr>
    </w:p>
    <w:p>
      <w:pPr>
        <w:jc w:val="both"/>
        <w:ind w:firstLine="529"/>
        <w:spacing w:after="0" w:line="303" w:lineRule="auto"/>
        <w:rPr>
          <w:sz w:val="20"/>
          <w:szCs w:val="20"/>
          <w:color w:val="auto"/>
        </w:rPr>
      </w:pPr>
      <w:r>
        <w:rPr>
          <w:rFonts w:ascii="Arial" w:cs="Arial" w:eastAsia="Arial" w:hAnsi="Arial"/>
          <w:sz w:val="15"/>
          <w:szCs w:val="15"/>
          <w:color w:val="auto"/>
        </w:rPr>
        <w:t xml:space="preserve">SECTION 9.18 </w:t>
      </w:r>
      <w:r>
        <w:rPr>
          <w:rFonts w:ascii="Arial" w:cs="Arial" w:eastAsia="Arial" w:hAnsi="Arial"/>
          <w:sz w:val="15"/>
          <w:szCs w:val="15"/>
          <w:u w:val="single" w:color="auto"/>
          <w:color w:val="auto"/>
        </w:rPr>
        <w:t>MIRE Events</w:t>
      </w:r>
      <w:r>
        <w:rPr>
          <w:rFonts w:ascii="Arial" w:cs="Arial" w:eastAsia="Arial" w:hAnsi="Arial"/>
          <w:sz w:val="15"/>
          <w:szCs w:val="15"/>
          <w:color w:val="auto"/>
        </w:rPr>
        <w:t>. Each of the parties to this Agreement acknowledges and agrees that, if there are any Mortgaged Properties, any increase, extension or renewal of any of the Revolving Commitments or Loans (but excluding (a) any continuation or conversion of Borrowings, (b) the making of any Revolving Loans or Swingline Loans or (c) the issuance, renewal or extension of Letters of Credit) shall be subject to (and conditioned upon) (i) the prior delivery of all flood hazard determination certifications, acknowledgements and evidence of flood insurance and other flood-related documentation with respect to such Mortgaged Properties as required by Flood Insurance Law and as otherwise reasonably required by the Administrative Agent and (ii) the Administrative Agent shall have received written confirmation from the Impacted Lender that flood insurance due diligence and flood insurance compliance has been completed by the Impacted Lender (such written confirmation not to be unreasonably withheld, conditioned or delayed).</w:t>
      </w:r>
    </w:p>
    <w:p>
      <w:pPr>
        <w:spacing w:after="0" w:line="151" w:lineRule="exact"/>
        <w:rPr>
          <w:sz w:val="20"/>
          <w:szCs w:val="20"/>
          <w:color w:val="auto"/>
        </w:rPr>
      </w:pPr>
    </w:p>
    <w:p>
      <w:pPr>
        <w:jc w:val="both"/>
        <w:ind w:firstLine="529"/>
        <w:spacing w:after="0" w:line="249" w:lineRule="auto"/>
        <w:rPr>
          <w:sz w:val="20"/>
          <w:szCs w:val="20"/>
          <w:color w:val="auto"/>
        </w:rPr>
      </w:pPr>
      <w:r>
        <w:rPr>
          <w:rFonts w:ascii="Arial" w:cs="Arial" w:eastAsia="Arial" w:hAnsi="Arial"/>
          <w:sz w:val="18"/>
          <w:szCs w:val="18"/>
          <w:color w:val="auto"/>
        </w:rPr>
        <w:t xml:space="preserve">SECTION 9.19 </w:t>
      </w:r>
      <w:r>
        <w:rPr>
          <w:rFonts w:ascii="Arial" w:cs="Arial" w:eastAsia="Arial" w:hAnsi="Arial"/>
          <w:sz w:val="18"/>
          <w:szCs w:val="18"/>
          <w:u w:val="single" w:color="auto"/>
          <w:color w:val="auto"/>
        </w:rPr>
        <w:t>Acknowledgement and Consent to Bail-In of EEA Financial Institutions</w:t>
      </w:r>
      <w:r>
        <w:rPr>
          <w:rFonts w:ascii="Arial" w:cs="Arial" w:eastAsia="Arial" w:hAnsi="Arial"/>
          <w:sz w:val="18"/>
          <w:szCs w:val="18"/>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may be subject to the Write-Down and Conversion Powers of an EEA Resolution Authority and agrees and consents to, and acknowledges and agrees to be bound by:</w:t>
      </w:r>
    </w:p>
    <w:p>
      <w:pPr>
        <w:spacing w:after="0" w:line="188" w:lineRule="exact"/>
        <w:rPr>
          <w:sz w:val="20"/>
          <w:szCs w:val="20"/>
          <w:color w:val="auto"/>
        </w:rPr>
      </w:pPr>
    </w:p>
    <w:p>
      <w:pPr>
        <w:ind w:firstLine="537"/>
        <w:spacing w:after="0" w:line="261" w:lineRule="auto"/>
        <w:tabs>
          <w:tab w:leader="none" w:pos="125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8" w:lineRule="exact"/>
        <w:rPr>
          <w:rFonts w:ascii="Arial" w:cs="Arial" w:eastAsia="Arial" w:hAnsi="Arial"/>
          <w:sz w:val="18"/>
          <w:szCs w:val="18"/>
          <w:color w:val="auto"/>
        </w:rPr>
      </w:pPr>
    </w:p>
    <w:p>
      <w:pPr>
        <w:ind w:left="1280" w:hanging="743"/>
        <w:spacing w:after="0"/>
        <w:tabs>
          <w:tab w:leader="none" w:pos="12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11" w:lineRule="exact"/>
        <w:rPr>
          <w:rFonts w:ascii="Arial" w:cs="Arial" w:eastAsia="Arial" w:hAnsi="Arial"/>
          <w:sz w:val="18"/>
          <w:szCs w:val="18"/>
          <w:color w:val="auto"/>
        </w:rPr>
      </w:pPr>
    </w:p>
    <w:p>
      <w:pPr>
        <w:ind w:left="1760" w:hanging="694"/>
        <w:spacing w:after="0"/>
        <w:tabs>
          <w:tab w:leader="none" w:pos="17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94</w:t>
      </w:r>
    </w:p>
    <w:p>
      <w:pPr>
        <w:sectPr>
          <w:pgSz w:w="11900" w:h="16838" w:orient="portrait"/>
          <w:cols w:equalWidth="0" w:num="1">
            <w:col w:w="11460"/>
          </w:cols>
          <w:pgMar w:left="220" w:top="508" w:right="219" w:bottom="1440" w:gutter="0" w:footer="0" w:header="0"/>
        </w:sectPr>
      </w:pPr>
    </w:p>
    <w:bookmarkStart w:id="155" w:name="page156"/>
    <w:bookmarkEnd w:id="155"/>
    <w:p>
      <w:pPr>
        <w:jc w:val="both"/>
        <w:ind w:left="540" w:firstLine="526"/>
        <w:spacing w:after="0" w:line="274" w:lineRule="auto"/>
        <w:tabs>
          <w:tab w:leader="none" w:pos="1814" w:val="left"/>
        </w:tabs>
        <w:numPr>
          <w:ilvl w:val="0"/>
          <w:numId w:val="146"/>
        </w:numPr>
        <w:rPr>
          <w:rFonts w:ascii="Arial" w:cs="Arial" w:eastAsia="Arial" w:hAnsi="Arial"/>
          <w:sz w:val="17"/>
          <w:szCs w:val="17"/>
          <w:color w:val="auto"/>
        </w:rPr>
      </w:pPr>
      <w:r>
        <w:rPr>
          <w:rFonts w:ascii="Arial" w:cs="Arial" w:eastAsia="Arial" w:hAnsi="Arial"/>
          <w:sz w:val="17"/>
          <w:szCs w:val="17"/>
          <w:color w:val="auto"/>
        </w:rPr>
        <w:t>a conversion of all, or a portion of, such liability into shares or other instruments of ownership in such EEA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68" w:lineRule="exact"/>
        <w:rPr>
          <w:rFonts w:ascii="Arial" w:cs="Arial" w:eastAsia="Arial" w:hAnsi="Arial"/>
          <w:sz w:val="17"/>
          <w:szCs w:val="17"/>
          <w:color w:val="auto"/>
        </w:rPr>
      </w:pPr>
    </w:p>
    <w:p>
      <w:pPr>
        <w:ind w:left="540" w:firstLine="526"/>
        <w:spacing w:after="0" w:line="261" w:lineRule="auto"/>
        <w:tabs>
          <w:tab w:leader="none" w:pos="186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78" w:lineRule="exact"/>
        <w:rPr>
          <w:sz w:val="20"/>
          <w:szCs w:val="20"/>
          <w:color w:val="auto"/>
        </w:rPr>
      </w:pPr>
    </w:p>
    <w:p>
      <w:pPr>
        <w:jc w:val="both"/>
        <w:ind w:firstLine="529"/>
        <w:spacing w:after="0" w:line="263" w:lineRule="auto"/>
        <w:rPr>
          <w:sz w:val="20"/>
          <w:szCs w:val="20"/>
          <w:color w:val="auto"/>
        </w:rPr>
      </w:pPr>
      <w:r>
        <w:rPr>
          <w:rFonts w:ascii="Arial" w:cs="Arial" w:eastAsia="Arial" w:hAnsi="Arial"/>
          <w:sz w:val="17"/>
          <w:szCs w:val="17"/>
          <w:color w:val="auto"/>
        </w:rPr>
        <w:t xml:space="preserve">SECTION 9.20 </w:t>
      </w:r>
      <w:r>
        <w:rPr>
          <w:rFonts w:ascii="Arial" w:cs="Arial" w:eastAsia="Arial" w:hAnsi="Arial"/>
          <w:sz w:val="17"/>
          <w:szCs w:val="17"/>
          <w:u w:val="single" w:color="auto"/>
          <w:color w:val="auto"/>
        </w:rPr>
        <w:t>Limitation of Liability of Foreign Borrowers</w:t>
      </w:r>
      <w:r>
        <w:rPr>
          <w:rFonts w:ascii="Arial" w:cs="Arial" w:eastAsia="Arial" w:hAnsi="Arial"/>
          <w:sz w:val="17"/>
          <w:szCs w:val="17"/>
          <w:color w:val="auto"/>
        </w:rPr>
        <w:t>. Notwithstanding anything to the contrary contained in this Agreement or in any other Loan Document, the parties agree that (a) no Foreign Borrower shall be liable for any obligation of the Company or any Domestic Subsidiary arising under or with respect to the Loan Documents, (b) the Company shall be liable for all of the obligations of each Credit Party arising under or with respect to the Loan Documents and (c) none of the Administrative Agent, the Issuing Bank nor any Lender, nor any Affiliate thereof, may setoff and apply any deposits of a Foreign Borrower or any other obligations at the time owing to or for the credit of the account of any Foreign Borrower by the Administrative Agent, the Issuing Bank, such Lender or Affiliate thereof, against any or all of the obligations of the Company.</w:t>
      </w:r>
    </w:p>
    <w:p>
      <w:pPr>
        <w:spacing w:after="0" w:line="181"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7"/>
          <w:szCs w:val="17"/>
          <w:color w:val="auto"/>
        </w:rPr>
        <w:t xml:space="preserve">SECTION 9.21 </w:t>
      </w:r>
      <w:r>
        <w:rPr>
          <w:rFonts w:ascii="Arial" w:cs="Arial" w:eastAsia="Arial" w:hAnsi="Arial"/>
          <w:sz w:val="17"/>
          <w:szCs w:val="17"/>
          <w:u w:val="single" w:color="auto"/>
          <w:color w:val="auto"/>
        </w:rPr>
        <w:t>Amendment and Restatement</w:t>
      </w:r>
      <w:r>
        <w:rPr>
          <w:rFonts w:ascii="Arial" w:cs="Arial" w:eastAsia="Arial" w:hAnsi="Arial"/>
          <w:sz w:val="17"/>
          <w:szCs w:val="17"/>
          <w:color w:val="auto"/>
        </w:rPr>
        <w:t>. This Agreement constitutes an amendment and restatement of the Existing Credit Agreement, effective from and after the Effective Date. The execution and delivery of this Agreement shall not constitute a novation of any loans or letters of credit owing to or issued by the Lenders, the Issuing Bank or the Administrative Agent under the Existing Credit Agreement. On the Effective Date, the credit facilities described in the Existing Credit Agreement shall be amended, supplemented, modified and restated in their entirety by the credit facilities described herein, and all loans and other obligations of the Borrowers outstanding as of the Effective Date under the Existing Credit Agreement shall be deemed to be Loans and Obligations outstanding under the credit facility described herein without any further action by any Person, except that the Administrative Agent shall make such transfers of funds as are necessary in order that the outstanding balance of such Loans, together with any Loans funded on the Effective Date, reflect the respective Revolving Commitments of the Lenders hereunder.</w:t>
      </w:r>
    </w:p>
    <w:p>
      <w:pPr>
        <w:spacing w:after="0" w:line="184" w:lineRule="exact"/>
        <w:rPr>
          <w:sz w:val="20"/>
          <w:szCs w:val="20"/>
          <w:color w:val="auto"/>
        </w:rPr>
      </w:pPr>
    </w:p>
    <w:p>
      <w:pPr>
        <w:jc w:val="both"/>
        <w:ind w:firstLine="529"/>
        <w:spacing w:after="0" w:line="298" w:lineRule="auto"/>
        <w:rPr>
          <w:sz w:val="20"/>
          <w:szCs w:val="20"/>
          <w:color w:val="auto"/>
        </w:rPr>
      </w:pPr>
      <w:r>
        <w:rPr>
          <w:rFonts w:ascii="Arial" w:cs="Arial" w:eastAsia="Arial" w:hAnsi="Arial"/>
          <w:sz w:val="15"/>
          <w:szCs w:val="15"/>
          <w:color w:val="auto"/>
        </w:rPr>
        <w:t xml:space="preserve">SECTION 9.22 </w:t>
      </w:r>
      <w:r>
        <w:rPr>
          <w:rFonts w:ascii="Arial" w:cs="Arial" w:eastAsia="Arial" w:hAnsi="Arial"/>
          <w:sz w:val="15"/>
          <w:szCs w:val="15"/>
          <w:u w:val="single" w:color="auto"/>
          <w:color w:val="auto"/>
        </w:rPr>
        <w:t>Release of Subsidiaries Constituting Immaterial Subsidiaries</w:t>
      </w:r>
      <w:r>
        <w:rPr>
          <w:rFonts w:ascii="Arial" w:cs="Arial" w:eastAsia="Arial" w:hAnsi="Arial"/>
          <w:sz w:val="15"/>
          <w:szCs w:val="15"/>
          <w:color w:val="auto"/>
        </w:rPr>
        <w:t>. The Company represents and warrants to the Administrative Agent and the Lenders that each of the following Subsidiaries that are “Guarantors” under the Existing Credit Agreement (collectively, the “</w:t>
      </w:r>
      <w:r>
        <w:rPr>
          <w:rFonts w:ascii="Arial" w:cs="Arial" w:eastAsia="Arial" w:hAnsi="Arial"/>
          <w:sz w:val="15"/>
          <w:szCs w:val="15"/>
          <w:u w:val="single" w:color="auto"/>
          <w:color w:val="auto"/>
        </w:rPr>
        <w:t>Specified Subsidiaries</w:t>
      </w:r>
      <w:r>
        <w:rPr>
          <w:rFonts w:ascii="Arial" w:cs="Arial" w:eastAsia="Arial" w:hAnsi="Arial"/>
          <w:sz w:val="15"/>
          <w:szCs w:val="15"/>
          <w:color w:val="auto"/>
        </w:rPr>
        <w:t xml:space="preserve">”) constitutes an Immaterial Subsidiary under this Agreement as of the Effective Date: (a) Matrix Service Specialized Transport, Inc., a Pennsylvania corporation; (b) Matrix SME Canada, Inc., a Delaware corporation; (c) Matrix Service International, LLC, a Delaware limited liability company; (d) Matrix International Holdings, LLC, a Delaware limited liability company; (e) Matrix International Construction, LLC, an Oklahoma limited liability company; (f) Matrix International Engineering, LLP, a Delaware limited liability partnership; (g) Mobile Aquatic Solutions, Inc., an Oklahoma corporation; (h) Matrix Applied Technologies, Inc., a Delaware corporation; and (i) Matrix PDM, LLC, an Oklahoma limited liability company. Accordingly, the Administrative Agent and each of the Lenders that is a “Lender” under the Existing Credit Agreement hereby releases each of the Specified Subsidiaries from their respective obligations under the “Loan Documents” as defined in the Existing Agreement and releases any and all property of the Specified Subsidiaries from the Liens of the “Collateral Documents” as defined in the Existing Credit Agreement. At the request and expense of the Company, the Administrative Agent agrees to, and each of the Lenders that is a “Lender” under the Existing Credit Agreement authorizes the Administrative Agent to, execute and deliver such documents to evidence the release granted in this </w:t>
      </w:r>
      <w:r>
        <w:rPr>
          <w:rFonts w:ascii="Arial" w:cs="Arial" w:eastAsia="Arial" w:hAnsi="Arial"/>
          <w:sz w:val="15"/>
          <w:szCs w:val="15"/>
          <w:u w:val="single" w:color="auto"/>
          <w:color w:val="auto"/>
        </w:rPr>
        <w:t>Section 9.22</w:t>
      </w:r>
      <w:r>
        <w:rPr>
          <w:rFonts w:ascii="Arial" w:cs="Arial" w:eastAsia="Arial" w:hAnsi="Arial"/>
          <w:sz w:val="15"/>
          <w:szCs w:val="15"/>
          <w:color w:val="auto"/>
        </w:rPr>
        <w:t>.</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95</w:t>
      </w:r>
    </w:p>
    <w:p>
      <w:pPr>
        <w:sectPr>
          <w:pgSz w:w="11900" w:h="16838" w:orient="portrait"/>
          <w:cols w:equalWidth="0" w:num="1">
            <w:col w:w="11460"/>
          </w:cols>
          <w:pgMar w:left="220" w:top="509" w:right="219" w:bottom="1440" w:gutter="0" w:footer="0" w:header="0"/>
        </w:sectPr>
      </w:pPr>
    </w:p>
    <w:bookmarkStart w:id="156" w:name="page157"/>
    <w:bookmarkEnd w:id="156"/>
    <w:p>
      <w:pPr>
        <w:jc w:val="both"/>
        <w:ind w:firstLine="529"/>
        <w:spacing w:after="0" w:line="300" w:lineRule="auto"/>
        <w:rPr>
          <w:sz w:val="20"/>
          <w:szCs w:val="20"/>
          <w:color w:val="auto"/>
        </w:rPr>
      </w:pPr>
      <w:r>
        <w:rPr>
          <w:rFonts w:ascii="Arial" w:cs="Arial" w:eastAsia="Arial" w:hAnsi="Arial"/>
          <w:sz w:val="15"/>
          <w:szCs w:val="15"/>
          <w:color w:val="auto"/>
        </w:rPr>
        <w:t xml:space="preserve">SECTION 9.23 </w:t>
      </w:r>
      <w:r>
        <w:rPr>
          <w:rFonts w:ascii="Arial" w:cs="Arial" w:eastAsia="Arial" w:hAnsi="Arial"/>
          <w:sz w:val="15"/>
          <w:szCs w:val="15"/>
          <w:u w:val="single" w:color="auto"/>
          <w:color w:val="auto"/>
        </w:rPr>
        <w:t>Keepwell</w:t>
      </w:r>
      <w:r>
        <w:rPr>
          <w:rFonts w:ascii="Arial" w:cs="Arial" w:eastAsia="Arial" w:hAnsi="Arial"/>
          <w:sz w:val="15"/>
          <w:szCs w:val="15"/>
          <w:color w:val="auto"/>
        </w:rPr>
        <w:t>. Each Qualified ECP Guarantor hereby jointly and severally, absolutely, unconditionally and irrevocably undertakes to provide such funds or other support as may be needed by each other Credit Party to honor all of its obligations hereunder in respect of Swap Obligations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each Qualified ECP Guarantor shall only be liable under this </w:t>
      </w:r>
      <w:r>
        <w:rPr>
          <w:rFonts w:ascii="Arial" w:cs="Arial" w:eastAsia="Arial" w:hAnsi="Arial"/>
          <w:sz w:val="15"/>
          <w:szCs w:val="15"/>
          <w:u w:val="single" w:color="auto"/>
          <w:color w:val="auto"/>
        </w:rPr>
        <w:t>Section 9.23</w:t>
      </w:r>
      <w:r>
        <w:rPr>
          <w:rFonts w:ascii="Arial" w:cs="Arial" w:eastAsia="Arial" w:hAnsi="Arial"/>
          <w:sz w:val="15"/>
          <w:szCs w:val="15"/>
          <w:color w:val="auto"/>
        </w:rPr>
        <w:t xml:space="preserve"> for the maximum amount of such liability that can be hereby incurred without rendering its obligations under this </w:t>
      </w:r>
      <w:r>
        <w:rPr>
          <w:rFonts w:ascii="Arial" w:cs="Arial" w:eastAsia="Arial" w:hAnsi="Arial"/>
          <w:sz w:val="15"/>
          <w:szCs w:val="15"/>
          <w:u w:val="single" w:color="auto"/>
          <w:color w:val="auto"/>
        </w:rPr>
        <w:t>Section 9.23</w:t>
      </w:r>
      <w:r>
        <w:rPr>
          <w:rFonts w:ascii="Arial" w:cs="Arial" w:eastAsia="Arial" w:hAnsi="Arial"/>
          <w:sz w:val="15"/>
          <w:szCs w:val="15"/>
          <w:color w:val="auto"/>
        </w:rPr>
        <w:t xml:space="preserve"> or otherwise hereunder voidable under applicable law relating to fraudulent conveyance or fraudulent transfer, and not for any greater amount). The obligations of each Qualified ECP Guarantor under this Section shall remain in full force and effect until all Obligations shall have been indefeasibly paid in full, the Revolving Commitments shall have terminated or expired and all Letters of Credit (other than Letters of Credit as to which other arrangements satisfactory to the Administrative Agent and the Issuing Bank have been made) shall have terminated or expired. Each Qualified ECP Guarantor intends that this </w:t>
      </w:r>
      <w:r>
        <w:rPr>
          <w:rFonts w:ascii="Arial" w:cs="Arial" w:eastAsia="Arial" w:hAnsi="Arial"/>
          <w:sz w:val="15"/>
          <w:szCs w:val="15"/>
          <w:u w:val="single" w:color="auto"/>
          <w:color w:val="auto"/>
        </w:rPr>
        <w:t>Section 9.23</w:t>
      </w:r>
      <w:r>
        <w:rPr>
          <w:rFonts w:ascii="Arial" w:cs="Arial" w:eastAsia="Arial" w:hAnsi="Arial"/>
          <w:sz w:val="15"/>
          <w:szCs w:val="15"/>
          <w:color w:val="auto"/>
        </w:rPr>
        <w:t xml:space="preserve"> constitute, and this </w:t>
      </w:r>
      <w:r>
        <w:rPr>
          <w:rFonts w:ascii="Arial" w:cs="Arial" w:eastAsia="Arial" w:hAnsi="Arial"/>
          <w:sz w:val="15"/>
          <w:szCs w:val="15"/>
          <w:u w:val="single" w:color="auto"/>
          <w:color w:val="auto"/>
        </w:rPr>
        <w:t>Section 9.23</w:t>
      </w:r>
      <w:r>
        <w:rPr>
          <w:rFonts w:ascii="Arial" w:cs="Arial" w:eastAsia="Arial" w:hAnsi="Arial"/>
          <w:sz w:val="15"/>
          <w:szCs w:val="15"/>
          <w:color w:val="auto"/>
        </w:rPr>
        <w:t xml:space="preserve"> shall be deemed to constitute, a “keepwell, support, or other agreement” for the benefit of each other Credit Party for all purposes of Section 1a(18)(A)(v)(II) of the Commodity Exchange Act.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BORROWER GUARANTEES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Guarantee of the Company</w:t>
      </w:r>
      <w:r>
        <w:rPr>
          <w:rFonts w:ascii="Arial" w:cs="Arial" w:eastAsia="Arial" w:hAnsi="Arial"/>
          <w:sz w:val="18"/>
          <w:szCs w:val="18"/>
          <w:color w:val="auto"/>
        </w:rPr>
        <w:t>.</w:t>
      </w:r>
    </w:p>
    <w:p>
      <w:pPr>
        <w:spacing w:after="0" w:line="212" w:lineRule="exact"/>
        <w:rPr>
          <w:sz w:val="20"/>
          <w:szCs w:val="20"/>
          <w:color w:val="auto"/>
        </w:rPr>
      </w:pPr>
    </w:p>
    <w:p>
      <w:pPr>
        <w:jc w:val="both"/>
        <w:ind w:firstLine="529"/>
        <w:spacing w:after="0" w:line="247" w:lineRule="auto"/>
        <w:rPr>
          <w:sz w:val="20"/>
          <w:szCs w:val="20"/>
          <w:color w:val="auto"/>
        </w:rPr>
      </w:pPr>
      <w:r>
        <w:rPr>
          <w:rFonts w:ascii="Arial" w:cs="Arial" w:eastAsia="Arial" w:hAnsi="Arial"/>
          <w:sz w:val="18"/>
          <w:szCs w:val="18"/>
          <w:color w:val="auto"/>
        </w:rPr>
        <w:t>In order to induce the Lenders to extend credit to the other Borrowers hereunder, the Company hereby irrevocably and unconditionally guarantees, as a primary obligor and not merely as a surety, the payment when and as due of the Obligations of such other Borrowers. The Company further agrees that, except for any consent of the Company which is expressly required pursuant to this Agreement, the due and punctual payment of such Obligations may be extended or renewed, in whole or in part, without notice to or further assent from it, and that it will remain bound upon its guarantee hereunder notwithstanding any such extension or renewal of any such Obligation.</w:t>
      </w:r>
    </w:p>
    <w:p>
      <w:pPr>
        <w:spacing w:after="0" w:line="158" w:lineRule="exact"/>
        <w:rPr>
          <w:sz w:val="20"/>
          <w:szCs w:val="20"/>
          <w:color w:val="auto"/>
        </w:rPr>
      </w:pPr>
    </w:p>
    <w:p>
      <w:pPr>
        <w:jc w:val="both"/>
        <w:ind w:firstLine="529"/>
        <w:spacing w:after="0" w:line="245" w:lineRule="auto"/>
        <w:rPr>
          <w:sz w:val="20"/>
          <w:szCs w:val="20"/>
          <w:color w:val="auto"/>
        </w:rPr>
      </w:pPr>
      <w:r>
        <w:rPr>
          <w:rFonts w:ascii="Arial" w:cs="Arial" w:eastAsia="Arial" w:hAnsi="Arial"/>
          <w:sz w:val="18"/>
          <w:szCs w:val="18"/>
          <w:color w:val="auto"/>
        </w:rPr>
        <w:t>The Company waives presentment to, demand of payment from and protest to any Borrower of any of the Obligations, and also waives notice of acceptance of its obligations and notice of protest for nonpayment. The obligations of the Company hereunder shall not be affected by (a) the failure of the Administrative Agent or any Lender to assert any claim or demand or to enforce any right or remedy against any Credit Party under the provisions of this Agreement, any other Loan Document or otherwise, (b) any extension or renewal of any of the Obligations, (c) any rescission, waiver, amendment or modification of, or release from, any of the terms or provisions of this Agreement, or any other Loan Document or agreement, (d) any default, failure or delay, willful or otherwise, in the performance of any of the Obligations or (e) any other act, omission or delay to do any other act which may or might in any manner or to any extent vary the risk of the Company or otherwise operate as a discharge of a guarantor as a matter of law or equity or which would impair or eliminate any right of the Company to subrogation.</w:t>
      </w:r>
    </w:p>
    <w:p>
      <w:pPr>
        <w:spacing w:after="0" w:line="161" w:lineRule="exact"/>
        <w:rPr>
          <w:sz w:val="20"/>
          <w:szCs w:val="20"/>
          <w:color w:val="auto"/>
        </w:rPr>
      </w:pPr>
    </w:p>
    <w:p>
      <w:pPr>
        <w:jc w:val="both"/>
        <w:ind w:firstLine="529"/>
        <w:spacing w:after="0" w:line="252" w:lineRule="auto"/>
        <w:rPr>
          <w:sz w:val="20"/>
          <w:szCs w:val="20"/>
          <w:color w:val="auto"/>
        </w:rPr>
      </w:pPr>
      <w:r>
        <w:rPr>
          <w:rFonts w:ascii="Arial" w:cs="Arial" w:eastAsia="Arial" w:hAnsi="Arial"/>
          <w:sz w:val="18"/>
          <w:szCs w:val="18"/>
          <w:color w:val="auto"/>
        </w:rPr>
        <w:t>The Company further agrees that its obligations hereunder shall continue to be effective or be reinstated, as the case may be, if at any time payment, or any part thereof, of any Obligation is rescinded or must otherwise be restored by the Administrative Agent or any Lender upon the bankruptcy or reorganization of any Borrower or otherwise.</w:t>
      </w:r>
    </w:p>
    <w:p>
      <w:pPr>
        <w:spacing w:after="0" w:line="153" w:lineRule="exact"/>
        <w:rPr>
          <w:sz w:val="20"/>
          <w:szCs w:val="20"/>
          <w:color w:val="auto"/>
        </w:rPr>
      </w:pPr>
    </w:p>
    <w:p>
      <w:pPr>
        <w:jc w:val="both"/>
        <w:ind w:firstLine="529"/>
        <w:spacing w:after="0" w:line="249" w:lineRule="auto"/>
        <w:rPr>
          <w:sz w:val="20"/>
          <w:szCs w:val="20"/>
          <w:color w:val="auto"/>
        </w:rPr>
      </w:pPr>
      <w:r>
        <w:rPr>
          <w:rFonts w:ascii="Arial" w:cs="Arial" w:eastAsia="Arial" w:hAnsi="Arial"/>
          <w:sz w:val="18"/>
          <w:szCs w:val="18"/>
          <w:color w:val="auto"/>
        </w:rPr>
        <w:t>In furtherance of the foregoing and not in limitation of any other right which the Administrative Agent or any Lender may have at law or in equity against the Company by virtue hereof, upon the failure of any other Borrower to pay any Obligation when and as the same shall become due, whether at maturity, by acceleration, after notice of prepayment or otherwise, the Company hereby promises to and will, upon receipt of written demand by the Administrative Agent or any Lender, forthwith pay, or cause to be paid, to the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96</w:t>
      </w:r>
    </w:p>
    <w:p>
      <w:pPr>
        <w:sectPr>
          <w:pgSz w:w="11900" w:h="16838" w:orient="portrait"/>
          <w:cols w:equalWidth="0" w:num="1">
            <w:col w:w="11460"/>
          </w:cols>
          <w:pgMar w:left="220" w:top="509" w:right="219" w:bottom="1440" w:gutter="0" w:footer="0" w:header="0"/>
        </w:sectPr>
      </w:pPr>
    </w:p>
    <w:bookmarkStart w:id="157" w:name="page158"/>
    <w:bookmarkEnd w:id="157"/>
    <w:p>
      <w:pPr>
        <w:jc w:val="both"/>
        <w:spacing w:after="0" w:line="261" w:lineRule="auto"/>
        <w:rPr>
          <w:sz w:val="20"/>
          <w:szCs w:val="20"/>
          <w:color w:val="auto"/>
        </w:rPr>
      </w:pPr>
      <w:r>
        <w:rPr>
          <w:rFonts w:ascii="Arial" w:cs="Arial" w:eastAsia="Arial" w:hAnsi="Arial"/>
          <w:sz w:val="18"/>
          <w:szCs w:val="18"/>
          <w:color w:val="auto"/>
        </w:rPr>
        <w:t>Administrative Agent or such Lender in cash an amount equal to the unpaid principal amount of such Obligations then due, together with accrued and unpaid interest thereon.</w:t>
      </w:r>
    </w:p>
    <w:p>
      <w:pPr>
        <w:spacing w:after="0" w:line="145" w:lineRule="exact"/>
        <w:rPr>
          <w:sz w:val="20"/>
          <w:szCs w:val="20"/>
          <w:color w:val="auto"/>
        </w:rPr>
      </w:pPr>
    </w:p>
    <w:p>
      <w:pPr>
        <w:jc w:val="both"/>
        <w:ind w:firstLine="529"/>
        <w:spacing w:after="0" w:line="252" w:lineRule="auto"/>
        <w:rPr>
          <w:sz w:val="20"/>
          <w:szCs w:val="20"/>
          <w:color w:val="auto"/>
        </w:rPr>
      </w:pPr>
      <w:r>
        <w:rPr>
          <w:rFonts w:ascii="Arial" w:cs="Arial" w:eastAsia="Arial" w:hAnsi="Arial"/>
          <w:sz w:val="18"/>
          <w:szCs w:val="18"/>
          <w:color w:val="auto"/>
        </w:rPr>
        <w:t>Upon payment by the Company of any sums as provided above, all rights of the Company against any Borrower arising as a result thereof by way of right of subrogation or otherwise shall in all respects be subordinated and junior in right of payment to the prior indefeasible payment in full of all the Obligations owed by such Borrower to the Administrative Agent, the Issuing Bank and the Lenders.</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 xml:space="preserve">Nothing shall discharge or satisfy the liability of the Company under this </w:t>
      </w:r>
      <w:r>
        <w:rPr>
          <w:rFonts w:ascii="Arial" w:cs="Arial" w:eastAsia="Arial" w:hAnsi="Arial"/>
          <w:sz w:val="15"/>
          <w:szCs w:val="15"/>
          <w:u w:val="single" w:color="auto"/>
          <w:color w:val="auto"/>
        </w:rPr>
        <w:t>Section 10.01</w:t>
      </w:r>
      <w:r>
        <w:rPr>
          <w:rFonts w:ascii="Arial" w:cs="Arial" w:eastAsia="Arial" w:hAnsi="Arial"/>
          <w:sz w:val="15"/>
          <w:szCs w:val="15"/>
          <w:color w:val="auto"/>
        </w:rPr>
        <w:t xml:space="preserve"> except the full performance and payment of the Obligations.</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Guarantee of the Foreign Borrowers</w:t>
      </w:r>
      <w:r>
        <w:rPr>
          <w:rFonts w:ascii="Arial" w:cs="Arial" w:eastAsia="Arial" w:hAnsi="Arial"/>
          <w:sz w:val="18"/>
          <w:szCs w:val="18"/>
          <w:color w:val="auto"/>
        </w:rPr>
        <w:t>.</w:t>
      </w:r>
    </w:p>
    <w:p>
      <w:pPr>
        <w:spacing w:after="0" w:line="212" w:lineRule="exact"/>
        <w:rPr>
          <w:sz w:val="20"/>
          <w:szCs w:val="20"/>
          <w:color w:val="auto"/>
        </w:rPr>
      </w:pPr>
    </w:p>
    <w:p>
      <w:pPr>
        <w:jc w:val="both"/>
        <w:ind w:firstLine="529"/>
        <w:spacing w:after="0" w:line="265" w:lineRule="auto"/>
        <w:rPr>
          <w:sz w:val="20"/>
          <w:szCs w:val="20"/>
          <w:color w:val="auto"/>
        </w:rPr>
      </w:pPr>
      <w:r>
        <w:rPr>
          <w:rFonts w:ascii="Arial" w:cs="Arial" w:eastAsia="Arial" w:hAnsi="Arial"/>
          <w:sz w:val="17"/>
          <w:szCs w:val="17"/>
          <w:color w:val="auto"/>
        </w:rPr>
        <w:t>In order to induce the Lenders to extend credit to the other Foreign Borrowers hereunder, each Foreign Borrower hereby irrevocably and unconditionally guarantees, as a primary obligor and not merely as a surety, the payment when and as due of the Obligations of each other Foreign Borrower. Each Foreign Borrower further agrees that, except for any consent of such Foreign Borrower which is expressly required pursuant to this Agreement, the due and punctual payment of such Obligations may be extended or renewed, in whole or in part, without notice to or further assent from it, and that it will remain bound upon its guarantee hereunder notwithstanding any such extension or renewal of any such Obligation.</w:t>
      </w:r>
    </w:p>
    <w:p>
      <w:pPr>
        <w:spacing w:after="0" w:line="144"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7"/>
          <w:szCs w:val="17"/>
          <w:color w:val="auto"/>
        </w:rPr>
        <w:t>Each Foreign Borrower waives presentment to, demand of payment from and protest to any other Borrower of any of the Obligations of any Foreign Borrower, and also waives notice of acceptance of its obligations and notice of protest for nonpayment. The obligations of the Foreign Borrowers hereunder shall not be affected by (a) the failure of the Administrative Agent or any Lender to assert any claim or demand or to enforce any right or remedy against any Credit Party under the provisions of this Agreement, any other Loan Document or otherwise, (b) any extension or renewal of any of the Obligations, (c) any rescission, waiver, amendment or modification of, or release from, any of the terms or provisions of this Agreement, or any other Loan Document or agreement, (d) any default, failure or delay, willful or otherwise, in the performance of any of the Obligations or (e) any other act, omission or delay to do any other act which may or might in any manner or to any extent vary the risk of any Foreign Borrower or otherwise operate as a discharge of a guarantor as a matter of law or equity or which would impair or eliminate any right of any Foreign Borrower to subrogation.</w:t>
      </w:r>
    </w:p>
    <w:p>
      <w:pPr>
        <w:spacing w:after="0" w:line="151" w:lineRule="exact"/>
        <w:rPr>
          <w:sz w:val="20"/>
          <w:szCs w:val="20"/>
          <w:color w:val="auto"/>
        </w:rPr>
      </w:pPr>
    </w:p>
    <w:p>
      <w:pPr>
        <w:jc w:val="both"/>
        <w:ind w:firstLine="529"/>
        <w:spacing w:after="0" w:line="252" w:lineRule="auto"/>
        <w:rPr>
          <w:sz w:val="20"/>
          <w:szCs w:val="20"/>
          <w:color w:val="auto"/>
        </w:rPr>
      </w:pPr>
      <w:r>
        <w:rPr>
          <w:rFonts w:ascii="Arial" w:cs="Arial" w:eastAsia="Arial" w:hAnsi="Arial"/>
          <w:sz w:val="18"/>
          <w:szCs w:val="18"/>
          <w:color w:val="auto"/>
        </w:rPr>
        <w:t>Each Foreign Borrower further agrees that its obligations hereunder shall continue to be effective or be reinstated, as the case may be, if at any time payment, or any part thereof, or any Obligation of any Foreign Borrower is rescinded or must otherwise be restored by the Administrative Agent or any Lender upon the bankruptcy or reorganization of any Borrower or otherwise.</w:t>
      </w:r>
    </w:p>
    <w:p>
      <w:pPr>
        <w:spacing w:after="0" w:line="153" w:lineRule="exact"/>
        <w:rPr>
          <w:sz w:val="20"/>
          <w:szCs w:val="20"/>
          <w:color w:val="auto"/>
        </w:rPr>
      </w:pPr>
    </w:p>
    <w:p>
      <w:pPr>
        <w:jc w:val="both"/>
        <w:ind w:firstLine="529"/>
        <w:spacing w:after="0" w:line="309" w:lineRule="auto"/>
        <w:rPr>
          <w:sz w:val="20"/>
          <w:szCs w:val="20"/>
          <w:color w:val="auto"/>
        </w:rPr>
      </w:pPr>
      <w:r>
        <w:rPr>
          <w:rFonts w:ascii="Arial" w:cs="Arial" w:eastAsia="Arial" w:hAnsi="Arial"/>
          <w:sz w:val="15"/>
          <w:szCs w:val="15"/>
          <w:color w:val="auto"/>
        </w:rPr>
        <w:t>In furtherance of the foregoing and not in limitation of any other right which the Administrative Agent or any Lender may have at law or in equity against any Foreign Borrower by virtue hereof, upon the failure of any Foreign Borrower to pay any Obligation of such Foreign Borrower when and as the same shall become due, whether at maturity, by acceleration, after notice of prepayment or otherwise, each Foreign Borrower hereby promises to and will, upon receipt of written demand by the Administrative Agent or any Lender, forthwith pay, or cause to be paid, to the Administrative Agent or such Lender in cash an amount equal to the unpaid principal amount of any Obligations of any other Foreign Borrowers then due, together with accrued and unpaid interest thereon.</w:t>
      </w:r>
    </w:p>
    <w:p>
      <w:pPr>
        <w:spacing w:after="0" w:line="113"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Upon payment by any Foreign Borrower of any sums as provided above, all rights of such Foreign Borrower against any other Foreign Borrower arising as a result thereof by way of right of subrogation or</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97</w:t>
      </w:r>
    </w:p>
    <w:p>
      <w:pPr>
        <w:sectPr>
          <w:pgSz w:w="11900" w:h="16838" w:orient="portrait"/>
          <w:cols w:equalWidth="0" w:num="1">
            <w:col w:w="11460"/>
          </w:cols>
          <w:pgMar w:left="220" w:top="508" w:right="219" w:bottom="1440" w:gutter="0" w:footer="0" w:header="0"/>
        </w:sectPr>
      </w:pPr>
    </w:p>
    <w:bookmarkStart w:id="158" w:name="page159"/>
    <w:bookmarkEnd w:id="158"/>
    <w:p>
      <w:pPr>
        <w:jc w:val="both"/>
        <w:spacing w:after="0" w:line="261" w:lineRule="auto"/>
        <w:rPr>
          <w:sz w:val="20"/>
          <w:szCs w:val="20"/>
          <w:color w:val="auto"/>
        </w:rPr>
      </w:pPr>
      <w:r>
        <w:rPr>
          <w:rFonts w:ascii="Arial" w:cs="Arial" w:eastAsia="Arial" w:hAnsi="Arial"/>
          <w:sz w:val="18"/>
          <w:szCs w:val="18"/>
          <w:color w:val="auto"/>
        </w:rPr>
        <w:t>otherwise shall in all respects be subordinated and junior in right of payment to the prior indefeasible payment in full of all the Obligations owed by such Foreign Borrower to the Administrative Agent, the Issuing Banks and the Lenders.</w:t>
      </w:r>
    </w:p>
    <w:p>
      <w:pPr>
        <w:spacing w:after="0" w:line="145"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 xml:space="preserve">Nothing shall discharge or satisfy the liability of any Foreign Borrower under this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except the full performance and payment of the Obligations of all Foreign Borrowers.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Limitation on Foreign Guarantees</w:t>
      </w:r>
      <w:r>
        <w:rPr>
          <w:rFonts w:ascii="Arial" w:cs="Arial" w:eastAsia="Arial" w:hAnsi="Arial"/>
          <w:sz w:val="18"/>
          <w:szCs w:val="18"/>
          <w:color w:val="auto"/>
        </w:rPr>
        <w:t>.</w:t>
      </w:r>
    </w:p>
    <w:p>
      <w:pPr>
        <w:spacing w:after="0" w:line="212" w:lineRule="exact"/>
        <w:rPr>
          <w:sz w:val="20"/>
          <w:szCs w:val="20"/>
          <w:color w:val="auto"/>
        </w:rPr>
      </w:pPr>
    </w:p>
    <w:p>
      <w:pPr>
        <w:jc w:val="both"/>
        <w:ind w:firstLine="529"/>
        <w:spacing w:after="0" w:line="297" w:lineRule="auto"/>
        <w:rPr>
          <w:sz w:val="20"/>
          <w:szCs w:val="20"/>
          <w:color w:val="auto"/>
        </w:rPr>
      </w:pPr>
      <w:r>
        <w:rPr>
          <w:rFonts w:ascii="Arial" w:cs="Arial" w:eastAsia="Arial" w:hAnsi="Arial"/>
          <w:sz w:val="15"/>
          <w:szCs w:val="15"/>
          <w:color w:val="auto"/>
        </w:rPr>
        <w:t>Notwithstanding any other provisions of the Loan Documents, no Loan to the Company or other obligation of the Company or any Domestic Subsidiary under this Agreement or under any Loan Document may be, directly or indirectly, (a) guaranteed by a Foreign Borrower or a Foreign Subsidiary, (b) secured by any assets of any Foreign Borrower or Foreign Subsidiary (including any stock held directly or indirectly by a Foreign Borrower or Foreign Subsidiary) or</w:t>
      </w:r>
    </w:p>
    <w:p>
      <w:pPr>
        <w:spacing w:after="0" w:line="2" w:lineRule="exact"/>
        <w:rPr>
          <w:sz w:val="20"/>
          <w:szCs w:val="20"/>
          <w:color w:val="auto"/>
        </w:rPr>
      </w:pPr>
    </w:p>
    <w:p>
      <w:pPr>
        <w:jc w:val="both"/>
        <w:ind w:firstLine="8"/>
        <w:spacing w:after="0" w:line="265" w:lineRule="auto"/>
        <w:tabs>
          <w:tab w:leader="none" w:pos="254"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xml:space="preserve">secured by a pledge in excess of 65% of the stock (measured by the total combined voting power of the issued and outstanding voting stock) of a Foreign Borrower or Foreign Subsidiary. The Guarantee granted pursuant to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does not apply to any liability to the extent that it would result in such Guarantee constituting unlawful financial assistance within the meaning of sections 678 or 679 of the English Companies Act 2006.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 OF TEXT]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98</w:t>
      </w:r>
    </w:p>
    <w:p>
      <w:pPr>
        <w:sectPr>
          <w:pgSz w:w="11900" w:h="16838" w:orient="portrait"/>
          <w:cols w:equalWidth="0" w:num="1">
            <w:col w:w="11460"/>
          </w:cols>
          <w:pgMar w:left="220" w:top="509" w:right="219" w:bottom="1440" w:gutter="0" w:footer="0" w:header="0"/>
        </w:sectPr>
      </w:pPr>
    </w:p>
    <w:bookmarkStart w:id="159" w:name="page160"/>
    <w:bookmarkEnd w:id="159"/>
    <w:p>
      <w:pPr>
        <w:ind w:firstLine="529"/>
        <w:spacing w:after="0" w:line="261" w:lineRule="auto"/>
        <w:rPr>
          <w:sz w:val="20"/>
          <w:szCs w:val="20"/>
          <w:color w:val="auto"/>
        </w:rPr>
      </w:pPr>
      <w:r>
        <w:rPr>
          <w:rFonts w:ascii="Arial" w:cs="Arial" w:eastAsia="Arial" w:hAnsi="Arial"/>
          <w:sz w:val="18"/>
          <w:szCs w:val="18"/>
          <w:color w:val="auto"/>
        </w:rPr>
        <w:t>IN WITHNESS WHEREOF, the parties hereto, by their respective officers thereunto duly authorized, have executed this Agreement effective as of the date first above written.</w:t>
      </w:r>
    </w:p>
    <w:p>
      <w:pPr>
        <w:spacing w:after="0" w:line="139"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BORROWERS:</w:t>
      </w:r>
    </w:p>
    <w:p>
      <w:pPr>
        <w:spacing w:after="0" w:line="179"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MATRIX SERVICE COMPANY</w:t>
      </w:r>
      <w:r>
        <w:rPr>
          <w:rFonts w:ascii="Arial" w:cs="Arial" w:eastAsia="Arial" w:hAnsi="Arial"/>
          <w:sz w:val="18"/>
          <w:szCs w:val="18"/>
          <w:color w:val="auto"/>
        </w:rPr>
        <w:t>, a Delaware</w:t>
      </w:r>
    </w:p>
    <w:p>
      <w:pPr>
        <w:spacing w:after="0" w:line="22"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 xml:space="preserve">corporation, </w:t>
      </w:r>
      <w:r>
        <w:rPr>
          <w:rFonts w:ascii="Arial" w:cs="Arial" w:eastAsia="Arial" w:hAnsi="Arial"/>
          <w:sz w:val="18"/>
          <w:szCs w:val="18"/>
          <w:b w:val="1"/>
          <w:bCs w:val="1"/>
          <w:color w:val="auto"/>
        </w:rPr>
        <w:t>MATRIX SERVICE CANADA</w:t>
      </w:r>
    </w:p>
    <w:p>
      <w:pPr>
        <w:spacing w:after="0" w:line="2"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ULC</w:t>
      </w:r>
      <w:r>
        <w:rPr>
          <w:rFonts w:ascii="Arial" w:cs="Arial" w:eastAsia="Arial" w:hAnsi="Arial"/>
          <w:sz w:val="18"/>
          <w:szCs w:val="18"/>
          <w:color w:val="auto"/>
        </w:rPr>
        <w:t>, an Alberta unlimited liability corporation,</w:t>
      </w:r>
    </w:p>
    <w:p>
      <w:pPr>
        <w:spacing w:after="0" w:line="2"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MATRIX SME CANADA ULC</w:t>
      </w:r>
      <w:r>
        <w:rPr>
          <w:rFonts w:ascii="Arial" w:cs="Arial" w:eastAsia="Arial" w:hAnsi="Arial"/>
          <w:sz w:val="18"/>
          <w:szCs w:val="18"/>
          <w:color w:val="auto"/>
        </w:rPr>
        <w:t>, a Nova</w:t>
      </w:r>
    </w:p>
    <w:p>
      <w:pPr>
        <w:spacing w:after="0" w:line="2"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 xml:space="preserve">Scotia unlimited liability company, </w:t>
      </w:r>
      <w:r>
        <w:rPr>
          <w:rFonts w:ascii="Arial" w:cs="Arial" w:eastAsia="Arial" w:hAnsi="Arial"/>
          <w:sz w:val="18"/>
          <w:szCs w:val="18"/>
          <w:b w:val="1"/>
          <w:bCs w:val="1"/>
          <w:color w:val="auto"/>
        </w:rPr>
        <w:t>MATRIX</w:t>
      </w:r>
    </w:p>
    <w:p>
      <w:pPr>
        <w:spacing w:after="0" w:line="2"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NORTH AMERICAN CONSTRUCTION</w:t>
      </w:r>
    </w:p>
    <w:p>
      <w:pPr>
        <w:spacing w:after="0" w:line="2"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LTD.</w:t>
      </w:r>
      <w:r>
        <w:rPr>
          <w:rFonts w:ascii="Arial" w:cs="Arial" w:eastAsia="Arial" w:hAnsi="Arial"/>
          <w:sz w:val="18"/>
          <w:szCs w:val="18"/>
          <w:color w:val="auto"/>
        </w:rPr>
        <w:t>, an Ontario corporation, and</w:t>
      </w:r>
      <w:r>
        <w:rPr>
          <w:rFonts w:ascii="Arial" w:cs="Arial" w:eastAsia="Arial" w:hAnsi="Arial"/>
          <w:sz w:val="18"/>
          <w:szCs w:val="18"/>
          <w:b w:val="1"/>
          <w:bCs w:val="1"/>
          <w:color w:val="auto"/>
        </w:rPr>
        <w:t xml:space="preserve"> MATRIX</w:t>
      </w:r>
    </w:p>
    <w:p>
      <w:pPr>
        <w:spacing w:after="0" w:line="2"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INTERNATIONAL HOLDING COMPANY</w:t>
      </w:r>
    </w:p>
    <w:p>
      <w:pPr>
        <w:spacing w:after="0" w:line="2"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LIMITED</w:t>
      </w:r>
      <w:r>
        <w:rPr>
          <w:rFonts w:ascii="Arial" w:cs="Arial" w:eastAsia="Arial" w:hAnsi="Arial"/>
          <w:sz w:val="18"/>
          <w:szCs w:val="18"/>
          <w:color w:val="auto"/>
        </w:rPr>
        <w:t>, a private company formed under the</w:t>
      </w:r>
    </w:p>
    <w:p>
      <w:pPr>
        <w:spacing w:after="0" w:line="2"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laws of England and Wales</w:t>
      </w:r>
    </w:p>
    <w:p>
      <w:pPr>
        <w:spacing w:after="0" w:line="200" w:lineRule="exact"/>
        <w:rPr>
          <w:sz w:val="20"/>
          <w:szCs w:val="20"/>
          <w:color w:val="auto"/>
        </w:rPr>
      </w:pPr>
    </w:p>
    <w:p>
      <w:pPr>
        <w:spacing w:after="0" w:line="208" w:lineRule="exact"/>
        <w:rPr>
          <w:sz w:val="20"/>
          <w:szCs w:val="20"/>
          <w:color w:val="auto"/>
        </w:rPr>
      </w:pPr>
    </w:p>
    <w:p>
      <w:pPr>
        <w:ind w:left="3180"/>
        <w:spacing w:after="0"/>
        <w:tabs>
          <w:tab w:leader="none" w:pos="3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u w:val="single" w:color="auto"/>
          <w:color w:val="auto"/>
        </w:rPr>
        <w:t>/s/ Kevin S. Cavanah</w:t>
      </w:r>
    </w:p>
    <w:p>
      <w:pPr>
        <w:spacing w:after="0" w:line="16" w:lineRule="exact"/>
        <w:rPr>
          <w:sz w:val="20"/>
          <w:szCs w:val="20"/>
          <w:color w:val="auto"/>
        </w:rPr>
      </w:pPr>
    </w:p>
    <w:p>
      <w:pPr>
        <w:ind w:left="3180"/>
        <w:spacing w:after="0"/>
        <w:tabs>
          <w:tab w:leader="none" w:pos="38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u w:val="single" w:color="auto"/>
          <w:color w:val="auto"/>
        </w:rPr>
        <w:t>Kevin S. Cavanah</w:t>
      </w:r>
    </w:p>
    <w:p>
      <w:pPr>
        <w:spacing w:after="0" w:line="2" w:lineRule="exact"/>
        <w:rPr>
          <w:sz w:val="20"/>
          <w:szCs w:val="20"/>
          <w:color w:val="auto"/>
        </w:rPr>
      </w:pPr>
    </w:p>
    <w:p>
      <w:pPr>
        <w:ind w:left="3180"/>
        <w:spacing w:after="0"/>
        <w:tabs>
          <w:tab w:leader="none" w:pos="3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u w:val="single" w:color="auto"/>
          <w:color w:val="auto"/>
        </w:rPr>
        <w:t>VP or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Signed by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MATRIX APPLIED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TECHNOLOGIES PTY LTD (ACN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089 397 982)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section 127 of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Corporations Act 2001 by two directors: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gridSpan w:val="3"/>
          </w:tcPr>
          <w:p>
            <w:pPr>
              <w:spacing w:after="0"/>
              <w:rPr>
                <w:sz w:val="20"/>
                <w:szCs w:val="20"/>
                <w:color w:val="auto"/>
              </w:rPr>
            </w:pPr>
            <w:r>
              <w:rPr>
                <w:rFonts w:ascii="Arial" w:cs="Arial" w:eastAsia="Arial" w:hAnsi="Arial"/>
                <w:sz w:val="18"/>
                <w:szCs w:val="18"/>
                <w:color w:val="auto"/>
              </w:rPr>
              <w:t>/s/ Joseph F. Montalbano</w:t>
            </w:r>
          </w:p>
        </w:tc>
        <w:tc>
          <w:tcPr>
            <w:tcW w:w="2660" w:type="dxa"/>
            <w:vAlign w:val="bottom"/>
            <w:gridSpan w:val="3"/>
          </w:tcPr>
          <w:p>
            <w:pPr>
              <w:spacing w:after="0"/>
              <w:rPr>
                <w:sz w:val="20"/>
                <w:szCs w:val="20"/>
                <w:color w:val="auto"/>
              </w:rPr>
            </w:pPr>
            <w:r>
              <w:rPr>
                <w:rFonts w:ascii="Arial" w:cs="Arial" w:eastAsia="Arial" w:hAnsi="Arial"/>
                <w:sz w:val="18"/>
                <w:szCs w:val="18"/>
                <w:color w:val="auto"/>
              </w:rPr>
              <w:t>/s/ Kevin S. Cavanah</w:t>
            </w:r>
          </w:p>
        </w:tc>
      </w:tr>
      <w:tr>
        <w:trPr>
          <w:trHeight w:val="20"/>
        </w:trPr>
        <w:tc>
          <w:tcPr>
            <w:tcW w:w="1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Signature of director</w:t>
            </w:r>
          </w:p>
        </w:tc>
        <w:tc>
          <w:tcPr>
            <w:tcW w:w="480" w:type="dxa"/>
            <w:vAlign w:val="bottom"/>
            <w:gridSpan w:val="2"/>
          </w:tcPr>
          <w:p>
            <w:pPr>
              <w:spacing w:after="0"/>
              <w:rPr>
                <w:sz w:val="20"/>
                <w:szCs w:val="20"/>
                <w:color w:val="auto"/>
              </w:rPr>
            </w:pPr>
          </w:p>
        </w:tc>
        <w:tc>
          <w:tcPr>
            <w:tcW w:w="2660" w:type="dxa"/>
            <w:vAlign w:val="bottom"/>
            <w:gridSpan w:val="3"/>
          </w:tcPr>
          <w:p>
            <w:pPr>
              <w:ind w:left="100"/>
              <w:spacing w:after="0"/>
              <w:rPr>
                <w:sz w:val="20"/>
                <w:szCs w:val="20"/>
                <w:color w:val="auto"/>
              </w:rPr>
            </w:pPr>
            <w:r>
              <w:rPr>
                <w:rFonts w:ascii="Arial" w:cs="Arial" w:eastAsia="Arial" w:hAnsi="Arial"/>
                <w:sz w:val="18"/>
                <w:szCs w:val="18"/>
                <w:color w:val="auto"/>
              </w:rPr>
              <w:t>Signature of director</w:t>
            </w:r>
          </w:p>
        </w:tc>
      </w:tr>
      <w:tr>
        <w:trPr>
          <w:trHeight w:val="587"/>
        </w:trPr>
        <w:tc>
          <w:tcPr>
            <w:tcW w:w="1840" w:type="dxa"/>
            <w:vAlign w:val="bottom"/>
            <w:gridSpan w:val="2"/>
          </w:tcPr>
          <w:p>
            <w:pPr>
              <w:spacing w:after="0"/>
              <w:rPr>
                <w:sz w:val="20"/>
                <w:szCs w:val="20"/>
                <w:color w:val="auto"/>
              </w:rPr>
            </w:pPr>
            <w:r>
              <w:rPr>
                <w:rFonts w:ascii="Arial" w:cs="Arial" w:eastAsia="Arial" w:hAnsi="Arial"/>
                <w:sz w:val="18"/>
                <w:szCs w:val="18"/>
                <w:color w:val="auto"/>
                <w:w w:val="87"/>
              </w:rPr>
              <w:t>Joseph Frank Montalbano</w:t>
            </w:r>
          </w:p>
        </w:tc>
        <w:tc>
          <w:tcPr>
            <w:tcW w:w="4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auto"/>
              </w:rPr>
              <w:t>Kevin Scott Cavanah</w:t>
            </w:r>
          </w:p>
        </w:tc>
      </w:tr>
      <w:tr>
        <w:trPr>
          <w:trHeight w:val="20"/>
        </w:trPr>
        <w:tc>
          <w:tcPr>
            <w:tcW w:w="184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0"/>
        </w:trPr>
        <w:tc>
          <w:tcPr>
            <w:tcW w:w="2240" w:type="dxa"/>
            <w:vAlign w:val="bottom"/>
            <w:gridSpan w:val="3"/>
          </w:tcPr>
          <w:p>
            <w:pPr>
              <w:spacing w:after="0"/>
              <w:rPr>
                <w:sz w:val="20"/>
                <w:szCs w:val="20"/>
                <w:color w:val="auto"/>
              </w:rPr>
            </w:pPr>
            <w:r>
              <w:rPr>
                <w:rFonts w:ascii="Arial" w:cs="Arial" w:eastAsia="Arial" w:hAnsi="Arial"/>
                <w:sz w:val="18"/>
                <w:szCs w:val="18"/>
                <w:color w:val="auto"/>
                <w:w w:val="90"/>
              </w:rPr>
              <w:t>Name of director (please print)</w:t>
            </w:r>
          </w:p>
        </w:tc>
        <w:tc>
          <w:tcPr>
            <w:tcW w:w="2660" w:type="dxa"/>
            <w:vAlign w:val="bottom"/>
            <w:gridSpan w:val="3"/>
          </w:tcPr>
          <w:p>
            <w:pPr>
              <w:ind w:left="480"/>
              <w:spacing w:after="0"/>
              <w:rPr>
                <w:sz w:val="20"/>
                <w:szCs w:val="20"/>
                <w:color w:val="auto"/>
              </w:rPr>
            </w:pPr>
            <w:r>
              <w:rPr>
                <w:rFonts w:ascii="Arial" w:cs="Arial" w:eastAsia="Arial" w:hAnsi="Arial"/>
                <w:sz w:val="18"/>
                <w:szCs w:val="18"/>
                <w:color w:val="auto"/>
                <w:w w:val="88"/>
              </w:rPr>
              <w:t>Name of director (please print)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79"/>
        <w:spacing w:after="0"/>
        <w:rPr>
          <w:sz w:val="20"/>
          <w:szCs w:val="20"/>
          <w:color w:val="auto"/>
        </w:rPr>
      </w:pPr>
      <w:r>
        <w:rPr>
          <w:rFonts w:ascii="Arial" w:cs="Arial" w:eastAsia="Arial" w:hAnsi="Arial"/>
          <w:sz w:val="18"/>
          <w:szCs w:val="18"/>
          <w:i w:val="1"/>
          <w:iCs w:val="1"/>
          <w:color w:val="auto"/>
        </w:rPr>
        <w:t>Signature Page to Fourth Amended and Restated Credit Agreement</w:t>
      </w:r>
    </w:p>
    <w:p>
      <w:pPr>
        <w:spacing w:after="0" w:line="196" w:lineRule="exact"/>
        <w:rPr>
          <w:sz w:val="20"/>
          <w:szCs w:val="20"/>
          <w:color w:val="auto"/>
        </w:rPr>
      </w:pPr>
    </w:p>
    <w:p>
      <w:pPr>
        <w:jc w:val="center"/>
        <w:ind w:right="-279"/>
        <w:spacing w:after="0"/>
        <w:rPr>
          <w:sz w:val="20"/>
          <w:szCs w:val="20"/>
          <w:color w:val="auto"/>
        </w:rPr>
      </w:pPr>
      <w:r>
        <w:rPr>
          <w:rFonts w:ascii="Arial" w:cs="Arial" w:eastAsia="Arial" w:hAnsi="Arial"/>
          <w:sz w:val="15"/>
          <w:szCs w:val="15"/>
          <w:color w:val="auto"/>
        </w:rPr>
        <w:t>99</w:t>
      </w:r>
    </w:p>
    <w:p>
      <w:pPr>
        <w:sectPr>
          <w:pgSz w:w="11900" w:h="16838" w:orient="portrait"/>
          <w:cols w:equalWidth="0" w:num="1">
            <w:col w:w="11180"/>
          </w:cols>
          <w:pgMar w:left="220" w:top="509" w:right="499" w:bottom="1440" w:gutter="0" w:footer="0" w:header="0"/>
        </w:sectPr>
      </w:pPr>
    </w:p>
    <w:bookmarkStart w:id="160" w:name="page161"/>
    <w:bookmarkEnd w:id="160"/>
    <w:p>
      <w:pPr>
        <w:ind w:left="2500"/>
        <w:spacing w:after="0"/>
        <w:rPr>
          <w:sz w:val="20"/>
          <w:szCs w:val="20"/>
          <w:color w:val="auto"/>
        </w:rPr>
      </w:pPr>
      <w:r>
        <w:rPr>
          <w:rFonts w:ascii="Arial" w:cs="Arial" w:eastAsia="Arial" w:hAnsi="Arial"/>
          <w:sz w:val="18"/>
          <w:szCs w:val="18"/>
          <w:b w:val="1"/>
          <w:bCs w:val="1"/>
          <w:color w:val="auto"/>
        </w:rPr>
        <w:t>ADMINISTRATIVE AGENT, ISSUING BANK,</w:t>
      </w:r>
    </w:p>
    <w:p>
      <w:pPr>
        <w:spacing w:after="0" w:line="22"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SWINGLINE LENDER AND LENDER:</w:t>
      </w:r>
    </w:p>
    <w:p>
      <w:pPr>
        <w:spacing w:after="0" w:line="192"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JPMORGAN CHASE BANK, N.A.</w:t>
      </w:r>
    </w:p>
    <w:p>
      <w:pPr>
        <w:spacing w:after="0" w:line="361" w:lineRule="exact"/>
        <w:rPr>
          <w:sz w:val="20"/>
          <w:szCs w:val="20"/>
          <w:color w:val="auto"/>
        </w:rPr>
      </w:pPr>
    </w:p>
    <w:p>
      <w:pPr>
        <w:ind w:left="2500"/>
        <w:spacing w:after="0"/>
        <w:tabs>
          <w:tab w:leader="none" w:pos="2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u w:val="single" w:color="auto"/>
          <w:color w:val="auto"/>
        </w:rPr>
        <w:t>/s/ David Jackson</w:t>
      </w:r>
    </w:p>
    <w:p>
      <w:pPr>
        <w:spacing w:after="0" w:line="16" w:lineRule="exact"/>
        <w:rPr>
          <w:sz w:val="20"/>
          <w:szCs w:val="20"/>
          <w:color w:val="auto"/>
        </w:rPr>
      </w:pPr>
    </w:p>
    <w:p>
      <w:pPr>
        <w:ind w:left="2500"/>
        <w:spacing w:after="0"/>
        <w:tabs>
          <w:tab w:leader="none" w:pos="31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u w:val="single" w:color="auto"/>
          <w:color w:val="auto"/>
        </w:rPr>
        <w:t>David Jackson</w:t>
      </w:r>
    </w:p>
    <w:p>
      <w:pPr>
        <w:spacing w:after="0" w:line="13" w:lineRule="exact"/>
        <w:rPr>
          <w:sz w:val="20"/>
          <w:szCs w:val="20"/>
          <w:color w:val="auto"/>
        </w:rPr>
      </w:pPr>
    </w:p>
    <w:p>
      <w:pPr>
        <w:ind w:left="2500"/>
        <w:spacing w:after="0"/>
        <w:tabs>
          <w:tab w:leader="none" w:pos="3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u w:val="single" w:color="auto"/>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Fourth Amended and Restated Credit Agreement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9019"/>
          </w:cols>
          <w:pgMar w:left="1440" w:top="1098" w:right="1440" w:bottom="1440" w:gutter="0" w:footer="0" w:header="0"/>
        </w:sectPr>
      </w:pPr>
    </w:p>
    <w:bookmarkStart w:id="161" w:name="page162"/>
    <w:bookmarkEnd w:id="161"/>
    <w:p>
      <w:pPr>
        <w:ind w:left="1960"/>
        <w:spacing w:after="0"/>
        <w:rPr>
          <w:sz w:val="20"/>
          <w:szCs w:val="20"/>
          <w:color w:val="auto"/>
        </w:rPr>
      </w:pPr>
      <w:r>
        <w:rPr>
          <w:rFonts w:ascii="Arial" w:cs="Arial" w:eastAsia="Arial" w:hAnsi="Arial"/>
          <w:sz w:val="18"/>
          <w:szCs w:val="18"/>
          <w:b w:val="1"/>
          <w:bCs w:val="1"/>
          <w:color w:val="auto"/>
        </w:rPr>
        <w:t>JPMORGAN CHASE BANK, N.A., TORONTO</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BRANCH</w:t>
      </w:r>
    </w:p>
    <w:p>
      <w:pPr>
        <w:spacing w:after="0" w:line="200" w:lineRule="exact"/>
        <w:rPr>
          <w:sz w:val="20"/>
          <w:szCs w:val="20"/>
          <w:color w:val="auto"/>
        </w:rPr>
      </w:pPr>
    </w:p>
    <w:p>
      <w:pPr>
        <w:spacing w:after="0" w:line="318" w:lineRule="exact"/>
        <w:rPr>
          <w:sz w:val="20"/>
          <w:szCs w:val="20"/>
          <w:color w:val="auto"/>
        </w:rPr>
      </w:pPr>
    </w:p>
    <w:p>
      <w:pPr>
        <w:ind w:left="1960"/>
        <w:spacing w:after="0"/>
        <w:tabs>
          <w:tab w:leader="none" w:pos="2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u w:val="single" w:color="auto"/>
          <w:color w:val="auto"/>
        </w:rPr>
        <w:t>/s/ Michael N. Tam</w:t>
      </w:r>
    </w:p>
    <w:p>
      <w:pPr>
        <w:spacing w:after="0" w:line="16"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u w:val="single" w:color="auto"/>
          <w:color w:val="auto"/>
        </w:rPr>
        <w:t>Michael N. Tam</w:t>
      </w:r>
    </w:p>
    <w:p>
      <w:pPr>
        <w:spacing w:after="0" w:line="2" w:lineRule="exact"/>
        <w:rPr>
          <w:sz w:val="20"/>
          <w:szCs w:val="20"/>
          <w:color w:val="auto"/>
        </w:rPr>
      </w:pPr>
    </w:p>
    <w:p>
      <w:pPr>
        <w:ind w:left="1960"/>
        <w:spacing w:after="0"/>
        <w:tabs>
          <w:tab w:leader="none" w:pos="2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u w:val="single" w:color="auto"/>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Fourth Amended and Restated Credit Agreement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9019"/>
          </w:cols>
          <w:pgMar w:left="1440" w:top="503" w:right="1440" w:bottom="1440" w:gutter="0" w:footer="0" w:header="0"/>
        </w:sectPr>
      </w:pPr>
    </w:p>
    <w:bookmarkStart w:id="162" w:name="page163"/>
    <w:bookmarkEnd w:id="162"/>
    <w:p>
      <w:pPr>
        <w:ind w:left="1960"/>
        <w:spacing w:after="0"/>
        <w:rPr>
          <w:sz w:val="20"/>
          <w:szCs w:val="20"/>
          <w:color w:val="auto"/>
        </w:rPr>
      </w:pPr>
      <w:r>
        <w:rPr>
          <w:rFonts w:ascii="Arial" w:cs="Arial" w:eastAsia="Arial" w:hAnsi="Arial"/>
          <w:sz w:val="18"/>
          <w:szCs w:val="18"/>
          <w:b w:val="1"/>
          <w:bCs w:val="1"/>
          <w:color w:val="auto"/>
        </w:rPr>
        <w:t>CO-SYNDICATION AGENT AND LENDER:</w:t>
      </w:r>
    </w:p>
    <w:p>
      <w:pPr>
        <w:spacing w:after="0" w:line="212"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WELLS FARGO BANK, N.A., CANADIAN</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BRANCH</w:t>
      </w:r>
    </w:p>
    <w:p>
      <w:pPr>
        <w:spacing w:after="0" w:line="200" w:lineRule="exact"/>
        <w:rPr>
          <w:sz w:val="20"/>
          <w:szCs w:val="20"/>
          <w:color w:val="auto"/>
        </w:rPr>
      </w:pPr>
    </w:p>
    <w:p>
      <w:pPr>
        <w:spacing w:after="0" w:line="318" w:lineRule="exact"/>
        <w:rPr>
          <w:sz w:val="20"/>
          <w:szCs w:val="20"/>
          <w:color w:val="auto"/>
        </w:rPr>
      </w:pPr>
    </w:p>
    <w:p>
      <w:pPr>
        <w:ind w:left="1960"/>
        <w:spacing w:after="0"/>
        <w:tabs>
          <w:tab w:leader="none" w:pos="2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u w:val="single" w:color="auto"/>
          <w:color w:val="auto"/>
        </w:rPr>
        <w:t>/s/ Marc-Philippe Piche</w:t>
      </w:r>
    </w:p>
    <w:p>
      <w:pPr>
        <w:spacing w:after="0" w:line="16"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u w:val="single" w:color="auto"/>
          <w:color w:val="auto"/>
        </w:rPr>
        <w:t>Marc-Philippe Piche</w:t>
      </w:r>
    </w:p>
    <w:p>
      <w:pPr>
        <w:spacing w:after="0" w:line="2" w:lineRule="exact"/>
        <w:rPr>
          <w:sz w:val="20"/>
          <w:szCs w:val="20"/>
          <w:color w:val="auto"/>
        </w:rPr>
      </w:pPr>
    </w:p>
    <w:p>
      <w:pPr>
        <w:ind w:left="1960"/>
        <w:spacing w:after="0"/>
        <w:tabs>
          <w:tab w:leader="none" w:pos="2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u w:val="single" w:color="auto"/>
          <w:color w:val="auto"/>
        </w:rPr>
        <w:t>Regional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Fourth Amended and Restated Credit Agreement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9019"/>
          </w:cols>
          <w:pgMar w:left="1440" w:top="503" w:right="1440" w:bottom="1440" w:gutter="0" w:footer="0" w:header="0"/>
        </w:sectPr>
      </w:pPr>
    </w:p>
    <w:bookmarkStart w:id="163" w:name="page164"/>
    <w:bookmarkEnd w:id="163"/>
    <w:p>
      <w:pPr>
        <w:ind w:left="1960"/>
        <w:spacing w:after="0"/>
        <w:rPr>
          <w:sz w:val="20"/>
          <w:szCs w:val="20"/>
          <w:color w:val="auto"/>
        </w:rPr>
      </w:pPr>
      <w:r>
        <w:rPr>
          <w:rFonts w:ascii="Arial" w:cs="Arial" w:eastAsia="Arial" w:hAnsi="Arial"/>
          <w:sz w:val="18"/>
          <w:szCs w:val="18"/>
          <w:b w:val="1"/>
          <w:bCs w:val="1"/>
          <w:color w:val="auto"/>
        </w:rPr>
        <w:t>CO-SYNDICATION AGENT AND LENDER:</w:t>
      </w:r>
    </w:p>
    <w:p>
      <w:pPr>
        <w:spacing w:after="0" w:line="212"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BANK OF MONTREAL</w:t>
      </w:r>
    </w:p>
    <w:p>
      <w:pPr>
        <w:spacing w:after="0" w:line="200" w:lineRule="exact"/>
        <w:rPr>
          <w:sz w:val="20"/>
          <w:szCs w:val="20"/>
          <w:color w:val="auto"/>
        </w:rPr>
      </w:pPr>
    </w:p>
    <w:p>
      <w:pPr>
        <w:spacing w:after="0" w:line="337" w:lineRule="exact"/>
        <w:rPr>
          <w:sz w:val="20"/>
          <w:szCs w:val="20"/>
          <w:color w:val="auto"/>
        </w:rPr>
      </w:pPr>
    </w:p>
    <w:p>
      <w:pPr>
        <w:ind w:left="1960"/>
        <w:spacing w:after="0"/>
        <w:tabs>
          <w:tab w:leader="none" w:pos="2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u w:val="single" w:color="auto"/>
          <w:color w:val="auto"/>
        </w:rPr>
        <w:t>/s/ John Dillon</w:t>
      </w:r>
    </w:p>
    <w:p>
      <w:pPr>
        <w:spacing w:after="0" w:line="16"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u w:val="single" w:color="auto"/>
          <w:color w:val="auto"/>
        </w:rPr>
        <w:t>John Dillon</w:t>
      </w:r>
    </w:p>
    <w:p>
      <w:pPr>
        <w:spacing w:after="0" w:line="2" w:lineRule="exact"/>
        <w:rPr>
          <w:sz w:val="20"/>
          <w:szCs w:val="20"/>
          <w:color w:val="auto"/>
        </w:rPr>
      </w:pPr>
    </w:p>
    <w:p>
      <w:pPr>
        <w:ind w:left="1960"/>
        <w:spacing w:after="0"/>
        <w:tabs>
          <w:tab w:leader="none" w:pos="2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u w:val="single" w:color="auto"/>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Fourth Amended and Restated Credit Agreement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9019"/>
          </w:cols>
          <w:pgMar w:left="1440" w:top="503" w:right="1440" w:bottom="1440" w:gutter="0" w:footer="0" w:header="0"/>
        </w:sectPr>
      </w:pPr>
    </w:p>
    <w:bookmarkStart w:id="164" w:name="page165"/>
    <w:bookmarkEnd w:id="164"/>
    <w:p>
      <w:pPr>
        <w:ind w:left="1960"/>
        <w:spacing w:after="0"/>
        <w:rPr>
          <w:sz w:val="20"/>
          <w:szCs w:val="20"/>
          <w:color w:val="auto"/>
        </w:rPr>
      </w:pPr>
      <w:r>
        <w:rPr>
          <w:rFonts w:ascii="Arial" w:cs="Arial" w:eastAsia="Arial" w:hAnsi="Arial"/>
          <w:sz w:val="18"/>
          <w:szCs w:val="18"/>
          <w:b w:val="1"/>
          <w:bCs w:val="1"/>
          <w:color w:val="auto"/>
        </w:rPr>
        <w:t>CO-SYNDICATION AGENT AND LENDER:</w:t>
      </w:r>
    </w:p>
    <w:p>
      <w:pPr>
        <w:spacing w:after="0" w:line="212"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BANK OF AMERICA, N.A.</w:t>
      </w:r>
    </w:p>
    <w:p>
      <w:pPr>
        <w:spacing w:after="0" w:line="200" w:lineRule="exact"/>
        <w:rPr>
          <w:sz w:val="20"/>
          <w:szCs w:val="20"/>
          <w:color w:val="auto"/>
        </w:rPr>
      </w:pPr>
    </w:p>
    <w:p>
      <w:pPr>
        <w:spacing w:after="0" w:line="337" w:lineRule="exact"/>
        <w:rPr>
          <w:sz w:val="20"/>
          <w:szCs w:val="20"/>
          <w:color w:val="auto"/>
        </w:rPr>
      </w:pPr>
    </w:p>
    <w:p>
      <w:pPr>
        <w:ind w:left="1960"/>
        <w:spacing w:after="0"/>
        <w:tabs>
          <w:tab w:leader="none" w:pos="2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u w:val="single" w:color="auto"/>
          <w:color w:val="auto"/>
        </w:rPr>
        <w:t>/s/ Lisa M. Chrzanowski</w:t>
      </w:r>
    </w:p>
    <w:p>
      <w:pPr>
        <w:spacing w:after="0" w:line="16"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u w:val="single" w:color="auto"/>
          <w:color w:val="auto"/>
        </w:rPr>
        <w:t>Lisa M. Chrzanowski</w:t>
      </w:r>
    </w:p>
    <w:p>
      <w:pPr>
        <w:spacing w:after="0" w:line="2" w:lineRule="exact"/>
        <w:rPr>
          <w:sz w:val="20"/>
          <w:szCs w:val="20"/>
          <w:color w:val="auto"/>
        </w:rPr>
      </w:pPr>
    </w:p>
    <w:p>
      <w:pPr>
        <w:ind w:left="1960"/>
        <w:spacing w:after="0"/>
        <w:tabs>
          <w:tab w:leader="none" w:pos="2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u w:val="single" w:color="auto"/>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Fourth Amended and Restated Credit Agreement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9019"/>
          </w:cols>
          <w:pgMar w:left="1440" w:top="502" w:right="1440" w:bottom="1440" w:gutter="0" w:footer="0" w:header="0"/>
        </w:sectPr>
      </w:pPr>
    </w:p>
    <w:bookmarkStart w:id="165" w:name="page166"/>
    <w:bookmarkEnd w:id="165"/>
    <w:p>
      <w:pPr>
        <w:ind w:left="1960"/>
        <w:spacing w:after="0"/>
        <w:rPr>
          <w:sz w:val="20"/>
          <w:szCs w:val="20"/>
          <w:color w:val="auto"/>
        </w:rPr>
      </w:pPr>
      <w:r>
        <w:rPr>
          <w:rFonts w:ascii="Arial" w:cs="Arial" w:eastAsia="Arial" w:hAnsi="Arial"/>
          <w:sz w:val="18"/>
          <w:szCs w:val="18"/>
          <w:b w:val="1"/>
          <w:bCs w:val="1"/>
          <w:color w:val="auto"/>
        </w:rPr>
        <w:t>CO-SYNDICATION AGENT AND LENDER:</w:t>
      </w:r>
    </w:p>
    <w:p>
      <w:pPr>
        <w:spacing w:after="0" w:line="212"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BANK OF AMERICA, N.A.</w:t>
      </w:r>
    </w:p>
    <w:p>
      <w:pPr>
        <w:spacing w:after="0" w:line="200" w:lineRule="exact"/>
        <w:rPr>
          <w:sz w:val="20"/>
          <w:szCs w:val="20"/>
          <w:color w:val="auto"/>
        </w:rPr>
      </w:pPr>
    </w:p>
    <w:p>
      <w:pPr>
        <w:spacing w:after="0" w:line="33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By:</w:t>
      </w:r>
    </w:p>
    <w:p>
      <w:pPr>
        <w:spacing w:after="0" w:line="1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Name:</w:t>
      </w:r>
    </w:p>
    <w:p>
      <w:pPr>
        <w:spacing w:after="0" w:line="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LENDER:</w:t>
      </w:r>
    </w:p>
    <w:p>
      <w:pPr>
        <w:spacing w:after="0" w:line="179"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BANK OF AMERICA, N.A.</w:t>
      </w:r>
    </w:p>
    <w:p>
      <w:pPr>
        <w:spacing w:after="0" w:line="179"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(CANADA BRANCH)</w:t>
      </w:r>
    </w:p>
    <w:p>
      <w:pPr>
        <w:spacing w:after="0" w:line="185" w:lineRule="exact"/>
        <w:rPr>
          <w:sz w:val="20"/>
          <w:szCs w:val="20"/>
          <w:color w:val="auto"/>
        </w:rPr>
      </w:pPr>
    </w:p>
    <w:p>
      <w:pPr>
        <w:ind w:left="1960"/>
        <w:spacing w:after="0"/>
        <w:tabs>
          <w:tab w:leader="none" w:pos="2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u w:val="single" w:color="auto"/>
          <w:color w:val="auto"/>
        </w:rPr>
        <w:t>/s/ Medina Sales de Andrade</w:t>
      </w:r>
    </w:p>
    <w:p>
      <w:pPr>
        <w:spacing w:after="0" w:line="16"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u w:val="single" w:color="auto"/>
          <w:color w:val="auto"/>
        </w:rPr>
        <w:t>Medina Sales de Andrade</w:t>
      </w:r>
    </w:p>
    <w:p>
      <w:pPr>
        <w:spacing w:after="0" w:line="2" w:lineRule="exact"/>
        <w:rPr>
          <w:sz w:val="20"/>
          <w:szCs w:val="20"/>
          <w:color w:val="auto"/>
        </w:rPr>
      </w:pPr>
    </w:p>
    <w:p>
      <w:pPr>
        <w:ind w:left="1960"/>
        <w:spacing w:after="0"/>
        <w:tabs>
          <w:tab w:leader="none" w:pos="2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u w:val="single" w:color="auto"/>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Fourth Amended and Restated Credit Agreement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9019"/>
          </w:cols>
          <w:pgMar w:left="1440" w:top="503" w:right="1440" w:bottom="1440" w:gutter="0" w:footer="0" w:header="0"/>
        </w:sectPr>
      </w:pPr>
    </w:p>
    <w:bookmarkStart w:id="166" w:name="page167"/>
    <w:bookmarkEnd w:id="166"/>
    <w:p>
      <w:pPr>
        <w:ind w:left="1960"/>
        <w:spacing w:after="0"/>
        <w:rPr>
          <w:sz w:val="20"/>
          <w:szCs w:val="20"/>
          <w:color w:val="auto"/>
        </w:rPr>
      </w:pPr>
      <w:r>
        <w:rPr>
          <w:rFonts w:ascii="Arial" w:cs="Arial" w:eastAsia="Arial" w:hAnsi="Arial"/>
          <w:sz w:val="18"/>
          <w:szCs w:val="18"/>
          <w:b w:val="1"/>
          <w:bCs w:val="1"/>
          <w:color w:val="auto"/>
        </w:rPr>
        <w:t>CO-DOCUMENTATION AGENT AND LENDER:</w:t>
      </w:r>
    </w:p>
    <w:p>
      <w:pPr>
        <w:spacing w:after="0" w:line="212"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BOKF, N.A., dba BANK OF OKLAHOMA</w:t>
      </w:r>
    </w:p>
    <w:p>
      <w:pPr>
        <w:spacing w:after="0" w:line="200" w:lineRule="exact"/>
        <w:rPr>
          <w:sz w:val="20"/>
          <w:szCs w:val="20"/>
          <w:color w:val="auto"/>
        </w:rPr>
      </w:pPr>
    </w:p>
    <w:p>
      <w:pPr>
        <w:spacing w:after="0" w:line="337" w:lineRule="exact"/>
        <w:rPr>
          <w:sz w:val="20"/>
          <w:szCs w:val="20"/>
          <w:color w:val="auto"/>
        </w:rPr>
      </w:pPr>
    </w:p>
    <w:p>
      <w:pPr>
        <w:ind w:left="1960"/>
        <w:spacing w:after="0"/>
        <w:tabs>
          <w:tab w:leader="none" w:pos="2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u w:val="single" w:color="auto"/>
          <w:color w:val="auto"/>
        </w:rPr>
        <w:t>/s/ Jarrod Compton</w:t>
      </w:r>
    </w:p>
    <w:p>
      <w:pPr>
        <w:spacing w:after="0" w:line="16"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u w:val="single" w:color="auto"/>
          <w:color w:val="auto"/>
        </w:rPr>
        <w:t>Jarrod Compton</w:t>
      </w:r>
    </w:p>
    <w:p>
      <w:pPr>
        <w:spacing w:after="0" w:line="2" w:lineRule="exact"/>
        <w:rPr>
          <w:sz w:val="20"/>
          <w:szCs w:val="20"/>
          <w:color w:val="auto"/>
        </w:rPr>
      </w:pPr>
    </w:p>
    <w:p>
      <w:pPr>
        <w:ind w:left="1960"/>
        <w:spacing w:after="0"/>
        <w:tabs>
          <w:tab w:leader="none" w:pos="2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u w:val="single" w:color="auto"/>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Fourth Amended and Restated Credit Agreement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9019"/>
          </w:cols>
          <w:pgMar w:left="1440" w:top="503" w:right="1440" w:bottom="1440" w:gutter="0" w:footer="0" w:header="0"/>
        </w:sectPr>
      </w:pPr>
    </w:p>
    <w:bookmarkStart w:id="167" w:name="page168"/>
    <w:bookmarkEnd w:id="167"/>
    <w:p>
      <w:pPr>
        <w:ind w:left="1960"/>
        <w:spacing w:after="0"/>
        <w:rPr>
          <w:sz w:val="20"/>
          <w:szCs w:val="20"/>
          <w:color w:val="auto"/>
        </w:rPr>
      </w:pPr>
      <w:r>
        <w:rPr>
          <w:rFonts w:ascii="Arial" w:cs="Arial" w:eastAsia="Arial" w:hAnsi="Arial"/>
          <w:sz w:val="18"/>
          <w:szCs w:val="18"/>
          <w:b w:val="1"/>
          <w:bCs w:val="1"/>
          <w:color w:val="auto"/>
        </w:rPr>
        <w:t>CO-DOCUMENTATION AGENT AND LENDER:</w:t>
      </w:r>
    </w:p>
    <w:p>
      <w:pPr>
        <w:spacing w:after="0" w:line="212"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FIFTH THIRD BANK</w:t>
      </w:r>
    </w:p>
    <w:p>
      <w:pPr>
        <w:spacing w:after="0" w:line="200" w:lineRule="exact"/>
        <w:rPr>
          <w:sz w:val="20"/>
          <w:szCs w:val="20"/>
          <w:color w:val="auto"/>
        </w:rPr>
      </w:pPr>
    </w:p>
    <w:p>
      <w:pPr>
        <w:spacing w:after="0" w:line="337" w:lineRule="exact"/>
        <w:rPr>
          <w:sz w:val="20"/>
          <w:szCs w:val="20"/>
          <w:color w:val="auto"/>
        </w:rPr>
      </w:pPr>
    </w:p>
    <w:p>
      <w:pPr>
        <w:ind w:left="1960"/>
        <w:spacing w:after="0"/>
        <w:tabs>
          <w:tab w:leader="none" w:pos="2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u w:val="single" w:color="auto"/>
          <w:color w:val="auto"/>
        </w:rPr>
        <w:t>/s/ Matthew Lewis</w:t>
      </w:r>
    </w:p>
    <w:p>
      <w:pPr>
        <w:spacing w:after="0" w:line="16"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u w:val="single" w:color="auto"/>
          <w:color w:val="auto"/>
        </w:rPr>
        <w:t>Matthew Lewis</w:t>
      </w:r>
    </w:p>
    <w:p>
      <w:pPr>
        <w:spacing w:after="0" w:line="2" w:lineRule="exact"/>
        <w:rPr>
          <w:sz w:val="20"/>
          <w:szCs w:val="20"/>
          <w:color w:val="auto"/>
        </w:rPr>
      </w:pPr>
    </w:p>
    <w:p>
      <w:pPr>
        <w:ind w:left="1960"/>
        <w:spacing w:after="0"/>
        <w:tabs>
          <w:tab w:leader="none" w:pos="2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u w:val="single" w:color="auto"/>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Fourth Amended and Restated Credit Agreement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9019"/>
          </w:cols>
          <w:pgMar w:left="1440" w:top="503" w:right="1440" w:bottom="1440" w:gutter="0" w:footer="0" w:header="0"/>
        </w:sectPr>
      </w:pPr>
    </w:p>
    <w:bookmarkStart w:id="168" w:name="page169"/>
    <w:bookmarkEnd w:id="168"/>
    <w:p>
      <w:pPr>
        <w:ind w:left="1960"/>
        <w:spacing w:after="0"/>
        <w:rPr>
          <w:sz w:val="20"/>
          <w:szCs w:val="20"/>
          <w:color w:val="auto"/>
        </w:rPr>
      </w:pPr>
      <w:r>
        <w:rPr>
          <w:rFonts w:ascii="Arial" w:cs="Arial" w:eastAsia="Arial" w:hAnsi="Arial"/>
          <w:sz w:val="18"/>
          <w:szCs w:val="18"/>
          <w:b w:val="1"/>
          <w:bCs w:val="1"/>
          <w:color w:val="auto"/>
        </w:rPr>
        <w:t>CO-DOCUMENTATION AGENT AND LENDER:</w:t>
      </w:r>
    </w:p>
    <w:p>
      <w:pPr>
        <w:spacing w:after="0" w:line="212"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 xml:space="preserve">FIFTH THIRD BANK, </w:t>
      </w:r>
      <w:r>
        <w:rPr>
          <w:rFonts w:ascii="Arial" w:cs="Arial" w:eastAsia="Arial" w:hAnsi="Arial"/>
          <w:sz w:val="18"/>
          <w:szCs w:val="18"/>
          <w:color w:val="auto"/>
        </w:rPr>
        <w:t>Operating through its Canadian</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Branch</w:t>
      </w:r>
    </w:p>
    <w:p>
      <w:pPr>
        <w:spacing w:after="0" w:line="200" w:lineRule="exact"/>
        <w:rPr>
          <w:sz w:val="20"/>
          <w:szCs w:val="20"/>
          <w:color w:val="auto"/>
        </w:rPr>
      </w:pPr>
    </w:p>
    <w:p>
      <w:pPr>
        <w:spacing w:after="0" w:line="318" w:lineRule="exact"/>
        <w:rPr>
          <w:sz w:val="20"/>
          <w:szCs w:val="20"/>
          <w:color w:val="auto"/>
        </w:rPr>
      </w:pPr>
    </w:p>
    <w:p>
      <w:pPr>
        <w:ind w:left="1960"/>
        <w:spacing w:after="0"/>
        <w:tabs>
          <w:tab w:leader="none" w:pos="2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u w:val="single" w:color="auto"/>
          <w:color w:val="auto"/>
        </w:rPr>
        <w:t>/s/ Mauro Spagnolo</w:t>
      </w:r>
    </w:p>
    <w:p>
      <w:pPr>
        <w:spacing w:after="0" w:line="16"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u w:val="single" w:color="auto"/>
          <w:color w:val="auto"/>
        </w:rPr>
        <w:t>Mauro Spagnolo</w:t>
      </w:r>
    </w:p>
    <w:p>
      <w:pPr>
        <w:spacing w:after="0" w:line="2" w:lineRule="exact"/>
        <w:rPr>
          <w:sz w:val="20"/>
          <w:szCs w:val="20"/>
          <w:color w:val="auto"/>
        </w:rPr>
      </w:pPr>
    </w:p>
    <w:p>
      <w:pPr>
        <w:ind w:left="1960"/>
        <w:spacing w:after="0"/>
        <w:tabs>
          <w:tab w:leader="none" w:pos="2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u w:val="single" w:color="auto"/>
          <w:color w:val="auto"/>
        </w:rPr>
        <w:t>Managing Director &amp; Principal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Fourth Amended and Restated Credit Agreement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9019"/>
          </w:cols>
          <w:pgMar w:left="1440" w:top="503" w:right="1440" w:bottom="1440" w:gutter="0" w:footer="0" w:header="0"/>
        </w:sectPr>
      </w:pPr>
    </w:p>
    <w:bookmarkStart w:id="169" w:name="page170"/>
    <w:bookmarkEnd w:id="169"/>
    <w:p>
      <w:pPr>
        <w:ind w:left="1960"/>
        <w:spacing w:after="0"/>
        <w:rPr>
          <w:sz w:val="20"/>
          <w:szCs w:val="20"/>
          <w:color w:val="auto"/>
        </w:rPr>
      </w:pPr>
      <w:r>
        <w:rPr>
          <w:rFonts w:ascii="Arial" w:cs="Arial" w:eastAsia="Arial" w:hAnsi="Arial"/>
          <w:sz w:val="18"/>
          <w:szCs w:val="18"/>
          <w:b w:val="1"/>
          <w:bCs w:val="1"/>
          <w:color w:val="auto"/>
        </w:rPr>
        <w:t>CO-DOCUMENTATION AGENT AND LENDER:</w:t>
      </w:r>
    </w:p>
    <w:p>
      <w:pPr>
        <w:spacing w:after="0" w:line="212"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BRANCH BANKING &amp; TRUST COMPANY</w:t>
      </w:r>
    </w:p>
    <w:p>
      <w:pPr>
        <w:spacing w:after="0" w:line="200" w:lineRule="exact"/>
        <w:rPr>
          <w:sz w:val="20"/>
          <w:szCs w:val="20"/>
          <w:color w:val="auto"/>
        </w:rPr>
      </w:pPr>
    </w:p>
    <w:p>
      <w:pPr>
        <w:spacing w:after="0" w:line="337" w:lineRule="exact"/>
        <w:rPr>
          <w:sz w:val="20"/>
          <w:szCs w:val="20"/>
          <w:color w:val="auto"/>
        </w:rPr>
      </w:pPr>
    </w:p>
    <w:p>
      <w:pPr>
        <w:ind w:left="1960"/>
        <w:spacing w:after="0"/>
        <w:tabs>
          <w:tab w:leader="none" w:pos="2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u w:val="single" w:color="auto"/>
          <w:color w:val="auto"/>
        </w:rPr>
        <w:t>/s/ Jim Wright</w:t>
      </w:r>
    </w:p>
    <w:p>
      <w:pPr>
        <w:spacing w:after="0" w:line="16"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u w:val="single" w:color="auto"/>
          <w:color w:val="auto"/>
        </w:rPr>
        <w:t>Jim Wright</w:t>
      </w:r>
    </w:p>
    <w:p>
      <w:pPr>
        <w:spacing w:after="0" w:line="2" w:lineRule="exact"/>
        <w:rPr>
          <w:sz w:val="20"/>
          <w:szCs w:val="20"/>
          <w:color w:val="auto"/>
        </w:rPr>
      </w:pPr>
    </w:p>
    <w:p>
      <w:pPr>
        <w:ind w:left="1960"/>
        <w:spacing w:after="0"/>
        <w:tabs>
          <w:tab w:leader="none" w:pos="2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u w:val="single" w:color="auto"/>
          <w:color w:val="auto"/>
        </w:rPr>
        <w:t>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Fourth Amended and Restated Credit Agreement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9019"/>
          </w:cols>
          <w:pgMar w:left="1440" w:top="503" w:right="1440" w:bottom="1440" w:gutter="0" w:footer="0" w:header="0"/>
        </w:sectPr>
      </w:pPr>
    </w:p>
    <w:bookmarkStart w:id="170" w:name="page171"/>
    <w:bookmarkEnd w:id="170"/>
    <w:p>
      <w:pPr>
        <w:ind w:left="1960"/>
        <w:spacing w:after="0"/>
        <w:rPr>
          <w:sz w:val="20"/>
          <w:szCs w:val="20"/>
          <w:color w:val="auto"/>
        </w:rPr>
      </w:pPr>
      <w:r>
        <w:rPr>
          <w:rFonts w:ascii="Arial" w:cs="Arial" w:eastAsia="Arial" w:hAnsi="Arial"/>
          <w:sz w:val="18"/>
          <w:szCs w:val="18"/>
          <w:b w:val="1"/>
          <w:bCs w:val="1"/>
          <w:color w:val="auto"/>
        </w:rPr>
        <w:t>LENDER:</w:t>
      </w:r>
    </w:p>
    <w:p>
      <w:pPr>
        <w:spacing w:after="0" w:line="212"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COMMERCE BANK</w:t>
      </w:r>
    </w:p>
    <w:p>
      <w:pPr>
        <w:spacing w:after="0" w:line="200" w:lineRule="exact"/>
        <w:rPr>
          <w:sz w:val="20"/>
          <w:szCs w:val="20"/>
          <w:color w:val="auto"/>
        </w:rPr>
      </w:pPr>
    </w:p>
    <w:p>
      <w:pPr>
        <w:spacing w:after="0" w:line="337" w:lineRule="exact"/>
        <w:rPr>
          <w:sz w:val="20"/>
          <w:szCs w:val="20"/>
          <w:color w:val="auto"/>
        </w:rPr>
      </w:pPr>
    </w:p>
    <w:p>
      <w:pPr>
        <w:ind w:left="1960"/>
        <w:spacing w:after="0"/>
        <w:tabs>
          <w:tab w:leader="none" w:pos="2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u w:val="single" w:color="auto"/>
          <w:color w:val="auto"/>
        </w:rPr>
        <w:t>/s/ Darren P. Walkup</w:t>
      </w:r>
    </w:p>
    <w:p>
      <w:pPr>
        <w:spacing w:after="0" w:line="16"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u w:val="single" w:color="auto"/>
          <w:color w:val="auto"/>
        </w:rPr>
        <w:t>Darren P. Walkup</w:t>
      </w:r>
    </w:p>
    <w:p>
      <w:pPr>
        <w:spacing w:after="0" w:line="2" w:lineRule="exact"/>
        <w:rPr>
          <w:sz w:val="20"/>
          <w:szCs w:val="20"/>
          <w:color w:val="auto"/>
        </w:rPr>
      </w:pPr>
    </w:p>
    <w:p>
      <w:pPr>
        <w:ind w:left="1960"/>
        <w:spacing w:after="0"/>
        <w:tabs>
          <w:tab w:leader="none" w:pos="2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u w:val="single" w:color="auto"/>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Fourth Amended and Restated Credit Agreement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9019"/>
          </w:cols>
          <w:pgMar w:left="1440" w:top="503" w:right="1440" w:bottom="1440" w:gutter="0" w:footer="0" w:header="0"/>
        </w:sectPr>
      </w:pPr>
    </w:p>
    <w:bookmarkStart w:id="171" w:name="page172"/>
    <w:bookmarkEnd w:id="171"/>
    <w:p>
      <w:pPr>
        <w:spacing w:after="0"/>
        <w:rPr>
          <w:sz w:val="20"/>
          <w:szCs w:val="20"/>
          <w:color w:val="auto"/>
        </w:rPr>
      </w:pPr>
      <w:r>
        <w:rPr>
          <w:rFonts w:ascii="Arial" w:cs="Arial" w:eastAsia="Arial" w:hAnsi="Arial"/>
          <w:sz w:val="12"/>
          <w:szCs w:val="12"/>
          <w:color w:val="FFFFFF"/>
        </w:rPr>
        <w:t>HOU:3759565.1</w:t>
      </w:r>
    </w:p>
    <w:p>
      <w:pPr>
        <w:spacing w:after="0" w:line="171" w:lineRule="exact"/>
        <w:rPr>
          <w:sz w:val="20"/>
          <w:szCs w:val="20"/>
          <w:color w:val="auto"/>
        </w:rPr>
      </w:pPr>
    </w:p>
    <w:p>
      <w:pPr>
        <w:spacing w:after="0"/>
        <w:rPr>
          <w:sz w:val="20"/>
          <w:szCs w:val="20"/>
          <w:color w:val="auto"/>
        </w:rPr>
      </w:pPr>
      <w:r>
        <w:rPr>
          <w:rFonts w:ascii="Arial" w:cs="Arial" w:eastAsia="Arial" w:hAnsi="Arial"/>
          <w:sz w:val="12"/>
          <w:szCs w:val="12"/>
          <w:color w:val="FFFFFF"/>
        </w:rPr>
        <w:t>HOU:3759565.1</w:t>
      </w:r>
    </w:p>
    <w:tbl>
      <w:tblPr>
        <w:tblLayout w:type="fixed"/>
        <w:tblInd w:w="27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20" w:type="dxa"/>
            <w:vAlign w:val="bottom"/>
            <w:gridSpan w:val="4"/>
          </w:tcPr>
          <w:p>
            <w:pPr>
              <w:jc w:val="center"/>
              <w:ind w:right="4927"/>
              <w:spacing w:after="0" w:line="186" w:lineRule="exact"/>
              <w:rPr>
                <w:sz w:val="20"/>
                <w:szCs w:val="20"/>
                <w:color w:val="auto"/>
              </w:rPr>
            </w:pPr>
            <w:r>
              <w:rPr>
                <w:rFonts w:ascii="Arial" w:cs="Arial" w:eastAsia="Arial" w:hAnsi="Arial"/>
                <w:sz w:val="18"/>
                <w:szCs w:val="18"/>
                <w:b w:val="1"/>
                <w:bCs w:val="1"/>
                <w:color w:val="auto"/>
                <w:w w:val="84"/>
              </w:rPr>
              <w:t>Schedule 2.01</w:t>
            </w:r>
          </w:p>
        </w:tc>
      </w:tr>
      <w:tr>
        <w:trPr>
          <w:trHeight w:val="20"/>
        </w:trPr>
        <w:tc>
          <w:tcPr>
            <w:tcW w:w="3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366"/>
        </w:trPr>
        <w:tc>
          <w:tcPr>
            <w:tcW w:w="3300" w:type="dxa"/>
            <w:vAlign w:val="bottom"/>
          </w:tcPr>
          <w:p>
            <w:pPr>
              <w:spacing w:after="0"/>
              <w:rPr>
                <w:sz w:val="24"/>
                <w:szCs w:val="24"/>
                <w:color w:val="auto"/>
              </w:rPr>
            </w:pPr>
          </w:p>
        </w:tc>
        <w:tc>
          <w:tcPr>
            <w:tcW w:w="7680" w:type="dxa"/>
            <w:vAlign w:val="bottom"/>
            <w:gridSpan w:val="6"/>
          </w:tcPr>
          <w:p>
            <w:pPr>
              <w:jc w:val="center"/>
              <w:ind w:right="3267"/>
              <w:spacing w:after="0"/>
              <w:rPr>
                <w:sz w:val="20"/>
                <w:szCs w:val="20"/>
                <w:color w:val="auto"/>
              </w:rPr>
            </w:pPr>
            <w:r>
              <w:rPr>
                <w:rFonts w:ascii="Arial" w:cs="Arial" w:eastAsia="Arial" w:hAnsi="Arial"/>
                <w:sz w:val="18"/>
                <w:szCs w:val="18"/>
                <w:b w:val="1"/>
                <w:bCs w:val="1"/>
                <w:color w:val="auto"/>
                <w:w w:val="99"/>
              </w:rPr>
              <w:t>LENDERS AND REVOLVING COMMITMENTS</w:t>
            </w:r>
          </w:p>
        </w:tc>
      </w:tr>
      <w:tr>
        <w:trPr>
          <w:trHeight w:val="476"/>
        </w:trPr>
        <w:tc>
          <w:tcPr>
            <w:tcW w:w="3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400" w:type="dxa"/>
            <w:vAlign w:val="bottom"/>
            <w:tcBorders>
              <w:top w:val="single" w:sz="8" w:color="auto"/>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r>
        <w:trPr>
          <w:trHeight w:val="189"/>
        </w:trPr>
        <w:tc>
          <w:tcPr>
            <w:tcW w:w="3300" w:type="dxa"/>
            <w:vAlign w:val="bottom"/>
            <w:tcBorders>
              <w:left w:val="single" w:sz="8" w:color="auto"/>
            </w:tcBorders>
          </w:tcPr>
          <w:p>
            <w:pPr>
              <w:ind w:left="2560"/>
              <w:spacing w:after="0"/>
              <w:rPr>
                <w:sz w:val="20"/>
                <w:szCs w:val="20"/>
                <w:color w:val="auto"/>
              </w:rPr>
            </w:pPr>
            <w:r>
              <w:rPr>
                <w:rFonts w:ascii="Arial" w:cs="Arial" w:eastAsia="Arial" w:hAnsi="Arial"/>
                <w:sz w:val="15"/>
                <w:szCs w:val="15"/>
                <w:b w:val="1"/>
                <w:bCs w:val="1"/>
                <w:color w:val="auto"/>
              </w:rPr>
              <w:t>Lender</w:t>
            </w: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600" w:type="dxa"/>
            <w:vAlign w:val="bottom"/>
            <w:tcBorders>
              <w:right w:val="single" w:sz="8" w:color="auto"/>
            </w:tcBorders>
          </w:tcPr>
          <w:p>
            <w:pPr>
              <w:ind w:left="140"/>
              <w:spacing w:after="0"/>
              <w:rPr>
                <w:sz w:val="20"/>
                <w:szCs w:val="20"/>
                <w:color w:val="auto"/>
              </w:rPr>
            </w:pPr>
            <w:r>
              <w:rPr>
                <w:rFonts w:ascii="Arial" w:cs="Arial" w:eastAsia="Arial" w:hAnsi="Arial"/>
                <w:sz w:val="15"/>
                <w:szCs w:val="15"/>
                <w:b w:val="1"/>
                <w:bCs w:val="1"/>
                <w:color w:val="auto"/>
              </w:rPr>
              <w:t>Revolving Commitment</w:t>
            </w:r>
          </w:p>
        </w:tc>
      </w:tr>
      <w:tr>
        <w:trPr>
          <w:trHeight w:val="22"/>
        </w:trPr>
        <w:tc>
          <w:tcPr>
            <w:tcW w:w="3300" w:type="dxa"/>
            <w:vAlign w:val="bottom"/>
            <w:tcBorders>
              <w:left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right w:val="single" w:sz="8" w:color="auto"/>
            </w:tcBorders>
          </w:tcPr>
          <w:p>
            <w:pPr>
              <w:spacing w:after="0" w:line="20" w:lineRule="exact"/>
              <w:rPr>
                <w:sz w:val="1"/>
                <w:szCs w:val="1"/>
                <w:color w:val="auto"/>
              </w:rPr>
            </w:pPr>
          </w:p>
        </w:tc>
      </w:tr>
      <w:tr>
        <w:trPr>
          <w:trHeight w:val="189"/>
        </w:trPr>
        <w:tc>
          <w:tcPr>
            <w:tcW w:w="330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JPMorgan Chase Bank, N.A.</w:t>
            </w: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5380" w:type="dxa"/>
            <w:vAlign w:val="bottom"/>
            <w:tcBorders>
              <w:right w:val="single" w:sz="8" w:color="auto"/>
            </w:tcBorders>
            <w:gridSpan w:val="3"/>
          </w:tcPr>
          <w:p>
            <w:pPr>
              <w:jc w:val="center"/>
              <w:spacing w:after="0"/>
              <w:rPr>
                <w:sz w:val="20"/>
                <w:szCs w:val="20"/>
                <w:color w:val="auto"/>
              </w:rPr>
            </w:pPr>
            <w:r>
              <w:rPr>
                <w:rFonts w:ascii="Arial" w:cs="Arial" w:eastAsia="Arial" w:hAnsi="Arial"/>
                <w:sz w:val="15"/>
                <w:szCs w:val="15"/>
                <w:color w:val="auto"/>
                <w:w w:val="88"/>
              </w:rPr>
              <w:t>$60,000,000</w:t>
            </w:r>
          </w:p>
        </w:tc>
      </w:tr>
      <w:tr>
        <w:trPr>
          <w:trHeight w:val="22"/>
        </w:trPr>
        <w:tc>
          <w:tcPr>
            <w:tcW w:w="3300" w:type="dxa"/>
            <w:vAlign w:val="bottom"/>
            <w:tcBorders>
              <w:left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right w:val="single" w:sz="8" w:color="auto"/>
            </w:tcBorders>
          </w:tcPr>
          <w:p>
            <w:pPr>
              <w:spacing w:after="0" w:line="20" w:lineRule="exact"/>
              <w:rPr>
                <w:sz w:val="1"/>
                <w:szCs w:val="1"/>
                <w:color w:val="auto"/>
              </w:rPr>
            </w:pPr>
          </w:p>
        </w:tc>
      </w:tr>
      <w:tr>
        <w:trPr>
          <w:trHeight w:val="189"/>
        </w:trPr>
        <w:tc>
          <w:tcPr>
            <w:tcW w:w="330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Wells Fargo Bank, N.A.</w:t>
            </w: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5380" w:type="dxa"/>
            <w:vAlign w:val="bottom"/>
            <w:tcBorders>
              <w:right w:val="single" w:sz="8" w:color="auto"/>
            </w:tcBorders>
            <w:gridSpan w:val="3"/>
          </w:tcPr>
          <w:p>
            <w:pPr>
              <w:jc w:val="center"/>
              <w:spacing w:after="0"/>
              <w:rPr>
                <w:sz w:val="20"/>
                <w:szCs w:val="20"/>
                <w:color w:val="auto"/>
              </w:rPr>
            </w:pPr>
            <w:r>
              <w:rPr>
                <w:rFonts w:ascii="Arial" w:cs="Arial" w:eastAsia="Arial" w:hAnsi="Arial"/>
                <w:sz w:val="15"/>
                <w:szCs w:val="15"/>
                <w:color w:val="auto"/>
                <w:w w:val="88"/>
              </w:rPr>
              <w:t>$47,500,000</w:t>
            </w:r>
          </w:p>
        </w:tc>
      </w:tr>
      <w:tr>
        <w:trPr>
          <w:trHeight w:val="22"/>
        </w:trPr>
        <w:tc>
          <w:tcPr>
            <w:tcW w:w="3300" w:type="dxa"/>
            <w:vAlign w:val="bottom"/>
            <w:tcBorders>
              <w:left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right w:val="single" w:sz="8" w:color="auto"/>
            </w:tcBorders>
          </w:tcPr>
          <w:p>
            <w:pPr>
              <w:spacing w:after="0" w:line="20" w:lineRule="exact"/>
              <w:rPr>
                <w:sz w:val="1"/>
                <w:szCs w:val="1"/>
                <w:color w:val="auto"/>
              </w:rPr>
            </w:pPr>
          </w:p>
        </w:tc>
      </w:tr>
      <w:tr>
        <w:trPr>
          <w:trHeight w:val="189"/>
        </w:trPr>
        <w:tc>
          <w:tcPr>
            <w:tcW w:w="330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Bank of Montreal</w:t>
            </w: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5380" w:type="dxa"/>
            <w:vAlign w:val="bottom"/>
            <w:tcBorders>
              <w:right w:val="single" w:sz="8" w:color="auto"/>
            </w:tcBorders>
            <w:gridSpan w:val="3"/>
          </w:tcPr>
          <w:p>
            <w:pPr>
              <w:jc w:val="center"/>
              <w:spacing w:after="0"/>
              <w:rPr>
                <w:sz w:val="20"/>
                <w:szCs w:val="20"/>
                <w:color w:val="auto"/>
              </w:rPr>
            </w:pPr>
            <w:r>
              <w:rPr>
                <w:rFonts w:ascii="Arial" w:cs="Arial" w:eastAsia="Arial" w:hAnsi="Arial"/>
                <w:sz w:val="15"/>
                <w:szCs w:val="15"/>
                <w:color w:val="auto"/>
                <w:w w:val="88"/>
              </w:rPr>
              <w:t>$45,000,000</w:t>
            </w:r>
          </w:p>
        </w:tc>
      </w:tr>
      <w:tr>
        <w:trPr>
          <w:trHeight w:val="22"/>
        </w:trPr>
        <w:tc>
          <w:tcPr>
            <w:tcW w:w="3300" w:type="dxa"/>
            <w:vAlign w:val="bottom"/>
            <w:tcBorders>
              <w:left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right w:val="single" w:sz="8" w:color="auto"/>
            </w:tcBorders>
          </w:tcPr>
          <w:p>
            <w:pPr>
              <w:spacing w:after="0" w:line="20" w:lineRule="exact"/>
              <w:rPr>
                <w:sz w:val="1"/>
                <w:szCs w:val="1"/>
                <w:color w:val="auto"/>
              </w:rPr>
            </w:pPr>
          </w:p>
        </w:tc>
      </w:tr>
      <w:tr>
        <w:trPr>
          <w:trHeight w:val="189"/>
        </w:trPr>
        <w:tc>
          <w:tcPr>
            <w:tcW w:w="330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Bank of America, N.A.</w:t>
            </w: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5380" w:type="dxa"/>
            <w:vAlign w:val="bottom"/>
            <w:tcBorders>
              <w:right w:val="single" w:sz="8" w:color="auto"/>
            </w:tcBorders>
            <w:gridSpan w:val="3"/>
          </w:tcPr>
          <w:p>
            <w:pPr>
              <w:jc w:val="center"/>
              <w:spacing w:after="0"/>
              <w:rPr>
                <w:sz w:val="20"/>
                <w:szCs w:val="20"/>
                <w:color w:val="auto"/>
              </w:rPr>
            </w:pPr>
            <w:r>
              <w:rPr>
                <w:rFonts w:ascii="Arial" w:cs="Arial" w:eastAsia="Arial" w:hAnsi="Arial"/>
                <w:sz w:val="15"/>
                <w:szCs w:val="15"/>
                <w:color w:val="auto"/>
                <w:w w:val="88"/>
              </w:rPr>
              <w:t>$42,500,000</w:t>
            </w:r>
          </w:p>
        </w:tc>
      </w:tr>
      <w:tr>
        <w:trPr>
          <w:trHeight w:val="22"/>
        </w:trPr>
        <w:tc>
          <w:tcPr>
            <w:tcW w:w="3300" w:type="dxa"/>
            <w:vAlign w:val="bottom"/>
            <w:tcBorders>
              <w:left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right w:val="single" w:sz="8" w:color="auto"/>
            </w:tcBorders>
          </w:tcPr>
          <w:p>
            <w:pPr>
              <w:spacing w:after="0" w:line="20" w:lineRule="exact"/>
              <w:rPr>
                <w:sz w:val="1"/>
                <w:szCs w:val="1"/>
                <w:color w:val="auto"/>
              </w:rPr>
            </w:pPr>
          </w:p>
        </w:tc>
      </w:tr>
      <w:tr>
        <w:trPr>
          <w:trHeight w:val="189"/>
        </w:trPr>
        <w:tc>
          <w:tcPr>
            <w:tcW w:w="330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BOKF, NA dba Bank of Oklahoma</w:t>
            </w: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5380" w:type="dxa"/>
            <w:vAlign w:val="bottom"/>
            <w:tcBorders>
              <w:right w:val="single" w:sz="8" w:color="auto"/>
            </w:tcBorders>
            <w:gridSpan w:val="3"/>
          </w:tcPr>
          <w:p>
            <w:pPr>
              <w:jc w:val="center"/>
              <w:spacing w:after="0"/>
              <w:rPr>
                <w:sz w:val="20"/>
                <w:szCs w:val="20"/>
                <w:color w:val="auto"/>
              </w:rPr>
            </w:pPr>
            <w:r>
              <w:rPr>
                <w:rFonts w:ascii="Arial" w:cs="Arial" w:eastAsia="Arial" w:hAnsi="Arial"/>
                <w:sz w:val="15"/>
                <w:szCs w:val="15"/>
                <w:color w:val="auto"/>
                <w:w w:val="88"/>
              </w:rPr>
              <w:t>$35,000,000</w:t>
            </w:r>
          </w:p>
        </w:tc>
      </w:tr>
      <w:tr>
        <w:trPr>
          <w:trHeight w:val="22"/>
        </w:trPr>
        <w:tc>
          <w:tcPr>
            <w:tcW w:w="3300" w:type="dxa"/>
            <w:vAlign w:val="bottom"/>
            <w:tcBorders>
              <w:left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right w:val="single" w:sz="8" w:color="auto"/>
            </w:tcBorders>
          </w:tcPr>
          <w:p>
            <w:pPr>
              <w:spacing w:after="0" w:line="20" w:lineRule="exact"/>
              <w:rPr>
                <w:sz w:val="1"/>
                <w:szCs w:val="1"/>
                <w:color w:val="auto"/>
              </w:rPr>
            </w:pPr>
          </w:p>
        </w:tc>
      </w:tr>
      <w:tr>
        <w:trPr>
          <w:trHeight w:val="189"/>
        </w:trPr>
        <w:tc>
          <w:tcPr>
            <w:tcW w:w="330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Fifth Third Bank</w:t>
            </w: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5380" w:type="dxa"/>
            <w:vAlign w:val="bottom"/>
            <w:tcBorders>
              <w:right w:val="single" w:sz="8" w:color="auto"/>
            </w:tcBorders>
            <w:gridSpan w:val="3"/>
          </w:tcPr>
          <w:p>
            <w:pPr>
              <w:jc w:val="center"/>
              <w:spacing w:after="0"/>
              <w:rPr>
                <w:sz w:val="20"/>
                <w:szCs w:val="20"/>
                <w:color w:val="auto"/>
              </w:rPr>
            </w:pPr>
            <w:r>
              <w:rPr>
                <w:rFonts w:ascii="Arial" w:cs="Arial" w:eastAsia="Arial" w:hAnsi="Arial"/>
                <w:sz w:val="15"/>
                <w:szCs w:val="15"/>
                <w:color w:val="auto"/>
                <w:w w:val="88"/>
              </w:rPr>
              <w:t>$30,000,000</w:t>
            </w:r>
          </w:p>
        </w:tc>
      </w:tr>
      <w:tr>
        <w:trPr>
          <w:trHeight w:val="22"/>
        </w:trPr>
        <w:tc>
          <w:tcPr>
            <w:tcW w:w="3300" w:type="dxa"/>
            <w:vAlign w:val="bottom"/>
            <w:tcBorders>
              <w:left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right w:val="single" w:sz="8" w:color="auto"/>
            </w:tcBorders>
          </w:tcPr>
          <w:p>
            <w:pPr>
              <w:spacing w:after="0" w:line="20" w:lineRule="exact"/>
              <w:rPr>
                <w:sz w:val="1"/>
                <w:szCs w:val="1"/>
                <w:color w:val="auto"/>
              </w:rPr>
            </w:pPr>
          </w:p>
        </w:tc>
      </w:tr>
      <w:tr>
        <w:trPr>
          <w:trHeight w:val="189"/>
        </w:trPr>
        <w:tc>
          <w:tcPr>
            <w:tcW w:w="330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Branch Banking and Trust Company</w:t>
            </w: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5380" w:type="dxa"/>
            <w:vAlign w:val="bottom"/>
            <w:tcBorders>
              <w:right w:val="single" w:sz="8" w:color="auto"/>
            </w:tcBorders>
            <w:gridSpan w:val="3"/>
          </w:tcPr>
          <w:p>
            <w:pPr>
              <w:jc w:val="center"/>
              <w:spacing w:after="0"/>
              <w:rPr>
                <w:sz w:val="20"/>
                <w:szCs w:val="20"/>
                <w:color w:val="auto"/>
              </w:rPr>
            </w:pPr>
            <w:r>
              <w:rPr>
                <w:rFonts w:ascii="Arial" w:cs="Arial" w:eastAsia="Arial" w:hAnsi="Arial"/>
                <w:sz w:val="15"/>
                <w:szCs w:val="15"/>
                <w:color w:val="auto"/>
                <w:w w:val="88"/>
              </w:rPr>
              <w:t>$30,000,000</w:t>
            </w:r>
          </w:p>
        </w:tc>
      </w:tr>
      <w:tr>
        <w:trPr>
          <w:trHeight w:val="22"/>
        </w:trPr>
        <w:tc>
          <w:tcPr>
            <w:tcW w:w="3300" w:type="dxa"/>
            <w:vAlign w:val="bottom"/>
            <w:tcBorders>
              <w:left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right w:val="single" w:sz="8" w:color="auto"/>
            </w:tcBorders>
          </w:tcPr>
          <w:p>
            <w:pPr>
              <w:spacing w:after="0" w:line="20" w:lineRule="exact"/>
              <w:rPr>
                <w:sz w:val="1"/>
                <w:szCs w:val="1"/>
                <w:color w:val="auto"/>
              </w:rPr>
            </w:pPr>
          </w:p>
        </w:tc>
      </w:tr>
      <w:tr>
        <w:trPr>
          <w:trHeight w:val="189"/>
        </w:trPr>
        <w:tc>
          <w:tcPr>
            <w:tcW w:w="330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Commerce Bank</w:t>
            </w: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5380" w:type="dxa"/>
            <w:vAlign w:val="bottom"/>
            <w:tcBorders>
              <w:right w:val="single" w:sz="8" w:color="auto"/>
            </w:tcBorders>
            <w:gridSpan w:val="3"/>
          </w:tcPr>
          <w:p>
            <w:pPr>
              <w:jc w:val="center"/>
              <w:spacing w:after="0"/>
              <w:rPr>
                <w:sz w:val="20"/>
                <w:szCs w:val="20"/>
                <w:color w:val="auto"/>
              </w:rPr>
            </w:pPr>
            <w:r>
              <w:rPr>
                <w:rFonts w:ascii="Arial" w:cs="Arial" w:eastAsia="Arial" w:hAnsi="Arial"/>
                <w:sz w:val="15"/>
                <w:szCs w:val="15"/>
                <w:color w:val="auto"/>
                <w:w w:val="88"/>
              </w:rPr>
              <w:t>$10,000,000</w:t>
            </w:r>
          </w:p>
        </w:tc>
      </w:tr>
      <w:tr>
        <w:trPr>
          <w:trHeight w:val="22"/>
        </w:trPr>
        <w:tc>
          <w:tcPr>
            <w:tcW w:w="3300" w:type="dxa"/>
            <w:vAlign w:val="bottom"/>
            <w:tcBorders>
              <w:left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right w:val="single" w:sz="8" w:color="auto"/>
            </w:tcBorders>
          </w:tcPr>
          <w:p>
            <w:pPr>
              <w:spacing w:after="0" w:line="20" w:lineRule="exact"/>
              <w:rPr>
                <w:sz w:val="1"/>
                <w:szCs w:val="1"/>
                <w:color w:val="auto"/>
              </w:rPr>
            </w:pPr>
          </w:p>
        </w:tc>
      </w:tr>
      <w:tr>
        <w:trPr>
          <w:trHeight w:val="189"/>
        </w:trPr>
        <w:tc>
          <w:tcPr>
            <w:tcW w:w="3300" w:type="dxa"/>
            <w:vAlign w:val="bottom"/>
            <w:tcBorders>
              <w:left w:val="single" w:sz="8" w:color="auto"/>
            </w:tcBorders>
          </w:tcPr>
          <w:p>
            <w:pPr>
              <w:ind w:left="2540"/>
              <w:spacing w:after="0"/>
              <w:rPr>
                <w:sz w:val="20"/>
                <w:szCs w:val="20"/>
                <w:color w:val="auto"/>
              </w:rPr>
            </w:pPr>
            <w:r>
              <w:rPr>
                <w:rFonts w:ascii="Arial" w:cs="Arial" w:eastAsia="Arial" w:hAnsi="Arial"/>
                <w:sz w:val="15"/>
                <w:szCs w:val="15"/>
                <w:b w:val="1"/>
                <w:bCs w:val="1"/>
                <w:color w:val="auto"/>
              </w:rPr>
              <w:t>TOTAL</w:t>
            </w: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5380" w:type="dxa"/>
            <w:vAlign w:val="bottom"/>
            <w:tcBorders>
              <w:right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w w:val="89"/>
              </w:rPr>
              <w:t>$300,000,000</w:t>
            </w:r>
          </w:p>
        </w:tc>
      </w:tr>
      <w:tr>
        <w:trPr>
          <w:trHeight w:val="22"/>
        </w:trPr>
        <w:tc>
          <w:tcPr>
            <w:tcW w:w="3300" w:type="dxa"/>
            <w:vAlign w:val="bottom"/>
            <w:tcBorders>
              <w:left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right w:val="single" w:sz="8" w:color="auto"/>
            </w:tcBorders>
          </w:tcPr>
          <w:p>
            <w:pPr>
              <w:spacing w:after="0" w:line="20" w:lineRule="exact"/>
              <w:rPr>
                <w:sz w:val="1"/>
                <w:szCs w:val="1"/>
                <w:color w:val="auto"/>
              </w:rPr>
            </w:pPr>
          </w:p>
        </w:tc>
      </w:tr>
      <w:tr>
        <w:trPr>
          <w:trHeight w:val="542"/>
        </w:trPr>
        <w:tc>
          <w:tcPr>
            <w:tcW w:w="3300" w:type="dxa"/>
            <w:vAlign w:val="bottom"/>
          </w:tcPr>
          <w:p>
            <w:pPr>
              <w:spacing w:after="0"/>
              <w:rPr>
                <w:sz w:val="24"/>
                <w:szCs w:val="24"/>
                <w:color w:val="auto"/>
              </w:rPr>
            </w:pPr>
          </w:p>
        </w:tc>
        <w:tc>
          <w:tcPr>
            <w:tcW w:w="2300" w:type="dxa"/>
            <w:vAlign w:val="bottom"/>
            <w:gridSpan w:val="3"/>
          </w:tcPr>
          <w:p>
            <w:pPr>
              <w:jc w:val="center"/>
              <w:ind w:left="1959"/>
              <w:spacing w:after="0"/>
              <w:rPr>
                <w:sz w:val="20"/>
                <w:szCs w:val="20"/>
                <w:color w:val="auto"/>
              </w:rPr>
            </w:pPr>
            <w:r>
              <w:rPr>
                <w:rFonts w:ascii="Arial" w:cs="Arial" w:eastAsia="Arial" w:hAnsi="Arial"/>
                <w:sz w:val="15"/>
                <w:szCs w:val="15"/>
                <w:color w:val="auto"/>
                <w:w w:val="87"/>
              </w:rPr>
              <w:t>111</w:t>
            </w: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ectPr>
          <w:pgSz w:w="11900" w:h="16838" w:orient="portrait"/>
          <w:cols w:equalWidth="0" w:num="1">
            <w:col w:w="11220"/>
          </w:cols>
          <w:pgMar w:left="220" w:top="1028" w:right="459" w:bottom="1440" w:gutter="0" w:footer="0" w:header="0"/>
        </w:sectPr>
      </w:pPr>
    </w:p>
    <w:bookmarkStart w:id="172" w:name="page173"/>
    <w:bookmarkEnd w:id="172"/>
    <w:p>
      <w:pPr>
        <w:jc w:val="center"/>
        <w:ind w:right="20"/>
        <w:spacing w:after="0"/>
        <w:rPr>
          <w:sz w:val="20"/>
          <w:szCs w:val="20"/>
          <w:color w:val="auto"/>
        </w:rPr>
      </w:pPr>
      <w:r>
        <w:rPr>
          <w:rFonts w:ascii="Arial" w:cs="Arial" w:eastAsia="Arial" w:hAnsi="Arial"/>
          <w:sz w:val="16"/>
          <w:szCs w:val="16"/>
          <w:b w:val="1"/>
          <w:bCs w:val="1"/>
          <w:u w:val="single" w:color="auto"/>
          <w:color w:val="auto"/>
        </w:rPr>
        <w:t>SCHEDULE 3.13</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Subsidiaries (List of All Subsidiaries, with Jurisdictions of Organization, Ownership Percentages Held by the Company or other Subsidiaries)</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Parent Company: Matrix Service Company</w:t>
      </w:r>
      <w:r>
        <w:rPr>
          <w:rFonts w:ascii="Arial" w:cs="Arial" w:eastAsia="Arial" w:hAnsi="Arial"/>
          <w:sz w:val="16"/>
          <w:szCs w:val="16"/>
          <w:color w:val="auto"/>
        </w:rPr>
        <w:t>, a Delaware corporation (the Company)</w:t>
      </w:r>
    </w:p>
    <w:p>
      <w:pPr>
        <w:spacing w:after="0" w:line="300"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2440" w:type="dxa"/>
            <w:vAlign w:val="bottom"/>
            <w:tcBorders>
              <w:top w:val="single" w:sz="8" w:color="auto"/>
              <w:left w:val="single" w:sz="8" w:color="auto"/>
              <w:right w:val="single" w:sz="8" w:color="auto"/>
            </w:tcBorders>
            <w:shd w:val="clear" w:color="auto" w:fill="E6E6E6"/>
          </w:tcPr>
          <w:p>
            <w:pPr>
              <w:spacing w:after="0"/>
              <w:rPr>
                <w:sz w:val="16"/>
                <w:szCs w:val="16"/>
                <w:color w:val="auto"/>
              </w:rPr>
            </w:pPr>
          </w:p>
        </w:tc>
        <w:tc>
          <w:tcPr>
            <w:tcW w:w="1620" w:type="dxa"/>
            <w:vAlign w:val="bottom"/>
            <w:tcBorders>
              <w:top w:val="single" w:sz="8" w:color="auto"/>
              <w:right w:val="single" w:sz="8" w:color="auto"/>
            </w:tcBorders>
            <w:shd w:val="clear" w:color="auto" w:fill="E6E6E6"/>
          </w:tcPr>
          <w:p>
            <w:pPr>
              <w:spacing w:after="0"/>
              <w:rPr>
                <w:sz w:val="16"/>
                <w:szCs w:val="16"/>
                <w:color w:val="auto"/>
              </w:rPr>
            </w:pPr>
          </w:p>
        </w:tc>
        <w:tc>
          <w:tcPr>
            <w:tcW w:w="1600" w:type="dxa"/>
            <w:vAlign w:val="bottom"/>
            <w:tcBorders>
              <w:top w:val="single" w:sz="8" w:color="auto"/>
              <w:right w:val="single" w:sz="8" w:color="auto"/>
            </w:tcBorders>
            <w:shd w:val="clear" w:color="auto" w:fill="E6E6E6"/>
          </w:tcPr>
          <w:p>
            <w:pPr>
              <w:spacing w:after="0"/>
              <w:rPr>
                <w:sz w:val="16"/>
                <w:szCs w:val="16"/>
                <w:color w:val="auto"/>
              </w:rPr>
            </w:pPr>
          </w:p>
        </w:tc>
        <w:tc>
          <w:tcPr>
            <w:tcW w:w="1360" w:type="dxa"/>
            <w:vAlign w:val="bottom"/>
            <w:tcBorders>
              <w:top w:val="single" w:sz="8" w:color="auto"/>
              <w:right w:val="single" w:sz="8" w:color="auto"/>
            </w:tcBorders>
            <w:shd w:val="clear" w:color="auto" w:fill="E6E6E6"/>
          </w:tcPr>
          <w:p>
            <w:pPr>
              <w:spacing w:after="0"/>
              <w:rPr>
                <w:sz w:val="16"/>
                <w:szCs w:val="16"/>
                <w:color w:val="auto"/>
              </w:rPr>
            </w:pPr>
          </w:p>
        </w:tc>
        <w:tc>
          <w:tcPr>
            <w:tcW w:w="1840" w:type="dxa"/>
            <w:vAlign w:val="bottom"/>
            <w:tcBorders>
              <w:top w:val="single" w:sz="8" w:color="auto"/>
              <w:right w:val="single" w:sz="8" w:color="auto"/>
            </w:tcBorders>
            <w:shd w:val="clear" w:color="auto" w:fill="E6E6E6"/>
          </w:tcPr>
          <w:p>
            <w:pPr>
              <w:jc w:val="center"/>
              <w:spacing w:after="0"/>
              <w:rPr>
                <w:sz w:val="20"/>
                <w:szCs w:val="20"/>
                <w:color w:val="auto"/>
              </w:rPr>
            </w:pPr>
            <w:r>
              <w:rPr>
                <w:rFonts w:ascii="Arial" w:cs="Arial" w:eastAsia="Arial" w:hAnsi="Arial"/>
                <w:sz w:val="13"/>
                <w:szCs w:val="13"/>
                <w:b w:val="1"/>
                <w:bCs w:val="1"/>
                <w:color w:val="auto"/>
                <w:w w:val="88"/>
              </w:rPr>
              <w:t>Percentage</w:t>
            </w:r>
          </w:p>
        </w:tc>
        <w:tc>
          <w:tcPr>
            <w:tcW w:w="1500" w:type="dxa"/>
            <w:vAlign w:val="bottom"/>
            <w:tcBorders>
              <w:top w:val="single" w:sz="8" w:color="auto"/>
              <w:right w:val="single" w:sz="8" w:color="auto"/>
            </w:tcBorders>
            <w:shd w:val="clear" w:color="auto" w:fill="E6E6E6"/>
          </w:tcPr>
          <w:p>
            <w:pPr>
              <w:spacing w:after="0"/>
              <w:rPr>
                <w:sz w:val="16"/>
                <w:szCs w:val="16"/>
                <w:color w:val="auto"/>
              </w:rPr>
            </w:pPr>
          </w:p>
        </w:tc>
        <w:tc>
          <w:tcPr>
            <w:tcW w:w="1120" w:type="dxa"/>
            <w:vAlign w:val="bottom"/>
            <w:tcBorders>
              <w:top w:val="single" w:sz="8" w:color="auto"/>
              <w:right w:val="single" w:sz="8" w:color="auto"/>
            </w:tcBorders>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shd w:val="clear" w:color="auto" w:fill="E6E6E6"/>
          </w:tcPr>
          <w:p>
            <w:pPr>
              <w:spacing w:after="0"/>
              <w:rPr>
                <w:sz w:val="14"/>
                <w:szCs w:val="14"/>
                <w:color w:val="auto"/>
              </w:rPr>
            </w:pPr>
          </w:p>
        </w:tc>
        <w:tc>
          <w:tcPr>
            <w:tcW w:w="1620" w:type="dxa"/>
            <w:vAlign w:val="bottom"/>
            <w:tcBorders>
              <w:right w:val="single" w:sz="8" w:color="auto"/>
            </w:tcBorders>
            <w:shd w:val="clear" w:color="auto" w:fill="E6E6E6"/>
          </w:tcPr>
          <w:p>
            <w:pPr>
              <w:spacing w:after="0"/>
              <w:rPr>
                <w:sz w:val="14"/>
                <w:szCs w:val="14"/>
                <w:color w:val="auto"/>
              </w:rPr>
            </w:pPr>
          </w:p>
        </w:tc>
        <w:tc>
          <w:tcPr>
            <w:tcW w:w="1600" w:type="dxa"/>
            <w:vAlign w:val="bottom"/>
            <w:tcBorders>
              <w:right w:val="single" w:sz="8" w:color="auto"/>
            </w:tcBorders>
            <w:shd w:val="clear" w:color="auto" w:fill="E6E6E6"/>
          </w:tcPr>
          <w:p>
            <w:pPr>
              <w:spacing w:after="0"/>
              <w:rPr>
                <w:sz w:val="14"/>
                <w:szCs w:val="14"/>
                <w:color w:val="auto"/>
              </w:rPr>
            </w:pPr>
          </w:p>
        </w:tc>
        <w:tc>
          <w:tcPr>
            <w:tcW w:w="1360" w:type="dxa"/>
            <w:vAlign w:val="bottom"/>
            <w:tcBorders>
              <w:right w:val="single" w:sz="8" w:color="auto"/>
            </w:tcBorders>
            <w:shd w:val="clear" w:color="auto" w:fill="E6E6E6"/>
          </w:tcPr>
          <w:p>
            <w:pPr>
              <w:spacing w:after="0"/>
              <w:rPr>
                <w:sz w:val="14"/>
                <w:szCs w:val="14"/>
                <w:color w:val="auto"/>
              </w:rPr>
            </w:pPr>
          </w:p>
        </w:tc>
        <w:tc>
          <w:tcPr>
            <w:tcW w:w="1840" w:type="dxa"/>
            <w:vAlign w:val="bottom"/>
            <w:tcBorders>
              <w:right w:val="single" w:sz="8" w:color="auto"/>
            </w:tcBorders>
            <w:shd w:val="clear" w:color="auto" w:fill="E6E6E6"/>
          </w:tcPr>
          <w:p>
            <w:pPr>
              <w:jc w:val="center"/>
              <w:spacing w:after="0"/>
              <w:rPr>
                <w:sz w:val="20"/>
                <w:szCs w:val="20"/>
                <w:color w:val="auto"/>
              </w:rPr>
            </w:pPr>
            <w:r>
              <w:rPr>
                <w:rFonts w:ascii="Arial" w:cs="Arial" w:eastAsia="Arial" w:hAnsi="Arial"/>
                <w:sz w:val="13"/>
                <w:szCs w:val="13"/>
                <w:b w:val="1"/>
                <w:bCs w:val="1"/>
                <w:color w:val="auto"/>
                <w:w w:val="93"/>
              </w:rPr>
              <w:t>Ownership of</w:t>
            </w:r>
          </w:p>
        </w:tc>
        <w:tc>
          <w:tcPr>
            <w:tcW w:w="1500" w:type="dxa"/>
            <w:vAlign w:val="bottom"/>
            <w:tcBorders>
              <w:right w:val="single" w:sz="8" w:color="auto"/>
            </w:tcBorders>
            <w:shd w:val="clear" w:color="auto" w:fill="E6E6E6"/>
          </w:tcPr>
          <w:p>
            <w:pPr>
              <w:spacing w:after="0"/>
              <w:rPr>
                <w:sz w:val="14"/>
                <w:szCs w:val="14"/>
                <w:color w:val="auto"/>
              </w:rPr>
            </w:pPr>
          </w:p>
        </w:tc>
        <w:tc>
          <w:tcPr>
            <w:tcW w:w="1120" w:type="dxa"/>
            <w:vAlign w:val="bottom"/>
            <w:tcBorders>
              <w:right w:val="single" w:sz="8" w:color="auto"/>
            </w:tcBorders>
            <w:shd w:val="clear" w:color="auto" w:fill="E6E6E6"/>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shd w:val="clear" w:color="auto" w:fill="E6E6E6"/>
          </w:tcPr>
          <w:p>
            <w:pPr>
              <w:spacing w:after="0"/>
              <w:rPr>
                <w:sz w:val="14"/>
                <w:szCs w:val="14"/>
                <w:color w:val="auto"/>
              </w:rPr>
            </w:pPr>
          </w:p>
        </w:tc>
        <w:tc>
          <w:tcPr>
            <w:tcW w:w="1620" w:type="dxa"/>
            <w:vAlign w:val="bottom"/>
            <w:tcBorders>
              <w:right w:val="single" w:sz="8" w:color="auto"/>
            </w:tcBorders>
            <w:shd w:val="clear" w:color="auto" w:fill="E6E6E6"/>
          </w:tcPr>
          <w:p>
            <w:pPr>
              <w:spacing w:after="0"/>
              <w:rPr>
                <w:sz w:val="14"/>
                <w:szCs w:val="14"/>
                <w:color w:val="auto"/>
              </w:rPr>
            </w:pPr>
          </w:p>
        </w:tc>
        <w:tc>
          <w:tcPr>
            <w:tcW w:w="1600" w:type="dxa"/>
            <w:vAlign w:val="bottom"/>
            <w:tcBorders>
              <w:right w:val="single" w:sz="8" w:color="auto"/>
            </w:tcBorders>
            <w:shd w:val="clear" w:color="auto" w:fill="E6E6E6"/>
          </w:tcPr>
          <w:p>
            <w:pPr>
              <w:spacing w:after="0"/>
              <w:rPr>
                <w:sz w:val="14"/>
                <w:szCs w:val="14"/>
                <w:color w:val="auto"/>
              </w:rPr>
            </w:pPr>
          </w:p>
        </w:tc>
        <w:tc>
          <w:tcPr>
            <w:tcW w:w="1360" w:type="dxa"/>
            <w:vAlign w:val="bottom"/>
            <w:tcBorders>
              <w:right w:val="single" w:sz="8" w:color="auto"/>
            </w:tcBorders>
            <w:shd w:val="clear" w:color="auto" w:fill="E6E6E6"/>
          </w:tcPr>
          <w:p>
            <w:pPr>
              <w:spacing w:after="0"/>
              <w:rPr>
                <w:sz w:val="14"/>
                <w:szCs w:val="14"/>
                <w:color w:val="auto"/>
              </w:rPr>
            </w:pPr>
          </w:p>
        </w:tc>
        <w:tc>
          <w:tcPr>
            <w:tcW w:w="1840" w:type="dxa"/>
            <w:vAlign w:val="bottom"/>
            <w:tcBorders>
              <w:right w:val="single" w:sz="8" w:color="auto"/>
            </w:tcBorders>
            <w:shd w:val="clear" w:color="auto" w:fill="E6E6E6"/>
          </w:tcPr>
          <w:p>
            <w:pPr>
              <w:jc w:val="center"/>
              <w:spacing w:after="0"/>
              <w:rPr>
                <w:sz w:val="20"/>
                <w:szCs w:val="20"/>
                <w:color w:val="auto"/>
              </w:rPr>
            </w:pPr>
            <w:r>
              <w:rPr>
                <w:rFonts w:ascii="Arial" w:cs="Arial" w:eastAsia="Arial" w:hAnsi="Arial"/>
                <w:sz w:val="13"/>
                <w:szCs w:val="13"/>
                <w:b w:val="1"/>
                <w:bCs w:val="1"/>
                <w:color w:val="auto"/>
                <w:w w:val="91"/>
              </w:rPr>
              <w:t>Issued and</w:t>
            </w:r>
          </w:p>
        </w:tc>
        <w:tc>
          <w:tcPr>
            <w:tcW w:w="1500" w:type="dxa"/>
            <w:vAlign w:val="bottom"/>
            <w:tcBorders>
              <w:right w:val="single" w:sz="8" w:color="auto"/>
            </w:tcBorders>
            <w:shd w:val="clear" w:color="auto" w:fill="E6E6E6"/>
          </w:tcPr>
          <w:p>
            <w:pPr>
              <w:spacing w:after="0"/>
              <w:rPr>
                <w:sz w:val="14"/>
                <w:szCs w:val="14"/>
                <w:color w:val="auto"/>
              </w:rPr>
            </w:pPr>
          </w:p>
        </w:tc>
        <w:tc>
          <w:tcPr>
            <w:tcW w:w="1120" w:type="dxa"/>
            <w:vAlign w:val="bottom"/>
            <w:tcBorders>
              <w:right w:val="single" w:sz="8" w:color="auto"/>
            </w:tcBorders>
            <w:shd w:val="clear" w:color="auto" w:fill="E6E6E6"/>
          </w:tcPr>
          <w:p>
            <w:pPr>
              <w:spacing w:after="0"/>
              <w:rPr>
                <w:sz w:val="20"/>
                <w:szCs w:val="20"/>
                <w:color w:val="auto"/>
              </w:rPr>
            </w:pPr>
            <w:r>
              <w:rPr>
                <w:rFonts w:ascii="Arial" w:cs="Arial" w:eastAsia="Arial" w:hAnsi="Arial"/>
                <w:sz w:val="13"/>
                <w:szCs w:val="13"/>
                <w:b w:val="1"/>
                <w:bCs w:val="1"/>
                <w:color w:val="auto"/>
              </w:rPr>
              <w:t>Subsidiary</w:t>
            </w: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shd w:val="clear" w:color="auto" w:fill="E6E6E6"/>
          </w:tcPr>
          <w:p>
            <w:pPr>
              <w:spacing w:after="0"/>
              <w:rPr>
                <w:sz w:val="14"/>
                <w:szCs w:val="14"/>
                <w:color w:val="auto"/>
              </w:rPr>
            </w:pPr>
          </w:p>
        </w:tc>
        <w:tc>
          <w:tcPr>
            <w:tcW w:w="1620" w:type="dxa"/>
            <w:vAlign w:val="bottom"/>
            <w:tcBorders>
              <w:right w:val="single" w:sz="8" w:color="auto"/>
            </w:tcBorders>
            <w:shd w:val="clear" w:color="auto" w:fill="E6E6E6"/>
          </w:tcPr>
          <w:p>
            <w:pPr>
              <w:spacing w:after="0"/>
              <w:rPr>
                <w:sz w:val="14"/>
                <w:szCs w:val="14"/>
                <w:color w:val="auto"/>
              </w:rPr>
            </w:pPr>
          </w:p>
        </w:tc>
        <w:tc>
          <w:tcPr>
            <w:tcW w:w="1600" w:type="dxa"/>
            <w:vAlign w:val="bottom"/>
            <w:tcBorders>
              <w:right w:val="single" w:sz="8" w:color="auto"/>
            </w:tcBorders>
            <w:shd w:val="clear" w:color="auto" w:fill="E6E6E6"/>
          </w:tcPr>
          <w:p>
            <w:pPr>
              <w:spacing w:after="0"/>
              <w:rPr>
                <w:sz w:val="14"/>
                <w:szCs w:val="14"/>
                <w:color w:val="auto"/>
              </w:rPr>
            </w:pPr>
          </w:p>
        </w:tc>
        <w:tc>
          <w:tcPr>
            <w:tcW w:w="1360" w:type="dxa"/>
            <w:vAlign w:val="bottom"/>
            <w:tcBorders>
              <w:right w:val="single" w:sz="8" w:color="auto"/>
            </w:tcBorders>
            <w:shd w:val="clear" w:color="auto" w:fill="E6E6E6"/>
          </w:tcPr>
          <w:p>
            <w:pPr>
              <w:spacing w:after="0"/>
              <w:rPr>
                <w:sz w:val="14"/>
                <w:szCs w:val="14"/>
                <w:color w:val="auto"/>
              </w:rPr>
            </w:pPr>
          </w:p>
        </w:tc>
        <w:tc>
          <w:tcPr>
            <w:tcW w:w="1840" w:type="dxa"/>
            <w:vAlign w:val="bottom"/>
            <w:tcBorders>
              <w:right w:val="single" w:sz="8" w:color="auto"/>
            </w:tcBorders>
            <w:shd w:val="clear" w:color="auto" w:fill="E6E6E6"/>
          </w:tcPr>
          <w:p>
            <w:pPr>
              <w:jc w:val="center"/>
              <w:spacing w:after="0"/>
              <w:rPr>
                <w:sz w:val="20"/>
                <w:szCs w:val="20"/>
                <w:color w:val="auto"/>
              </w:rPr>
            </w:pPr>
            <w:r>
              <w:rPr>
                <w:rFonts w:ascii="Arial" w:cs="Arial" w:eastAsia="Arial" w:hAnsi="Arial"/>
                <w:sz w:val="13"/>
                <w:szCs w:val="13"/>
                <w:b w:val="1"/>
                <w:bCs w:val="1"/>
                <w:color w:val="auto"/>
                <w:w w:val="91"/>
              </w:rPr>
              <w:t>Outstanding</w:t>
            </w:r>
          </w:p>
        </w:tc>
        <w:tc>
          <w:tcPr>
            <w:tcW w:w="1500" w:type="dxa"/>
            <w:vAlign w:val="bottom"/>
            <w:tcBorders>
              <w:right w:val="single" w:sz="8" w:color="auto"/>
            </w:tcBorders>
            <w:shd w:val="clear" w:color="auto" w:fill="E6E6E6"/>
          </w:tcPr>
          <w:p>
            <w:pPr>
              <w:spacing w:after="0"/>
              <w:rPr>
                <w:sz w:val="14"/>
                <w:szCs w:val="14"/>
                <w:color w:val="auto"/>
              </w:rPr>
            </w:pPr>
          </w:p>
        </w:tc>
        <w:tc>
          <w:tcPr>
            <w:tcW w:w="1120" w:type="dxa"/>
            <w:vAlign w:val="bottom"/>
            <w:tcBorders>
              <w:right w:val="single" w:sz="8" w:color="auto"/>
            </w:tcBorders>
            <w:shd w:val="clear" w:color="auto" w:fill="E6E6E6"/>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shd w:val="clear" w:color="auto" w:fill="E6E6E6"/>
          </w:tcPr>
          <w:p>
            <w:pPr>
              <w:spacing w:after="0"/>
              <w:rPr>
                <w:sz w:val="14"/>
                <w:szCs w:val="14"/>
                <w:color w:val="auto"/>
              </w:rPr>
            </w:pPr>
          </w:p>
        </w:tc>
        <w:tc>
          <w:tcPr>
            <w:tcW w:w="1620" w:type="dxa"/>
            <w:vAlign w:val="bottom"/>
            <w:tcBorders>
              <w:right w:val="single" w:sz="8" w:color="auto"/>
            </w:tcBorders>
            <w:shd w:val="clear" w:color="auto" w:fill="E6E6E6"/>
          </w:tcPr>
          <w:p>
            <w:pPr>
              <w:spacing w:after="0"/>
              <w:rPr>
                <w:sz w:val="14"/>
                <w:szCs w:val="14"/>
                <w:color w:val="auto"/>
              </w:rPr>
            </w:pPr>
          </w:p>
        </w:tc>
        <w:tc>
          <w:tcPr>
            <w:tcW w:w="1600" w:type="dxa"/>
            <w:vAlign w:val="bottom"/>
            <w:tcBorders>
              <w:right w:val="single" w:sz="8" w:color="auto"/>
            </w:tcBorders>
            <w:shd w:val="clear" w:color="auto" w:fill="E6E6E6"/>
          </w:tcPr>
          <w:p>
            <w:pPr>
              <w:jc w:val="center"/>
              <w:spacing w:after="0"/>
              <w:rPr>
                <w:sz w:val="20"/>
                <w:szCs w:val="20"/>
                <w:color w:val="auto"/>
              </w:rPr>
            </w:pPr>
            <w:r>
              <w:rPr>
                <w:rFonts w:ascii="Arial" w:cs="Arial" w:eastAsia="Arial" w:hAnsi="Arial"/>
                <w:sz w:val="13"/>
                <w:szCs w:val="13"/>
                <w:b w:val="1"/>
                <w:bCs w:val="1"/>
                <w:color w:val="auto"/>
                <w:w w:val="88"/>
              </w:rPr>
              <w:t>Place of</w:t>
            </w:r>
          </w:p>
        </w:tc>
        <w:tc>
          <w:tcPr>
            <w:tcW w:w="1360" w:type="dxa"/>
            <w:vAlign w:val="bottom"/>
            <w:tcBorders>
              <w:right w:val="single" w:sz="8" w:color="auto"/>
            </w:tcBorders>
            <w:shd w:val="clear" w:color="auto" w:fill="E6E6E6"/>
          </w:tcPr>
          <w:p>
            <w:pPr>
              <w:spacing w:after="0"/>
              <w:rPr>
                <w:sz w:val="14"/>
                <w:szCs w:val="14"/>
                <w:color w:val="auto"/>
              </w:rPr>
            </w:pPr>
          </w:p>
        </w:tc>
        <w:tc>
          <w:tcPr>
            <w:tcW w:w="1840" w:type="dxa"/>
            <w:vAlign w:val="bottom"/>
            <w:tcBorders>
              <w:right w:val="single" w:sz="8" w:color="auto"/>
            </w:tcBorders>
            <w:shd w:val="clear" w:color="auto" w:fill="E6E6E6"/>
          </w:tcPr>
          <w:p>
            <w:pPr>
              <w:jc w:val="center"/>
              <w:spacing w:after="0"/>
              <w:rPr>
                <w:sz w:val="20"/>
                <w:szCs w:val="20"/>
                <w:color w:val="auto"/>
              </w:rPr>
            </w:pPr>
            <w:r>
              <w:rPr>
                <w:rFonts w:ascii="Arial" w:cs="Arial" w:eastAsia="Arial" w:hAnsi="Arial"/>
                <w:sz w:val="13"/>
                <w:szCs w:val="13"/>
                <w:b w:val="1"/>
                <w:bCs w:val="1"/>
                <w:color w:val="auto"/>
                <w:w w:val="92"/>
              </w:rPr>
              <w:t>Common Stock and other</w:t>
            </w:r>
          </w:p>
        </w:tc>
        <w:tc>
          <w:tcPr>
            <w:tcW w:w="1500" w:type="dxa"/>
            <w:vAlign w:val="bottom"/>
            <w:tcBorders>
              <w:right w:val="single" w:sz="8" w:color="auto"/>
            </w:tcBorders>
            <w:shd w:val="clear" w:color="auto" w:fill="E6E6E6"/>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120" w:type="dxa"/>
            <w:vAlign w:val="bottom"/>
            <w:tcBorders>
              <w:right w:val="single" w:sz="8" w:color="auto"/>
            </w:tcBorders>
            <w:shd w:val="clear" w:color="auto" w:fill="E6E6E6"/>
          </w:tcPr>
          <w:p>
            <w:pPr>
              <w:spacing w:after="0"/>
              <w:rPr>
                <w:sz w:val="20"/>
                <w:szCs w:val="20"/>
                <w:color w:val="auto"/>
              </w:rPr>
            </w:pPr>
            <w:r>
              <w:rPr>
                <w:rFonts w:ascii="Arial" w:cs="Arial" w:eastAsia="Arial" w:hAnsi="Arial"/>
                <w:sz w:val="13"/>
                <w:szCs w:val="13"/>
                <w:b w:val="1"/>
                <w:bCs w:val="1"/>
                <w:color w:val="auto"/>
              </w:rPr>
              <w:t>Guarantor</w:t>
            </w: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shd w:val="clear" w:color="auto" w:fill="E6E6E6"/>
          </w:tcPr>
          <w:p>
            <w:pPr>
              <w:spacing w:after="0"/>
              <w:rPr>
                <w:sz w:val="14"/>
                <w:szCs w:val="14"/>
                <w:color w:val="auto"/>
              </w:rPr>
            </w:pPr>
          </w:p>
        </w:tc>
        <w:tc>
          <w:tcPr>
            <w:tcW w:w="1620" w:type="dxa"/>
            <w:vAlign w:val="bottom"/>
            <w:tcBorders>
              <w:right w:val="single" w:sz="8" w:color="auto"/>
            </w:tcBorders>
            <w:shd w:val="clear" w:color="auto" w:fill="E6E6E6"/>
          </w:tcPr>
          <w:p>
            <w:pPr>
              <w:ind w:left="640"/>
              <w:spacing w:after="0"/>
              <w:rPr>
                <w:sz w:val="20"/>
                <w:szCs w:val="20"/>
                <w:color w:val="auto"/>
              </w:rPr>
            </w:pPr>
            <w:r>
              <w:rPr>
                <w:rFonts w:ascii="Arial" w:cs="Arial" w:eastAsia="Arial" w:hAnsi="Arial"/>
                <w:sz w:val="13"/>
                <w:szCs w:val="13"/>
                <w:b w:val="1"/>
                <w:bCs w:val="1"/>
                <w:color w:val="auto"/>
              </w:rPr>
              <w:t>Total</w:t>
            </w:r>
          </w:p>
        </w:tc>
        <w:tc>
          <w:tcPr>
            <w:tcW w:w="1600" w:type="dxa"/>
            <w:vAlign w:val="bottom"/>
            <w:tcBorders>
              <w:right w:val="single" w:sz="8" w:color="auto"/>
            </w:tcBorders>
            <w:shd w:val="clear" w:color="auto" w:fill="E6E6E6"/>
          </w:tcPr>
          <w:p>
            <w:pPr>
              <w:jc w:val="center"/>
              <w:spacing w:after="0"/>
              <w:rPr>
                <w:sz w:val="20"/>
                <w:szCs w:val="20"/>
                <w:color w:val="auto"/>
              </w:rPr>
            </w:pPr>
            <w:r>
              <w:rPr>
                <w:rFonts w:ascii="Arial" w:cs="Arial" w:eastAsia="Arial" w:hAnsi="Arial"/>
                <w:sz w:val="13"/>
                <w:szCs w:val="13"/>
                <w:b w:val="1"/>
                <w:bCs w:val="1"/>
                <w:color w:val="auto"/>
                <w:w w:val="95"/>
              </w:rPr>
              <w:t>Incorporation or</w:t>
            </w:r>
          </w:p>
        </w:tc>
        <w:tc>
          <w:tcPr>
            <w:tcW w:w="1360" w:type="dxa"/>
            <w:vAlign w:val="bottom"/>
            <w:tcBorders>
              <w:right w:val="single" w:sz="8" w:color="auto"/>
            </w:tcBorders>
            <w:shd w:val="clear" w:color="auto" w:fill="E6E6E6"/>
          </w:tcPr>
          <w:p>
            <w:pPr>
              <w:spacing w:after="0"/>
              <w:rPr>
                <w:sz w:val="14"/>
                <w:szCs w:val="14"/>
                <w:color w:val="auto"/>
              </w:rPr>
            </w:pPr>
          </w:p>
        </w:tc>
        <w:tc>
          <w:tcPr>
            <w:tcW w:w="1840" w:type="dxa"/>
            <w:vAlign w:val="bottom"/>
            <w:tcBorders>
              <w:right w:val="single" w:sz="8" w:color="auto"/>
            </w:tcBorders>
            <w:shd w:val="clear" w:color="auto" w:fill="E6E6E6"/>
          </w:tcPr>
          <w:p>
            <w:pPr>
              <w:jc w:val="center"/>
              <w:spacing w:after="0"/>
              <w:rPr>
                <w:sz w:val="20"/>
                <w:szCs w:val="20"/>
                <w:color w:val="auto"/>
              </w:rPr>
            </w:pPr>
            <w:r>
              <w:rPr>
                <w:rFonts w:ascii="Arial" w:cs="Arial" w:eastAsia="Arial" w:hAnsi="Arial"/>
                <w:sz w:val="13"/>
                <w:szCs w:val="13"/>
                <w:b w:val="1"/>
                <w:bCs w:val="1"/>
                <w:color w:val="auto"/>
                <w:w w:val="95"/>
              </w:rPr>
              <w:t>Equity</w:t>
            </w:r>
          </w:p>
        </w:tc>
        <w:tc>
          <w:tcPr>
            <w:tcW w:w="1500" w:type="dxa"/>
            <w:vAlign w:val="bottom"/>
            <w:tcBorders>
              <w:right w:val="single" w:sz="8" w:color="auto"/>
            </w:tcBorders>
            <w:shd w:val="clear" w:color="auto" w:fill="E6E6E6"/>
          </w:tcPr>
          <w:p>
            <w:pPr>
              <w:jc w:val="center"/>
              <w:spacing w:after="0"/>
              <w:rPr>
                <w:sz w:val="20"/>
                <w:szCs w:val="20"/>
                <w:color w:val="auto"/>
              </w:rPr>
            </w:pPr>
            <w:r>
              <w:rPr>
                <w:rFonts w:ascii="Arial" w:cs="Arial" w:eastAsia="Arial" w:hAnsi="Arial"/>
                <w:sz w:val="13"/>
                <w:szCs w:val="13"/>
                <w:b w:val="1"/>
                <w:bCs w:val="1"/>
                <w:color w:val="auto"/>
                <w:w w:val="88"/>
              </w:rPr>
              <w:t>Place of</w:t>
            </w:r>
          </w:p>
        </w:tc>
        <w:tc>
          <w:tcPr>
            <w:tcW w:w="1120" w:type="dxa"/>
            <w:vAlign w:val="bottom"/>
            <w:tcBorders>
              <w:right w:val="single" w:sz="8" w:color="auto"/>
            </w:tcBorders>
            <w:shd w:val="clear" w:color="auto" w:fill="E6E6E6"/>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440" w:type="dxa"/>
            <w:vAlign w:val="bottom"/>
            <w:tcBorders>
              <w:left w:val="single" w:sz="8" w:color="auto"/>
              <w:bottom w:val="single" w:sz="8" w:color="E6E6E6"/>
              <w:right w:val="single" w:sz="8" w:color="auto"/>
            </w:tcBorders>
            <w:shd w:val="clear" w:color="auto" w:fill="E6E6E6"/>
          </w:tcPr>
          <w:p>
            <w:pPr>
              <w:ind w:left="740"/>
              <w:spacing w:after="0"/>
              <w:rPr>
                <w:sz w:val="20"/>
                <w:szCs w:val="20"/>
                <w:color w:val="auto"/>
              </w:rPr>
            </w:pPr>
            <w:r>
              <w:rPr>
                <w:rFonts w:ascii="Arial" w:cs="Arial" w:eastAsia="Arial" w:hAnsi="Arial"/>
                <w:sz w:val="13"/>
                <w:szCs w:val="13"/>
                <w:b w:val="1"/>
                <w:bCs w:val="1"/>
                <w:color w:val="auto"/>
              </w:rPr>
              <w:t>Subsidiary Name</w:t>
            </w:r>
          </w:p>
        </w:tc>
        <w:tc>
          <w:tcPr>
            <w:tcW w:w="1620" w:type="dxa"/>
            <w:vAlign w:val="bottom"/>
            <w:tcBorders>
              <w:bottom w:val="single" w:sz="8" w:color="E6E6E6"/>
              <w:right w:val="single" w:sz="8" w:color="auto"/>
            </w:tcBorders>
            <w:shd w:val="clear" w:color="auto" w:fill="E6E6E6"/>
          </w:tcPr>
          <w:p>
            <w:pPr>
              <w:ind w:left="240"/>
              <w:spacing w:after="0"/>
              <w:rPr>
                <w:sz w:val="20"/>
                <w:szCs w:val="20"/>
                <w:color w:val="auto"/>
              </w:rPr>
            </w:pPr>
            <w:r>
              <w:rPr>
                <w:rFonts w:ascii="Arial" w:cs="Arial" w:eastAsia="Arial" w:hAnsi="Arial"/>
                <w:sz w:val="13"/>
                <w:szCs w:val="13"/>
                <w:b w:val="1"/>
                <w:bCs w:val="1"/>
                <w:color w:val="auto"/>
              </w:rPr>
              <w:t>Authorized Capital</w:t>
            </w:r>
          </w:p>
        </w:tc>
        <w:tc>
          <w:tcPr>
            <w:tcW w:w="1600" w:type="dxa"/>
            <w:vAlign w:val="bottom"/>
            <w:tcBorders>
              <w:bottom w:val="single" w:sz="8" w:color="E6E6E6"/>
              <w:right w:val="single" w:sz="8" w:color="auto"/>
            </w:tcBorders>
            <w:shd w:val="clear" w:color="auto" w:fill="E6E6E6"/>
          </w:tcPr>
          <w:p>
            <w:pPr>
              <w:jc w:val="center"/>
              <w:spacing w:after="0"/>
              <w:rPr>
                <w:sz w:val="20"/>
                <w:szCs w:val="20"/>
                <w:color w:val="auto"/>
              </w:rPr>
            </w:pPr>
            <w:r>
              <w:rPr>
                <w:rFonts w:ascii="Arial" w:cs="Arial" w:eastAsia="Arial" w:hAnsi="Arial"/>
                <w:sz w:val="13"/>
                <w:szCs w:val="13"/>
                <w:b w:val="1"/>
                <w:bCs w:val="1"/>
                <w:color w:val="auto"/>
                <w:w w:val="94"/>
              </w:rPr>
              <w:t>Formation</w:t>
            </w:r>
          </w:p>
        </w:tc>
        <w:tc>
          <w:tcPr>
            <w:tcW w:w="1360" w:type="dxa"/>
            <w:vAlign w:val="bottom"/>
            <w:tcBorders>
              <w:bottom w:val="single" w:sz="8" w:color="E6E6E6"/>
              <w:right w:val="single" w:sz="8" w:color="auto"/>
            </w:tcBorders>
            <w:shd w:val="clear" w:color="auto" w:fill="E6E6E6"/>
          </w:tcPr>
          <w:p>
            <w:pPr>
              <w:ind w:left="380"/>
              <w:spacing w:after="0"/>
              <w:rPr>
                <w:sz w:val="20"/>
                <w:szCs w:val="20"/>
                <w:color w:val="auto"/>
              </w:rPr>
            </w:pPr>
            <w:r>
              <w:rPr>
                <w:rFonts w:ascii="Arial" w:cs="Arial" w:eastAsia="Arial" w:hAnsi="Arial"/>
                <w:sz w:val="13"/>
                <w:szCs w:val="13"/>
                <w:b w:val="1"/>
                <w:bCs w:val="1"/>
                <w:color w:val="auto"/>
              </w:rPr>
              <w:t>Owned By</w:t>
            </w:r>
          </w:p>
        </w:tc>
        <w:tc>
          <w:tcPr>
            <w:tcW w:w="1840" w:type="dxa"/>
            <w:vAlign w:val="bottom"/>
            <w:tcBorders>
              <w:bottom w:val="single" w:sz="8" w:color="E6E6E6"/>
              <w:right w:val="single" w:sz="8" w:color="auto"/>
            </w:tcBorders>
            <w:shd w:val="clear" w:color="auto" w:fill="E6E6E6"/>
          </w:tcPr>
          <w:p>
            <w:pPr>
              <w:jc w:val="center"/>
              <w:spacing w:after="0"/>
              <w:rPr>
                <w:sz w:val="20"/>
                <w:szCs w:val="20"/>
                <w:color w:val="auto"/>
              </w:rPr>
            </w:pPr>
            <w:r>
              <w:rPr>
                <w:rFonts w:ascii="Arial" w:cs="Arial" w:eastAsia="Arial" w:hAnsi="Arial"/>
                <w:sz w:val="13"/>
                <w:szCs w:val="13"/>
                <w:b w:val="1"/>
                <w:bCs w:val="1"/>
                <w:color w:val="auto"/>
                <w:w w:val="92"/>
              </w:rPr>
              <w:t>Interests</w:t>
            </w:r>
          </w:p>
        </w:tc>
        <w:tc>
          <w:tcPr>
            <w:tcW w:w="1500" w:type="dxa"/>
            <w:vAlign w:val="bottom"/>
            <w:tcBorders>
              <w:bottom w:val="single" w:sz="8" w:color="E6E6E6"/>
              <w:right w:val="single" w:sz="8" w:color="auto"/>
            </w:tcBorders>
            <w:shd w:val="clear" w:color="auto" w:fill="E6E6E6"/>
          </w:tcPr>
          <w:p>
            <w:pPr>
              <w:jc w:val="center"/>
              <w:spacing w:after="0"/>
              <w:rPr>
                <w:sz w:val="20"/>
                <w:szCs w:val="20"/>
                <w:color w:val="auto"/>
              </w:rPr>
            </w:pPr>
            <w:r>
              <w:rPr>
                <w:rFonts w:ascii="Arial" w:cs="Arial" w:eastAsia="Arial" w:hAnsi="Arial"/>
                <w:sz w:val="13"/>
                <w:szCs w:val="13"/>
                <w:b w:val="1"/>
                <w:bCs w:val="1"/>
                <w:color w:val="auto"/>
                <w:w w:val="82"/>
              </w:rPr>
              <w:t>Business</w:t>
            </w:r>
          </w:p>
        </w:tc>
        <w:tc>
          <w:tcPr>
            <w:tcW w:w="1120" w:type="dxa"/>
            <w:vAlign w:val="bottom"/>
            <w:tcBorders>
              <w:bottom w:val="single" w:sz="8" w:color="E6E6E6"/>
              <w:right w:val="single" w:sz="8" w:color="auto"/>
            </w:tcBorders>
            <w:shd w:val="clear" w:color="auto" w:fill="E6E6E6"/>
          </w:tcPr>
          <w:p>
            <w:pPr>
              <w:ind w:left="380"/>
              <w:spacing w:after="0"/>
              <w:rPr>
                <w:sz w:val="20"/>
                <w:szCs w:val="20"/>
                <w:color w:val="auto"/>
              </w:rPr>
            </w:pPr>
            <w:r>
              <w:rPr>
                <w:rFonts w:ascii="Arial" w:cs="Arial" w:eastAsia="Arial" w:hAnsi="Arial"/>
                <w:sz w:val="13"/>
                <w:szCs w:val="13"/>
                <w:b w:val="1"/>
                <w:bCs w:val="1"/>
                <w:color w:val="auto"/>
              </w:rPr>
              <w:t>(Y/N)</w:t>
            </w:r>
          </w:p>
        </w:tc>
        <w:tc>
          <w:tcPr>
            <w:tcW w:w="0" w:type="dxa"/>
            <w:vAlign w:val="bottom"/>
          </w:tcPr>
          <w:p>
            <w:pPr>
              <w:spacing w:after="0"/>
              <w:rPr>
                <w:sz w:val="1"/>
                <w:szCs w:val="1"/>
                <w:color w:val="auto"/>
              </w:rPr>
            </w:pPr>
          </w:p>
        </w:tc>
      </w:tr>
      <w:tr>
        <w:trPr>
          <w:trHeight w:val="20"/>
        </w:trPr>
        <w:tc>
          <w:tcPr>
            <w:tcW w:w="2440" w:type="dxa"/>
            <w:vAlign w:val="bottom"/>
            <w:tcBorders>
              <w:top w:val="single" w:sz="8" w:color="auto"/>
              <w:left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Matrix North American</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w w:val="93"/>
              </w:rPr>
              <w:t>500 shares of common stock</w:t>
            </w:r>
          </w:p>
        </w:tc>
        <w:tc>
          <w:tcPr>
            <w:tcW w:w="16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Oklahoma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Matrix Service</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100%</w:t>
            </w:r>
          </w:p>
        </w:tc>
        <w:tc>
          <w:tcPr>
            <w:tcW w:w="15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5100 East</w:t>
            </w:r>
          </w:p>
        </w:tc>
        <w:tc>
          <w:tcPr>
            <w:tcW w:w="11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Y</w:t>
            </w: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Construction, Inc.</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 $1.00 par value</w:t>
            </w: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Company</w:t>
            </w: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500 shares of common stock</w:t>
            </w:r>
          </w:p>
        </w:tc>
        <w:tc>
          <w:tcPr>
            <w:tcW w:w="15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Skelly Dr.,</w:t>
            </w: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vMerge w:val="continue"/>
          </w:tcPr>
          <w:p>
            <w:pPr>
              <w:spacing w:after="0"/>
              <w:rPr>
                <w:sz w:val="14"/>
                <w:szCs w:val="14"/>
                <w:color w:val="auto"/>
              </w:rPr>
            </w:pPr>
          </w:p>
        </w:tc>
        <w:tc>
          <w:tcPr>
            <w:tcW w:w="15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Suite 100</w:t>
            </w: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Tulsa, OK</w:t>
            </w: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74135</w:t>
            </w: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Matrix Service Inc.</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5,000 shares of common</w:t>
            </w:r>
          </w:p>
        </w:tc>
        <w:tc>
          <w:tcPr>
            <w:tcW w:w="16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Oklahoma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Matrix Service</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100%</w:t>
            </w:r>
          </w:p>
        </w:tc>
        <w:tc>
          <w:tcPr>
            <w:tcW w:w="15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5100 East</w:t>
            </w:r>
          </w:p>
        </w:tc>
        <w:tc>
          <w:tcPr>
            <w:tcW w:w="11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Y</w:t>
            </w: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stock @ $1.00 par value</w:t>
            </w: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Company</w:t>
            </w: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500 shares of common stock</w:t>
            </w:r>
          </w:p>
        </w:tc>
        <w:tc>
          <w:tcPr>
            <w:tcW w:w="15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Skelly Dr.,</w:t>
            </w: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vMerge w:val="continue"/>
          </w:tcPr>
          <w:p>
            <w:pPr>
              <w:spacing w:after="0"/>
              <w:rPr>
                <w:sz w:val="14"/>
                <w:szCs w:val="14"/>
                <w:color w:val="auto"/>
              </w:rPr>
            </w:pPr>
          </w:p>
        </w:tc>
        <w:tc>
          <w:tcPr>
            <w:tcW w:w="15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Suite 100</w:t>
            </w: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Tulsa, OK</w:t>
            </w: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74135</w:t>
            </w: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24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Matrix International</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1 GBP</w:t>
            </w:r>
          </w:p>
        </w:tc>
        <w:tc>
          <w:tcPr>
            <w:tcW w:w="16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United Kingdom</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Matrix Service</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100%</w:t>
            </w:r>
          </w:p>
        </w:tc>
        <w:tc>
          <w:tcPr>
            <w:tcW w:w="15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5100 East</w:t>
            </w:r>
          </w:p>
        </w:tc>
        <w:tc>
          <w:tcPr>
            <w:tcW w:w="11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N</w:t>
            </w: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Holding Company</w:t>
            </w: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Company</w:t>
            </w:r>
          </w:p>
        </w:tc>
        <w:tc>
          <w:tcPr>
            <w:tcW w:w="184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Skelly Dr.,</w:t>
            </w:r>
          </w:p>
        </w:tc>
        <w:tc>
          <w:tcPr>
            <w:tcW w:w="112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8"/>
              </w:rPr>
              <w:t>(Foreign Borrower)</w:t>
            </w: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Limited</w:t>
            </w: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Suite 100</w:t>
            </w: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Tulsa, OK</w:t>
            </w: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74135</w:t>
            </w: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Matrix Applied</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40,000 shares @ ₩ 5,000</w:t>
            </w:r>
          </w:p>
        </w:tc>
        <w:tc>
          <w:tcPr>
            <w:tcW w:w="16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Korea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Matrix</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100%</w:t>
            </w:r>
          </w:p>
        </w:tc>
        <w:tc>
          <w:tcPr>
            <w:tcW w:w="150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8"/>
              </w:rPr>
              <w:t>90, Donyu 2-ro, Paju-eup,</w:t>
            </w:r>
          </w:p>
        </w:tc>
        <w:tc>
          <w:tcPr>
            <w:tcW w:w="11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N</w:t>
            </w: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Technologies, Ltd.</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(Korean won) per share</w:t>
            </w: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International</w:t>
            </w:r>
          </w:p>
        </w:tc>
        <w:tc>
          <w:tcPr>
            <w:tcW w:w="184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7"/>
              </w:rPr>
              <w:t>Pajusi, Kyunggi-do, South</w:t>
            </w: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Holding</w:t>
            </w:r>
          </w:p>
        </w:tc>
        <w:tc>
          <w:tcPr>
            <w:tcW w:w="184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Korea</w:t>
            </w: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Company</w:t>
            </w:r>
          </w:p>
        </w:tc>
        <w:tc>
          <w:tcPr>
            <w:tcW w:w="184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Limited</w:t>
            </w:r>
          </w:p>
        </w:tc>
        <w:tc>
          <w:tcPr>
            <w:tcW w:w="184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Matrix Applied Technologies, Pty.</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50,000 Shares</w:t>
            </w:r>
          </w:p>
        </w:tc>
        <w:tc>
          <w:tcPr>
            <w:tcW w:w="16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Australia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Matrix Applied</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100%</w:t>
            </w:r>
          </w:p>
        </w:tc>
        <w:tc>
          <w:tcPr>
            <w:tcW w:w="15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190 O’Riordan</w:t>
            </w:r>
          </w:p>
        </w:tc>
        <w:tc>
          <w:tcPr>
            <w:tcW w:w="11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N</w:t>
            </w:r>
          </w:p>
        </w:tc>
        <w:tc>
          <w:tcPr>
            <w:tcW w:w="0" w:type="dxa"/>
            <w:vAlign w:val="bottom"/>
          </w:tcPr>
          <w:p>
            <w:pPr>
              <w:spacing w:after="0"/>
              <w:rPr>
                <w:sz w:val="1"/>
                <w:szCs w:val="1"/>
                <w:color w:val="auto"/>
              </w:rPr>
            </w:pPr>
          </w:p>
        </w:tc>
      </w:tr>
      <w:tr>
        <w:trPr>
          <w:trHeight w:val="16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Ltd.</w:t>
            </w: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@AUD $0.10</w:t>
            </w: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Technologies, Ltd.</w:t>
            </w:r>
          </w:p>
        </w:tc>
        <w:tc>
          <w:tcPr>
            <w:tcW w:w="184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St., Suite 5.02</w:t>
            </w:r>
          </w:p>
        </w:tc>
        <w:tc>
          <w:tcPr>
            <w:tcW w:w="112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8"/>
              </w:rPr>
              <w:t>(Foreign Borrower)</w:t>
            </w:r>
          </w:p>
        </w:tc>
        <w:tc>
          <w:tcPr>
            <w:tcW w:w="0" w:type="dxa"/>
            <w:vAlign w:val="bottom"/>
          </w:tcPr>
          <w:p>
            <w:pPr>
              <w:spacing w:after="0"/>
              <w:rPr>
                <w:sz w:val="1"/>
                <w:szCs w:val="1"/>
                <w:color w:val="auto"/>
              </w:rPr>
            </w:pPr>
          </w:p>
        </w:tc>
      </w:tr>
      <w:tr>
        <w:trPr>
          <w:trHeight w:val="154"/>
        </w:trPr>
        <w:tc>
          <w:tcPr>
            <w:tcW w:w="244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vMerge w:val="continue"/>
          </w:tcPr>
          <w:p>
            <w:pPr>
              <w:spacing w:after="0"/>
              <w:rPr>
                <w:sz w:val="13"/>
                <w:szCs w:val="13"/>
                <w:color w:val="auto"/>
              </w:rPr>
            </w:pPr>
          </w:p>
        </w:tc>
        <w:tc>
          <w:tcPr>
            <w:tcW w:w="16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150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w w:val="95"/>
              </w:rPr>
              <w:t>(Australian Dollar) per share</w:t>
            </w: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Mascot,</w:t>
            </w: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Sydney, NSW</w:t>
            </w: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2020 Australia</w:t>
            </w: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24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Matrix Service, Inc., Panama ***</w:t>
            </w:r>
          </w:p>
        </w:tc>
        <w:tc>
          <w:tcPr>
            <w:tcW w:w="16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N/A</w:t>
            </w:r>
          </w:p>
        </w:tc>
        <w:tc>
          <w:tcPr>
            <w:tcW w:w="16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Panama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Matrix Service</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100%</w:t>
            </w:r>
          </w:p>
        </w:tc>
        <w:tc>
          <w:tcPr>
            <w:tcW w:w="15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5100 East</w:t>
            </w:r>
          </w:p>
        </w:tc>
        <w:tc>
          <w:tcPr>
            <w:tcW w:w="11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N</w:t>
            </w: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Company</w:t>
            </w: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less 1 share owned by local</w:t>
            </w:r>
          </w:p>
        </w:tc>
        <w:tc>
          <w:tcPr>
            <w:tcW w:w="15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Skelly Dr.,</w:t>
            </w: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44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16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vMerge w:val="continue"/>
          </w:tcPr>
          <w:p>
            <w:pPr>
              <w:spacing w:after="0"/>
              <w:rPr>
                <w:sz w:val="13"/>
                <w:szCs w:val="13"/>
                <w:color w:val="auto"/>
              </w:rPr>
            </w:pPr>
          </w:p>
        </w:tc>
        <w:tc>
          <w:tcPr>
            <w:tcW w:w="15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Suite 100</w:t>
            </w:r>
          </w:p>
        </w:tc>
        <w:tc>
          <w:tcPr>
            <w:tcW w:w="1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440" w:type="dxa"/>
            <w:vAlign w:val="bottom"/>
            <w:tcBorders>
              <w:left w:val="single" w:sz="8" w:color="auto"/>
              <w:right w:val="single" w:sz="8" w:color="auto"/>
            </w:tcBorders>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citizen on board of directors</w:t>
            </w:r>
          </w:p>
        </w:tc>
        <w:tc>
          <w:tcPr>
            <w:tcW w:w="15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Tulsa, OK</w:t>
            </w:r>
          </w:p>
        </w:tc>
        <w:tc>
          <w:tcPr>
            <w:tcW w:w="1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74135</w:t>
            </w: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1480"/>
          </w:cols>
          <w:pgMar w:left="220" w:top="496" w:right="199" w:bottom="1440" w:gutter="0" w:footer="0" w:header="0"/>
        </w:sectPr>
      </w:pPr>
    </w:p>
    <w:bookmarkStart w:id="173" w:name="page174"/>
    <w:bookmarkEnd w:id="173"/>
    <w:p>
      <w:pPr>
        <w:spacing w:after="0"/>
        <w:rPr>
          <w:sz w:val="20"/>
          <w:szCs w:val="20"/>
          <w:color w:val="auto"/>
        </w:rPr>
      </w:pPr>
      <w:r>
        <w:rPr>
          <w:rFonts w:ascii="Arial" w:cs="Arial" w:eastAsia="Arial" w:hAnsi="Arial"/>
          <w:sz w:val="12"/>
          <w:szCs w:val="12"/>
          <w:color w:val="FFFFFF"/>
        </w:rPr>
        <w:t>HOU:3759789.1</w:t>
      </w:r>
    </w:p>
    <w:p>
      <w:pPr>
        <w:spacing w:after="0" w:line="200" w:lineRule="exact"/>
        <w:rPr>
          <w:sz w:val="20"/>
          <w:szCs w:val="20"/>
          <w:color w:val="auto"/>
        </w:rPr>
      </w:pPr>
    </w:p>
    <w:p>
      <w:pPr>
        <w:spacing w:after="0" w:line="253"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San Luis Tank S.A. de C.V. ***</w:t>
            </w:r>
          </w:p>
        </w:tc>
        <w:tc>
          <w:tcPr>
            <w:tcW w:w="16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N/A</w:t>
            </w:r>
          </w:p>
        </w:tc>
        <w:tc>
          <w:tcPr>
            <w:tcW w:w="160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Mexico</w:t>
            </w:r>
          </w:p>
        </w:tc>
        <w:tc>
          <w:tcPr>
            <w:tcW w:w="13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Matrix Service</w:t>
            </w:r>
          </w:p>
        </w:tc>
        <w:tc>
          <w:tcPr>
            <w:tcW w:w="18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100%</w:t>
            </w:r>
          </w:p>
        </w:tc>
        <w:tc>
          <w:tcPr>
            <w:tcW w:w="150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5100 East</w:t>
            </w:r>
          </w:p>
        </w:tc>
        <w:tc>
          <w:tcPr>
            <w:tcW w:w="11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N</w:t>
            </w: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Company</w:t>
            </w: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less 1 share owned by local</w:t>
            </w:r>
          </w:p>
        </w:tc>
        <w:tc>
          <w:tcPr>
            <w:tcW w:w="15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Skelly Dr.,</w:t>
            </w: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44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16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vMerge w:val="continue"/>
          </w:tcPr>
          <w:p>
            <w:pPr>
              <w:spacing w:after="0"/>
              <w:rPr>
                <w:sz w:val="13"/>
                <w:szCs w:val="13"/>
                <w:color w:val="auto"/>
              </w:rPr>
            </w:pPr>
          </w:p>
        </w:tc>
        <w:tc>
          <w:tcPr>
            <w:tcW w:w="15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Suite 100</w:t>
            </w:r>
          </w:p>
        </w:tc>
        <w:tc>
          <w:tcPr>
            <w:tcW w:w="1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440" w:type="dxa"/>
            <w:vAlign w:val="bottom"/>
            <w:tcBorders>
              <w:left w:val="single" w:sz="8" w:color="auto"/>
              <w:right w:val="single" w:sz="8" w:color="auto"/>
            </w:tcBorders>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citizen on board of directors</w:t>
            </w:r>
          </w:p>
        </w:tc>
        <w:tc>
          <w:tcPr>
            <w:tcW w:w="15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Tulsa, OK</w:t>
            </w:r>
          </w:p>
        </w:tc>
        <w:tc>
          <w:tcPr>
            <w:tcW w:w="1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74135</w:t>
            </w: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Matrix SME Canada,</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50,000 shares of common</w:t>
            </w:r>
          </w:p>
        </w:tc>
        <w:tc>
          <w:tcPr>
            <w:tcW w:w="16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Delaware</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Matrix North</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100%</w:t>
            </w:r>
          </w:p>
        </w:tc>
        <w:tc>
          <w:tcPr>
            <w:tcW w:w="15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1500 Chester Pike</w:t>
            </w:r>
          </w:p>
        </w:tc>
        <w:tc>
          <w:tcPr>
            <w:tcW w:w="11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N</w:t>
            </w: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Inc.</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stock @ $0.01 par value</w:t>
            </w: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w w:val="96"/>
              </w:rPr>
              <w:t>American Construction,</w:t>
            </w: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1,000 shares of common stock</w:t>
            </w:r>
          </w:p>
        </w:tc>
        <w:tc>
          <w:tcPr>
            <w:tcW w:w="150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440" w:type="dxa"/>
            <w:vAlign w:val="bottom"/>
            <w:tcBorders>
              <w:left w:val="single" w:sz="8" w:color="auto"/>
              <w:right w:val="single" w:sz="8" w:color="auto"/>
            </w:tcBorders>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Inc.</w:t>
            </w:r>
          </w:p>
        </w:tc>
        <w:tc>
          <w:tcPr>
            <w:tcW w:w="1840" w:type="dxa"/>
            <w:vAlign w:val="bottom"/>
            <w:tcBorders>
              <w:right w:val="single" w:sz="8" w:color="auto"/>
            </w:tcBorders>
            <w:vMerge w:val="continue"/>
          </w:tcPr>
          <w:p>
            <w:pPr>
              <w:spacing w:after="0"/>
              <w:rPr>
                <w:sz w:val="15"/>
                <w:szCs w:val="15"/>
                <w:color w:val="auto"/>
              </w:rPr>
            </w:pPr>
          </w:p>
        </w:tc>
        <w:tc>
          <w:tcPr>
            <w:tcW w:w="15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Eddystone, PA</w:t>
            </w:r>
          </w:p>
        </w:tc>
        <w:tc>
          <w:tcPr>
            <w:tcW w:w="1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19022</w:t>
            </w: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Matrix SME Canada</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w w:val="99"/>
              </w:rPr>
              <w:t>100,000 shares of common</w:t>
            </w:r>
          </w:p>
        </w:tc>
        <w:tc>
          <w:tcPr>
            <w:tcW w:w="16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Nova Scotia, Canada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Matrix SME Canada,</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100%</w:t>
            </w:r>
          </w:p>
        </w:tc>
        <w:tc>
          <w:tcPr>
            <w:tcW w:w="15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250 Industrial</w:t>
            </w:r>
          </w:p>
        </w:tc>
        <w:tc>
          <w:tcPr>
            <w:tcW w:w="11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N</w:t>
            </w: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ULC</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stock @ no par value</w:t>
            </w: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Inc.</w:t>
            </w: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100 shares of</w:t>
            </w:r>
          </w:p>
        </w:tc>
        <w:tc>
          <w:tcPr>
            <w:tcW w:w="15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Dr. Saint John,</w:t>
            </w:r>
          </w:p>
        </w:tc>
        <w:tc>
          <w:tcPr>
            <w:tcW w:w="112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8"/>
              </w:rPr>
              <w:t>(Foreign Borrower)</w:t>
            </w:r>
          </w:p>
        </w:tc>
        <w:tc>
          <w:tcPr>
            <w:tcW w:w="0" w:type="dxa"/>
            <w:vAlign w:val="bottom"/>
          </w:tcPr>
          <w:p>
            <w:pPr>
              <w:spacing w:after="0"/>
              <w:rPr>
                <w:sz w:val="1"/>
                <w:szCs w:val="1"/>
                <w:color w:val="auto"/>
              </w:rPr>
            </w:pPr>
          </w:p>
        </w:tc>
      </w:tr>
      <w:tr>
        <w:trPr>
          <w:trHeight w:val="154"/>
        </w:trPr>
        <w:tc>
          <w:tcPr>
            <w:tcW w:w="244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16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vMerge w:val="continue"/>
          </w:tcPr>
          <w:p>
            <w:pPr>
              <w:spacing w:after="0"/>
              <w:rPr>
                <w:sz w:val="13"/>
                <w:szCs w:val="13"/>
                <w:color w:val="auto"/>
              </w:rPr>
            </w:pPr>
          </w:p>
        </w:tc>
        <w:tc>
          <w:tcPr>
            <w:tcW w:w="15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NB E2R 1A5</w:t>
            </w:r>
          </w:p>
        </w:tc>
        <w:tc>
          <w:tcPr>
            <w:tcW w:w="1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Common Stock</w:t>
            </w:r>
          </w:p>
        </w:tc>
        <w:tc>
          <w:tcPr>
            <w:tcW w:w="150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4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Matrix North</w:t>
            </w:r>
          </w:p>
        </w:tc>
        <w:tc>
          <w:tcPr>
            <w:tcW w:w="16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rPr>
              <w:t>2,200,001</w:t>
            </w:r>
          </w:p>
        </w:tc>
        <w:tc>
          <w:tcPr>
            <w:tcW w:w="160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rPr>
              <w:t>Ontario</w:t>
            </w:r>
          </w:p>
        </w:tc>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rPr>
              <w:t>Matrix North</w:t>
            </w:r>
          </w:p>
        </w:tc>
        <w:tc>
          <w:tcPr>
            <w:tcW w:w="184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100%</w:t>
            </w:r>
          </w:p>
        </w:tc>
        <w:tc>
          <w:tcPr>
            <w:tcW w:w="150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rPr>
              <w:t>3196 Mainway</w:t>
            </w:r>
          </w:p>
        </w:tc>
        <w:tc>
          <w:tcPr>
            <w:tcW w:w="112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N</w:t>
            </w: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American</w:t>
            </w: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rPr>
              <w:t>American</w:t>
            </w:r>
          </w:p>
        </w:tc>
        <w:tc>
          <w:tcPr>
            <w:tcW w:w="18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3"/>
                <w:szCs w:val="13"/>
                <w:color w:val="auto"/>
              </w:rPr>
              <w:t>2,200,001 shares of</w:t>
            </w:r>
          </w:p>
        </w:tc>
        <w:tc>
          <w:tcPr>
            <w:tcW w:w="15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3"/>
                <w:szCs w:val="13"/>
                <w:color w:val="auto"/>
              </w:rPr>
              <w:t>Burlington, Ontario</w:t>
            </w:r>
          </w:p>
        </w:tc>
        <w:tc>
          <w:tcPr>
            <w:tcW w:w="112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(Foreign</w:t>
            </w:r>
          </w:p>
        </w:tc>
        <w:tc>
          <w:tcPr>
            <w:tcW w:w="0" w:type="dxa"/>
            <w:vAlign w:val="bottom"/>
          </w:tcPr>
          <w:p>
            <w:pPr>
              <w:spacing w:after="0"/>
              <w:rPr>
                <w:sz w:val="1"/>
                <w:szCs w:val="1"/>
                <w:color w:val="auto"/>
              </w:rPr>
            </w:pPr>
          </w:p>
        </w:tc>
      </w:tr>
      <w:tr>
        <w:trPr>
          <w:trHeight w:val="154"/>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Construction Ltd.</w:t>
            </w:r>
          </w:p>
        </w:tc>
        <w:tc>
          <w:tcPr>
            <w:tcW w:w="1620" w:type="dxa"/>
            <w:vAlign w:val="bottom"/>
            <w:tcBorders>
              <w:right w:val="single" w:sz="8" w:color="auto"/>
            </w:tcBorders>
          </w:tcPr>
          <w:p>
            <w:pPr>
              <w:spacing w:after="0"/>
              <w:rPr>
                <w:sz w:val="13"/>
                <w:szCs w:val="13"/>
                <w:color w:val="auto"/>
              </w:rPr>
            </w:pPr>
          </w:p>
        </w:tc>
        <w:tc>
          <w:tcPr>
            <w:tcW w:w="16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rPr>
              <w:t>Construction, Inc.</w:t>
            </w:r>
          </w:p>
        </w:tc>
        <w:tc>
          <w:tcPr>
            <w:tcW w:w="1840" w:type="dxa"/>
            <w:vAlign w:val="bottom"/>
            <w:tcBorders>
              <w:right w:val="single" w:sz="8" w:color="auto"/>
            </w:tcBorders>
            <w:vMerge w:val="continue"/>
          </w:tcPr>
          <w:p>
            <w:pPr>
              <w:spacing w:after="0"/>
              <w:rPr>
                <w:sz w:val="13"/>
                <w:szCs w:val="13"/>
                <w:color w:val="auto"/>
              </w:rPr>
            </w:pPr>
          </w:p>
        </w:tc>
        <w:tc>
          <w:tcPr>
            <w:tcW w:w="1500" w:type="dxa"/>
            <w:vAlign w:val="bottom"/>
            <w:tcBorders>
              <w:right w:val="single" w:sz="8" w:color="auto"/>
            </w:tcBorders>
            <w:vMerge w:val="continue"/>
          </w:tcPr>
          <w:p>
            <w:pPr>
              <w:spacing w:after="0"/>
              <w:rPr>
                <w:sz w:val="13"/>
                <w:szCs w:val="13"/>
                <w:color w:val="auto"/>
              </w:rPr>
            </w:pPr>
          </w:p>
        </w:tc>
        <w:tc>
          <w:tcPr>
            <w:tcW w:w="112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Borrower)</w:t>
            </w:r>
          </w:p>
        </w:tc>
        <w:tc>
          <w:tcPr>
            <w:tcW w:w="0" w:type="dxa"/>
            <w:vAlign w:val="bottom"/>
          </w:tcPr>
          <w:p>
            <w:pPr>
              <w:spacing w:after="0"/>
              <w:rPr>
                <w:sz w:val="1"/>
                <w:szCs w:val="1"/>
                <w:color w:val="auto"/>
              </w:rPr>
            </w:pPr>
          </w:p>
        </w:tc>
      </w:tr>
      <w:tr>
        <w:trPr>
          <w:trHeight w:val="166"/>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Common Stock</w:t>
            </w:r>
          </w:p>
        </w:tc>
        <w:tc>
          <w:tcPr>
            <w:tcW w:w="150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440" w:type="dxa"/>
            <w:vAlign w:val="bottom"/>
            <w:tcBorders>
              <w:left w:val="single" w:sz="8" w:color="auto"/>
              <w:right w:val="single" w:sz="8" w:color="auto"/>
            </w:tcBorders>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rPr>
              <w:t>L7M 1A5</w:t>
            </w:r>
          </w:p>
        </w:tc>
        <w:tc>
          <w:tcPr>
            <w:tcW w:w="1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4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Matrix Applied</w:t>
            </w:r>
          </w:p>
        </w:tc>
        <w:tc>
          <w:tcPr>
            <w:tcW w:w="16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rPr>
              <w:t>500 shares of common</w:t>
            </w:r>
          </w:p>
        </w:tc>
        <w:tc>
          <w:tcPr>
            <w:tcW w:w="160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rPr>
              <w:t>Delaware</w:t>
            </w:r>
          </w:p>
        </w:tc>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rPr>
              <w:t>Matrix Service</w:t>
            </w:r>
          </w:p>
        </w:tc>
        <w:tc>
          <w:tcPr>
            <w:tcW w:w="184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100%</w:t>
            </w:r>
          </w:p>
        </w:tc>
        <w:tc>
          <w:tcPr>
            <w:tcW w:w="150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rPr>
              <w:t>5100 East</w:t>
            </w:r>
          </w:p>
        </w:tc>
        <w:tc>
          <w:tcPr>
            <w:tcW w:w="112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N</w:t>
            </w: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Technologies, Inc.</w:t>
            </w:r>
          </w:p>
        </w:tc>
        <w:tc>
          <w:tcPr>
            <w:tcW w:w="16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rPr>
              <w:t>stock @ $0.01 par value</w:t>
            </w: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rPr>
              <w:t>Company</w:t>
            </w:r>
          </w:p>
        </w:tc>
        <w:tc>
          <w:tcPr>
            <w:tcW w:w="184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rPr>
              <w:t>Skelly Dr.,</w:t>
            </w: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rPr>
              <w:t>Suite 100</w:t>
            </w: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3"/>
                <w:szCs w:val="13"/>
                <w:color w:val="auto"/>
                <w:w w:val="99"/>
              </w:rPr>
              <w:t>500 shares of common stock</w:t>
            </w:r>
          </w:p>
        </w:tc>
        <w:tc>
          <w:tcPr>
            <w:tcW w:w="150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rPr>
              <w:t>Tulsa, OK</w:t>
            </w: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vMerge w:val="continue"/>
          </w:tcPr>
          <w:p>
            <w:pPr>
              <w:spacing w:after="0"/>
              <w:rPr>
                <w:sz w:val="14"/>
                <w:szCs w:val="14"/>
                <w:color w:val="auto"/>
              </w:rPr>
            </w:pPr>
          </w:p>
        </w:tc>
        <w:tc>
          <w:tcPr>
            <w:tcW w:w="150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rPr>
              <w:t>74135</w:t>
            </w: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4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Matrix Service</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62,000 Shares</w:t>
            </w:r>
          </w:p>
        </w:tc>
        <w:tc>
          <w:tcPr>
            <w:tcW w:w="16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Pennsylvania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Matrix North</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100%</w:t>
            </w:r>
          </w:p>
        </w:tc>
        <w:tc>
          <w:tcPr>
            <w:tcW w:w="15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1500 Chester Pike</w:t>
            </w:r>
          </w:p>
        </w:tc>
        <w:tc>
          <w:tcPr>
            <w:tcW w:w="11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N</w:t>
            </w: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Specialized Transport, Inc.</w:t>
            </w: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1,000 shares of Class A</w:t>
            </w: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w w:val="96"/>
              </w:rPr>
              <w:t>American Construction,</w:t>
            </w: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100 shares of Class</w:t>
            </w:r>
          </w:p>
        </w:tc>
        <w:tc>
          <w:tcPr>
            <w:tcW w:w="150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44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vMerge w:val="continue"/>
          </w:tcPr>
          <w:p>
            <w:pPr>
              <w:spacing w:after="0"/>
              <w:rPr>
                <w:sz w:val="13"/>
                <w:szCs w:val="13"/>
                <w:color w:val="auto"/>
              </w:rPr>
            </w:pPr>
          </w:p>
        </w:tc>
        <w:tc>
          <w:tcPr>
            <w:tcW w:w="16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Inc.</w:t>
            </w:r>
          </w:p>
        </w:tc>
        <w:tc>
          <w:tcPr>
            <w:tcW w:w="1840" w:type="dxa"/>
            <w:vAlign w:val="bottom"/>
            <w:tcBorders>
              <w:right w:val="single" w:sz="8" w:color="auto"/>
            </w:tcBorders>
            <w:vMerge w:val="continue"/>
          </w:tcPr>
          <w:p>
            <w:pPr>
              <w:spacing w:after="0"/>
              <w:rPr>
                <w:sz w:val="13"/>
                <w:szCs w:val="13"/>
                <w:color w:val="auto"/>
              </w:rPr>
            </w:pPr>
          </w:p>
        </w:tc>
        <w:tc>
          <w:tcPr>
            <w:tcW w:w="15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Eddystone, PA</w:t>
            </w:r>
          </w:p>
        </w:tc>
        <w:tc>
          <w:tcPr>
            <w:tcW w:w="1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common @</w:t>
            </w: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 Common Stock</w:t>
            </w:r>
          </w:p>
        </w:tc>
        <w:tc>
          <w:tcPr>
            <w:tcW w:w="15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19022</w:t>
            </w: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$1.00 par value</w:t>
            </w: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100%</w:t>
            </w:r>
          </w:p>
        </w:tc>
        <w:tc>
          <w:tcPr>
            <w:tcW w:w="150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44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1,000 shares of Class B</w:t>
            </w:r>
          </w:p>
        </w:tc>
        <w:tc>
          <w:tcPr>
            <w:tcW w:w="16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vMerge w:val="continue"/>
          </w:tcPr>
          <w:p>
            <w:pPr>
              <w:spacing w:after="0"/>
              <w:rPr>
                <w:sz w:val="13"/>
                <w:szCs w:val="13"/>
                <w:color w:val="auto"/>
              </w:rPr>
            </w:pPr>
          </w:p>
        </w:tc>
        <w:tc>
          <w:tcPr>
            <w:tcW w:w="150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vMerge w:val="continue"/>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400 shares of Class</w:t>
            </w:r>
          </w:p>
        </w:tc>
        <w:tc>
          <w:tcPr>
            <w:tcW w:w="150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44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common @</w:t>
            </w:r>
          </w:p>
        </w:tc>
        <w:tc>
          <w:tcPr>
            <w:tcW w:w="16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vMerge w:val="continue"/>
          </w:tcPr>
          <w:p>
            <w:pPr>
              <w:spacing w:after="0"/>
              <w:rPr>
                <w:sz w:val="13"/>
                <w:szCs w:val="13"/>
                <w:color w:val="auto"/>
              </w:rPr>
            </w:pPr>
          </w:p>
        </w:tc>
        <w:tc>
          <w:tcPr>
            <w:tcW w:w="150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440" w:type="dxa"/>
            <w:vAlign w:val="bottom"/>
            <w:tcBorders>
              <w:left w:val="single" w:sz="8" w:color="auto"/>
              <w:right w:val="single" w:sz="8" w:color="auto"/>
            </w:tcBorders>
          </w:tcPr>
          <w:p>
            <w:pPr>
              <w:spacing w:after="0"/>
              <w:rPr>
                <w:sz w:val="15"/>
                <w:szCs w:val="15"/>
                <w:color w:val="auto"/>
              </w:rPr>
            </w:pP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$1.00 par value</w:t>
            </w:r>
          </w:p>
        </w:tc>
        <w:tc>
          <w:tcPr>
            <w:tcW w:w="160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B Common Stock</w:t>
            </w:r>
          </w:p>
        </w:tc>
        <w:tc>
          <w:tcPr>
            <w:tcW w:w="150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19"/>
        </w:trPr>
        <w:tc>
          <w:tcPr>
            <w:tcW w:w="2440" w:type="dxa"/>
            <w:vAlign w:val="bottom"/>
            <w:tcBorders>
              <w:left w:val="single" w:sz="8" w:color="auto"/>
              <w:right w:val="single" w:sz="8" w:color="auto"/>
            </w:tcBorders>
          </w:tcPr>
          <w:p>
            <w:pPr>
              <w:spacing w:after="0"/>
              <w:rPr>
                <w:sz w:val="24"/>
                <w:szCs w:val="24"/>
                <w:color w:val="auto"/>
              </w:rPr>
            </w:pP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30,000 shares of Class A</w:t>
            </w:r>
          </w:p>
        </w:tc>
        <w:tc>
          <w:tcPr>
            <w:tcW w:w="160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100%</w:t>
            </w:r>
          </w:p>
        </w:tc>
        <w:tc>
          <w:tcPr>
            <w:tcW w:w="15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Preferred @</w:t>
            </w: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17,500 shares of</w:t>
            </w:r>
          </w:p>
        </w:tc>
        <w:tc>
          <w:tcPr>
            <w:tcW w:w="150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44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ind w:left="20"/>
              <w:spacing w:after="0" w:line="144" w:lineRule="exact"/>
              <w:rPr>
                <w:sz w:val="20"/>
                <w:szCs w:val="20"/>
                <w:color w:val="auto"/>
              </w:rPr>
            </w:pPr>
            <w:r>
              <w:rPr>
                <w:rFonts w:ascii="Arial" w:cs="Arial" w:eastAsia="Arial" w:hAnsi="Arial"/>
                <w:sz w:val="13"/>
                <w:szCs w:val="13"/>
                <w:color w:val="auto"/>
              </w:rPr>
              <w:t>$1.00 par value</w:t>
            </w:r>
          </w:p>
        </w:tc>
        <w:tc>
          <w:tcPr>
            <w:tcW w:w="16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vMerge w:val="continue"/>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Class A Preferred</w:t>
            </w:r>
          </w:p>
        </w:tc>
        <w:tc>
          <w:tcPr>
            <w:tcW w:w="150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440" w:type="dxa"/>
            <w:vAlign w:val="bottom"/>
            <w:tcBorders>
              <w:left w:val="single" w:sz="8" w:color="auto"/>
              <w:right w:val="single" w:sz="8" w:color="auto"/>
            </w:tcBorders>
          </w:tcPr>
          <w:p>
            <w:pPr>
              <w:spacing w:after="0"/>
              <w:rPr>
                <w:sz w:val="15"/>
                <w:szCs w:val="15"/>
                <w:color w:val="auto"/>
              </w:rPr>
            </w:pP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30,000 shares of Class B</w:t>
            </w:r>
          </w:p>
        </w:tc>
        <w:tc>
          <w:tcPr>
            <w:tcW w:w="160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Stock</w:t>
            </w:r>
          </w:p>
        </w:tc>
        <w:tc>
          <w:tcPr>
            <w:tcW w:w="150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Preferred @</w:t>
            </w: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$1.00 par value</w:t>
            </w: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1480"/>
          </w:cols>
          <w:pgMar w:left="220" w:top="1028" w:right="199" w:bottom="1440" w:gutter="0" w:footer="0" w:header="0"/>
        </w:sectPr>
      </w:pPr>
    </w:p>
    <w:bookmarkStart w:id="174" w:name="page175"/>
    <w:bookmarkEnd w:id="174"/>
    <w:tbl>
      <w:tblPr>
        <w:tblLayout w:type="fixed"/>
        <w:tblInd w:w="10" w:type="dxa"/>
        <w:tblCellMar>
          <w:top w:w="0" w:type="dxa"/>
          <w:left w:w="0" w:type="dxa"/>
          <w:bottom w:w="0" w:type="dxa"/>
          <w:right w:w="0" w:type="dxa"/>
        </w:tblCellMar>
      </w:tblPr>
      <w:tr>
        <w:trPr>
          <w:trHeight w:val="40"/>
        </w:trPr>
        <w:tc>
          <w:tcPr>
            <w:tcW w:w="2440" w:type="dxa"/>
            <w:vAlign w:val="bottom"/>
            <w:tcBorders>
              <w:top w:val="single" w:sz="8" w:color="auto"/>
              <w:left w:val="single" w:sz="8" w:color="auto"/>
              <w:bottom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480" w:type="dxa"/>
            <w:vAlign w:val="bottom"/>
            <w:tcBorders>
              <w:top w:val="single" w:sz="8" w:color="auto"/>
              <w:bottom w:val="single" w:sz="8" w:color="auto"/>
            </w:tcBorders>
          </w:tcPr>
          <w:p>
            <w:pPr>
              <w:spacing w:after="0"/>
              <w:rPr>
                <w:sz w:val="3"/>
                <w:szCs w:val="3"/>
                <w:color w:val="auto"/>
              </w:rPr>
            </w:pPr>
          </w:p>
        </w:tc>
        <w:tc>
          <w:tcPr>
            <w:tcW w:w="1140" w:type="dxa"/>
            <w:vAlign w:val="bottom"/>
            <w:tcBorders>
              <w:top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Matrix Service</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Unlimited common and</w:t>
            </w:r>
          </w:p>
        </w:tc>
        <w:tc>
          <w:tcPr>
            <w:tcW w:w="16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Alberta, Canada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Matrix Service Inc.</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100%</w:t>
            </w:r>
          </w:p>
        </w:tc>
        <w:tc>
          <w:tcPr>
            <w:tcW w:w="1480" w:type="dxa"/>
            <w:vAlign w:val="bottom"/>
            <w:tcBorders>
              <w:right w:val="single" w:sz="8" w:color="auto"/>
            </w:tcBorders>
          </w:tcPr>
          <w:p>
            <w:pPr>
              <w:spacing w:after="0" w:line="154" w:lineRule="exact"/>
              <w:rPr>
                <w:sz w:val="20"/>
                <w:szCs w:val="20"/>
                <w:color w:val="auto"/>
              </w:rPr>
            </w:pPr>
            <w:r>
              <w:rPr>
                <w:rFonts w:ascii="Arial" w:cs="Arial" w:eastAsia="Arial" w:hAnsi="Arial"/>
                <w:sz w:val="13"/>
                <w:szCs w:val="13"/>
                <w:color w:val="auto"/>
              </w:rPr>
              <w:t>7067 39</w:t>
            </w:r>
            <w:r>
              <w:rPr>
                <w:rFonts w:ascii="Arial" w:cs="Arial" w:eastAsia="Arial" w:hAnsi="Arial"/>
                <w:sz w:val="17"/>
                <w:szCs w:val="17"/>
                <w:color w:val="auto"/>
                <w:vertAlign w:val="superscript"/>
              </w:rPr>
              <w:t>th</w:t>
            </w:r>
            <w:r>
              <w:rPr>
                <w:rFonts w:ascii="Arial" w:cs="Arial" w:eastAsia="Arial" w:hAnsi="Arial"/>
                <w:sz w:val="13"/>
                <w:szCs w:val="13"/>
                <w:color w:val="auto"/>
              </w:rPr>
              <w:t xml:space="preserve"> Street</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w:t>
            </w: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Canada ULC (f/k/a</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preferred stock</w:t>
            </w: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(OK)</w:t>
            </w: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100 shares of</w:t>
            </w:r>
          </w:p>
        </w:tc>
        <w:tc>
          <w:tcPr>
            <w:tcW w:w="148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w w:val="98"/>
              </w:rPr>
              <w:t>(Foreign Borrower)</w:t>
            </w:r>
          </w:p>
        </w:tc>
        <w:tc>
          <w:tcPr>
            <w:tcW w:w="0" w:type="dxa"/>
            <w:vAlign w:val="bottom"/>
          </w:tcPr>
          <w:p>
            <w:pPr>
              <w:spacing w:after="0"/>
              <w:rPr>
                <w:sz w:val="1"/>
                <w:szCs w:val="1"/>
                <w:color w:val="auto"/>
              </w:rPr>
            </w:pPr>
          </w:p>
        </w:tc>
      </w:tr>
      <w:tr>
        <w:trPr>
          <w:trHeight w:val="154"/>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Matrix Service ULC)</w:t>
            </w:r>
          </w:p>
        </w:tc>
        <w:tc>
          <w:tcPr>
            <w:tcW w:w="1620" w:type="dxa"/>
            <w:vAlign w:val="bottom"/>
            <w:tcBorders>
              <w:right w:val="single" w:sz="8" w:color="auto"/>
            </w:tcBorders>
          </w:tcPr>
          <w:p>
            <w:pPr>
              <w:spacing w:after="0"/>
              <w:rPr>
                <w:sz w:val="13"/>
                <w:szCs w:val="13"/>
                <w:color w:val="auto"/>
              </w:rPr>
            </w:pPr>
          </w:p>
        </w:tc>
        <w:tc>
          <w:tcPr>
            <w:tcW w:w="16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vMerge w:val="continue"/>
          </w:tcPr>
          <w:p>
            <w:pPr>
              <w:spacing w:after="0"/>
              <w:rPr>
                <w:sz w:val="13"/>
                <w:szCs w:val="13"/>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Leduc, AB</w:t>
            </w:r>
          </w:p>
        </w:tc>
        <w:tc>
          <w:tcPr>
            <w:tcW w:w="1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Common Stock</w:t>
            </w:r>
          </w:p>
        </w:tc>
        <w:tc>
          <w:tcPr>
            <w:tcW w:w="148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440" w:type="dxa"/>
            <w:vAlign w:val="bottom"/>
            <w:tcBorders>
              <w:left w:val="single" w:sz="8" w:color="auto"/>
              <w:right w:val="single" w:sz="8" w:color="auto"/>
            </w:tcBorders>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T9E 0B3</w:t>
            </w:r>
          </w:p>
        </w:tc>
        <w:tc>
          <w:tcPr>
            <w:tcW w:w="1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Matrix Service</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N/A</w:t>
            </w:r>
          </w:p>
        </w:tc>
        <w:tc>
          <w:tcPr>
            <w:tcW w:w="16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Delaware</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Matrix Service</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100% of the limited liability</w:t>
            </w: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5100 East</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w:t>
            </w: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International, LLC</w:t>
            </w: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Company</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company interest</w:t>
            </w: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Skelly Dr.,</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Suite 100</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Tulsa, OK</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74135</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Matrix International Holding, LLC</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N/A</w:t>
            </w:r>
          </w:p>
        </w:tc>
        <w:tc>
          <w:tcPr>
            <w:tcW w:w="16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Delaware</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Matrix Service</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100% of the limited liability</w:t>
            </w: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5100 East</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w:t>
            </w: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Company</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company interest</w:t>
            </w: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Skelly Dr.,</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Suite 100</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Tulsa, OK</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74135</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Matrix Service Costa</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10,000,000 colones</w:t>
            </w:r>
          </w:p>
        </w:tc>
        <w:tc>
          <w:tcPr>
            <w:tcW w:w="16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Costa Rica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Matrix Service</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100% - 10,000 colones</w:t>
            </w: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Costa Rica</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w:t>
            </w: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Rica, SRL, a Costa</w:t>
            </w: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International,</w:t>
            </w: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Rican Sociedad de</w:t>
            </w: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LLC</w:t>
            </w: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Responsabilidad</w:t>
            </w: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Limitada</w:t>
            </w: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4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Matrix International Construction, LLC</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N/A</w:t>
            </w:r>
          </w:p>
        </w:tc>
        <w:tc>
          <w:tcPr>
            <w:tcW w:w="16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Oklahoma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Matrix Service</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100% of the limited liability</w:t>
            </w: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5100 East</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w:t>
            </w: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International,</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company interest</w:t>
            </w: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Skelly Dr.,</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LLC</w:t>
            </w: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Suite 100</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Tulsa, OK</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74135</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Matrix PDM</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5,000,000 shares common</w:t>
            </w:r>
          </w:p>
        </w:tc>
        <w:tc>
          <w:tcPr>
            <w:tcW w:w="16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Delaware</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Matrix Service</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100% - 1,000 shares</w:t>
            </w: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5100 East</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Y</w:t>
            </w: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Engineering, Inc.</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stock</w:t>
            </w: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Company</w:t>
            </w: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Skelly Dr.,</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Suite 100</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Tulsa, OK</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74135</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Matrix PDM, LLC</w:t>
            </w:r>
          </w:p>
        </w:tc>
        <w:tc>
          <w:tcPr>
            <w:tcW w:w="16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N/A</w:t>
            </w:r>
          </w:p>
        </w:tc>
        <w:tc>
          <w:tcPr>
            <w:tcW w:w="16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Oklahoma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Matrix PDM</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100%</w:t>
            </w: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5100 East</w:t>
            </w: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N</w:t>
            </w: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Engineering, Inc.</w:t>
            </w: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Skelly Dr.,</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Suite 100</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Tulsa, OK</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74135</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Matrix International Bahamas Ltd.</w:t>
            </w:r>
          </w:p>
        </w:tc>
        <w:tc>
          <w:tcPr>
            <w:tcW w:w="16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N/A</w:t>
            </w:r>
          </w:p>
        </w:tc>
        <w:tc>
          <w:tcPr>
            <w:tcW w:w="16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Bahamas</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Matrix Service</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100%</w:t>
            </w: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5100 East</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w:t>
            </w: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International,</w:t>
            </w: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Skelly Dr.,</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LLC</w:t>
            </w: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Suite 100</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Tulsa, OK</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74135</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480"/>
          </w:cols>
          <w:pgMar w:left="220" w:top="605" w:right="199" w:bottom="1440" w:gutter="0" w:footer="0" w:header="0"/>
        </w:sectPr>
      </w:pPr>
    </w:p>
    <w:bookmarkStart w:id="175" w:name="page176"/>
    <w:bookmarkEnd w:id="175"/>
    <w:tbl>
      <w:tblPr>
        <w:tblLayout w:type="fixed"/>
        <w:tblInd w:w="10" w:type="dxa"/>
        <w:tblCellMar>
          <w:top w:w="0" w:type="dxa"/>
          <w:left w:w="0" w:type="dxa"/>
          <w:bottom w:w="0" w:type="dxa"/>
          <w:right w:w="0" w:type="dxa"/>
        </w:tblCellMar>
      </w:tblPr>
      <w:tr>
        <w:trPr>
          <w:trHeight w:val="40"/>
        </w:trPr>
        <w:tc>
          <w:tcPr>
            <w:tcW w:w="2440" w:type="dxa"/>
            <w:vAlign w:val="bottom"/>
            <w:tcBorders>
              <w:top w:val="single" w:sz="8" w:color="auto"/>
              <w:left w:val="single" w:sz="8" w:color="auto"/>
              <w:bottom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480" w:type="dxa"/>
            <w:vAlign w:val="bottom"/>
            <w:tcBorders>
              <w:top w:val="single" w:sz="8" w:color="auto"/>
              <w:bottom w:val="single" w:sz="8" w:color="auto"/>
            </w:tcBorders>
          </w:tcPr>
          <w:p>
            <w:pPr>
              <w:spacing w:after="0"/>
              <w:rPr>
                <w:sz w:val="3"/>
                <w:szCs w:val="3"/>
                <w:color w:val="auto"/>
              </w:rPr>
            </w:pPr>
          </w:p>
        </w:tc>
        <w:tc>
          <w:tcPr>
            <w:tcW w:w="1140" w:type="dxa"/>
            <w:vAlign w:val="bottom"/>
            <w:tcBorders>
              <w:top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Mobile Aquatic Solutions, Inc.</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500 shares of</w:t>
            </w:r>
          </w:p>
        </w:tc>
        <w:tc>
          <w:tcPr>
            <w:tcW w:w="16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Oklahoma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Matrix Service Inc.</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100%</w:t>
            </w: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5100 East</w:t>
            </w: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N</w:t>
            </w: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Common</w:t>
            </w: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Skelly Dr.,</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Stock, $0.01 / share par</w:t>
            </w: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Suite 100</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value</w:t>
            </w: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Tulsa, OK</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74135</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MSE International Puerto Rico, LLP</w:t>
            </w:r>
          </w:p>
        </w:tc>
        <w:tc>
          <w:tcPr>
            <w:tcW w:w="16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N/A</w:t>
            </w:r>
          </w:p>
        </w:tc>
        <w:tc>
          <w:tcPr>
            <w:tcW w:w="16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Puerto Rico</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Matrix</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99% - Class A</w:t>
            </w: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5100 East</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w:t>
            </w: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International</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Partnership</w:t>
            </w: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Skelly Dr.,</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Engineering,</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Participation Units</w:t>
            </w: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Suite 100</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LLP</w:t>
            </w: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Tulsa, OK</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Kenneth</w:t>
            </w: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0.5% - Class B</w:t>
            </w: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74135</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vMerge w:val="continue"/>
          </w:tcPr>
          <w:p>
            <w:pPr>
              <w:spacing w:after="0"/>
              <w:rPr>
                <w:sz w:val="14"/>
                <w:szCs w:val="14"/>
                <w:color w:val="auto"/>
              </w:rPr>
            </w:pPr>
          </w:p>
        </w:tc>
        <w:tc>
          <w:tcPr>
            <w:tcW w:w="1840" w:type="dxa"/>
            <w:vAlign w:val="bottom"/>
            <w:tcBorders>
              <w:right w:val="single" w:sz="8" w:color="auto"/>
            </w:tcBorders>
            <w:vMerge w:val="continue"/>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Erdmann</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Partnership</w:t>
            </w:r>
          </w:p>
        </w:tc>
        <w:tc>
          <w:tcPr>
            <w:tcW w:w="148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Participation Units</w:t>
            </w:r>
          </w:p>
        </w:tc>
        <w:tc>
          <w:tcPr>
            <w:tcW w:w="148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5"/>
        </w:trPr>
        <w:tc>
          <w:tcPr>
            <w:tcW w:w="2440" w:type="dxa"/>
            <w:vAlign w:val="bottom"/>
            <w:tcBorders>
              <w:left w:val="single" w:sz="8" w:color="auto"/>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Joseph Hoptay</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0.5% Class B</w:t>
            </w:r>
          </w:p>
        </w:tc>
        <w:tc>
          <w:tcPr>
            <w:tcW w:w="148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Partnership</w:t>
            </w:r>
          </w:p>
        </w:tc>
        <w:tc>
          <w:tcPr>
            <w:tcW w:w="148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Participation Units</w:t>
            </w:r>
          </w:p>
        </w:tc>
        <w:tc>
          <w:tcPr>
            <w:tcW w:w="148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4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Matrix Construction,</w:t>
            </w:r>
          </w:p>
        </w:tc>
        <w:tc>
          <w:tcPr>
            <w:tcW w:w="16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N/A</w:t>
            </w:r>
          </w:p>
        </w:tc>
        <w:tc>
          <w:tcPr>
            <w:tcW w:w="16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Panama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Matrix</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50%</w:t>
            </w: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5100 East</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w:t>
            </w: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SRL</w:t>
            </w: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International</w:t>
            </w: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Skelly Dr.,</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Holding, LLC</w:t>
            </w: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Suite 100</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Matrix Service</w:t>
            </w: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Tulsa, OK</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44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16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continue"/>
          </w:tcPr>
          <w:p>
            <w:pPr>
              <w:spacing w:after="0"/>
              <w:rPr>
                <w:sz w:val="13"/>
                <w:szCs w:val="13"/>
                <w:color w:val="auto"/>
              </w:rPr>
            </w:pP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50%</w:t>
            </w: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74135</w:t>
            </w:r>
          </w:p>
        </w:tc>
        <w:tc>
          <w:tcPr>
            <w:tcW w:w="1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International,</w:t>
            </w:r>
          </w:p>
        </w:tc>
        <w:tc>
          <w:tcPr>
            <w:tcW w:w="1840" w:type="dxa"/>
            <w:vAlign w:val="bottom"/>
            <w:tcBorders>
              <w:right w:val="single" w:sz="8" w:color="auto"/>
            </w:tcBorders>
            <w:vMerge w:val="continue"/>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LLC</w:t>
            </w: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Matrix International Engineering, LLP</w:t>
            </w:r>
          </w:p>
        </w:tc>
        <w:tc>
          <w:tcPr>
            <w:tcW w:w="16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N/A</w:t>
            </w:r>
          </w:p>
        </w:tc>
        <w:tc>
          <w:tcPr>
            <w:tcW w:w="16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Delaware</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Matrix Service</w:t>
            </w:r>
          </w:p>
        </w:tc>
        <w:tc>
          <w:tcPr>
            <w:tcW w:w="184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99%</w:t>
            </w: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5100 East</w:t>
            </w: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N</w:t>
            </w: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International, LLC</w:t>
            </w: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Skelly Dr.,</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Suite 100</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Matrix PDM</w:t>
            </w: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Tulsa, OK</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440" w:type="dxa"/>
            <w:vAlign w:val="bottom"/>
            <w:tcBorders>
              <w:left w:val="single" w:sz="8" w:color="auto"/>
              <w:right w:val="single" w:sz="8" w:color="auto"/>
            </w:tcBorders>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Engineering, Inc.</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1%</w:t>
            </w: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74135</w:t>
            </w:r>
          </w:p>
        </w:tc>
        <w:tc>
          <w:tcPr>
            <w:tcW w:w="1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4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Matrix Construction Puerto Rico, LLC</w:t>
            </w:r>
          </w:p>
        </w:tc>
        <w:tc>
          <w:tcPr>
            <w:tcW w:w="16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N/A</w:t>
            </w:r>
          </w:p>
        </w:tc>
        <w:tc>
          <w:tcPr>
            <w:tcW w:w="16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Puerto Rico</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Matrix</w:t>
            </w:r>
          </w:p>
        </w:tc>
        <w:tc>
          <w:tcPr>
            <w:tcW w:w="184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99%</w:t>
            </w: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5100 East</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w:t>
            </w: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International</w:t>
            </w: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Skelly Dr.,</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Engineering,</w:t>
            </w: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Suite 100</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LLP</w:t>
            </w: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Tulsa, OK</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Kenneth</w:t>
            </w: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0.5%</w:t>
            </w: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74135</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vMerge w:val="continue"/>
          </w:tcPr>
          <w:p>
            <w:pPr>
              <w:spacing w:after="0"/>
              <w:rPr>
                <w:sz w:val="14"/>
                <w:szCs w:val="14"/>
                <w:color w:val="auto"/>
              </w:rPr>
            </w:pPr>
          </w:p>
        </w:tc>
        <w:tc>
          <w:tcPr>
            <w:tcW w:w="1840" w:type="dxa"/>
            <w:vAlign w:val="bottom"/>
            <w:tcBorders>
              <w:right w:val="single" w:sz="8" w:color="auto"/>
            </w:tcBorders>
            <w:vMerge w:val="continue"/>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Erdmann</w:t>
            </w: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440" w:type="dxa"/>
            <w:vAlign w:val="bottom"/>
            <w:tcBorders>
              <w:left w:val="single" w:sz="8" w:color="auto"/>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Joseph Hoptay</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0.5%</w:t>
            </w:r>
          </w:p>
        </w:tc>
        <w:tc>
          <w:tcPr>
            <w:tcW w:w="148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Matrix North</w:t>
            </w:r>
          </w:p>
        </w:tc>
        <w:tc>
          <w:tcPr>
            <w:tcW w:w="16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N/A</w:t>
            </w:r>
          </w:p>
        </w:tc>
        <w:tc>
          <w:tcPr>
            <w:tcW w:w="16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Delaware</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Matrix North</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100%</w:t>
            </w: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5100 East</w:t>
            </w: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N</w:t>
            </w: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American</w:t>
            </w: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w w:val="96"/>
              </w:rPr>
              <w:t>American Construction,</w:t>
            </w: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Skelly Dr.,</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Construction, LLC.</w:t>
            </w: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Inc.</w:t>
            </w: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Suite 100</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Tulsa, OK</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74135</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Houston Interests,</w:t>
            </w:r>
          </w:p>
        </w:tc>
        <w:tc>
          <w:tcPr>
            <w:tcW w:w="16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N/A</w:t>
            </w:r>
          </w:p>
        </w:tc>
        <w:tc>
          <w:tcPr>
            <w:tcW w:w="16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Oklahoma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Matrix PDM</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100%</w:t>
            </w: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5100 East</w:t>
            </w:r>
          </w:p>
        </w:tc>
        <w:tc>
          <w:tcPr>
            <w:tcW w:w="114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Y</w:t>
            </w: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LLC</w:t>
            </w: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Engineering, Inc.</w:t>
            </w: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Skelly Dr.,</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Suite 100</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Tulsa, OK</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74135</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1480"/>
          </w:cols>
          <w:pgMar w:left="220" w:top="604" w:right="199" w:bottom="1440" w:gutter="0" w:footer="0" w:header="0"/>
        </w:sectPr>
      </w:pPr>
    </w:p>
    <w:bookmarkStart w:id="176" w:name="page177"/>
    <w:bookmarkEnd w:id="176"/>
    <w:tbl>
      <w:tblPr>
        <w:tblLayout w:type="fixed"/>
        <w:tblInd w:w="10" w:type="dxa"/>
        <w:tblCellMar>
          <w:top w:w="0" w:type="dxa"/>
          <w:left w:w="0" w:type="dxa"/>
          <w:bottom w:w="0" w:type="dxa"/>
          <w:right w:w="0" w:type="dxa"/>
        </w:tblCellMar>
      </w:tblPr>
      <w:tr>
        <w:trPr>
          <w:trHeight w:val="40"/>
        </w:trPr>
        <w:tc>
          <w:tcPr>
            <w:tcW w:w="2440" w:type="dxa"/>
            <w:vAlign w:val="bottom"/>
            <w:tcBorders>
              <w:top w:val="single" w:sz="8" w:color="auto"/>
              <w:left w:val="single" w:sz="8" w:color="auto"/>
              <w:bottom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480" w:type="dxa"/>
            <w:vAlign w:val="bottom"/>
            <w:tcBorders>
              <w:top w:val="single" w:sz="8" w:color="auto"/>
              <w:bottom w:val="single" w:sz="8" w:color="auto"/>
            </w:tcBorders>
          </w:tcPr>
          <w:p>
            <w:pPr>
              <w:spacing w:after="0"/>
              <w:rPr>
                <w:sz w:val="3"/>
                <w:szCs w:val="3"/>
                <w:color w:val="auto"/>
              </w:rPr>
            </w:pPr>
          </w:p>
        </w:tc>
        <w:tc>
          <w:tcPr>
            <w:tcW w:w="1140" w:type="dxa"/>
            <w:vAlign w:val="bottom"/>
            <w:tcBorders>
              <w:top w:val="single" w:sz="8" w:color="auto"/>
              <w:bottom w:val="single" w:sz="8" w:color="auto"/>
              <w:right w:val="single" w:sz="8" w:color="auto"/>
            </w:tcBorders>
          </w:tcPr>
          <w:p>
            <w:pPr>
              <w:spacing w:after="0"/>
              <w:rPr>
                <w:sz w:val="3"/>
                <w:szCs w:val="3"/>
                <w:color w:val="auto"/>
              </w:rPr>
            </w:pPr>
          </w:p>
        </w:tc>
      </w:tr>
      <w:tr>
        <w:trPr>
          <w:trHeight w:val="154"/>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Devco USA LLC</w:t>
            </w:r>
          </w:p>
        </w:tc>
        <w:tc>
          <w:tcPr>
            <w:tcW w:w="16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N/A</w:t>
            </w:r>
          </w:p>
        </w:tc>
        <w:tc>
          <w:tcPr>
            <w:tcW w:w="16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Oklahoma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Houston</w:t>
            </w:r>
          </w:p>
        </w:tc>
        <w:tc>
          <w:tcPr>
            <w:tcW w:w="1840" w:type="dxa"/>
            <w:vAlign w:val="bottom"/>
            <w:tcBorders>
              <w:right w:val="single" w:sz="8" w:color="auto"/>
            </w:tcBorders>
          </w:tcPr>
          <w:p>
            <w:pPr>
              <w:jc w:val="right"/>
              <w:ind w:right="1454"/>
              <w:spacing w:after="0"/>
              <w:rPr>
                <w:sz w:val="20"/>
                <w:szCs w:val="20"/>
                <w:color w:val="auto"/>
              </w:rPr>
            </w:pPr>
            <w:r>
              <w:rPr>
                <w:rFonts w:ascii="Arial" w:cs="Arial" w:eastAsia="Arial" w:hAnsi="Arial"/>
                <w:sz w:val="13"/>
                <w:szCs w:val="13"/>
                <w:color w:val="auto"/>
                <w:w w:val="90"/>
              </w:rPr>
              <w:t>100%</w:t>
            </w: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5100 East</w:t>
            </w: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N</w:t>
            </w: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Interests, LLC</w:t>
            </w: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Skelly Dr.,</w:t>
            </w:r>
          </w:p>
        </w:tc>
        <w:tc>
          <w:tcPr>
            <w:tcW w:w="1140" w:type="dxa"/>
            <w:vAlign w:val="bottom"/>
            <w:tcBorders>
              <w:right w:val="single" w:sz="8" w:color="auto"/>
            </w:tcBorders>
          </w:tcPr>
          <w:p>
            <w:pPr>
              <w:spacing w:after="0"/>
              <w:rPr>
                <w:sz w:val="14"/>
                <w:szCs w:val="14"/>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Suite 100</w:t>
            </w:r>
          </w:p>
        </w:tc>
        <w:tc>
          <w:tcPr>
            <w:tcW w:w="1140" w:type="dxa"/>
            <w:vAlign w:val="bottom"/>
            <w:tcBorders>
              <w:right w:val="single" w:sz="8" w:color="auto"/>
            </w:tcBorders>
          </w:tcPr>
          <w:p>
            <w:pPr>
              <w:spacing w:after="0"/>
              <w:rPr>
                <w:sz w:val="14"/>
                <w:szCs w:val="14"/>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Tulsa, OK</w:t>
            </w:r>
          </w:p>
        </w:tc>
        <w:tc>
          <w:tcPr>
            <w:tcW w:w="1140" w:type="dxa"/>
            <w:vAlign w:val="bottom"/>
            <w:tcBorders>
              <w:right w:val="single" w:sz="8" w:color="auto"/>
            </w:tcBorders>
          </w:tcPr>
          <w:p>
            <w:pPr>
              <w:spacing w:after="0"/>
              <w:rPr>
                <w:sz w:val="14"/>
                <w:szCs w:val="14"/>
                <w:color w:val="auto"/>
              </w:rPr>
            </w:pPr>
          </w:p>
        </w:tc>
      </w:tr>
      <w:tr>
        <w:trPr>
          <w:trHeight w:val="166"/>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74135</w:t>
            </w:r>
          </w:p>
        </w:tc>
        <w:tc>
          <w:tcPr>
            <w:tcW w:w="1140" w:type="dxa"/>
            <w:vAlign w:val="bottom"/>
            <w:tcBorders>
              <w:right w:val="single" w:sz="8" w:color="auto"/>
            </w:tcBorders>
          </w:tcPr>
          <w:p>
            <w:pPr>
              <w:spacing w:after="0"/>
              <w:rPr>
                <w:sz w:val="14"/>
                <w:szCs w:val="14"/>
                <w:color w:val="auto"/>
              </w:rPr>
            </w:pPr>
          </w:p>
        </w:tc>
      </w:tr>
      <w:tr>
        <w:trPr>
          <w:trHeight w:val="28"/>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72"/>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River Consulting,</w:t>
            </w:r>
          </w:p>
        </w:tc>
        <w:tc>
          <w:tcPr>
            <w:tcW w:w="16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N/A</w:t>
            </w:r>
          </w:p>
        </w:tc>
        <w:tc>
          <w:tcPr>
            <w:tcW w:w="16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Louisiana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Houston</w:t>
            </w:r>
          </w:p>
        </w:tc>
        <w:tc>
          <w:tcPr>
            <w:tcW w:w="1840" w:type="dxa"/>
            <w:vAlign w:val="bottom"/>
            <w:tcBorders>
              <w:right w:val="single" w:sz="8" w:color="auto"/>
            </w:tcBorders>
          </w:tcPr>
          <w:p>
            <w:pPr>
              <w:jc w:val="right"/>
              <w:ind w:right="1454"/>
              <w:spacing w:after="0"/>
              <w:rPr>
                <w:sz w:val="20"/>
                <w:szCs w:val="20"/>
                <w:color w:val="auto"/>
              </w:rPr>
            </w:pPr>
            <w:r>
              <w:rPr>
                <w:rFonts w:ascii="Arial" w:cs="Arial" w:eastAsia="Arial" w:hAnsi="Arial"/>
                <w:sz w:val="13"/>
                <w:szCs w:val="13"/>
                <w:color w:val="auto"/>
                <w:w w:val="90"/>
              </w:rPr>
              <w:t>100%</w:t>
            </w: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5100 East</w:t>
            </w: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N</w:t>
            </w:r>
          </w:p>
        </w:tc>
      </w:tr>
      <w:tr>
        <w:trPr>
          <w:trHeight w:val="165"/>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LLC</w:t>
            </w: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Interests (River),</w:t>
            </w: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Skelly Dr.,</w:t>
            </w:r>
          </w:p>
        </w:tc>
        <w:tc>
          <w:tcPr>
            <w:tcW w:w="1140" w:type="dxa"/>
            <w:vAlign w:val="bottom"/>
            <w:tcBorders>
              <w:right w:val="single" w:sz="8" w:color="auto"/>
            </w:tcBorders>
          </w:tcPr>
          <w:p>
            <w:pPr>
              <w:spacing w:after="0"/>
              <w:rPr>
                <w:sz w:val="14"/>
                <w:szCs w:val="14"/>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LLC</w:t>
            </w: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Suite 100</w:t>
            </w:r>
          </w:p>
        </w:tc>
        <w:tc>
          <w:tcPr>
            <w:tcW w:w="1140" w:type="dxa"/>
            <w:vAlign w:val="bottom"/>
            <w:tcBorders>
              <w:right w:val="single" w:sz="8" w:color="auto"/>
            </w:tcBorders>
          </w:tcPr>
          <w:p>
            <w:pPr>
              <w:spacing w:after="0"/>
              <w:rPr>
                <w:sz w:val="14"/>
                <w:szCs w:val="14"/>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Tulsa, OK</w:t>
            </w:r>
          </w:p>
        </w:tc>
        <w:tc>
          <w:tcPr>
            <w:tcW w:w="1140" w:type="dxa"/>
            <w:vAlign w:val="bottom"/>
            <w:tcBorders>
              <w:right w:val="single" w:sz="8" w:color="auto"/>
            </w:tcBorders>
          </w:tcPr>
          <w:p>
            <w:pPr>
              <w:spacing w:after="0"/>
              <w:rPr>
                <w:sz w:val="14"/>
                <w:szCs w:val="14"/>
                <w:color w:val="auto"/>
              </w:rPr>
            </w:pPr>
          </w:p>
        </w:tc>
      </w:tr>
      <w:tr>
        <w:trPr>
          <w:trHeight w:val="166"/>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74135</w:t>
            </w:r>
          </w:p>
        </w:tc>
        <w:tc>
          <w:tcPr>
            <w:tcW w:w="1140" w:type="dxa"/>
            <w:vAlign w:val="bottom"/>
            <w:tcBorders>
              <w:right w:val="single" w:sz="8" w:color="auto"/>
            </w:tcBorders>
          </w:tcPr>
          <w:p>
            <w:pPr>
              <w:spacing w:after="0"/>
              <w:rPr>
                <w:sz w:val="14"/>
                <w:szCs w:val="14"/>
                <w:color w:val="auto"/>
              </w:rPr>
            </w:pPr>
          </w:p>
        </w:tc>
      </w:tr>
      <w:tr>
        <w:trPr>
          <w:trHeight w:val="28"/>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72"/>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River International,</w:t>
            </w:r>
          </w:p>
        </w:tc>
        <w:tc>
          <w:tcPr>
            <w:tcW w:w="16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N/A</w:t>
            </w:r>
          </w:p>
        </w:tc>
        <w:tc>
          <w:tcPr>
            <w:tcW w:w="16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Oklahoma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Houston</w:t>
            </w:r>
          </w:p>
        </w:tc>
        <w:tc>
          <w:tcPr>
            <w:tcW w:w="1840" w:type="dxa"/>
            <w:vAlign w:val="bottom"/>
            <w:tcBorders>
              <w:right w:val="single" w:sz="8" w:color="auto"/>
            </w:tcBorders>
          </w:tcPr>
          <w:p>
            <w:pPr>
              <w:jc w:val="right"/>
              <w:ind w:right="1454"/>
              <w:spacing w:after="0"/>
              <w:rPr>
                <w:sz w:val="20"/>
                <w:szCs w:val="20"/>
                <w:color w:val="auto"/>
              </w:rPr>
            </w:pPr>
            <w:r>
              <w:rPr>
                <w:rFonts w:ascii="Arial" w:cs="Arial" w:eastAsia="Arial" w:hAnsi="Arial"/>
                <w:sz w:val="13"/>
                <w:szCs w:val="13"/>
                <w:color w:val="auto"/>
                <w:w w:val="90"/>
              </w:rPr>
              <w:t>100%</w:t>
            </w: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5100 East</w:t>
            </w: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N</w:t>
            </w:r>
          </w:p>
        </w:tc>
      </w:tr>
      <w:tr>
        <w:trPr>
          <w:trHeight w:val="165"/>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LLC</w:t>
            </w: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Interests, LLC</w:t>
            </w: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Skelly Dr.,</w:t>
            </w:r>
          </w:p>
        </w:tc>
        <w:tc>
          <w:tcPr>
            <w:tcW w:w="1140" w:type="dxa"/>
            <w:vAlign w:val="bottom"/>
            <w:tcBorders>
              <w:right w:val="single" w:sz="8" w:color="auto"/>
            </w:tcBorders>
          </w:tcPr>
          <w:p>
            <w:pPr>
              <w:spacing w:after="0"/>
              <w:rPr>
                <w:sz w:val="14"/>
                <w:szCs w:val="14"/>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Suite 100</w:t>
            </w:r>
          </w:p>
        </w:tc>
        <w:tc>
          <w:tcPr>
            <w:tcW w:w="1140" w:type="dxa"/>
            <w:vAlign w:val="bottom"/>
            <w:tcBorders>
              <w:right w:val="single" w:sz="8" w:color="auto"/>
            </w:tcBorders>
          </w:tcPr>
          <w:p>
            <w:pPr>
              <w:spacing w:after="0"/>
              <w:rPr>
                <w:sz w:val="14"/>
                <w:szCs w:val="14"/>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Tulsa, OK</w:t>
            </w:r>
          </w:p>
        </w:tc>
        <w:tc>
          <w:tcPr>
            <w:tcW w:w="1140" w:type="dxa"/>
            <w:vAlign w:val="bottom"/>
            <w:tcBorders>
              <w:right w:val="single" w:sz="8" w:color="auto"/>
            </w:tcBorders>
          </w:tcPr>
          <w:p>
            <w:pPr>
              <w:spacing w:after="0"/>
              <w:rPr>
                <w:sz w:val="14"/>
                <w:szCs w:val="14"/>
                <w:color w:val="auto"/>
              </w:rPr>
            </w:pPr>
          </w:p>
        </w:tc>
      </w:tr>
      <w:tr>
        <w:trPr>
          <w:trHeight w:val="166"/>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74135</w:t>
            </w:r>
          </w:p>
        </w:tc>
        <w:tc>
          <w:tcPr>
            <w:tcW w:w="1140" w:type="dxa"/>
            <w:vAlign w:val="bottom"/>
            <w:tcBorders>
              <w:right w:val="single" w:sz="8" w:color="auto"/>
            </w:tcBorders>
          </w:tcPr>
          <w:p>
            <w:pPr>
              <w:spacing w:after="0"/>
              <w:rPr>
                <w:sz w:val="14"/>
                <w:szCs w:val="14"/>
                <w:color w:val="auto"/>
              </w:rPr>
            </w:pPr>
          </w:p>
        </w:tc>
      </w:tr>
      <w:tr>
        <w:trPr>
          <w:trHeight w:val="28"/>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72"/>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S&amp;R Technical Services, Inc.</w:t>
            </w:r>
          </w:p>
        </w:tc>
        <w:tc>
          <w:tcPr>
            <w:tcW w:w="16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5,000,000 shares of</w:t>
            </w:r>
          </w:p>
        </w:tc>
        <w:tc>
          <w:tcPr>
            <w:tcW w:w="16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Oklahoma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Houston</w:t>
            </w:r>
          </w:p>
        </w:tc>
        <w:tc>
          <w:tcPr>
            <w:tcW w:w="1840" w:type="dxa"/>
            <w:vAlign w:val="bottom"/>
            <w:tcBorders>
              <w:right w:val="single" w:sz="8" w:color="auto"/>
            </w:tcBorders>
          </w:tcPr>
          <w:p>
            <w:pPr>
              <w:jc w:val="right"/>
              <w:ind w:right="1454"/>
              <w:spacing w:after="0"/>
              <w:rPr>
                <w:sz w:val="20"/>
                <w:szCs w:val="20"/>
                <w:color w:val="auto"/>
              </w:rPr>
            </w:pPr>
            <w:r>
              <w:rPr>
                <w:rFonts w:ascii="Arial" w:cs="Arial" w:eastAsia="Arial" w:hAnsi="Arial"/>
                <w:sz w:val="13"/>
                <w:szCs w:val="13"/>
                <w:color w:val="auto"/>
                <w:w w:val="90"/>
              </w:rPr>
              <w:t>100%</w:t>
            </w: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5100 East</w:t>
            </w: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N</w:t>
            </w: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common stock, par value</w:t>
            </w: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Interests, LLC</w:t>
            </w: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Skelly Dr.,</w:t>
            </w:r>
          </w:p>
        </w:tc>
        <w:tc>
          <w:tcPr>
            <w:tcW w:w="1140" w:type="dxa"/>
            <w:vAlign w:val="bottom"/>
            <w:tcBorders>
              <w:right w:val="single" w:sz="8" w:color="auto"/>
            </w:tcBorders>
          </w:tcPr>
          <w:p>
            <w:pPr>
              <w:spacing w:after="0"/>
              <w:rPr>
                <w:sz w:val="14"/>
                <w:szCs w:val="14"/>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$0.01 per share</w:t>
            </w: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Suite 100</w:t>
            </w:r>
          </w:p>
        </w:tc>
        <w:tc>
          <w:tcPr>
            <w:tcW w:w="1140" w:type="dxa"/>
            <w:vAlign w:val="bottom"/>
            <w:tcBorders>
              <w:right w:val="single" w:sz="8" w:color="auto"/>
            </w:tcBorders>
          </w:tcPr>
          <w:p>
            <w:pPr>
              <w:spacing w:after="0"/>
              <w:rPr>
                <w:sz w:val="14"/>
                <w:szCs w:val="14"/>
                <w:color w:val="auto"/>
              </w:rPr>
            </w:pPr>
          </w:p>
        </w:tc>
      </w:tr>
      <w:tr>
        <w:trPr>
          <w:trHeight w:val="165"/>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Tulsa, OK</w:t>
            </w:r>
          </w:p>
        </w:tc>
        <w:tc>
          <w:tcPr>
            <w:tcW w:w="1140" w:type="dxa"/>
            <w:vAlign w:val="bottom"/>
            <w:tcBorders>
              <w:right w:val="single" w:sz="8" w:color="auto"/>
            </w:tcBorders>
          </w:tcPr>
          <w:p>
            <w:pPr>
              <w:spacing w:after="0"/>
              <w:rPr>
                <w:sz w:val="14"/>
                <w:szCs w:val="14"/>
                <w:color w:val="auto"/>
              </w:rPr>
            </w:pPr>
          </w:p>
        </w:tc>
      </w:tr>
      <w:tr>
        <w:trPr>
          <w:trHeight w:val="166"/>
        </w:trPr>
        <w:tc>
          <w:tcPr>
            <w:tcW w:w="244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74135</w:t>
            </w:r>
          </w:p>
        </w:tc>
        <w:tc>
          <w:tcPr>
            <w:tcW w:w="1140" w:type="dxa"/>
            <w:vAlign w:val="bottom"/>
            <w:tcBorders>
              <w:right w:val="single" w:sz="8" w:color="auto"/>
            </w:tcBorders>
          </w:tcPr>
          <w:p>
            <w:pPr>
              <w:spacing w:after="0"/>
              <w:rPr>
                <w:sz w:val="14"/>
                <w:szCs w:val="14"/>
                <w:color w:val="auto"/>
              </w:rPr>
            </w:pPr>
          </w:p>
        </w:tc>
      </w:tr>
      <w:tr>
        <w:trPr>
          <w:trHeight w:val="28"/>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78"/>
        </w:trPr>
        <w:tc>
          <w:tcPr>
            <w:tcW w:w="24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72"/>
        </w:trPr>
        <w:tc>
          <w:tcPr>
            <w:tcW w:w="244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Houston Interests (River), LLC</w:t>
            </w:r>
          </w:p>
        </w:tc>
        <w:tc>
          <w:tcPr>
            <w:tcW w:w="16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N/A</w:t>
            </w:r>
          </w:p>
        </w:tc>
        <w:tc>
          <w:tcPr>
            <w:tcW w:w="16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Oklahoma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Houston</w:t>
            </w:r>
          </w:p>
        </w:tc>
        <w:tc>
          <w:tcPr>
            <w:tcW w:w="1840" w:type="dxa"/>
            <w:vAlign w:val="bottom"/>
            <w:tcBorders>
              <w:right w:val="single" w:sz="8" w:color="auto"/>
            </w:tcBorders>
          </w:tcPr>
          <w:p>
            <w:pPr>
              <w:jc w:val="right"/>
              <w:ind w:right="1454"/>
              <w:spacing w:after="0"/>
              <w:rPr>
                <w:sz w:val="20"/>
                <w:szCs w:val="20"/>
                <w:color w:val="auto"/>
              </w:rPr>
            </w:pPr>
            <w:r>
              <w:rPr>
                <w:rFonts w:ascii="Arial" w:cs="Arial" w:eastAsia="Arial" w:hAnsi="Arial"/>
                <w:sz w:val="13"/>
                <w:szCs w:val="13"/>
                <w:color w:val="auto"/>
                <w:w w:val="90"/>
              </w:rPr>
              <w:t>100%</w:t>
            </w: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5100 East</w:t>
            </w:r>
          </w:p>
        </w:tc>
        <w:tc>
          <w:tcPr>
            <w:tcW w:w="1140" w:type="dxa"/>
            <w:vAlign w:val="bottom"/>
          </w:tcPr>
          <w:p>
            <w:pPr>
              <w:ind w:left="60"/>
              <w:spacing w:after="0"/>
              <w:rPr>
                <w:sz w:val="20"/>
                <w:szCs w:val="20"/>
                <w:color w:val="auto"/>
              </w:rPr>
            </w:pPr>
            <w:r>
              <w:rPr>
                <w:rFonts w:ascii="Arial" w:cs="Arial" w:eastAsia="Arial" w:hAnsi="Arial"/>
                <w:sz w:val="13"/>
                <w:szCs w:val="13"/>
                <w:color w:val="auto"/>
              </w:rPr>
              <w:t>N</w:t>
            </w:r>
          </w:p>
        </w:tc>
      </w:tr>
      <w:tr>
        <w:trPr>
          <w:trHeight w:val="165"/>
        </w:trPr>
        <w:tc>
          <w:tcPr>
            <w:tcW w:w="244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Interests, LLC</w:t>
            </w: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Skelly Dr.,</w:t>
            </w:r>
          </w:p>
        </w:tc>
        <w:tc>
          <w:tcPr>
            <w:tcW w:w="1140" w:type="dxa"/>
            <w:vAlign w:val="bottom"/>
          </w:tcPr>
          <w:p>
            <w:pPr>
              <w:spacing w:after="0"/>
              <w:rPr>
                <w:sz w:val="14"/>
                <w:szCs w:val="14"/>
                <w:color w:val="auto"/>
              </w:rPr>
            </w:pPr>
          </w:p>
        </w:tc>
      </w:tr>
      <w:tr>
        <w:trPr>
          <w:trHeight w:val="165"/>
        </w:trPr>
        <w:tc>
          <w:tcPr>
            <w:tcW w:w="244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Suite 100</w:t>
            </w:r>
          </w:p>
        </w:tc>
        <w:tc>
          <w:tcPr>
            <w:tcW w:w="1140" w:type="dxa"/>
            <w:vAlign w:val="bottom"/>
          </w:tcPr>
          <w:p>
            <w:pPr>
              <w:spacing w:after="0"/>
              <w:rPr>
                <w:sz w:val="14"/>
                <w:szCs w:val="14"/>
                <w:color w:val="auto"/>
              </w:rPr>
            </w:pPr>
          </w:p>
        </w:tc>
      </w:tr>
      <w:tr>
        <w:trPr>
          <w:trHeight w:val="165"/>
        </w:trPr>
        <w:tc>
          <w:tcPr>
            <w:tcW w:w="244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Tulsa, OK</w:t>
            </w:r>
          </w:p>
        </w:tc>
        <w:tc>
          <w:tcPr>
            <w:tcW w:w="1140" w:type="dxa"/>
            <w:vAlign w:val="bottom"/>
          </w:tcPr>
          <w:p>
            <w:pPr>
              <w:spacing w:after="0"/>
              <w:rPr>
                <w:sz w:val="14"/>
                <w:szCs w:val="14"/>
                <w:color w:val="auto"/>
              </w:rPr>
            </w:pPr>
          </w:p>
        </w:tc>
      </w:tr>
      <w:tr>
        <w:trPr>
          <w:trHeight w:val="166"/>
        </w:trPr>
        <w:tc>
          <w:tcPr>
            <w:tcW w:w="244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74135</w:t>
            </w:r>
          </w:p>
        </w:tc>
        <w:tc>
          <w:tcPr>
            <w:tcW w:w="1140" w:type="dxa"/>
            <w:vAlign w:val="bottom"/>
          </w:tcPr>
          <w:p>
            <w:pPr>
              <w:spacing w:after="0"/>
              <w:rPr>
                <w:sz w:val="14"/>
                <w:szCs w:val="14"/>
                <w:color w:val="auto"/>
              </w:rPr>
            </w:pPr>
          </w:p>
        </w:tc>
      </w:tr>
      <w:tr>
        <w:trPr>
          <w:trHeight w:val="28"/>
        </w:trPr>
        <w:tc>
          <w:tcPr>
            <w:tcW w:w="24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2"/>
        </w:trPr>
        <w:tc>
          <w:tcPr>
            <w:tcW w:w="244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Devco International,</w:t>
            </w:r>
          </w:p>
        </w:tc>
        <w:tc>
          <w:tcPr>
            <w:tcW w:w="16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N/A</w:t>
            </w:r>
          </w:p>
        </w:tc>
        <w:tc>
          <w:tcPr>
            <w:tcW w:w="16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Oklahoma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Houston</w:t>
            </w:r>
          </w:p>
        </w:tc>
        <w:tc>
          <w:tcPr>
            <w:tcW w:w="1840" w:type="dxa"/>
            <w:vAlign w:val="bottom"/>
            <w:tcBorders>
              <w:right w:val="single" w:sz="8" w:color="auto"/>
            </w:tcBorders>
          </w:tcPr>
          <w:p>
            <w:pPr>
              <w:jc w:val="right"/>
              <w:ind w:right="1454"/>
              <w:spacing w:after="0"/>
              <w:rPr>
                <w:sz w:val="20"/>
                <w:szCs w:val="20"/>
                <w:color w:val="auto"/>
              </w:rPr>
            </w:pPr>
            <w:r>
              <w:rPr>
                <w:rFonts w:ascii="Arial" w:cs="Arial" w:eastAsia="Arial" w:hAnsi="Arial"/>
                <w:sz w:val="13"/>
                <w:szCs w:val="13"/>
                <w:color w:val="auto"/>
                <w:w w:val="90"/>
              </w:rPr>
              <w:t>100%</w:t>
            </w: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5100 East</w:t>
            </w:r>
          </w:p>
        </w:tc>
        <w:tc>
          <w:tcPr>
            <w:tcW w:w="1140" w:type="dxa"/>
            <w:vAlign w:val="bottom"/>
          </w:tcPr>
          <w:p>
            <w:pPr>
              <w:ind w:left="60"/>
              <w:spacing w:after="0"/>
              <w:rPr>
                <w:sz w:val="20"/>
                <w:szCs w:val="20"/>
                <w:color w:val="auto"/>
              </w:rPr>
            </w:pPr>
            <w:r>
              <w:rPr>
                <w:rFonts w:ascii="Arial" w:cs="Arial" w:eastAsia="Arial" w:hAnsi="Arial"/>
                <w:sz w:val="13"/>
                <w:szCs w:val="13"/>
                <w:color w:val="auto"/>
              </w:rPr>
              <w:t>N</w:t>
            </w:r>
          </w:p>
        </w:tc>
      </w:tr>
      <w:tr>
        <w:trPr>
          <w:trHeight w:val="165"/>
        </w:trPr>
        <w:tc>
          <w:tcPr>
            <w:tcW w:w="244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LLC</w:t>
            </w: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Interests, LLC</w:t>
            </w: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Skelly Dr.,</w:t>
            </w:r>
          </w:p>
        </w:tc>
        <w:tc>
          <w:tcPr>
            <w:tcW w:w="1140" w:type="dxa"/>
            <w:vAlign w:val="bottom"/>
          </w:tcPr>
          <w:p>
            <w:pPr>
              <w:spacing w:after="0"/>
              <w:rPr>
                <w:sz w:val="14"/>
                <w:szCs w:val="14"/>
                <w:color w:val="auto"/>
              </w:rPr>
            </w:pPr>
          </w:p>
        </w:tc>
      </w:tr>
      <w:tr>
        <w:trPr>
          <w:trHeight w:val="165"/>
        </w:trPr>
        <w:tc>
          <w:tcPr>
            <w:tcW w:w="244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Suite 100</w:t>
            </w:r>
          </w:p>
        </w:tc>
        <w:tc>
          <w:tcPr>
            <w:tcW w:w="1140" w:type="dxa"/>
            <w:vAlign w:val="bottom"/>
          </w:tcPr>
          <w:p>
            <w:pPr>
              <w:spacing w:after="0"/>
              <w:rPr>
                <w:sz w:val="14"/>
                <w:szCs w:val="14"/>
                <w:color w:val="auto"/>
              </w:rPr>
            </w:pPr>
          </w:p>
        </w:tc>
      </w:tr>
      <w:tr>
        <w:trPr>
          <w:trHeight w:val="165"/>
        </w:trPr>
        <w:tc>
          <w:tcPr>
            <w:tcW w:w="244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Tulsa, OK</w:t>
            </w:r>
          </w:p>
        </w:tc>
        <w:tc>
          <w:tcPr>
            <w:tcW w:w="1140" w:type="dxa"/>
            <w:vAlign w:val="bottom"/>
          </w:tcPr>
          <w:p>
            <w:pPr>
              <w:spacing w:after="0"/>
              <w:rPr>
                <w:sz w:val="14"/>
                <w:szCs w:val="14"/>
                <w:color w:val="auto"/>
              </w:rPr>
            </w:pPr>
          </w:p>
        </w:tc>
      </w:tr>
      <w:tr>
        <w:trPr>
          <w:trHeight w:val="166"/>
        </w:trPr>
        <w:tc>
          <w:tcPr>
            <w:tcW w:w="244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74135</w:t>
            </w:r>
          </w:p>
        </w:tc>
        <w:tc>
          <w:tcPr>
            <w:tcW w:w="1140" w:type="dxa"/>
            <w:vAlign w:val="bottom"/>
          </w:tcPr>
          <w:p>
            <w:pPr>
              <w:spacing w:after="0"/>
              <w:rPr>
                <w:sz w:val="14"/>
                <w:szCs w:val="14"/>
                <w:color w:val="auto"/>
              </w:rPr>
            </w:pPr>
          </w:p>
        </w:tc>
      </w:tr>
      <w:tr>
        <w:trPr>
          <w:trHeight w:val="28"/>
        </w:trPr>
        <w:tc>
          <w:tcPr>
            <w:tcW w:w="24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24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54"/>
        </w:trPr>
        <w:tc>
          <w:tcPr>
            <w:tcW w:w="2440" w:type="dxa"/>
            <w:vAlign w:val="bottom"/>
          </w:tcPr>
          <w:p>
            <w:pPr>
              <w:ind w:left="40"/>
              <w:spacing w:after="0"/>
              <w:rPr>
                <w:sz w:val="20"/>
                <w:szCs w:val="20"/>
                <w:color w:val="auto"/>
              </w:rPr>
            </w:pPr>
            <w:r>
              <w:rPr>
                <w:rFonts w:ascii="Arial" w:cs="Arial" w:eastAsia="Arial" w:hAnsi="Arial"/>
                <w:sz w:val="13"/>
                <w:szCs w:val="13"/>
                <w:color w:val="auto"/>
              </w:rPr>
              <w:t>Process Plant Services, LLC</w:t>
            </w:r>
          </w:p>
        </w:tc>
        <w:tc>
          <w:tcPr>
            <w:tcW w:w="1620" w:type="dxa"/>
            <w:vAlign w:val="bottom"/>
          </w:tcPr>
          <w:p>
            <w:pPr>
              <w:ind w:left="40"/>
              <w:spacing w:after="0"/>
              <w:rPr>
                <w:sz w:val="20"/>
                <w:szCs w:val="20"/>
                <w:color w:val="auto"/>
              </w:rPr>
            </w:pPr>
            <w:r>
              <w:rPr>
                <w:rFonts w:ascii="Arial" w:cs="Arial" w:eastAsia="Arial" w:hAnsi="Arial"/>
                <w:sz w:val="13"/>
                <w:szCs w:val="13"/>
                <w:color w:val="auto"/>
              </w:rPr>
              <w:t>N/A</w:t>
            </w:r>
          </w:p>
        </w:tc>
        <w:tc>
          <w:tcPr>
            <w:tcW w:w="1600" w:type="dxa"/>
            <w:vAlign w:val="bottom"/>
          </w:tcPr>
          <w:p>
            <w:pPr>
              <w:spacing w:after="0"/>
              <w:rPr>
                <w:sz w:val="20"/>
                <w:szCs w:val="20"/>
                <w:color w:val="auto"/>
              </w:rPr>
            </w:pPr>
            <w:r>
              <w:rPr>
                <w:rFonts w:ascii="Arial" w:cs="Arial" w:eastAsia="Arial" w:hAnsi="Arial"/>
                <w:sz w:val="13"/>
                <w:szCs w:val="13"/>
                <w:color w:val="auto"/>
              </w:rPr>
              <w:t>Oklahoma</w:t>
            </w:r>
          </w:p>
        </w:tc>
        <w:tc>
          <w:tcPr>
            <w:tcW w:w="1360" w:type="dxa"/>
            <w:vAlign w:val="bottom"/>
          </w:tcPr>
          <w:p>
            <w:pPr>
              <w:ind w:left="20"/>
              <w:spacing w:after="0"/>
              <w:rPr>
                <w:sz w:val="20"/>
                <w:szCs w:val="20"/>
                <w:color w:val="auto"/>
              </w:rPr>
            </w:pPr>
            <w:r>
              <w:rPr>
                <w:rFonts w:ascii="Arial" w:cs="Arial" w:eastAsia="Arial" w:hAnsi="Arial"/>
                <w:sz w:val="13"/>
                <w:szCs w:val="13"/>
                <w:color w:val="auto"/>
              </w:rPr>
              <w:t>Houston</w:t>
            </w:r>
          </w:p>
        </w:tc>
        <w:tc>
          <w:tcPr>
            <w:tcW w:w="1840" w:type="dxa"/>
            <w:vAlign w:val="bottom"/>
          </w:tcPr>
          <w:p>
            <w:pPr>
              <w:jc w:val="right"/>
              <w:ind w:right="1454"/>
              <w:spacing w:after="0"/>
              <w:rPr>
                <w:sz w:val="20"/>
                <w:szCs w:val="20"/>
                <w:color w:val="auto"/>
              </w:rPr>
            </w:pPr>
            <w:r>
              <w:rPr>
                <w:rFonts w:ascii="Arial" w:cs="Arial" w:eastAsia="Arial" w:hAnsi="Arial"/>
                <w:sz w:val="13"/>
                <w:szCs w:val="13"/>
                <w:color w:val="auto"/>
                <w:w w:val="90"/>
              </w:rPr>
              <w:t>100%</w:t>
            </w:r>
          </w:p>
        </w:tc>
        <w:tc>
          <w:tcPr>
            <w:tcW w:w="1480" w:type="dxa"/>
            <w:vAlign w:val="bottom"/>
          </w:tcPr>
          <w:p>
            <w:pPr>
              <w:spacing w:after="0"/>
              <w:rPr>
                <w:sz w:val="20"/>
                <w:szCs w:val="20"/>
                <w:color w:val="auto"/>
              </w:rPr>
            </w:pPr>
            <w:r>
              <w:rPr>
                <w:rFonts w:ascii="Arial" w:cs="Arial" w:eastAsia="Arial" w:hAnsi="Arial"/>
                <w:sz w:val="13"/>
                <w:szCs w:val="13"/>
                <w:color w:val="auto"/>
              </w:rPr>
              <w:t>5100 East</w:t>
            </w:r>
          </w:p>
        </w:tc>
        <w:tc>
          <w:tcPr>
            <w:tcW w:w="1140" w:type="dxa"/>
            <w:vAlign w:val="bottom"/>
          </w:tcPr>
          <w:p>
            <w:pPr>
              <w:ind w:left="60"/>
              <w:spacing w:after="0"/>
              <w:rPr>
                <w:sz w:val="20"/>
                <w:szCs w:val="20"/>
                <w:color w:val="auto"/>
              </w:rPr>
            </w:pPr>
            <w:r>
              <w:rPr>
                <w:rFonts w:ascii="Arial" w:cs="Arial" w:eastAsia="Arial" w:hAnsi="Arial"/>
                <w:sz w:val="13"/>
                <w:szCs w:val="13"/>
                <w:color w:val="auto"/>
              </w:rPr>
              <w:t>N</w:t>
            </w:r>
          </w:p>
        </w:tc>
      </w:tr>
      <w:tr>
        <w:trPr>
          <w:trHeight w:val="165"/>
        </w:trPr>
        <w:tc>
          <w:tcPr>
            <w:tcW w:w="2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rPr>
              <w:t>Interests, LLC</w:t>
            </w:r>
          </w:p>
        </w:tc>
        <w:tc>
          <w:tcPr>
            <w:tcW w:w="1840" w:type="dxa"/>
            <w:vAlign w:val="bottom"/>
          </w:tcPr>
          <w:p>
            <w:pPr>
              <w:spacing w:after="0"/>
              <w:rPr>
                <w:sz w:val="14"/>
                <w:szCs w:val="14"/>
                <w:color w:val="auto"/>
              </w:rPr>
            </w:pPr>
          </w:p>
        </w:tc>
        <w:tc>
          <w:tcPr>
            <w:tcW w:w="1480" w:type="dxa"/>
            <w:vAlign w:val="bottom"/>
          </w:tcPr>
          <w:p>
            <w:pPr>
              <w:spacing w:after="0"/>
              <w:rPr>
                <w:sz w:val="20"/>
                <w:szCs w:val="20"/>
                <w:color w:val="auto"/>
              </w:rPr>
            </w:pPr>
            <w:r>
              <w:rPr>
                <w:rFonts w:ascii="Arial" w:cs="Arial" w:eastAsia="Arial" w:hAnsi="Arial"/>
                <w:sz w:val="13"/>
                <w:szCs w:val="13"/>
                <w:color w:val="auto"/>
              </w:rPr>
              <w:t>Skelly Dr.,</w:t>
            </w:r>
          </w:p>
        </w:tc>
        <w:tc>
          <w:tcPr>
            <w:tcW w:w="1140" w:type="dxa"/>
            <w:vAlign w:val="bottom"/>
          </w:tcPr>
          <w:p>
            <w:pPr>
              <w:spacing w:after="0"/>
              <w:rPr>
                <w:sz w:val="14"/>
                <w:szCs w:val="14"/>
                <w:color w:val="auto"/>
              </w:rPr>
            </w:pPr>
          </w:p>
        </w:tc>
      </w:tr>
      <w:tr>
        <w:trPr>
          <w:trHeight w:val="165"/>
        </w:trPr>
        <w:tc>
          <w:tcPr>
            <w:tcW w:w="2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80" w:type="dxa"/>
            <w:vAlign w:val="bottom"/>
          </w:tcPr>
          <w:p>
            <w:pPr>
              <w:spacing w:after="0"/>
              <w:rPr>
                <w:sz w:val="20"/>
                <w:szCs w:val="20"/>
                <w:color w:val="auto"/>
              </w:rPr>
            </w:pPr>
            <w:r>
              <w:rPr>
                <w:rFonts w:ascii="Arial" w:cs="Arial" w:eastAsia="Arial" w:hAnsi="Arial"/>
                <w:sz w:val="13"/>
                <w:szCs w:val="13"/>
                <w:color w:val="auto"/>
              </w:rPr>
              <w:t>Suite 100</w:t>
            </w:r>
          </w:p>
        </w:tc>
        <w:tc>
          <w:tcPr>
            <w:tcW w:w="1140" w:type="dxa"/>
            <w:vAlign w:val="bottom"/>
          </w:tcPr>
          <w:p>
            <w:pPr>
              <w:spacing w:after="0"/>
              <w:rPr>
                <w:sz w:val="14"/>
                <w:szCs w:val="14"/>
                <w:color w:val="auto"/>
              </w:rPr>
            </w:pPr>
          </w:p>
        </w:tc>
      </w:tr>
      <w:tr>
        <w:trPr>
          <w:trHeight w:val="165"/>
        </w:trPr>
        <w:tc>
          <w:tcPr>
            <w:tcW w:w="2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80" w:type="dxa"/>
            <w:vAlign w:val="bottom"/>
          </w:tcPr>
          <w:p>
            <w:pPr>
              <w:spacing w:after="0"/>
              <w:rPr>
                <w:sz w:val="20"/>
                <w:szCs w:val="20"/>
                <w:color w:val="auto"/>
              </w:rPr>
            </w:pPr>
            <w:r>
              <w:rPr>
                <w:rFonts w:ascii="Arial" w:cs="Arial" w:eastAsia="Arial" w:hAnsi="Arial"/>
                <w:sz w:val="13"/>
                <w:szCs w:val="13"/>
                <w:color w:val="auto"/>
              </w:rPr>
              <w:t>Tulsa, OK</w:t>
            </w:r>
          </w:p>
        </w:tc>
        <w:tc>
          <w:tcPr>
            <w:tcW w:w="1140" w:type="dxa"/>
            <w:vAlign w:val="bottom"/>
          </w:tcPr>
          <w:p>
            <w:pPr>
              <w:spacing w:after="0"/>
              <w:rPr>
                <w:sz w:val="14"/>
                <w:szCs w:val="14"/>
                <w:color w:val="auto"/>
              </w:rPr>
            </w:pPr>
          </w:p>
        </w:tc>
      </w:tr>
      <w:tr>
        <w:trPr>
          <w:trHeight w:val="166"/>
        </w:trPr>
        <w:tc>
          <w:tcPr>
            <w:tcW w:w="2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80" w:type="dxa"/>
            <w:vAlign w:val="bottom"/>
          </w:tcPr>
          <w:p>
            <w:pPr>
              <w:spacing w:after="0"/>
              <w:rPr>
                <w:sz w:val="20"/>
                <w:szCs w:val="20"/>
                <w:color w:val="auto"/>
              </w:rPr>
            </w:pPr>
            <w:r>
              <w:rPr>
                <w:rFonts w:ascii="Arial" w:cs="Arial" w:eastAsia="Arial" w:hAnsi="Arial"/>
                <w:sz w:val="13"/>
                <w:szCs w:val="13"/>
                <w:color w:val="auto"/>
              </w:rPr>
              <w:t>74135</w:t>
            </w:r>
          </w:p>
        </w:tc>
        <w:tc>
          <w:tcPr>
            <w:tcW w:w="1140" w:type="dxa"/>
            <w:vAlign w:val="bottom"/>
          </w:tcPr>
          <w:p>
            <w:pPr>
              <w:spacing w:after="0"/>
              <w:rPr>
                <w:sz w:val="14"/>
                <w:szCs w:val="14"/>
                <w:color w:val="auto"/>
              </w:rPr>
            </w:pPr>
          </w:p>
        </w:tc>
      </w:tr>
      <w:tr>
        <w:trPr>
          <w:trHeight w:val="28"/>
        </w:trPr>
        <w:tc>
          <w:tcPr>
            <w:tcW w:w="2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2"/>
        </w:trPr>
        <w:tc>
          <w:tcPr>
            <w:tcW w:w="2440" w:type="dxa"/>
            <w:vAlign w:val="bottom"/>
          </w:tcPr>
          <w:p>
            <w:pPr>
              <w:ind w:left="40"/>
              <w:spacing w:after="0"/>
              <w:rPr>
                <w:sz w:val="20"/>
                <w:szCs w:val="20"/>
                <w:color w:val="auto"/>
              </w:rPr>
            </w:pPr>
            <w:r>
              <w:rPr>
                <w:rFonts w:ascii="Arial" w:cs="Arial" w:eastAsia="Arial" w:hAnsi="Arial"/>
                <w:sz w:val="13"/>
                <w:szCs w:val="13"/>
                <w:color w:val="auto"/>
              </w:rPr>
              <w:t>River Consulting Colombia, S.A.S.</w:t>
            </w:r>
          </w:p>
        </w:tc>
        <w:tc>
          <w:tcPr>
            <w:tcW w:w="1620" w:type="dxa"/>
            <w:vAlign w:val="bottom"/>
          </w:tcPr>
          <w:p>
            <w:pPr>
              <w:ind w:left="40"/>
              <w:spacing w:after="0"/>
              <w:rPr>
                <w:sz w:val="20"/>
                <w:szCs w:val="20"/>
                <w:color w:val="auto"/>
              </w:rPr>
            </w:pPr>
            <w:r>
              <w:rPr>
                <w:rFonts w:ascii="Arial" w:cs="Arial" w:eastAsia="Arial" w:hAnsi="Arial"/>
                <w:sz w:val="13"/>
                <w:szCs w:val="13"/>
                <w:color w:val="auto"/>
              </w:rPr>
              <w:t>N/A</w:t>
            </w:r>
          </w:p>
        </w:tc>
        <w:tc>
          <w:tcPr>
            <w:tcW w:w="1600" w:type="dxa"/>
            <w:vAlign w:val="bottom"/>
          </w:tcPr>
          <w:p>
            <w:pPr>
              <w:spacing w:after="0"/>
              <w:rPr>
                <w:sz w:val="20"/>
                <w:szCs w:val="20"/>
                <w:color w:val="auto"/>
              </w:rPr>
            </w:pPr>
            <w:r>
              <w:rPr>
                <w:rFonts w:ascii="Arial" w:cs="Arial" w:eastAsia="Arial" w:hAnsi="Arial"/>
                <w:sz w:val="13"/>
                <w:szCs w:val="13"/>
                <w:color w:val="auto"/>
              </w:rPr>
              <w:t>Colombia</w:t>
            </w:r>
          </w:p>
        </w:tc>
        <w:tc>
          <w:tcPr>
            <w:tcW w:w="1360" w:type="dxa"/>
            <w:vAlign w:val="bottom"/>
          </w:tcPr>
          <w:p>
            <w:pPr>
              <w:ind w:left="20"/>
              <w:spacing w:after="0"/>
              <w:rPr>
                <w:sz w:val="20"/>
                <w:szCs w:val="20"/>
                <w:color w:val="auto"/>
              </w:rPr>
            </w:pPr>
            <w:r>
              <w:rPr>
                <w:rFonts w:ascii="Arial" w:cs="Arial" w:eastAsia="Arial" w:hAnsi="Arial"/>
                <w:sz w:val="13"/>
                <w:szCs w:val="13"/>
                <w:color w:val="auto"/>
              </w:rPr>
              <w:t>River</w:t>
            </w:r>
          </w:p>
        </w:tc>
        <w:tc>
          <w:tcPr>
            <w:tcW w:w="1840" w:type="dxa"/>
            <w:vAlign w:val="bottom"/>
          </w:tcPr>
          <w:p>
            <w:pPr>
              <w:jc w:val="right"/>
              <w:ind w:right="1454"/>
              <w:spacing w:after="0"/>
              <w:rPr>
                <w:sz w:val="20"/>
                <w:szCs w:val="20"/>
                <w:color w:val="auto"/>
              </w:rPr>
            </w:pPr>
            <w:r>
              <w:rPr>
                <w:rFonts w:ascii="Arial" w:cs="Arial" w:eastAsia="Arial" w:hAnsi="Arial"/>
                <w:sz w:val="13"/>
                <w:szCs w:val="13"/>
                <w:color w:val="auto"/>
                <w:w w:val="90"/>
              </w:rPr>
              <w:t>100%</w:t>
            </w:r>
          </w:p>
        </w:tc>
        <w:tc>
          <w:tcPr>
            <w:tcW w:w="1480" w:type="dxa"/>
            <w:vAlign w:val="bottom"/>
          </w:tcPr>
          <w:p>
            <w:pPr>
              <w:spacing w:after="0"/>
              <w:rPr>
                <w:sz w:val="20"/>
                <w:szCs w:val="20"/>
                <w:color w:val="auto"/>
              </w:rPr>
            </w:pPr>
            <w:r>
              <w:rPr>
                <w:rFonts w:ascii="Arial" w:cs="Arial" w:eastAsia="Arial" w:hAnsi="Arial"/>
                <w:sz w:val="13"/>
                <w:szCs w:val="13"/>
                <w:color w:val="auto"/>
              </w:rPr>
              <w:t>5100 East</w:t>
            </w:r>
          </w:p>
        </w:tc>
        <w:tc>
          <w:tcPr>
            <w:tcW w:w="1140" w:type="dxa"/>
            <w:vAlign w:val="bottom"/>
          </w:tcPr>
          <w:p>
            <w:pPr>
              <w:ind w:left="60"/>
              <w:spacing w:after="0"/>
              <w:rPr>
                <w:sz w:val="20"/>
                <w:szCs w:val="20"/>
                <w:color w:val="auto"/>
              </w:rPr>
            </w:pPr>
            <w:r>
              <w:rPr>
                <w:rFonts w:ascii="Arial" w:cs="Arial" w:eastAsia="Arial" w:hAnsi="Arial"/>
                <w:sz w:val="13"/>
                <w:szCs w:val="13"/>
                <w:color w:val="auto"/>
              </w:rPr>
              <w:t>N</w:t>
            </w:r>
          </w:p>
        </w:tc>
      </w:tr>
      <w:tr>
        <w:trPr>
          <w:trHeight w:val="165"/>
        </w:trPr>
        <w:tc>
          <w:tcPr>
            <w:tcW w:w="2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rPr>
              <w:t>International,</w:t>
            </w:r>
          </w:p>
        </w:tc>
        <w:tc>
          <w:tcPr>
            <w:tcW w:w="1840" w:type="dxa"/>
            <w:vAlign w:val="bottom"/>
          </w:tcPr>
          <w:p>
            <w:pPr>
              <w:spacing w:after="0"/>
              <w:rPr>
                <w:sz w:val="14"/>
                <w:szCs w:val="14"/>
                <w:color w:val="auto"/>
              </w:rPr>
            </w:pPr>
          </w:p>
        </w:tc>
        <w:tc>
          <w:tcPr>
            <w:tcW w:w="1480" w:type="dxa"/>
            <w:vAlign w:val="bottom"/>
          </w:tcPr>
          <w:p>
            <w:pPr>
              <w:spacing w:after="0"/>
              <w:rPr>
                <w:sz w:val="20"/>
                <w:szCs w:val="20"/>
                <w:color w:val="auto"/>
              </w:rPr>
            </w:pPr>
            <w:r>
              <w:rPr>
                <w:rFonts w:ascii="Arial" w:cs="Arial" w:eastAsia="Arial" w:hAnsi="Arial"/>
                <w:sz w:val="13"/>
                <w:szCs w:val="13"/>
                <w:color w:val="auto"/>
              </w:rPr>
              <w:t>Skelly Dr.,</w:t>
            </w:r>
          </w:p>
        </w:tc>
        <w:tc>
          <w:tcPr>
            <w:tcW w:w="1140" w:type="dxa"/>
            <w:vAlign w:val="bottom"/>
          </w:tcPr>
          <w:p>
            <w:pPr>
              <w:spacing w:after="0"/>
              <w:rPr>
                <w:sz w:val="14"/>
                <w:szCs w:val="14"/>
                <w:color w:val="auto"/>
              </w:rPr>
            </w:pPr>
          </w:p>
        </w:tc>
      </w:tr>
      <w:tr>
        <w:trPr>
          <w:trHeight w:val="165"/>
        </w:trPr>
        <w:tc>
          <w:tcPr>
            <w:tcW w:w="2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rPr>
              <w:t>LLC</w:t>
            </w:r>
          </w:p>
        </w:tc>
        <w:tc>
          <w:tcPr>
            <w:tcW w:w="1840" w:type="dxa"/>
            <w:vAlign w:val="bottom"/>
          </w:tcPr>
          <w:p>
            <w:pPr>
              <w:spacing w:after="0"/>
              <w:rPr>
                <w:sz w:val="14"/>
                <w:szCs w:val="14"/>
                <w:color w:val="auto"/>
              </w:rPr>
            </w:pPr>
          </w:p>
        </w:tc>
        <w:tc>
          <w:tcPr>
            <w:tcW w:w="1480" w:type="dxa"/>
            <w:vAlign w:val="bottom"/>
          </w:tcPr>
          <w:p>
            <w:pPr>
              <w:spacing w:after="0"/>
              <w:rPr>
                <w:sz w:val="20"/>
                <w:szCs w:val="20"/>
                <w:color w:val="auto"/>
              </w:rPr>
            </w:pPr>
            <w:r>
              <w:rPr>
                <w:rFonts w:ascii="Arial" w:cs="Arial" w:eastAsia="Arial" w:hAnsi="Arial"/>
                <w:sz w:val="13"/>
                <w:szCs w:val="13"/>
                <w:color w:val="auto"/>
              </w:rPr>
              <w:t>Suite 100</w:t>
            </w:r>
          </w:p>
        </w:tc>
        <w:tc>
          <w:tcPr>
            <w:tcW w:w="1140" w:type="dxa"/>
            <w:vAlign w:val="bottom"/>
          </w:tcPr>
          <w:p>
            <w:pPr>
              <w:spacing w:after="0"/>
              <w:rPr>
                <w:sz w:val="14"/>
                <w:szCs w:val="14"/>
                <w:color w:val="auto"/>
              </w:rPr>
            </w:pPr>
          </w:p>
        </w:tc>
      </w:tr>
      <w:tr>
        <w:trPr>
          <w:trHeight w:val="165"/>
        </w:trPr>
        <w:tc>
          <w:tcPr>
            <w:tcW w:w="2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80" w:type="dxa"/>
            <w:vAlign w:val="bottom"/>
          </w:tcPr>
          <w:p>
            <w:pPr>
              <w:spacing w:after="0"/>
              <w:rPr>
                <w:sz w:val="20"/>
                <w:szCs w:val="20"/>
                <w:color w:val="auto"/>
              </w:rPr>
            </w:pPr>
            <w:r>
              <w:rPr>
                <w:rFonts w:ascii="Arial" w:cs="Arial" w:eastAsia="Arial" w:hAnsi="Arial"/>
                <w:sz w:val="13"/>
                <w:szCs w:val="13"/>
                <w:color w:val="auto"/>
              </w:rPr>
              <w:t>Tulsa, OK</w:t>
            </w:r>
          </w:p>
        </w:tc>
        <w:tc>
          <w:tcPr>
            <w:tcW w:w="1140" w:type="dxa"/>
            <w:vAlign w:val="bottom"/>
          </w:tcPr>
          <w:p>
            <w:pPr>
              <w:spacing w:after="0"/>
              <w:rPr>
                <w:sz w:val="14"/>
                <w:szCs w:val="14"/>
                <w:color w:val="auto"/>
              </w:rPr>
            </w:pPr>
          </w:p>
        </w:tc>
      </w:tr>
      <w:tr>
        <w:trPr>
          <w:trHeight w:val="166"/>
        </w:trPr>
        <w:tc>
          <w:tcPr>
            <w:tcW w:w="2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80" w:type="dxa"/>
            <w:vAlign w:val="bottom"/>
          </w:tcPr>
          <w:p>
            <w:pPr>
              <w:spacing w:after="0"/>
              <w:rPr>
                <w:sz w:val="20"/>
                <w:szCs w:val="20"/>
                <w:color w:val="auto"/>
              </w:rPr>
            </w:pPr>
            <w:r>
              <w:rPr>
                <w:rFonts w:ascii="Arial" w:cs="Arial" w:eastAsia="Arial" w:hAnsi="Arial"/>
                <w:sz w:val="13"/>
                <w:szCs w:val="13"/>
                <w:color w:val="auto"/>
              </w:rPr>
              <w:t>74135</w:t>
            </w:r>
          </w:p>
        </w:tc>
        <w:tc>
          <w:tcPr>
            <w:tcW w:w="1140" w:type="dxa"/>
            <w:vAlign w:val="bottom"/>
          </w:tcPr>
          <w:p>
            <w:pPr>
              <w:spacing w:after="0"/>
              <w:rPr>
                <w:sz w:val="14"/>
                <w:szCs w:val="14"/>
                <w:color w:val="auto"/>
              </w:rPr>
            </w:pPr>
          </w:p>
        </w:tc>
      </w:tr>
      <w:tr>
        <w:trPr>
          <w:trHeight w:val="28"/>
        </w:trPr>
        <w:tc>
          <w:tcPr>
            <w:tcW w:w="2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2"/>
        </w:trPr>
        <w:tc>
          <w:tcPr>
            <w:tcW w:w="2440" w:type="dxa"/>
            <w:vAlign w:val="bottom"/>
          </w:tcPr>
          <w:p>
            <w:pPr>
              <w:ind w:left="40"/>
              <w:spacing w:after="0"/>
              <w:rPr>
                <w:sz w:val="20"/>
                <w:szCs w:val="20"/>
                <w:color w:val="auto"/>
              </w:rPr>
            </w:pPr>
            <w:r>
              <w:rPr>
                <w:rFonts w:ascii="Arial" w:cs="Arial" w:eastAsia="Arial" w:hAnsi="Arial"/>
                <w:sz w:val="13"/>
                <w:szCs w:val="13"/>
                <w:color w:val="auto"/>
              </w:rPr>
              <w:t>River Food Services,</w:t>
            </w:r>
          </w:p>
        </w:tc>
        <w:tc>
          <w:tcPr>
            <w:tcW w:w="1620" w:type="dxa"/>
            <w:vAlign w:val="bottom"/>
          </w:tcPr>
          <w:p>
            <w:pPr>
              <w:ind w:left="40"/>
              <w:spacing w:after="0"/>
              <w:rPr>
                <w:sz w:val="20"/>
                <w:szCs w:val="20"/>
                <w:color w:val="auto"/>
              </w:rPr>
            </w:pPr>
            <w:r>
              <w:rPr>
                <w:rFonts w:ascii="Arial" w:cs="Arial" w:eastAsia="Arial" w:hAnsi="Arial"/>
                <w:sz w:val="13"/>
                <w:szCs w:val="13"/>
                <w:color w:val="auto"/>
              </w:rPr>
              <w:t>N/A</w:t>
            </w:r>
          </w:p>
        </w:tc>
        <w:tc>
          <w:tcPr>
            <w:tcW w:w="1600" w:type="dxa"/>
            <w:vAlign w:val="bottom"/>
          </w:tcPr>
          <w:p>
            <w:pPr>
              <w:spacing w:after="0"/>
              <w:rPr>
                <w:sz w:val="20"/>
                <w:szCs w:val="20"/>
                <w:color w:val="auto"/>
              </w:rPr>
            </w:pPr>
            <w:r>
              <w:rPr>
                <w:rFonts w:ascii="Arial" w:cs="Arial" w:eastAsia="Arial" w:hAnsi="Arial"/>
                <w:sz w:val="13"/>
                <w:szCs w:val="13"/>
                <w:color w:val="auto"/>
              </w:rPr>
              <w:t>Maryland</w:t>
            </w:r>
          </w:p>
        </w:tc>
        <w:tc>
          <w:tcPr>
            <w:tcW w:w="1360" w:type="dxa"/>
            <w:vAlign w:val="bottom"/>
          </w:tcPr>
          <w:p>
            <w:pPr>
              <w:ind w:left="20"/>
              <w:spacing w:after="0"/>
              <w:rPr>
                <w:sz w:val="20"/>
                <w:szCs w:val="20"/>
                <w:color w:val="auto"/>
              </w:rPr>
            </w:pPr>
            <w:r>
              <w:rPr>
                <w:rFonts w:ascii="Arial" w:cs="Arial" w:eastAsia="Arial" w:hAnsi="Arial"/>
                <w:sz w:val="13"/>
                <w:szCs w:val="13"/>
                <w:color w:val="auto"/>
              </w:rPr>
              <w:t>Houston</w:t>
            </w:r>
          </w:p>
        </w:tc>
        <w:tc>
          <w:tcPr>
            <w:tcW w:w="1840" w:type="dxa"/>
            <w:vAlign w:val="bottom"/>
          </w:tcPr>
          <w:p>
            <w:pPr>
              <w:jc w:val="right"/>
              <w:ind w:right="1454"/>
              <w:spacing w:after="0"/>
              <w:rPr>
                <w:sz w:val="20"/>
                <w:szCs w:val="20"/>
                <w:color w:val="auto"/>
              </w:rPr>
            </w:pPr>
            <w:r>
              <w:rPr>
                <w:rFonts w:ascii="Arial" w:cs="Arial" w:eastAsia="Arial" w:hAnsi="Arial"/>
                <w:sz w:val="13"/>
                <w:szCs w:val="13"/>
                <w:color w:val="auto"/>
                <w:w w:val="90"/>
              </w:rPr>
              <w:t>100%</w:t>
            </w:r>
          </w:p>
        </w:tc>
        <w:tc>
          <w:tcPr>
            <w:tcW w:w="1480" w:type="dxa"/>
            <w:vAlign w:val="bottom"/>
          </w:tcPr>
          <w:p>
            <w:pPr>
              <w:spacing w:after="0"/>
              <w:rPr>
                <w:sz w:val="20"/>
                <w:szCs w:val="20"/>
                <w:color w:val="auto"/>
              </w:rPr>
            </w:pPr>
            <w:r>
              <w:rPr>
                <w:rFonts w:ascii="Arial" w:cs="Arial" w:eastAsia="Arial" w:hAnsi="Arial"/>
                <w:sz w:val="13"/>
                <w:szCs w:val="13"/>
                <w:color w:val="auto"/>
              </w:rPr>
              <w:t>5100 East</w:t>
            </w:r>
          </w:p>
        </w:tc>
        <w:tc>
          <w:tcPr>
            <w:tcW w:w="1140" w:type="dxa"/>
            <w:vAlign w:val="bottom"/>
          </w:tcPr>
          <w:p>
            <w:pPr>
              <w:ind w:left="60"/>
              <w:spacing w:after="0"/>
              <w:rPr>
                <w:sz w:val="20"/>
                <w:szCs w:val="20"/>
                <w:color w:val="auto"/>
              </w:rPr>
            </w:pPr>
            <w:r>
              <w:rPr>
                <w:rFonts w:ascii="Arial" w:cs="Arial" w:eastAsia="Arial" w:hAnsi="Arial"/>
                <w:sz w:val="13"/>
                <w:szCs w:val="13"/>
                <w:color w:val="auto"/>
              </w:rPr>
              <w:t>N</w:t>
            </w:r>
          </w:p>
        </w:tc>
      </w:tr>
      <w:tr>
        <w:trPr>
          <w:trHeight w:val="165"/>
        </w:trPr>
        <w:tc>
          <w:tcPr>
            <w:tcW w:w="2440" w:type="dxa"/>
            <w:vAlign w:val="bottom"/>
          </w:tcPr>
          <w:p>
            <w:pPr>
              <w:ind w:left="40"/>
              <w:spacing w:after="0"/>
              <w:rPr>
                <w:sz w:val="20"/>
                <w:szCs w:val="20"/>
                <w:color w:val="auto"/>
              </w:rPr>
            </w:pPr>
            <w:r>
              <w:rPr>
                <w:rFonts w:ascii="Arial" w:cs="Arial" w:eastAsia="Arial" w:hAnsi="Arial"/>
                <w:sz w:val="13"/>
                <w:szCs w:val="13"/>
                <w:color w:val="auto"/>
              </w:rPr>
              <w:t>LLC</w:t>
            </w:r>
          </w:p>
        </w:tc>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rPr>
              <w:t>Interests (River),</w:t>
            </w:r>
          </w:p>
        </w:tc>
        <w:tc>
          <w:tcPr>
            <w:tcW w:w="1840" w:type="dxa"/>
            <w:vAlign w:val="bottom"/>
          </w:tcPr>
          <w:p>
            <w:pPr>
              <w:spacing w:after="0"/>
              <w:rPr>
                <w:sz w:val="14"/>
                <w:szCs w:val="14"/>
                <w:color w:val="auto"/>
              </w:rPr>
            </w:pPr>
          </w:p>
        </w:tc>
        <w:tc>
          <w:tcPr>
            <w:tcW w:w="1480" w:type="dxa"/>
            <w:vAlign w:val="bottom"/>
          </w:tcPr>
          <w:p>
            <w:pPr>
              <w:spacing w:after="0"/>
              <w:rPr>
                <w:sz w:val="20"/>
                <w:szCs w:val="20"/>
                <w:color w:val="auto"/>
              </w:rPr>
            </w:pPr>
            <w:r>
              <w:rPr>
                <w:rFonts w:ascii="Arial" w:cs="Arial" w:eastAsia="Arial" w:hAnsi="Arial"/>
                <w:sz w:val="13"/>
                <w:szCs w:val="13"/>
                <w:color w:val="auto"/>
              </w:rPr>
              <w:t>Skelly Dr.,</w:t>
            </w:r>
          </w:p>
        </w:tc>
        <w:tc>
          <w:tcPr>
            <w:tcW w:w="1140" w:type="dxa"/>
            <w:vAlign w:val="bottom"/>
          </w:tcPr>
          <w:p>
            <w:pPr>
              <w:spacing w:after="0"/>
              <w:rPr>
                <w:sz w:val="14"/>
                <w:szCs w:val="14"/>
                <w:color w:val="auto"/>
              </w:rPr>
            </w:pPr>
          </w:p>
        </w:tc>
      </w:tr>
      <w:tr>
        <w:trPr>
          <w:trHeight w:val="165"/>
        </w:trPr>
        <w:tc>
          <w:tcPr>
            <w:tcW w:w="2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rPr>
              <w:t>LLC</w:t>
            </w:r>
          </w:p>
        </w:tc>
        <w:tc>
          <w:tcPr>
            <w:tcW w:w="1840" w:type="dxa"/>
            <w:vAlign w:val="bottom"/>
          </w:tcPr>
          <w:p>
            <w:pPr>
              <w:spacing w:after="0"/>
              <w:rPr>
                <w:sz w:val="14"/>
                <w:szCs w:val="14"/>
                <w:color w:val="auto"/>
              </w:rPr>
            </w:pPr>
          </w:p>
        </w:tc>
        <w:tc>
          <w:tcPr>
            <w:tcW w:w="1480" w:type="dxa"/>
            <w:vAlign w:val="bottom"/>
          </w:tcPr>
          <w:p>
            <w:pPr>
              <w:spacing w:after="0"/>
              <w:rPr>
                <w:sz w:val="20"/>
                <w:szCs w:val="20"/>
                <w:color w:val="auto"/>
              </w:rPr>
            </w:pPr>
            <w:r>
              <w:rPr>
                <w:rFonts w:ascii="Arial" w:cs="Arial" w:eastAsia="Arial" w:hAnsi="Arial"/>
                <w:sz w:val="13"/>
                <w:szCs w:val="13"/>
                <w:color w:val="auto"/>
              </w:rPr>
              <w:t>Suite 100</w:t>
            </w:r>
          </w:p>
        </w:tc>
        <w:tc>
          <w:tcPr>
            <w:tcW w:w="1140" w:type="dxa"/>
            <w:vAlign w:val="bottom"/>
          </w:tcPr>
          <w:p>
            <w:pPr>
              <w:spacing w:after="0"/>
              <w:rPr>
                <w:sz w:val="14"/>
                <w:szCs w:val="14"/>
                <w:color w:val="auto"/>
              </w:rPr>
            </w:pPr>
          </w:p>
        </w:tc>
      </w:tr>
      <w:tr>
        <w:trPr>
          <w:trHeight w:val="165"/>
        </w:trPr>
        <w:tc>
          <w:tcPr>
            <w:tcW w:w="2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80" w:type="dxa"/>
            <w:vAlign w:val="bottom"/>
          </w:tcPr>
          <w:p>
            <w:pPr>
              <w:spacing w:after="0"/>
              <w:rPr>
                <w:sz w:val="20"/>
                <w:szCs w:val="20"/>
                <w:color w:val="auto"/>
              </w:rPr>
            </w:pPr>
            <w:r>
              <w:rPr>
                <w:rFonts w:ascii="Arial" w:cs="Arial" w:eastAsia="Arial" w:hAnsi="Arial"/>
                <w:sz w:val="13"/>
                <w:szCs w:val="13"/>
                <w:color w:val="auto"/>
              </w:rPr>
              <w:t>Tulsa, OK</w:t>
            </w:r>
          </w:p>
        </w:tc>
        <w:tc>
          <w:tcPr>
            <w:tcW w:w="1140" w:type="dxa"/>
            <w:vAlign w:val="bottom"/>
          </w:tcPr>
          <w:p>
            <w:pPr>
              <w:spacing w:after="0"/>
              <w:rPr>
                <w:sz w:val="14"/>
                <w:szCs w:val="14"/>
                <w:color w:val="auto"/>
              </w:rPr>
            </w:pPr>
          </w:p>
        </w:tc>
      </w:tr>
      <w:tr>
        <w:trPr>
          <w:trHeight w:val="166"/>
        </w:trPr>
        <w:tc>
          <w:tcPr>
            <w:tcW w:w="2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80" w:type="dxa"/>
            <w:vAlign w:val="bottom"/>
          </w:tcPr>
          <w:p>
            <w:pPr>
              <w:spacing w:after="0"/>
              <w:rPr>
                <w:sz w:val="20"/>
                <w:szCs w:val="20"/>
                <w:color w:val="auto"/>
              </w:rPr>
            </w:pPr>
            <w:r>
              <w:rPr>
                <w:rFonts w:ascii="Arial" w:cs="Arial" w:eastAsia="Arial" w:hAnsi="Arial"/>
                <w:sz w:val="13"/>
                <w:szCs w:val="13"/>
                <w:color w:val="auto"/>
              </w:rPr>
              <w:t>74135</w:t>
            </w:r>
          </w:p>
        </w:tc>
        <w:tc>
          <w:tcPr>
            <w:tcW w:w="1140" w:type="dxa"/>
            <w:vAlign w:val="bottom"/>
          </w:tcPr>
          <w:p>
            <w:pPr>
              <w:spacing w:after="0"/>
              <w:rPr>
                <w:sz w:val="14"/>
                <w:szCs w:val="14"/>
                <w:color w:val="auto"/>
              </w:rPr>
            </w:pPr>
          </w:p>
        </w:tc>
      </w:tr>
      <w:tr>
        <w:trPr>
          <w:trHeight w:val="28"/>
        </w:trPr>
        <w:tc>
          <w:tcPr>
            <w:tcW w:w="2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2"/>
        </w:trPr>
        <w:tc>
          <w:tcPr>
            <w:tcW w:w="2440" w:type="dxa"/>
            <w:vAlign w:val="bottom"/>
          </w:tcPr>
          <w:p>
            <w:pPr>
              <w:ind w:left="40"/>
              <w:spacing w:after="0"/>
              <w:rPr>
                <w:sz w:val="20"/>
                <w:szCs w:val="20"/>
                <w:color w:val="auto"/>
              </w:rPr>
            </w:pPr>
            <w:r>
              <w:rPr>
                <w:rFonts w:ascii="Arial" w:cs="Arial" w:eastAsia="Arial" w:hAnsi="Arial"/>
                <w:sz w:val="13"/>
                <w:szCs w:val="13"/>
                <w:color w:val="auto"/>
              </w:rPr>
              <w:t>Devco World, LLC</w:t>
            </w:r>
          </w:p>
        </w:tc>
        <w:tc>
          <w:tcPr>
            <w:tcW w:w="1620" w:type="dxa"/>
            <w:vAlign w:val="bottom"/>
          </w:tcPr>
          <w:p>
            <w:pPr>
              <w:ind w:left="40"/>
              <w:spacing w:after="0"/>
              <w:rPr>
                <w:sz w:val="20"/>
                <w:szCs w:val="20"/>
                <w:color w:val="auto"/>
              </w:rPr>
            </w:pPr>
            <w:r>
              <w:rPr>
                <w:rFonts w:ascii="Arial" w:cs="Arial" w:eastAsia="Arial" w:hAnsi="Arial"/>
                <w:sz w:val="13"/>
                <w:szCs w:val="13"/>
                <w:color w:val="auto"/>
              </w:rPr>
              <w:t>N/A</w:t>
            </w:r>
          </w:p>
        </w:tc>
        <w:tc>
          <w:tcPr>
            <w:tcW w:w="1600" w:type="dxa"/>
            <w:vAlign w:val="bottom"/>
          </w:tcPr>
          <w:p>
            <w:pPr>
              <w:spacing w:after="0"/>
              <w:rPr>
                <w:sz w:val="20"/>
                <w:szCs w:val="20"/>
                <w:color w:val="auto"/>
              </w:rPr>
            </w:pPr>
            <w:r>
              <w:rPr>
                <w:rFonts w:ascii="Arial" w:cs="Arial" w:eastAsia="Arial" w:hAnsi="Arial"/>
                <w:sz w:val="13"/>
                <w:szCs w:val="13"/>
                <w:color w:val="auto"/>
              </w:rPr>
              <w:t>Oklahoma</w:t>
            </w:r>
          </w:p>
        </w:tc>
        <w:tc>
          <w:tcPr>
            <w:tcW w:w="1360" w:type="dxa"/>
            <w:vAlign w:val="bottom"/>
          </w:tcPr>
          <w:p>
            <w:pPr>
              <w:ind w:left="20"/>
              <w:spacing w:after="0"/>
              <w:rPr>
                <w:sz w:val="20"/>
                <w:szCs w:val="20"/>
                <w:color w:val="auto"/>
              </w:rPr>
            </w:pPr>
            <w:r>
              <w:rPr>
                <w:rFonts w:ascii="Arial" w:cs="Arial" w:eastAsia="Arial" w:hAnsi="Arial"/>
                <w:sz w:val="13"/>
                <w:szCs w:val="13"/>
                <w:color w:val="auto"/>
              </w:rPr>
              <w:t>Houston</w:t>
            </w:r>
          </w:p>
        </w:tc>
        <w:tc>
          <w:tcPr>
            <w:tcW w:w="1840" w:type="dxa"/>
            <w:vAlign w:val="bottom"/>
          </w:tcPr>
          <w:p>
            <w:pPr>
              <w:jc w:val="right"/>
              <w:ind w:right="1454"/>
              <w:spacing w:after="0"/>
              <w:rPr>
                <w:sz w:val="20"/>
                <w:szCs w:val="20"/>
                <w:color w:val="auto"/>
              </w:rPr>
            </w:pPr>
            <w:r>
              <w:rPr>
                <w:rFonts w:ascii="Arial" w:cs="Arial" w:eastAsia="Arial" w:hAnsi="Arial"/>
                <w:sz w:val="13"/>
                <w:szCs w:val="13"/>
                <w:color w:val="auto"/>
                <w:w w:val="90"/>
              </w:rPr>
              <w:t>100%</w:t>
            </w:r>
          </w:p>
        </w:tc>
        <w:tc>
          <w:tcPr>
            <w:tcW w:w="1480" w:type="dxa"/>
            <w:vAlign w:val="bottom"/>
          </w:tcPr>
          <w:p>
            <w:pPr>
              <w:spacing w:after="0"/>
              <w:rPr>
                <w:sz w:val="20"/>
                <w:szCs w:val="20"/>
                <w:color w:val="auto"/>
              </w:rPr>
            </w:pPr>
            <w:r>
              <w:rPr>
                <w:rFonts w:ascii="Arial" w:cs="Arial" w:eastAsia="Arial" w:hAnsi="Arial"/>
                <w:sz w:val="13"/>
                <w:szCs w:val="13"/>
                <w:color w:val="auto"/>
              </w:rPr>
              <w:t>5100 East</w:t>
            </w:r>
          </w:p>
        </w:tc>
        <w:tc>
          <w:tcPr>
            <w:tcW w:w="1140" w:type="dxa"/>
            <w:vAlign w:val="bottom"/>
          </w:tcPr>
          <w:p>
            <w:pPr>
              <w:ind w:left="60"/>
              <w:spacing w:after="0"/>
              <w:rPr>
                <w:sz w:val="20"/>
                <w:szCs w:val="20"/>
                <w:color w:val="auto"/>
              </w:rPr>
            </w:pPr>
            <w:r>
              <w:rPr>
                <w:rFonts w:ascii="Arial" w:cs="Arial" w:eastAsia="Arial" w:hAnsi="Arial"/>
                <w:sz w:val="13"/>
                <w:szCs w:val="13"/>
                <w:color w:val="auto"/>
              </w:rPr>
              <w:t>N</w:t>
            </w:r>
          </w:p>
        </w:tc>
      </w:tr>
      <w:tr>
        <w:trPr>
          <w:trHeight w:val="165"/>
        </w:trPr>
        <w:tc>
          <w:tcPr>
            <w:tcW w:w="2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rPr>
              <w:t>Interests, LLC</w:t>
            </w:r>
          </w:p>
        </w:tc>
        <w:tc>
          <w:tcPr>
            <w:tcW w:w="1840" w:type="dxa"/>
            <w:vAlign w:val="bottom"/>
          </w:tcPr>
          <w:p>
            <w:pPr>
              <w:spacing w:after="0"/>
              <w:rPr>
                <w:sz w:val="14"/>
                <w:szCs w:val="14"/>
                <w:color w:val="auto"/>
              </w:rPr>
            </w:pPr>
          </w:p>
        </w:tc>
        <w:tc>
          <w:tcPr>
            <w:tcW w:w="1480" w:type="dxa"/>
            <w:vAlign w:val="bottom"/>
          </w:tcPr>
          <w:p>
            <w:pPr>
              <w:spacing w:after="0"/>
              <w:rPr>
                <w:sz w:val="20"/>
                <w:szCs w:val="20"/>
                <w:color w:val="auto"/>
              </w:rPr>
            </w:pPr>
            <w:r>
              <w:rPr>
                <w:rFonts w:ascii="Arial" w:cs="Arial" w:eastAsia="Arial" w:hAnsi="Arial"/>
                <w:sz w:val="13"/>
                <w:szCs w:val="13"/>
                <w:color w:val="auto"/>
              </w:rPr>
              <w:t>Skelly Dr.,</w:t>
            </w:r>
          </w:p>
        </w:tc>
        <w:tc>
          <w:tcPr>
            <w:tcW w:w="1140" w:type="dxa"/>
            <w:vAlign w:val="bottom"/>
          </w:tcPr>
          <w:p>
            <w:pPr>
              <w:spacing w:after="0"/>
              <w:rPr>
                <w:sz w:val="14"/>
                <w:szCs w:val="14"/>
                <w:color w:val="auto"/>
              </w:rPr>
            </w:pPr>
          </w:p>
        </w:tc>
      </w:tr>
      <w:tr>
        <w:trPr>
          <w:trHeight w:val="165"/>
        </w:trPr>
        <w:tc>
          <w:tcPr>
            <w:tcW w:w="2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80" w:type="dxa"/>
            <w:vAlign w:val="bottom"/>
          </w:tcPr>
          <w:p>
            <w:pPr>
              <w:spacing w:after="0"/>
              <w:rPr>
                <w:sz w:val="20"/>
                <w:szCs w:val="20"/>
                <w:color w:val="auto"/>
              </w:rPr>
            </w:pPr>
            <w:r>
              <w:rPr>
                <w:rFonts w:ascii="Arial" w:cs="Arial" w:eastAsia="Arial" w:hAnsi="Arial"/>
                <w:sz w:val="13"/>
                <w:szCs w:val="13"/>
                <w:color w:val="auto"/>
              </w:rPr>
              <w:t>Suite 100</w:t>
            </w:r>
          </w:p>
        </w:tc>
        <w:tc>
          <w:tcPr>
            <w:tcW w:w="1140" w:type="dxa"/>
            <w:vAlign w:val="bottom"/>
          </w:tcPr>
          <w:p>
            <w:pPr>
              <w:spacing w:after="0"/>
              <w:rPr>
                <w:sz w:val="14"/>
                <w:szCs w:val="14"/>
                <w:color w:val="auto"/>
              </w:rPr>
            </w:pPr>
          </w:p>
        </w:tc>
      </w:tr>
      <w:tr>
        <w:trPr>
          <w:trHeight w:val="165"/>
        </w:trPr>
        <w:tc>
          <w:tcPr>
            <w:tcW w:w="2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80" w:type="dxa"/>
            <w:vAlign w:val="bottom"/>
          </w:tcPr>
          <w:p>
            <w:pPr>
              <w:spacing w:after="0"/>
              <w:rPr>
                <w:sz w:val="20"/>
                <w:szCs w:val="20"/>
                <w:color w:val="auto"/>
              </w:rPr>
            </w:pPr>
            <w:r>
              <w:rPr>
                <w:rFonts w:ascii="Arial" w:cs="Arial" w:eastAsia="Arial" w:hAnsi="Arial"/>
                <w:sz w:val="13"/>
                <w:szCs w:val="13"/>
                <w:color w:val="auto"/>
              </w:rPr>
              <w:t>Tulsa, OK</w:t>
            </w:r>
          </w:p>
        </w:tc>
        <w:tc>
          <w:tcPr>
            <w:tcW w:w="1140" w:type="dxa"/>
            <w:vAlign w:val="bottom"/>
          </w:tcPr>
          <w:p>
            <w:pPr>
              <w:spacing w:after="0"/>
              <w:rPr>
                <w:sz w:val="14"/>
                <w:szCs w:val="14"/>
                <w:color w:val="auto"/>
              </w:rPr>
            </w:pPr>
          </w:p>
        </w:tc>
      </w:tr>
      <w:tr>
        <w:trPr>
          <w:trHeight w:val="166"/>
        </w:trPr>
        <w:tc>
          <w:tcPr>
            <w:tcW w:w="2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80" w:type="dxa"/>
            <w:vAlign w:val="bottom"/>
          </w:tcPr>
          <w:p>
            <w:pPr>
              <w:spacing w:after="0"/>
              <w:rPr>
                <w:sz w:val="20"/>
                <w:szCs w:val="20"/>
                <w:color w:val="auto"/>
              </w:rPr>
            </w:pPr>
            <w:r>
              <w:rPr>
                <w:rFonts w:ascii="Arial" w:cs="Arial" w:eastAsia="Arial" w:hAnsi="Arial"/>
                <w:sz w:val="13"/>
                <w:szCs w:val="13"/>
                <w:color w:val="auto"/>
              </w:rPr>
              <w:t>74135</w:t>
            </w:r>
          </w:p>
        </w:tc>
        <w:tc>
          <w:tcPr>
            <w:tcW w:w="11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-3354705</wp:posOffset>
            </wp:positionV>
            <wp:extent cx="7279005" cy="3380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9005" cy="3380740"/>
                    </a:xfrm>
                    <a:prstGeom prst="rect">
                      <a:avLst/>
                    </a:prstGeom>
                    <a:noFill/>
                  </pic:spPr>
                </pic:pic>
              </a:graphicData>
            </a:graphic>
          </wp:anchor>
        </w:drawing>
      </w:r>
    </w:p>
    <w:p>
      <w:pPr>
        <w:spacing w:after="0" w:line="4" w:lineRule="exact"/>
        <w:rPr>
          <w:sz w:val="20"/>
          <w:szCs w:val="20"/>
          <w:color w:val="auto"/>
        </w:rPr>
      </w:pPr>
    </w:p>
    <w:p>
      <w:pPr>
        <w:ind w:left="300" w:hanging="292"/>
        <w:spacing w:after="0"/>
        <w:tabs>
          <w:tab w:leader="none" w:pos="3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Not currently considered to be a Subsidiary for purposes of the Credit Agreement - see the revised definition of “Subsidiary”</w:t>
      </w:r>
    </w:p>
    <w:p>
      <w:pPr>
        <w:spacing w:after="0" w:line="205"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5"/>
          <w:szCs w:val="15"/>
          <w:color w:val="auto"/>
        </w:rPr>
        <w:t>116</w:t>
      </w:r>
    </w:p>
    <w:p>
      <w:pPr>
        <w:sectPr>
          <w:pgSz w:w="11900" w:h="16838" w:orient="portrait"/>
          <w:cols w:equalWidth="0" w:num="1">
            <w:col w:w="11480"/>
          </w:cols>
          <w:pgMar w:left="220" w:top="604" w:right="199" w:bottom="1440" w:gutter="0" w:footer="0" w:header="0"/>
        </w:sectPr>
      </w:pPr>
    </w:p>
    <w:bookmarkStart w:id="177" w:name="page178"/>
    <w:bookmarkEnd w:id="177"/>
    <w:p>
      <w:pPr>
        <w:jc w:val="center"/>
        <w:ind w:right="-19"/>
        <w:spacing w:after="0"/>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137795</wp:posOffset>
            </wp:positionH>
            <wp:positionV relativeFrom="page">
              <wp:posOffset>396875</wp:posOffset>
            </wp:positionV>
            <wp:extent cx="7292975" cy="41852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2975" cy="4185285"/>
                    </a:xfrm>
                    <a:prstGeom prst="rect">
                      <a:avLst/>
                    </a:prstGeom>
                    <a:noFill/>
                  </pic:spPr>
                </pic:pic>
              </a:graphicData>
            </a:graphic>
          </wp:anchor>
        </w:drawing>
        <w:t>MATRIX SERVICE COMPANY</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FFFFFF"/>
        </w:rPr>
        <w:t>SCHEDULE 3.17</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FFFFFF"/>
        </w:rPr>
        <w:t>Bonds In Force as of December 31 , 2016</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0" w:type="dxa"/>
            <w:vAlign w:val="bottom"/>
          </w:tcPr>
          <w:p>
            <w:pPr>
              <w:spacing w:after="0"/>
              <w:rPr>
                <w:sz w:val="11"/>
                <w:szCs w:val="11"/>
                <w:color w:val="auto"/>
              </w:rPr>
            </w:pPr>
          </w:p>
        </w:tc>
        <w:tc>
          <w:tcPr>
            <w:tcW w:w="1140" w:type="dxa"/>
            <w:vAlign w:val="bottom"/>
            <w:tcBorders>
              <w:top w:val="single" w:sz="8" w:color="CCCCFF"/>
              <w:right w:val="single" w:sz="8" w:color="CCCCFF"/>
            </w:tcBorders>
          </w:tcPr>
          <w:p>
            <w:pPr>
              <w:spacing w:after="0"/>
              <w:rPr>
                <w:sz w:val="11"/>
                <w:szCs w:val="11"/>
                <w:color w:val="auto"/>
              </w:rPr>
            </w:pPr>
          </w:p>
        </w:tc>
        <w:tc>
          <w:tcPr>
            <w:tcW w:w="1140" w:type="dxa"/>
            <w:vAlign w:val="bottom"/>
            <w:tcBorders>
              <w:top w:val="single" w:sz="8" w:color="CCCCFF"/>
              <w:right w:val="single" w:sz="8" w:color="CCCCFF"/>
            </w:tcBorders>
          </w:tcPr>
          <w:p>
            <w:pPr>
              <w:spacing w:after="0"/>
              <w:rPr>
                <w:sz w:val="11"/>
                <w:szCs w:val="11"/>
                <w:color w:val="auto"/>
              </w:rPr>
            </w:pPr>
          </w:p>
        </w:tc>
        <w:tc>
          <w:tcPr>
            <w:tcW w:w="1140" w:type="dxa"/>
            <w:vAlign w:val="bottom"/>
            <w:tcBorders>
              <w:top w:val="single" w:sz="8" w:color="CCCCFF"/>
              <w:right w:val="single" w:sz="8" w:color="CCCCFF"/>
            </w:tcBorders>
          </w:tcPr>
          <w:p>
            <w:pPr>
              <w:spacing w:after="0"/>
              <w:rPr>
                <w:sz w:val="11"/>
                <w:szCs w:val="11"/>
                <w:color w:val="auto"/>
              </w:rPr>
            </w:pPr>
          </w:p>
        </w:tc>
        <w:tc>
          <w:tcPr>
            <w:tcW w:w="1160" w:type="dxa"/>
            <w:vAlign w:val="bottom"/>
            <w:tcBorders>
              <w:top w:val="single" w:sz="8" w:color="CCCCFF"/>
              <w:right w:val="single" w:sz="8" w:color="CCCCFF"/>
            </w:tcBorders>
          </w:tcPr>
          <w:p>
            <w:pPr>
              <w:spacing w:after="0"/>
              <w:rPr>
                <w:sz w:val="11"/>
                <w:szCs w:val="11"/>
                <w:color w:val="auto"/>
              </w:rPr>
            </w:pPr>
          </w:p>
        </w:tc>
        <w:tc>
          <w:tcPr>
            <w:tcW w:w="1140" w:type="dxa"/>
            <w:vAlign w:val="bottom"/>
            <w:tcBorders>
              <w:top w:val="single" w:sz="8" w:color="CCCCFF"/>
              <w:right w:val="single" w:sz="8" w:color="CCCCFF"/>
            </w:tcBorders>
          </w:tcPr>
          <w:p>
            <w:pPr>
              <w:spacing w:after="0"/>
              <w:rPr>
                <w:sz w:val="11"/>
                <w:szCs w:val="11"/>
                <w:color w:val="auto"/>
              </w:rPr>
            </w:pPr>
          </w:p>
        </w:tc>
        <w:tc>
          <w:tcPr>
            <w:tcW w:w="1600" w:type="dxa"/>
            <w:vAlign w:val="bottom"/>
            <w:tcBorders>
              <w:top w:val="single" w:sz="8" w:color="CCCCFF"/>
              <w:right w:val="single" w:sz="8" w:color="CCCCFF"/>
            </w:tcBorders>
          </w:tcPr>
          <w:p>
            <w:pPr>
              <w:spacing w:after="0"/>
              <w:rPr>
                <w:sz w:val="11"/>
                <w:szCs w:val="11"/>
                <w:color w:val="auto"/>
              </w:rPr>
            </w:pPr>
          </w:p>
        </w:tc>
        <w:tc>
          <w:tcPr>
            <w:tcW w:w="1160" w:type="dxa"/>
            <w:vAlign w:val="bottom"/>
            <w:tcBorders>
              <w:top w:val="single" w:sz="8" w:color="CCCCFF"/>
              <w:right w:val="single" w:sz="8" w:color="CCCCFF"/>
            </w:tcBorders>
          </w:tcPr>
          <w:p>
            <w:pPr>
              <w:spacing w:after="0"/>
              <w:rPr>
                <w:sz w:val="11"/>
                <w:szCs w:val="11"/>
                <w:color w:val="auto"/>
              </w:rPr>
            </w:pPr>
          </w:p>
        </w:tc>
        <w:tc>
          <w:tcPr>
            <w:tcW w:w="1020" w:type="dxa"/>
            <w:vAlign w:val="bottom"/>
            <w:tcBorders>
              <w:top w:val="single" w:sz="8" w:color="CCCCFF"/>
              <w:right w:val="single" w:sz="8" w:color="CCCCFF"/>
            </w:tcBorders>
          </w:tcPr>
          <w:p>
            <w:pPr>
              <w:jc w:val="center"/>
              <w:spacing w:after="0" w:line="137" w:lineRule="exact"/>
              <w:rPr>
                <w:sz w:val="20"/>
                <w:szCs w:val="20"/>
                <w:color w:val="auto"/>
              </w:rPr>
            </w:pPr>
            <w:r>
              <w:rPr>
                <w:rFonts w:ascii="Arial" w:cs="Arial" w:eastAsia="Arial" w:hAnsi="Arial"/>
                <w:sz w:val="12"/>
                <w:szCs w:val="12"/>
                <w:b w:val="1"/>
                <w:bCs w:val="1"/>
                <w:color w:val="FFFFFF"/>
                <w:w w:val="92"/>
              </w:rPr>
              <w:t>Original Inception</w:t>
            </w:r>
          </w:p>
        </w:tc>
        <w:tc>
          <w:tcPr>
            <w:tcW w:w="1020" w:type="dxa"/>
            <w:vAlign w:val="bottom"/>
            <w:tcBorders>
              <w:top w:val="single" w:sz="8" w:color="CCCCFF"/>
              <w:right w:val="single" w:sz="8" w:color="CCCCFF"/>
            </w:tcBorders>
          </w:tcPr>
          <w:p>
            <w:pPr>
              <w:spacing w:after="0"/>
              <w:rPr>
                <w:sz w:val="11"/>
                <w:szCs w:val="11"/>
                <w:color w:val="auto"/>
              </w:rPr>
            </w:pPr>
          </w:p>
        </w:tc>
        <w:tc>
          <w:tcPr>
            <w:tcW w:w="880" w:type="dxa"/>
            <w:vAlign w:val="bottom"/>
            <w:tcBorders>
              <w:top w:val="single" w:sz="8" w:color="CCCCFF"/>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140" w:type="dxa"/>
            <w:vAlign w:val="bottom"/>
            <w:tcBorders>
              <w:right w:val="single" w:sz="8" w:color="CCCCFF"/>
            </w:tcBorders>
          </w:tcPr>
          <w:p>
            <w:pPr>
              <w:jc w:val="center"/>
              <w:spacing w:after="0"/>
              <w:rPr>
                <w:sz w:val="20"/>
                <w:szCs w:val="20"/>
                <w:color w:val="auto"/>
              </w:rPr>
            </w:pPr>
            <w:r>
              <w:rPr>
                <w:rFonts w:ascii="Arial" w:cs="Arial" w:eastAsia="Arial" w:hAnsi="Arial"/>
                <w:sz w:val="12"/>
                <w:szCs w:val="12"/>
                <w:b w:val="1"/>
                <w:bCs w:val="1"/>
                <w:color w:val="FFFFFF"/>
                <w:w w:val="89"/>
              </w:rPr>
              <w:t>Bond Number(s)</w:t>
            </w:r>
          </w:p>
        </w:tc>
        <w:tc>
          <w:tcPr>
            <w:tcW w:w="1140" w:type="dxa"/>
            <w:vAlign w:val="bottom"/>
            <w:tcBorders>
              <w:right w:val="single" w:sz="8" w:color="CCCCFF"/>
            </w:tcBorders>
          </w:tcPr>
          <w:p>
            <w:pPr>
              <w:jc w:val="center"/>
              <w:spacing w:after="0"/>
              <w:rPr>
                <w:sz w:val="20"/>
                <w:szCs w:val="20"/>
                <w:color w:val="auto"/>
              </w:rPr>
            </w:pPr>
            <w:r>
              <w:rPr>
                <w:rFonts w:ascii="Arial" w:cs="Arial" w:eastAsia="Arial" w:hAnsi="Arial"/>
                <w:sz w:val="12"/>
                <w:szCs w:val="12"/>
                <w:b w:val="1"/>
                <w:bCs w:val="1"/>
                <w:color w:val="FFFFFF"/>
                <w:w w:val="88"/>
              </w:rPr>
              <w:t>Principal Name(s)</w:t>
            </w:r>
          </w:p>
        </w:tc>
        <w:tc>
          <w:tcPr>
            <w:tcW w:w="1140" w:type="dxa"/>
            <w:vAlign w:val="bottom"/>
            <w:tcBorders>
              <w:right w:val="single" w:sz="8" w:color="CCCCFF"/>
            </w:tcBorders>
          </w:tcPr>
          <w:p>
            <w:pPr>
              <w:jc w:val="center"/>
              <w:spacing w:after="0"/>
              <w:rPr>
                <w:sz w:val="20"/>
                <w:szCs w:val="20"/>
                <w:color w:val="auto"/>
              </w:rPr>
            </w:pPr>
            <w:r>
              <w:rPr>
                <w:rFonts w:ascii="Arial" w:cs="Arial" w:eastAsia="Arial" w:hAnsi="Arial"/>
                <w:sz w:val="12"/>
                <w:szCs w:val="12"/>
                <w:b w:val="1"/>
                <w:bCs w:val="1"/>
                <w:color w:val="FFFFFF"/>
                <w:w w:val="88"/>
              </w:rPr>
              <w:t>Obligee Name(s)</w:t>
            </w:r>
          </w:p>
        </w:tc>
        <w:tc>
          <w:tcPr>
            <w:tcW w:w="1160" w:type="dxa"/>
            <w:vAlign w:val="bottom"/>
            <w:tcBorders>
              <w:right w:val="single" w:sz="8" w:color="CCCCFF"/>
            </w:tcBorders>
          </w:tcPr>
          <w:p>
            <w:pPr>
              <w:jc w:val="center"/>
              <w:spacing w:after="0"/>
              <w:rPr>
                <w:sz w:val="20"/>
                <w:szCs w:val="20"/>
                <w:color w:val="auto"/>
              </w:rPr>
            </w:pPr>
            <w:r>
              <w:rPr>
                <w:rFonts w:ascii="Arial" w:cs="Arial" w:eastAsia="Arial" w:hAnsi="Arial"/>
                <w:sz w:val="12"/>
                <w:szCs w:val="12"/>
                <w:b w:val="1"/>
                <w:bCs w:val="1"/>
                <w:color w:val="FFFFFF"/>
                <w:w w:val="87"/>
              </w:rPr>
              <w:t>Bond Description</w:t>
            </w:r>
          </w:p>
        </w:tc>
        <w:tc>
          <w:tcPr>
            <w:tcW w:w="1140" w:type="dxa"/>
            <w:vAlign w:val="bottom"/>
            <w:tcBorders>
              <w:right w:val="single" w:sz="8" w:color="CCCCFF"/>
            </w:tcBorders>
          </w:tcPr>
          <w:p>
            <w:pPr>
              <w:jc w:val="center"/>
              <w:spacing w:after="0"/>
              <w:rPr>
                <w:sz w:val="20"/>
                <w:szCs w:val="20"/>
                <w:color w:val="auto"/>
              </w:rPr>
            </w:pPr>
            <w:r>
              <w:rPr>
                <w:rFonts w:ascii="Arial" w:cs="Arial" w:eastAsia="Arial" w:hAnsi="Arial"/>
                <w:sz w:val="12"/>
                <w:szCs w:val="12"/>
                <w:b w:val="1"/>
                <w:bCs w:val="1"/>
                <w:color w:val="FFFFFF"/>
                <w:w w:val="85"/>
              </w:rPr>
              <w:t>Sub Type</w:t>
            </w:r>
          </w:p>
        </w:tc>
        <w:tc>
          <w:tcPr>
            <w:tcW w:w="1600" w:type="dxa"/>
            <w:vAlign w:val="bottom"/>
            <w:tcBorders>
              <w:right w:val="single" w:sz="8" w:color="CCCCFF"/>
            </w:tcBorders>
          </w:tcPr>
          <w:p>
            <w:pPr>
              <w:jc w:val="right"/>
              <w:ind w:right="401"/>
              <w:spacing w:after="0"/>
              <w:rPr>
                <w:sz w:val="20"/>
                <w:szCs w:val="20"/>
                <w:color w:val="auto"/>
              </w:rPr>
            </w:pPr>
            <w:r>
              <w:rPr>
                <w:rFonts w:ascii="Arial" w:cs="Arial" w:eastAsia="Arial" w:hAnsi="Arial"/>
                <w:sz w:val="12"/>
                <w:szCs w:val="12"/>
                <w:b w:val="1"/>
                <w:bCs w:val="1"/>
                <w:color w:val="FFFFFF"/>
              </w:rPr>
              <w:t>Bond Amount</w:t>
            </w:r>
          </w:p>
        </w:tc>
        <w:tc>
          <w:tcPr>
            <w:tcW w:w="1160" w:type="dxa"/>
            <w:vAlign w:val="bottom"/>
            <w:tcBorders>
              <w:right w:val="single" w:sz="8" w:color="CCCCFF"/>
            </w:tcBorders>
          </w:tcPr>
          <w:p>
            <w:pPr>
              <w:jc w:val="center"/>
              <w:spacing w:after="0"/>
              <w:rPr>
                <w:sz w:val="20"/>
                <w:szCs w:val="20"/>
                <w:color w:val="auto"/>
              </w:rPr>
            </w:pPr>
            <w:r>
              <w:rPr>
                <w:rFonts w:ascii="Arial" w:cs="Arial" w:eastAsia="Arial" w:hAnsi="Arial"/>
                <w:sz w:val="12"/>
                <w:szCs w:val="12"/>
                <w:b w:val="1"/>
                <w:bCs w:val="1"/>
                <w:color w:val="FFFFFF"/>
                <w:w w:val="91"/>
              </w:rPr>
              <w:t>Surety Group</w:t>
            </w:r>
          </w:p>
        </w:tc>
        <w:tc>
          <w:tcPr>
            <w:tcW w:w="1020" w:type="dxa"/>
            <w:vAlign w:val="bottom"/>
            <w:tcBorders>
              <w:right w:val="single" w:sz="8" w:color="CCCCFF"/>
            </w:tcBorders>
          </w:tcPr>
          <w:p>
            <w:pPr>
              <w:jc w:val="center"/>
              <w:spacing w:after="0"/>
              <w:rPr>
                <w:sz w:val="20"/>
                <w:szCs w:val="20"/>
                <w:color w:val="auto"/>
              </w:rPr>
            </w:pPr>
            <w:r>
              <w:rPr>
                <w:rFonts w:ascii="Arial" w:cs="Arial" w:eastAsia="Arial" w:hAnsi="Arial"/>
                <w:sz w:val="12"/>
                <w:szCs w:val="12"/>
                <w:b w:val="1"/>
                <w:bCs w:val="1"/>
                <w:color w:val="FFFFFF"/>
                <w:w w:val="92"/>
              </w:rPr>
              <w:t>Date</w:t>
            </w:r>
          </w:p>
        </w:tc>
        <w:tc>
          <w:tcPr>
            <w:tcW w:w="1020" w:type="dxa"/>
            <w:vAlign w:val="bottom"/>
            <w:tcBorders>
              <w:right w:val="single" w:sz="8" w:color="CCCCFF"/>
            </w:tcBorders>
          </w:tcPr>
          <w:p>
            <w:pPr>
              <w:jc w:val="center"/>
              <w:spacing w:after="0"/>
              <w:rPr>
                <w:sz w:val="20"/>
                <w:szCs w:val="20"/>
                <w:color w:val="auto"/>
              </w:rPr>
            </w:pPr>
            <w:r>
              <w:rPr>
                <w:rFonts w:ascii="Arial" w:cs="Arial" w:eastAsia="Arial" w:hAnsi="Arial"/>
                <w:sz w:val="12"/>
                <w:szCs w:val="12"/>
                <w:b w:val="1"/>
                <w:bCs w:val="1"/>
                <w:color w:val="FFFFFF"/>
                <w:w w:val="90"/>
              </w:rPr>
              <w:t>Effective Date</w:t>
            </w:r>
          </w:p>
        </w:tc>
        <w:tc>
          <w:tcPr>
            <w:tcW w:w="90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FFFFFF"/>
                <w:w w:val="90"/>
              </w:rPr>
              <w:t>Expiration Date</w:t>
            </w:r>
          </w:p>
        </w:tc>
        <w:tc>
          <w:tcPr>
            <w:tcW w:w="0" w:type="dxa"/>
            <w:vAlign w:val="bottom"/>
          </w:tcPr>
          <w:p>
            <w:pPr>
              <w:spacing w:after="0"/>
              <w:rPr>
                <w:sz w:val="1"/>
                <w:szCs w:val="1"/>
                <w:color w:val="auto"/>
              </w:rPr>
            </w:pPr>
          </w:p>
        </w:tc>
      </w:tr>
      <w:tr>
        <w:trPr>
          <w:trHeight w:val="248"/>
        </w:trPr>
        <w:tc>
          <w:tcPr>
            <w:tcW w:w="40" w:type="dxa"/>
            <w:vAlign w:val="bottom"/>
            <w:shd w:val="clear" w:color="auto" w:fill="800080"/>
          </w:tcPr>
          <w:p>
            <w:pPr>
              <w:spacing w:after="0"/>
              <w:rPr>
                <w:sz w:val="21"/>
                <w:szCs w:val="21"/>
                <w:color w:val="auto"/>
              </w:rPr>
            </w:pPr>
          </w:p>
        </w:tc>
        <w:tc>
          <w:tcPr>
            <w:tcW w:w="1140" w:type="dxa"/>
            <w:vAlign w:val="bottom"/>
            <w:tcBorders>
              <w:right w:val="single" w:sz="8" w:color="800080"/>
            </w:tcBorders>
            <w:shd w:val="clear" w:color="auto" w:fill="800080"/>
          </w:tcPr>
          <w:p>
            <w:pPr>
              <w:jc w:val="center"/>
              <w:spacing w:after="0"/>
              <w:rPr>
                <w:sz w:val="20"/>
                <w:szCs w:val="20"/>
                <w:color w:val="auto"/>
              </w:rPr>
            </w:pPr>
            <w:r>
              <w:rPr>
                <w:rFonts w:ascii="Arial" w:cs="Arial" w:eastAsia="Arial" w:hAnsi="Arial"/>
                <w:sz w:val="12"/>
                <w:szCs w:val="12"/>
                <w:b w:val="1"/>
                <w:bCs w:val="1"/>
                <w:color w:val="FFFFFF"/>
                <w:w w:val="94"/>
              </w:rPr>
              <w:t>BID BONDS</w:t>
            </w:r>
          </w:p>
        </w:tc>
        <w:tc>
          <w:tcPr>
            <w:tcW w:w="1140" w:type="dxa"/>
            <w:vAlign w:val="bottom"/>
            <w:tcBorders>
              <w:right w:val="single" w:sz="8" w:color="800080"/>
            </w:tcBorders>
            <w:shd w:val="clear" w:color="auto" w:fill="800080"/>
          </w:tcPr>
          <w:p>
            <w:pPr>
              <w:spacing w:after="0"/>
              <w:rPr>
                <w:sz w:val="21"/>
                <w:szCs w:val="21"/>
                <w:color w:val="auto"/>
              </w:rPr>
            </w:pPr>
          </w:p>
        </w:tc>
        <w:tc>
          <w:tcPr>
            <w:tcW w:w="1140" w:type="dxa"/>
            <w:vAlign w:val="bottom"/>
            <w:tcBorders>
              <w:right w:val="single" w:sz="8" w:color="800080"/>
            </w:tcBorders>
            <w:shd w:val="clear" w:color="auto" w:fill="800080"/>
          </w:tcPr>
          <w:p>
            <w:pPr>
              <w:spacing w:after="0"/>
              <w:rPr>
                <w:sz w:val="21"/>
                <w:szCs w:val="21"/>
                <w:color w:val="auto"/>
              </w:rPr>
            </w:pPr>
          </w:p>
        </w:tc>
        <w:tc>
          <w:tcPr>
            <w:tcW w:w="1160" w:type="dxa"/>
            <w:vAlign w:val="bottom"/>
            <w:tcBorders>
              <w:right w:val="single" w:sz="8" w:color="800080"/>
            </w:tcBorders>
            <w:shd w:val="clear" w:color="auto" w:fill="800080"/>
          </w:tcPr>
          <w:p>
            <w:pPr>
              <w:spacing w:after="0"/>
              <w:rPr>
                <w:sz w:val="21"/>
                <w:szCs w:val="21"/>
                <w:color w:val="auto"/>
              </w:rPr>
            </w:pPr>
          </w:p>
        </w:tc>
        <w:tc>
          <w:tcPr>
            <w:tcW w:w="1140" w:type="dxa"/>
            <w:vAlign w:val="bottom"/>
            <w:tcBorders>
              <w:right w:val="single" w:sz="8" w:color="800080"/>
            </w:tcBorders>
            <w:shd w:val="clear" w:color="auto" w:fill="800080"/>
          </w:tcPr>
          <w:p>
            <w:pPr>
              <w:spacing w:after="0"/>
              <w:rPr>
                <w:sz w:val="21"/>
                <w:szCs w:val="21"/>
                <w:color w:val="auto"/>
              </w:rPr>
            </w:pPr>
          </w:p>
        </w:tc>
        <w:tc>
          <w:tcPr>
            <w:tcW w:w="1600" w:type="dxa"/>
            <w:vAlign w:val="bottom"/>
            <w:tcBorders>
              <w:right w:val="single" w:sz="8" w:color="800080"/>
            </w:tcBorders>
            <w:shd w:val="clear" w:color="auto" w:fill="800080"/>
          </w:tcPr>
          <w:p>
            <w:pPr>
              <w:spacing w:after="0"/>
              <w:rPr>
                <w:sz w:val="21"/>
                <w:szCs w:val="21"/>
                <w:color w:val="auto"/>
              </w:rPr>
            </w:pPr>
          </w:p>
        </w:tc>
        <w:tc>
          <w:tcPr>
            <w:tcW w:w="1160" w:type="dxa"/>
            <w:vAlign w:val="bottom"/>
            <w:tcBorders>
              <w:right w:val="single" w:sz="8" w:color="800080"/>
            </w:tcBorders>
            <w:shd w:val="clear" w:color="auto" w:fill="800080"/>
          </w:tcPr>
          <w:p>
            <w:pPr>
              <w:spacing w:after="0"/>
              <w:rPr>
                <w:sz w:val="21"/>
                <w:szCs w:val="21"/>
                <w:color w:val="auto"/>
              </w:rPr>
            </w:pPr>
          </w:p>
        </w:tc>
        <w:tc>
          <w:tcPr>
            <w:tcW w:w="1020" w:type="dxa"/>
            <w:vAlign w:val="bottom"/>
            <w:tcBorders>
              <w:right w:val="single" w:sz="8" w:color="800080"/>
            </w:tcBorders>
            <w:shd w:val="clear" w:color="auto" w:fill="800080"/>
          </w:tcPr>
          <w:p>
            <w:pPr>
              <w:spacing w:after="0"/>
              <w:rPr>
                <w:sz w:val="21"/>
                <w:szCs w:val="21"/>
                <w:color w:val="auto"/>
              </w:rPr>
            </w:pPr>
          </w:p>
        </w:tc>
        <w:tc>
          <w:tcPr>
            <w:tcW w:w="1020" w:type="dxa"/>
            <w:vAlign w:val="bottom"/>
            <w:tcBorders>
              <w:right w:val="single" w:sz="8" w:color="800080"/>
            </w:tcBorders>
            <w:shd w:val="clear" w:color="auto" w:fill="800080"/>
          </w:tcPr>
          <w:p>
            <w:pPr>
              <w:spacing w:after="0"/>
              <w:rPr>
                <w:sz w:val="21"/>
                <w:szCs w:val="21"/>
                <w:color w:val="auto"/>
              </w:rPr>
            </w:pPr>
          </w:p>
        </w:tc>
        <w:tc>
          <w:tcPr>
            <w:tcW w:w="880" w:type="dxa"/>
            <w:vAlign w:val="bottom"/>
            <w:shd w:val="clear" w:color="auto" w:fill="800080"/>
          </w:tcPr>
          <w:p>
            <w:pPr>
              <w:spacing w:after="0"/>
              <w:rPr>
                <w:sz w:val="21"/>
                <w:szCs w:val="21"/>
                <w:color w:val="auto"/>
              </w:rPr>
            </w:pPr>
          </w:p>
        </w:tc>
        <w:tc>
          <w:tcPr>
            <w:tcW w:w="20" w:type="dxa"/>
            <w:vAlign w:val="bottom"/>
            <w:shd w:val="clear" w:color="auto" w:fill="800080"/>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1140" w:type="dxa"/>
            <w:vAlign w:val="bottom"/>
            <w:tcBorders>
              <w:right w:val="single" w:sz="8" w:color="CCCCFF"/>
            </w:tcBorders>
          </w:tcPr>
          <w:p>
            <w:pPr>
              <w:spacing w:after="0"/>
              <w:rPr>
                <w:sz w:val="11"/>
                <w:szCs w:val="11"/>
                <w:color w:val="auto"/>
              </w:rPr>
            </w:pPr>
          </w:p>
        </w:tc>
        <w:tc>
          <w:tcPr>
            <w:tcW w:w="1140" w:type="dxa"/>
            <w:vAlign w:val="bottom"/>
            <w:tcBorders>
              <w:right w:val="single" w:sz="8" w:color="CCCCFF"/>
            </w:tcBorders>
          </w:tcPr>
          <w:p>
            <w:pPr>
              <w:spacing w:after="0"/>
              <w:rPr>
                <w:sz w:val="11"/>
                <w:szCs w:val="11"/>
                <w:color w:val="auto"/>
              </w:rPr>
            </w:pPr>
          </w:p>
        </w:tc>
        <w:tc>
          <w:tcPr>
            <w:tcW w:w="1140" w:type="dxa"/>
            <w:vAlign w:val="bottom"/>
            <w:tcBorders>
              <w:right w:val="single" w:sz="8" w:color="CCCCFF"/>
            </w:tcBorders>
          </w:tcPr>
          <w:p>
            <w:pPr>
              <w:jc w:val="center"/>
              <w:spacing w:after="0" w:line="128" w:lineRule="exact"/>
              <w:rPr>
                <w:sz w:val="20"/>
                <w:szCs w:val="20"/>
                <w:color w:val="auto"/>
              </w:rPr>
            </w:pPr>
            <w:r>
              <w:rPr>
                <w:rFonts w:ascii="Arial" w:cs="Arial" w:eastAsia="Arial" w:hAnsi="Arial"/>
                <w:sz w:val="12"/>
                <w:szCs w:val="12"/>
                <w:color w:val="auto"/>
                <w:w w:val="96"/>
              </w:rPr>
              <w:t>University of</w:t>
            </w:r>
          </w:p>
        </w:tc>
        <w:tc>
          <w:tcPr>
            <w:tcW w:w="1160" w:type="dxa"/>
            <w:vAlign w:val="bottom"/>
            <w:tcBorders>
              <w:right w:val="single" w:sz="8" w:color="CCCCFF"/>
            </w:tcBorders>
          </w:tcPr>
          <w:p>
            <w:pPr>
              <w:spacing w:after="0"/>
              <w:rPr>
                <w:sz w:val="11"/>
                <w:szCs w:val="11"/>
                <w:color w:val="auto"/>
              </w:rPr>
            </w:pPr>
          </w:p>
        </w:tc>
        <w:tc>
          <w:tcPr>
            <w:tcW w:w="1140" w:type="dxa"/>
            <w:vAlign w:val="bottom"/>
            <w:tcBorders>
              <w:right w:val="single" w:sz="8" w:color="CCCCFF"/>
            </w:tcBorders>
          </w:tcPr>
          <w:p>
            <w:pPr>
              <w:spacing w:after="0"/>
              <w:rPr>
                <w:sz w:val="11"/>
                <w:szCs w:val="11"/>
                <w:color w:val="auto"/>
              </w:rPr>
            </w:pPr>
          </w:p>
        </w:tc>
        <w:tc>
          <w:tcPr>
            <w:tcW w:w="1600" w:type="dxa"/>
            <w:vAlign w:val="bottom"/>
            <w:tcBorders>
              <w:right w:val="single" w:sz="8" w:color="CCCCFF"/>
            </w:tcBorders>
          </w:tcPr>
          <w:p>
            <w:pPr>
              <w:spacing w:after="0"/>
              <w:rPr>
                <w:sz w:val="11"/>
                <w:szCs w:val="11"/>
                <w:color w:val="auto"/>
              </w:rPr>
            </w:pPr>
          </w:p>
        </w:tc>
        <w:tc>
          <w:tcPr>
            <w:tcW w:w="1160" w:type="dxa"/>
            <w:vAlign w:val="bottom"/>
            <w:tcBorders>
              <w:right w:val="single" w:sz="8" w:color="CCCCFF"/>
            </w:tcBorders>
          </w:tcPr>
          <w:p>
            <w:pPr>
              <w:spacing w:after="0"/>
              <w:rPr>
                <w:sz w:val="11"/>
                <w:szCs w:val="11"/>
                <w:color w:val="auto"/>
              </w:rPr>
            </w:pPr>
          </w:p>
        </w:tc>
        <w:tc>
          <w:tcPr>
            <w:tcW w:w="1020" w:type="dxa"/>
            <w:vAlign w:val="bottom"/>
            <w:tcBorders>
              <w:right w:val="single" w:sz="8" w:color="CCCCFF"/>
            </w:tcBorders>
          </w:tcPr>
          <w:p>
            <w:pPr>
              <w:spacing w:after="0"/>
              <w:rPr>
                <w:sz w:val="11"/>
                <w:szCs w:val="11"/>
                <w:color w:val="auto"/>
              </w:rPr>
            </w:pPr>
          </w:p>
        </w:tc>
        <w:tc>
          <w:tcPr>
            <w:tcW w:w="1020" w:type="dxa"/>
            <w:vAlign w:val="bottom"/>
            <w:tcBorders>
              <w:right w:val="single" w:sz="8" w:color="CCCCFF"/>
            </w:tcBorders>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2"/>
              </w:rPr>
              <w:t>Matrix Service</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Nebraska-Lincoln -</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City Campus Thermal</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102680-CHUBB-16-1</w:t>
            </w: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Facilities Management</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7"/>
              </w:rPr>
              <w:t>Energy Storage Tank -</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rPr>
              <w:t>Bid</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$4,200,000.00</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Chubb Group</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29-Feb-16</w:t>
            </w:r>
          </w:p>
        </w:tc>
        <w:tc>
          <w:tcPr>
            <w:tcW w:w="1020" w:type="dxa"/>
            <w:vAlign w:val="bottom"/>
            <w:tcBorders>
              <w:right w:val="single" w:sz="8" w:color="CCCCFF"/>
            </w:tcBorders>
          </w:tcPr>
          <w:p>
            <w:pPr>
              <w:spacing w:after="0"/>
              <w:rPr>
                <w:sz w:val="4"/>
                <w:szCs w:val="4"/>
                <w:color w:val="auto"/>
              </w:rPr>
            </w:pPr>
          </w:p>
        </w:tc>
        <w:tc>
          <w:tcPr>
            <w:tcW w:w="900" w:type="dxa"/>
            <w:vAlign w:val="bottom"/>
            <w:gridSpan w:val="2"/>
            <w:vMerge w:val="restart"/>
          </w:tcPr>
          <w:p>
            <w:pPr>
              <w:jc w:val="center"/>
              <w:ind w:right="20"/>
              <w:spacing w:after="0" w:line="121" w:lineRule="exact"/>
              <w:rPr>
                <w:sz w:val="20"/>
                <w:szCs w:val="20"/>
                <w:color w:val="auto"/>
              </w:rPr>
            </w:pPr>
            <w:r>
              <w:rPr>
                <w:rFonts w:ascii="Arial" w:cs="Arial" w:eastAsia="Arial" w:hAnsi="Arial"/>
                <w:sz w:val="12"/>
                <w:szCs w:val="12"/>
                <w:color w:val="auto"/>
                <w:w w:val="86"/>
              </w:rPr>
              <w:t>28-Feb-17</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Company</w:t>
            </w: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60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40" w:type="dxa"/>
            <w:vAlign w:val="bottom"/>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&amp; Planning</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4"/>
              </w:rPr>
              <w:t>Lincoln, NE</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40" w:type="dxa"/>
            <w:vAlign w:val="bottom"/>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vMerge w:val="continue"/>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40" w:type="dxa"/>
            <w:vAlign w:val="bottom"/>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9"/>
              </w:rPr>
              <w:t>Department</w:t>
            </w:r>
          </w:p>
        </w:tc>
        <w:tc>
          <w:tcPr>
            <w:tcW w:w="116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880" w:type="dxa"/>
            <w:vAlign w:val="bottom"/>
            <w:tcBorders>
              <w:bottom w:val="single" w:sz="8" w:color="CCCC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0"/>
              </w:rPr>
              <w:t>Peabody Municipal</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Light Plant - Johnson</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Peabody Municipal</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Street Switching</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102680-CHUBB-16-2</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Station - Demolition</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rPr>
              <w:t>Bid</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$2,750,000.00</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Chubb Group</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24-Feb-16</w:t>
            </w:r>
          </w:p>
        </w:tc>
        <w:tc>
          <w:tcPr>
            <w:tcW w:w="1020" w:type="dxa"/>
            <w:vAlign w:val="bottom"/>
            <w:tcBorders>
              <w:right w:val="single" w:sz="8" w:color="CCCCFF"/>
            </w:tcBorders>
          </w:tcPr>
          <w:p>
            <w:pPr>
              <w:spacing w:after="0"/>
              <w:rPr>
                <w:sz w:val="4"/>
                <w:szCs w:val="4"/>
                <w:color w:val="auto"/>
              </w:rPr>
            </w:pPr>
          </w:p>
        </w:tc>
        <w:tc>
          <w:tcPr>
            <w:tcW w:w="900" w:type="dxa"/>
            <w:vAlign w:val="bottom"/>
            <w:gridSpan w:val="2"/>
            <w:vMerge w:val="restart"/>
          </w:tcPr>
          <w:p>
            <w:pPr>
              <w:jc w:val="center"/>
              <w:ind w:right="20"/>
              <w:spacing w:after="0" w:line="121" w:lineRule="exact"/>
              <w:rPr>
                <w:sz w:val="20"/>
                <w:szCs w:val="20"/>
                <w:color w:val="auto"/>
              </w:rPr>
            </w:pPr>
            <w:r>
              <w:rPr>
                <w:rFonts w:ascii="Arial" w:cs="Arial" w:eastAsia="Arial" w:hAnsi="Arial"/>
                <w:sz w:val="12"/>
                <w:szCs w:val="12"/>
                <w:color w:val="auto"/>
                <w:w w:val="93"/>
              </w:rPr>
              <w:t>01-Mar-17</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1"/>
              </w:rPr>
              <w:t>Light Plant</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60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40" w:type="dxa"/>
            <w:vAlign w:val="bottom"/>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and Re-build of</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40" w:type="dxa"/>
            <w:vAlign w:val="bottom"/>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40" w:type="dxa"/>
            <w:vAlign w:val="bottom"/>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3"/>
              </w:rPr>
              <w:t>Existing Switching</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0" w:type="dxa"/>
            <w:vAlign w:val="bottom"/>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0"/>
              </w:rPr>
              <w:t>Station</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880" w:type="dxa"/>
            <w:vAlign w:val="bottom"/>
            <w:tcBorders>
              <w:bottom w:val="single" w:sz="8" w:color="CCCC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0"/>
              </w:rPr>
              <w:t>WHB-16-026, Task</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Fluor Federal</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7"/>
              </w:rPr>
              <w:t>BM-MM-740C,</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1140" w:type="dxa"/>
            <w:vAlign w:val="bottom"/>
            <w:tcBorders>
              <w:right w:val="single" w:sz="8" w:color="CCCCFF"/>
            </w:tcBorders>
          </w:tcPr>
          <w:p>
            <w:pPr>
              <w:spacing w:after="0"/>
              <w:rPr>
                <w:sz w:val="4"/>
                <w:szCs w:val="4"/>
                <w:color w:val="auto"/>
              </w:rPr>
            </w:pPr>
          </w:p>
        </w:tc>
        <w:tc>
          <w:tcPr>
            <w:tcW w:w="1140" w:type="dxa"/>
            <w:vAlign w:val="bottom"/>
            <w:tcBorders>
              <w:right w:val="single" w:sz="8" w:color="CCCCFF"/>
            </w:tcBorders>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Convert BMT-2 to an</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2"/>
              </w:rPr>
              <w:t>102680-CHUBB-16-3</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1"/>
              </w:rPr>
              <w:t>Matrix Service Inc.</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Petroleum Operations</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rPr>
              <w:t>Bid</w:t>
            </w:r>
          </w:p>
        </w:tc>
        <w:tc>
          <w:tcPr>
            <w:tcW w:w="1600" w:type="dxa"/>
            <w:vAlign w:val="bottom"/>
            <w:tcBorders>
              <w:right w:val="single" w:sz="8" w:color="CCCCFF"/>
            </w:tcBorders>
            <w:vMerge w:val="restart"/>
          </w:tcPr>
          <w:p>
            <w:pPr>
              <w:jc w:val="right"/>
              <w:spacing w:after="0"/>
              <w:rPr>
                <w:sz w:val="20"/>
                <w:szCs w:val="20"/>
                <w:color w:val="auto"/>
              </w:rPr>
            </w:pPr>
            <w:r>
              <w:rPr>
                <w:rFonts w:ascii="Arial" w:cs="Arial" w:eastAsia="Arial" w:hAnsi="Arial"/>
                <w:sz w:val="12"/>
                <w:szCs w:val="12"/>
                <w:color w:val="auto"/>
              </w:rPr>
              <w:t>$9,000,000.00</w:t>
            </w: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Chubb Group</w:t>
            </w:r>
          </w:p>
        </w:tc>
        <w:tc>
          <w:tcPr>
            <w:tcW w:w="10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4"/>
              </w:rPr>
              <w:t>27-May-16</w:t>
            </w:r>
          </w:p>
        </w:tc>
        <w:tc>
          <w:tcPr>
            <w:tcW w:w="1020" w:type="dxa"/>
            <w:vAlign w:val="bottom"/>
            <w:tcBorders>
              <w:right w:val="single" w:sz="8" w:color="CCCCFF"/>
            </w:tcBorders>
          </w:tcPr>
          <w:p>
            <w:pPr>
              <w:spacing w:after="0"/>
              <w:rPr>
                <w:sz w:val="5"/>
                <w:szCs w:val="5"/>
                <w:color w:val="auto"/>
              </w:rPr>
            </w:pPr>
          </w:p>
        </w:tc>
        <w:tc>
          <w:tcPr>
            <w:tcW w:w="900" w:type="dxa"/>
            <w:vAlign w:val="bottom"/>
            <w:gridSpan w:val="2"/>
            <w:vMerge w:val="restart"/>
          </w:tcPr>
          <w:p>
            <w:pPr>
              <w:jc w:val="center"/>
              <w:ind w:right="20"/>
              <w:spacing w:after="0"/>
              <w:rPr>
                <w:sz w:val="20"/>
                <w:szCs w:val="20"/>
                <w:color w:val="auto"/>
              </w:rPr>
            </w:pPr>
            <w:r>
              <w:rPr>
                <w:rFonts w:ascii="Arial" w:cs="Arial" w:eastAsia="Arial" w:hAnsi="Arial"/>
                <w:sz w:val="12"/>
                <w:szCs w:val="12"/>
                <w:color w:val="auto"/>
                <w:w w:val="90"/>
              </w:rPr>
              <w:t>27-May-17</w:t>
            </w:r>
          </w:p>
        </w:tc>
        <w:tc>
          <w:tcPr>
            <w:tcW w:w="0" w:type="dxa"/>
            <w:vAlign w:val="bottom"/>
          </w:tcPr>
          <w:p>
            <w:pPr>
              <w:spacing w:after="0"/>
              <w:rPr>
                <w:sz w:val="1"/>
                <w:szCs w:val="1"/>
                <w:color w:val="auto"/>
              </w:rPr>
            </w:pPr>
          </w:p>
        </w:tc>
      </w:tr>
      <w:tr>
        <w:trPr>
          <w:trHeight w:val="115"/>
        </w:trPr>
        <w:tc>
          <w:tcPr>
            <w:tcW w:w="40" w:type="dxa"/>
            <w:vAlign w:val="bottom"/>
          </w:tcPr>
          <w:p>
            <w:pPr>
              <w:spacing w:after="0"/>
              <w:rPr>
                <w:sz w:val="9"/>
                <w:szCs w:val="9"/>
                <w:color w:val="auto"/>
              </w:rPr>
            </w:pPr>
          </w:p>
        </w:tc>
        <w:tc>
          <w:tcPr>
            <w:tcW w:w="1140" w:type="dxa"/>
            <w:vAlign w:val="bottom"/>
            <w:tcBorders>
              <w:right w:val="single" w:sz="8" w:color="CCCCFF"/>
            </w:tcBorders>
            <w:vMerge w:val="continue"/>
          </w:tcPr>
          <w:p>
            <w:pPr>
              <w:spacing w:after="0"/>
              <w:rPr>
                <w:sz w:val="9"/>
                <w:szCs w:val="9"/>
                <w:color w:val="auto"/>
              </w:rPr>
            </w:pPr>
          </w:p>
        </w:tc>
        <w:tc>
          <w:tcPr>
            <w:tcW w:w="1140" w:type="dxa"/>
            <w:vAlign w:val="bottom"/>
            <w:tcBorders>
              <w:right w:val="single" w:sz="8" w:color="CCCCFF"/>
            </w:tcBorders>
            <w:vMerge w:val="continue"/>
          </w:tcPr>
          <w:p>
            <w:pPr>
              <w:spacing w:after="0"/>
              <w:rPr>
                <w:sz w:val="9"/>
                <w:szCs w:val="9"/>
                <w:color w:val="auto"/>
              </w:rPr>
            </w:pPr>
          </w:p>
        </w:tc>
        <w:tc>
          <w:tcPr>
            <w:tcW w:w="1140" w:type="dxa"/>
            <w:vAlign w:val="bottom"/>
            <w:tcBorders>
              <w:right w:val="single" w:sz="8" w:color="CCCCFF"/>
            </w:tcBorders>
            <w:vMerge w:val="continue"/>
          </w:tcPr>
          <w:p>
            <w:pPr>
              <w:spacing w:after="0"/>
              <w:rPr>
                <w:sz w:val="9"/>
                <w:szCs w:val="9"/>
                <w:color w:val="auto"/>
              </w:rPr>
            </w:pPr>
          </w:p>
        </w:tc>
        <w:tc>
          <w:tcPr>
            <w:tcW w:w="1160" w:type="dxa"/>
            <w:vAlign w:val="bottom"/>
            <w:tcBorders>
              <w:right w:val="single" w:sz="8" w:color="CCCCFF"/>
            </w:tcBorders>
          </w:tcPr>
          <w:p>
            <w:pPr>
              <w:jc w:val="center"/>
              <w:spacing w:after="0" w:line="115" w:lineRule="exact"/>
              <w:rPr>
                <w:sz w:val="20"/>
                <w:szCs w:val="20"/>
                <w:color w:val="auto"/>
              </w:rPr>
            </w:pPr>
            <w:r>
              <w:rPr>
                <w:rFonts w:ascii="Arial" w:cs="Arial" w:eastAsia="Arial" w:hAnsi="Arial"/>
                <w:sz w:val="12"/>
                <w:szCs w:val="12"/>
                <w:color w:val="auto"/>
                <w:w w:val="90"/>
              </w:rPr>
              <w:t>External Floating Roof</w:t>
            </w:r>
          </w:p>
        </w:tc>
        <w:tc>
          <w:tcPr>
            <w:tcW w:w="1140" w:type="dxa"/>
            <w:vAlign w:val="bottom"/>
            <w:tcBorders>
              <w:right w:val="single" w:sz="8" w:color="CCCCFF"/>
            </w:tcBorders>
            <w:vMerge w:val="continue"/>
          </w:tcPr>
          <w:p>
            <w:pPr>
              <w:spacing w:after="0"/>
              <w:rPr>
                <w:sz w:val="9"/>
                <w:szCs w:val="9"/>
                <w:color w:val="auto"/>
              </w:rPr>
            </w:pPr>
          </w:p>
        </w:tc>
        <w:tc>
          <w:tcPr>
            <w:tcW w:w="1600" w:type="dxa"/>
            <w:vAlign w:val="bottom"/>
            <w:tcBorders>
              <w:right w:val="single" w:sz="8" w:color="CCCCFF"/>
            </w:tcBorders>
            <w:vMerge w:val="continue"/>
          </w:tcPr>
          <w:p>
            <w:pPr>
              <w:spacing w:after="0"/>
              <w:rPr>
                <w:sz w:val="9"/>
                <w:szCs w:val="9"/>
                <w:color w:val="auto"/>
              </w:rPr>
            </w:pPr>
          </w:p>
        </w:tc>
        <w:tc>
          <w:tcPr>
            <w:tcW w:w="1160" w:type="dxa"/>
            <w:vAlign w:val="bottom"/>
            <w:tcBorders>
              <w:right w:val="single" w:sz="8" w:color="CCCCFF"/>
            </w:tcBorders>
            <w:vMerge w:val="continue"/>
          </w:tcPr>
          <w:p>
            <w:pPr>
              <w:spacing w:after="0"/>
              <w:rPr>
                <w:sz w:val="9"/>
                <w:szCs w:val="9"/>
                <w:color w:val="auto"/>
              </w:rPr>
            </w:pPr>
          </w:p>
        </w:tc>
        <w:tc>
          <w:tcPr>
            <w:tcW w:w="1020" w:type="dxa"/>
            <w:vAlign w:val="bottom"/>
            <w:tcBorders>
              <w:right w:val="single" w:sz="8" w:color="CCCCFF"/>
            </w:tcBorders>
            <w:vMerge w:val="continue"/>
          </w:tcPr>
          <w:p>
            <w:pPr>
              <w:spacing w:after="0"/>
              <w:rPr>
                <w:sz w:val="9"/>
                <w:szCs w:val="9"/>
                <w:color w:val="auto"/>
              </w:rPr>
            </w:pPr>
          </w:p>
        </w:tc>
        <w:tc>
          <w:tcPr>
            <w:tcW w:w="1020" w:type="dxa"/>
            <w:vAlign w:val="bottom"/>
            <w:tcBorders>
              <w:right w:val="single" w:sz="8" w:color="CCCCFF"/>
            </w:tcBorders>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1140" w:type="dxa"/>
            <w:vAlign w:val="bottom"/>
            <w:tcBorders>
              <w:right w:val="single" w:sz="8" w:color="CCCCFF"/>
            </w:tcBorders>
          </w:tcPr>
          <w:p>
            <w:pPr>
              <w:spacing w:after="0"/>
              <w:rPr>
                <w:sz w:val="11"/>
                <w:szCs w:val="11"/>
                <w:color w:val="auto"/>
              </w:rPr>
            </w:pPr>
          </w:p>
        </w:tc>
        <w:tc>
          <w:tcPr>
            <w:tcW w:w="1140" w:type="dxa"/>
            <w:vAlign w:val="bottom"/>
            <w:tcBorders>
              <w:right w:val="single" w:sz="8" w:color="CCCCFF"/>
            </w:tcBorders>
          </w:tcPr>
          <w:p>
            <w:pPr>
              <w:spacing w:after="0"/>
              <w:rPr>
                <w:sz w:val="11"/>
                <w:szCs w:val="11"/>
                <w:color w:val="auto"/>
              </w:rPr>
            </w:pP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rPr>
              <w:t>LLC</w:t>
            </w:r>
          </w:p>
        </w:tc>
        <w:tc>
          <w:tcPr>
            <w:tcW w:w="1160" w:type="dxa"/>
            <w:vAlign w:val="bottom"/>
            <w:tcBorders>
              <w:right w:val="single" w:sz="8" w:color="CCCCFF"/>
            </w:tcBorders>
          </w:tcPr>
          <w:p>
            <w:pPr>
              <w:jc w:val="center"/>
              <w:spacing w:after="0" w:line="128" w:lineRule="exact"/>
              <w:rPr>
                <w:sz w:val="20"/>
                <w:szCs w:val="20"/>
                <w:color w:val="auto"/>
              </w:rPr>
            </w:pPr>
            <w:r>
              <w:rPr>
                <w:rFonts w:ascii="Arial" w:cs="Arial" w:eastAsia="Arial" w:hAnsi="Arial"/>
                <w:sz w:val="12"/>
                <w:szCs w:val="12"/>
                <w:color w:val="auto"/>
                <w:w w:val="89"/>
              </w:rPr>
              <w:t>Tank at Bryan Mount</w:t>
            </w:r>
          </w:p>
        </w:tc>
        <w:tc>
          <w:tcPr>
            <w:tcW w:w="1140" w:type="dxa"/>
            <w:vAlign w:val="bottom"/>
            <w:tcBorders>
              <w:right w:val="single" w:sz="8" w:color="CCCCFF"/>
            </w:tcBorders>
          </w:tcPr>
          <w:p>
            <w:pPr>
              <w:spacing w:after="0"/>
              <w:rPr>
                <w:sz w:val="11"/>
                <w:szCs w:val="11"/>
                <w:color w:val="auto"/>
              </w:rPr>
            </w:pPr>
          </w:p>
        </w:tc>
        <w:tc>
          <w:tcPr>
            <w:tcW w:w="1600" w:type="dxa"/>
            <w:vAlign w:val="bottom"/>
            <w:tcBorders>
              <w:right w:val="single" w:sz="8" w:color="CCCCFF"/>
            </w:tcBorders>
          </w:tcPr>
          <w:p>
            <w:pPr>
              <w:spacing w:after="0"/>
              <w:rPr>
                <w:sz w:val="11"/>
                <w:szCs w:val="11"/>
                <w:color w:val="auto"/>
              </w:rPr>
            </w:pPr>
          </w:p>
        </w:tc>
        <w:tc>
          <w:tcPr>
            <w:tcW w:w="1160" w:type="dxa"/>
            <w:vAlign w:val="bottom"/>
            <w:tcBorders>
              <w:right w:val="single" w:sz="8" w:color="CCCCFF"/>
            </w:tcBorders>
          </w:tcPr>
          <w:p>
            <w:pPr>
              <w:spacing w:after="0"/>
              <w:rPr>
                <w:sz w:val="11"/>
                <w:szCs w:val="11"/>
                <w:color w:val="auto"/>
              </w:rPr>
            </w:pPr>
          </w:p>
        </w:tc>
        <w:tc>
          <w:tcPr>
            <w:tcW w:w="1020" w:type="dxa"/>
            <w:vAlign w:val="bottom"/>
            <w:tcBorders>
              <w:right w:val="single" w:sz="8" w:color="CCCCFF"/>
            </w:tcBorders>
          </w:tcPr>
          <w:p>
            <w:pPr>
              <w:spacing w:after="0"/>
              <w:rPr>
                <w:sz w:val="11"/>
                <w:szCs w:val="11"/>
                <w:color w:val="auto"/>
              </w:rPr>
            </w:pPr>
          </w:p>
        </w:tc>
        <w:tc>
          <w:tcPr>
            <w:tcW w:w="1020" w:type="dxa"/>
            <w:vAlign w:val="bottom"/>
            <w:tcBorders>
              <w:right w:val="single" w:sz="8" w:color="CCCCFF"/>
            </w:tcBorders>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0" w:type="dxa"/>
            <w:vAlign w:val="bottom"/>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8"/>
              </w:rPr>
              <w:t>SPR Site.</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880" w:type="dxa"/>
            <w:vAlign w:val="bottom"/>
            <w:tcBorders>
              <w:bottom w:val="single" w:sz="8" w:color="CCCC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3"/>
              </w:rPr>
              <w:t>New Fuel Oil Tank At</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2"/>
              </w:rPr>
              <w:t>102680-CHUBB-16-4</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1"/>
              </w:rPr>
              <w:t>Matrix Service Inc.</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2"/>
              </w:rPr>
              <w:t>Hastings Utilities</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Whelan Energy Center</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rPr>
              <w:t>Bid</w:t>
            </w:r>
          </w:p>
        </w:tc>
        <w:tc>
          <w:tcPr>
            <w:tcW w:w="1600" w:type="dxa"/>
            <w:vAlign w:val="bottom"/>
            <w:tcBorders>
              <w:right w:val="single" w:sz="8" w:color="CCCCFF"/>
            </w:tcBorders>
            <w:vMerge w:val="restart"/>
          </w:tcPr>
          <w:p>
            <w:pPr>
              <w:jc w:val="right"/>
              <w:spacing w:after="0"/>
              <w:rPr>
                <w:sz w:val="20"/>
                <w:szCs w:val="20"/>
                <w:color w:val="auto"/>
              </w:rPr>
            </w:pPr>
            <w:r>
              <w:rPr>
                <w:rFonts w:ascii="Arial" w:cs="Arial" w:eastAsia="Arial" w:hAnsi="Arial"/>
                <w:sz w:val="12"/>
                <w:szCs w:val="12"/>
                <w:color w:val="auto"/>
              </w:rPr>
              <w:t>$600,000.00</w:t>
            </w: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Chubb Group</w:t>
            </w:r>
          </w:p>
        </w:tc>
        <w:tc>
          <w:tcPr>
            <w:tcW w:w="10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1"/>
              </w:rPr>
              <w:t>06-Jul-16</w:t>
            </w:r>
          </w:p>
        </w:tc>
        <w:tc>
          <w:tcPr>
            <w:tcW w:w="1020" w:type="dxa"/>
            <w:vAlign w:val="bottom"/>
            <w:tcBorders>
              <w:right w:val="single" w:sz="8" w:color="CCCCFF"/>
            </w:tcBorders>
          </w:tcPr>
          <w:p>
            <w:pPr>
              <w:spacing w:after="0"/>
              <w:rPr>
                <w:sz w:val="10"/>
                <w:szCs w:val="10"/>
                <w:color w:val="auto"/>
              </w:rPr>
            </w:pPr>
          </w:p>
        </w:tc>
        <w:tc>
          <w:tcPr>
            <w:tcW w:w="900" w:type="dxa"/>
            <w:vAlign w:val="bottom"/>
            <w:gridSpan w:val="2"/>
            <w:vMerge w:val="restart"/>
          </w:tcPr>
          <w:p>
            <w:pPr>
              <w:jc w:val="center"/>
              <w:ind w:right="20"/>
              <w:spacing w:after="0"/>
              <w:rPr>
                <w:sz w:val="20"/>
                <w:szCs w:val="20"/>
                <w:color w:val="auto"/>
              </w:rPr>
            </w:pPr>
            <w:r>
              <w:rPr>
                <w:rFonts w:ascii="Arial" w:cs="Arial" w:eastAsia="Arial" w:hAnsi="Arial"/>
                <w:sz w:val="12"/>
                <w:szCs w:val="12"/>
                <w:color w:val="auto"/>
                <w:w w:val="87"/>
              </w:rPr>
              <w:t>06-Jul-17</w:t>
            </w:r>
          </w:p>
        </w:tc>
        <w:tc>
          <w:tcPr>
            <w:tcW w:w="0" w:type="dxa"/>
            <w:vAlign w:val="bottom"/>
          </w:tcPr>
          <w:p>
            <w:pPr>
              <w:spacing w:after="0"/>
              <w:rPr>
                <w:sz w:val="1"/>
                <w:szCs w:val="1"/>
                <w:color w:val="auto"/>
              </w:rPr>
            </w:pPr>
          </w:p>
        </w:tc>
      </w:tr>
      <w:tr>
        <w:trPr>
          <w:trHeight w:val="83"/>
        </w:trPr>
        <w:tc>
          <w:tcPr>
            <w:tcW w:w="40" w:type="dxa"/>
            <w:vAlign w:val="bottom"/>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 Hastings Utilities,</w:t>
            </w:r>
          </w:p>
        </w:tc>
        <w:tc>
          <w:tcPr>
            <w:tcW w:w="1140" w:type="dxa"/>
            <w:vAlign w:val="bottom"/>
            <w:tcBorders>
              <w:right w:val="single" w:sz="8" w:color="CCCCFF"/>
            </w:tcBorders>
            <w:vMerge w:val="continue"/>
          </w:tcPr>
          <w:p>
            <w:pPr>
              <w:spacing w:after="0"/>
              <w:rPr>
                <w:sz w:val="7"/>
                <w:szCs w:val="7"/>
                <w:color w:val="auto"/>
              </w:rPr>
            </w:pPr>
          </w:p>
        </w:tc>
        <w:tc>
          <w:tcPr>
            <w:tcW w:w="160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40" w:type="dxa"/>
            <w:vAlign w:val="bottom"/>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40" w:type="dxa"/>
            <w:vAlign w:val="bottom"/>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7"/>
              </w:rPr>
              <w:t>Hastings, Nebraska</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880" w:type="dxa"/>
            <w:vAlign w:val="bottom"/>
            <w:tcBorders>
              <w:bottom w:val="single" w:sz="8" w:color="CCCC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7"/>
              </w:rPr>
              <w:t>Sewaren 07</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Combined Cycle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Project - Mechanical</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7"/>
              </w:rPr>
              <w:t>construction services</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1"/>
              </w:rPr>
              <w:t>102680-PREQUAL -</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to build a new 540</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PSE&amp;G Fossil, LLC</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MW 1x1 Gas Turbine</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rPr>
              <w:t>Bid</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$0.00</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Chubb Group</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22-Jun-16</w:t>
            </w:r>
          </w:p>
        </w:tc>
        <w:tc>
          <w:tcPr>
            <w:tcW w:w="1020" w:type="dxa"/>
            <w:vAlign w:val="bottom"/>
            <w:tcBorders>
              <w:right w:val="single" w:sz="8" w:color="CCCCFF"/>
            </w:tcBorders>
          </w:tcPr>
          <w:p>
            <w:pPr>
              <w:spacing w:after="0"/>
              <w:rPr>
                <w:sz w:val="4"/>
                <w:szCs w:val="4"/>
                <w:color w:val="auto"/>
              </w:rPr>
            </w:pPr>
          </w:p>
        </w:tc>
        <w:tc>
          <w:tcPr>
            <w:tcW w:w="900" w:type="dxa"/>
            <w:vAlign w:val="bottom"/>
            <w:gridSpan w:val="2"/>
            <w:vMerge w:val="restart"/>
          </w:tcPr>
          <w:p>
            <w:pPr>
              <w:jc w:val="center"/>
              <w:ind w:right="20"/>
              <w:spacing w:after="0" w:line="121" w:lineRule="exact"/>
              <w:rPr>
                <w:sz w:val="20"/>
                <w:szCs w:val="20"/>
                <w:color w:val="auto"/>
              </w:rPr>
            </w:pPr>
            <w:r>
              <w:rPr>
                <w:rFonts w:ascii="Arial" w:cs="Arial" w:eastAsia="Arial" w:hAnsi="Arial"/>
                <w:sz w:val="12"/>
                <w:szCs w:val="12"/>
                <w:color w:val="auto"/>
                <w:w w:val="88"/>
              </w:rPr>
              <w:t>22-Jun-17</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1"/>
              </w:rPr>
              <w:t>PSE&amp;G</w:t>
            </w: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60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40" w:type="dxa"/>
            <w:vAlign w:val="bottom"/>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Combined Cycle</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40" w:type="dxa"/>
            <w:vAlign w:val="bottom"/>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40" w:type="dxa"/>
            <w:vAlign w:val="bottom"/>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6"/>
              </w:rPr>
              <w:t>(GTCC) facility</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5"/>
              </w:rPr>
              <w:t>adjacent to Sewaren</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Generating Station in</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0" w:type="dxa"/>
            <w:vAlign w:val="bottom"/>
          </w:tcPr>
          <w:p>
            <w:pPr>
              <w:spacing w:after="0"/>
              <w:rPr>
                <w:sz w:val="13"/>
                <w:szCs w:val="13"/>
                <w:color w:val="auto"/>
              </w:rPr>
            </w:pPr>
          </w:p>
        </w:tc>
        <w:tc>
          <w:tcPr>
            <w:tcW w:w="1140" w:type="dxa"/>
            <w:vAlign w:val="bottom"/>
            <w:tcBorders>
              <w:right w:val="single" w:sz="8" w:color="CCCCFF"/>
            </w:tcBorders>
          </w:tcPr>
          <w:p>
            <w:pPr>
              <w:spacing w:after="0"/>
              <w:rPr>
                <w:sz w:val="13"/>
                <w:szCs w:val="13"/>
                <w:color w:val="auto"/>
              </w:rPr>
            </w:pPr>
          </w:p>
        </w:tc>
        <w:tc>
          <w:tcPr>
            <w:tcW w:w="1140" w:type="dxa"/>
            <w:vAlign w:val="bottom"/>
            <w:tcBorders>
              <w:right w:val="single" w:sz="8" w:color="CCCCFF"/>
            </w:tcBorders>
          </w:tcPr>
          <w:p>
            <w:pPr>
              <w:spacing w:after="0"/>
              <w:rPr>
                <w:sz w:val="13"/>
                <w:szCs w:val="13"/>
                <w:color w:val="auto"/>
              </w:rPr>
            </w:pPr>
          </w:p>
        </w:tc>
        <w:tc>
          <w:tcPr>
            <w:tcW w:w="1140" w:type="dxa"/>
            <w:vAlign w:val="bottom"/>
            <w:tcBorders>
              <w:right w:val="single" w:sz="8" w:color="CCCCFF"/>
            </w:tcBorders>
          </w:tcPr>
          <w:p>
            <w:pPr>
              <w:spacing w:after="0"/>
              <w:rPr>
                <w:sz w:val="13"/>
                <w:szCs w:val="13"/>
                <w:color w:val="auto"/>
              </w:rPr>
            </w:pPr>
          </w:p>
        </w:tc>
        <w:tc>
          <w:tcPr>
            <w:tcW w:w="1160" w:type="dxa"/>
            <w:vAlign w:val="bottom"/>
            <w:tcBorders>
              <w:right w:val="single" w:sz="8" w:color="CCCCFF"/>
            </w:tcBorders>
          </w:tcPr>
          <w:p>
            <w:pPr>
              <w:jc w:val="center"/>
              <w:spacing w:after="0"/>
              <w:rPr>
                <w:sz w:val="20"/>
                <w:szCs w:val="20"/>
                <w:color w:val="auto"/>
              </w:rPr>
            </w:pPr>
            <w:r>
              <w:rPr>
                <w:rFonts w:ascii="Arial" w:cs="Arial" w:eastAsia="Arial" w:hAnsi="Arial"/>
                <w:sz w:val="12"/>
                <w:szCs w:val="12"/>
                <w:color w:val="auto"/>
                <w:w w:val="87"/>
              </w:rPr>
              <w:t>Sewaren, NJ</w:t>
            </w:r>
          </w:p>
        </w:tc>
        <w:tc>
          <w:tcPr>
            <w:tcW w:w="1140" w:type="dxa"/>
            <w:vAlign w:val="bottom"/>
            <w:tcBorders>
              <w:right w:val="single" w:sz="8" w:color="CCCCFF"/>
            </w:tcBorders>
          </w:tcPr>
          <w:p>
            <w:pPr>
              <w:spacing w:after="0"/>
              <w:rPr>
                <w:sz w:val="13"/>
                <w:szCs w:val="13"/>
                <w:color w:val="auto"/>
              </w:rPr>
            </w:pPr>
          </w:p>
        </w:tc>
        <w:tc>
          <w:tcPr>
            <w:tcW w:w="1600" w:type="dxa"/>
            <w:vAlign w:val="bottom"/>
            <w:tcBorders>
              <w:right w:val="single" w:sz="8" w:color="CCCCFF"/>
            </w:tcBorders>
          </w:tcPr>
          <w:p>
            <w:pPr>
              <w:spacing w:after="0"/>
              <w:rPr>
                <w:sz w:val="13"/>
                <w:szCs w:val="13"/>
                <w:color w:val="auto"/>
              </w:rPr>
            </w:pPr>
          </w:p>
        </w:tc>
        <w:tc>
          <w:tcPr>
            <w:tcW w:w="1160" w:type="dxa"/>
            <w:vAlign w:val="bottom"/>
            <w:tcBorders>
              <w:right w:val="single" w:sz="8" w:color="CCCCFF"/>
            </w:tcBorders>
          </w:tcPr>
          <w:p>
            <w:pPr>
              <w:spacing w:after="0"/>
              <w:rPr>
                <w:sz w:val="13"/>
                <w:szCs w:val="13"/>
                <w:color w:val="auto"/>
              </w:rPr>
            </w:pPr>
          </w:p>
        </w:tc>
        <w:tc>
          <w:tcPr>
            <w:tcW w:w="1020" w:type="dxa"/>
            <w:vAlign w:val="bottom"/>
            <w:tcBorders>
              <w:right w:val="single" w:sz="8" w:color="CCCCFF"/>
            </w:tcBorders>
          </w:tcPr>
          <w:p>
            <w:pPr>
              <w:spacing w:after="0"/>
              <w:rPr>
                <w:sz w:val="13"/>
                <w:szCs w:val="13"/>
                <w:color w:val="auto"/>
              </w:rPr>
            </w:pPr>
          </w:p>
        </w:tc>
        <w:tc>
          <w:tcPr>
            <w:tcW w:w="1020" w:type="dxa"/>
            <w:vAlign w:val="bottom"/>
            <w:tcBorders>
              <w:right w:val="single" w:sz="8" w:color="CCCCFF"/>
            </w:tcBorders>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0" w:type="dxa"/>
            <w:vAlign w:val="bottom"/>
            <w:tcBorders>
              <w:bottom w:val="single" w:sz="8" w:color="969696"/>
            </w:tcBorders>
            <w:shd w:val="clear" w:color="auto" w:fill="969696"/>
          </w:tcPr>
          <w:p>
            <w:pPr>
              <w:spacing w:after="0"/>
              <w:rPr>
                <w:sz w:val="18"/>
                <w:szCs w:val="18"/>
                <w:color w:val="auto"/>
              </w:rPr>
            </w:pPr>
          </w:p>
        </w:tc>
        <w:tc>
          <w:tcPr>
            <w:tcW w:w="1140" w:type="dxa"/>
            <w:vAlign w:val="bottom"/>
            <w:tcBorders>
              <w:bottom w:val="single" w:sz="8" w:color="969696"/>
              <w:right w:val="single" w:sz="8" w:color="969696"/>
            </w:tcBorders>
            <w:shd w:val="clear" w:color="auto" w:fill="969696"/>
          </w:tcPr>
          <w:p>
            <w:pPr>
              <w:ind w:left="20"/>
              <w:spacing w:after="0"/>
              <w:rPr>
                <w:sz w:val="20"/>
                <w:szCs w:val="20"/>
                <w:color w:val="auto"/>
              </w:rPr>
            </w:pPr>
            <w:r>
              <w:rPr>
                <w:rFonts w:ascii="Arial" w:cs="Arial" w:eastAsia="Arial" w:hAnsi="Arial"/>
                <w:sz w:val="12"/>
                <w:szCs w:val="12"/>
                <w:color w:val="auto"/>
                <w:w w:val="99"/>
              </w:rPr>
              <w:t>TOTAL BID BONDS</w:t>
            </w:r>
          </w:p>
        </w:tc>
        <w:tc>
          <w:tcPr>
            <w:tcW w:w="1140" w:type="dxa"/>
            <w:vAlign w:val="bottom"/>
            <w:tcBorders>
              <w:bottom w:val="single" w:sz="8" w:color="969696"/>
              <w:right w:val="single" w:sz="8" w:color="CCCCFF"/>
            </w:tcBorders>
            <w:shd w:val="clear" w:color="auto" w:fill="969696"/>
          </w:tcPr>
          <w:p>
            <w:pPr>
              <w:spacing w:after="0"/>
              <w:rPr>
                <w:sz w:val="18"/>
                <w:szCs w:val="18"/>
                <w:color w:val="auto"/>
              </w:rPr>
            </w:pPr>
          </w:p>
        </w:tc>
        <w:tc>
          <w:tcPr>
            <w:tcW w:w="1140" w:type="dxa"/>
            <w:vAlign w:val="bottom"/>
            <w:tcBorders>
              <w:bottom w:val="single" w:sz="8" w:color="969696"/>
              <w:right w:val="single" w:sz="8" w:color="CCCCFF"/>
            </w:tcBorders>
            <w:shd w:val="clear" w:color="auto" w:fill="969696"/>
          </w:tcPr>
          <w:p>
            <w:pPr>
              <w:spacing w:after="0"/>
              <w:rPr>
                <w:sz w:val="18"/>
                <w:szCs w:val="18"/>
                <w:color w:val="auto"/>
              </w:rPr>
            </w:pPr>
          </w:p>
        </w:tc>
        <w:tc>
          <w:tcPr>
            <w:tcW w:w="1160" w:type="dxa"/>
            <w:vAlign w:val="bottom"/>
            <w:tcBorders>
              <w:bottom w:val="single" w:sz="8" w:color="969696"/>
              <w:right w:val="single" w:sz="8" w:color="CCCCFF"/>
            </w:tcBorders>
            <w:shd w:val="clear" w:color="auto" w:fill="969696"/>
          </w:tcPr>
          <w:p>
            <w:pPr>
              <w:spacing w:after="0"/>
              <w:rPr>
                <w:sz w:val="18"/>
                <w:szCs w:val="18"/>
                <w:color w:val="auto"/>
              </w:rPr>
            </w:pPr>
          </w:p>
        </w:tc>
        <w:tc>
          <w:tcPr>
            <w:tcW w:w="1140" w:type="dxa"/>
            <w:vAlign w:val="bottom"/>
            <w:tcBorders>
              <w:bottom w:val="single" w:sz="8" w:color="969696"/>
              <w:right w:val="single" w:sz="8" w:color="CCCCFF"/>
            </w:tcBorders>
            <w:shd w:val="clear" w:color="auto" w:fill="969696"/>
          </w:tcPr>
          <w:p>
            <w:pPr>
              <w:jc w:val="center"/>
              <w:spacing w:after="0"/>
              <w:rPr>
                <w:sz w:val="20"/>
                <w:szCs w:val="20"/>
                <w:color w:val="auto"/>
              </w:rPr>
            </w:pPr>
            <w:r>
              <w:rPr>
                <w:rFonts w:ascii="Arial" w:cs="Arial" w:eastAsia="Arial" w:hAnsi="Arial"/>
                <w:sz w:val="12"/>
                <w:szCs w:val="12"/>
                <w:color w:val="auto"/>
                <w:w w:val="89"/>
              </w:rPr>
              <w:t>5</w:t>
            </w:r>
          </w:p>
        </w:tc>
        <w:tc>
          <w:tcPr>
            <w:tcW w:w="1600" w:type="dxa"/>
            <w:vAlign w:val="bottom"/>
            <w:tcBorders>
              <w:bottom w:val="single" w:sz="8" w:color="969696"/>
              <w:right w:val="single" w:sz="8" w:color="CCCCFF"/>
            </w:tcBorders>
            <w:shd w:val="clear" w:color="auto" w:fill="969696"/>
          </w:tcPr>
          <w:p>
            <w:pPr>
              <w:jc w:val="right"/>
              <w:spacing w:after="0"/>
              <w:rPr>
                <w:sz w:val="20"/>
                <w:szCs w:val="20"/>
                <w:color w:val="auto"/>
              </w:rPr>
            </w:pPr>
            <w:r>
              <w:rPr>
                <w:rFonts w:ascii="Arial" w:cs="Arial" w:eastAsia="Arial" w:hAnsi="Arial"/>
                <w:sz w:val="12"/>
                <w:szCs w:val="12"/>
                <w:color w:val="auto"/>
              </w:rPr>
              <w:t>$16,550,000.00</w:t>
            </w:r>
          </w:p>
        </w:tc>
        <w:tc>
          <w:tcPr>
            <w:tcW w:w="1160" w:type="dxa"/>
            <w:vAlign w:val="bottom"/>
            <w:tcBorders>
              <w:bottom w:val="single" w:sz="8" w:color="969696"/>
              <w:right w:val="single" w:sz="8" w:color="CCCCFF"/>
            </w:tcBorders>
            <w:shd w:val="clear" w:color="auto" w:fill="969696"/>
          </w:tcPr>
          <w:p>
            <w:pPr>
              <w:spacing w:after="0"/>
              <w:rPr>
                <w:sz w:val="18"/>
                <w:szCs w:val="18"/>
                <w:color w:val="auto"/>
              </w:rPr>
            </w:pPr>
          </w:p>
        </w:tc>
        <w:tc>
          <w:tcPr>
            <w:tcW w:w="1020" w:type="dxa"/>
            <w:vAlign w:val="bottom"/>
            <w:tcBorders>
              <w:bottom w:val="single" w:sz="8" w:color="969696"/>
              <w:right w:val="single" w:sz="8" w:color="CCCCFF"/>
            </w:tcBorders>
            <w:shd w:val="clear" w:color="auto" w:fill="969696"/>
          </w:tcPr>
          <w:p>
            <w:pPr>
              <w:spacing w:after="0"/>
              <w:rPr>
                <w:sz w:val="18"/>
                <w:szCs w:val="18"/>
                <w:color w:val="auto"/>
              </w:rPr>
            </w:pPr>
          </w:p>
        </w:tc>
        <w:tc>
          <w:tcPr>
            <w:tcW w:w="1020" w:type="dxa"/>
            <w:vAlign w:val="bottom"/>
            <w:tcBorders>
              <w:bottom w:val="single" w:sz="8" w:color="969696"/>
              <w:right w:val="single" w:sz="8" w:color="969696"/>
            </w:tcBorders>
            <w:shd w:val="clear" w:color="auto" w:fill="969696"/>
          </w:tcPr>
          <w:p>
            <w:pPr>
              <w:spacing w:after="0"/>
              <w:rPr>
                <w:sz w:val="18"/>
                <w:szCs w:val="18"/>
                <w:color w:val="auto"/>
              </w:rPr>
            </w:pPr>
          </w:p>
        </w:tc>
        <w:tc>
          <w:tcPr>
            <w:tcW w:w="880" w:type="dxa"/>
            <w:vAlign w:val="bottom"/>
            <w:tcBorders>
              <w:bottom w:val="single" w:sz="8" w:color="969696"/>
            </w:tcBorders>
            <w:shd w:val="clear" w:color="auto" w:fill="969696"/>
          </w:tcPr>
          <w:p>
            <w:pPr>
              <w:spacing w:after="0"/>
              <w:rPr>
                <w:sz w:val="18"/>
                <w:szCs w:val="18"/>
                <w:color w:val="auto"/>
              </w:rPr>
            </w:pPr>
          </w:p>
        </w:tc>
        <w:tc>
          <w:tcPr>
            <w:tcW w:w="20" w:type="dxa"/>
            <w:vAlign w:val="bottom"/>
            <w:tcBorders>
              <w:bottom w:val="single" w:sz="8" w:color="969696"/>
            </w:tcBorders>
            <w:shd w:val="clear" w:color="auto" w:fill="96969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 w:type="dxa"/>
            <w:vAlign w:val="bottom"/>
            <w:tcBorders>
              <w:bottom w:val="single" w:sz="8" w:color="800080"/>
            </w:tcBorders>
            <w:shd w:val="clear" w:color="auto" w:fill="800080"/>
          </w:tcPr>
          <w:p>
            <w:pPr>
              <w:spacing w:after="0"/>
              <w:rPr>
                <w:sz w:val="19"/>
                <w:szCs w:val="19"/>
                <w:color w:val="auto"/>
              </w:rPr>
            </w:pPr>
          </w:p>
        </w:tc>
        <w:tc>
          <w:tcPr>
            <w:tcW w:w="2280" w:type="dxa"/>
            <w:vAlign w:val="bottom"/>
            <w:tcBorders>
              <w:bottom w:val="single" w:sz="8" w:color="800080"/>
              <w:right w:val="single" w:sz="8" w:color="800080"/>
            </w:tcBorders>
            <w:gridSpan w:val="2"/>
            <w:shd w:val="clear" w:color="auto" w:fill="800080"/>
          </w:tcPr>
          <w:p>
            <w:pPr>
              <w:ind w:left="20"/>
              <w:spacing w:after="0"/>
              <w:rPr>
                <w:sz w:val="20"/>
                <w:szCs w:val="20"/>
                <w:color w:val="auto"/>
              </w:rPr>
            </w:pPr>
            <w:r>
              <w:rPr>
                <w:rFonts w:ascii="Arial" w:cs="Arial" w:eastAsia="Arial" w:hAnsi="Arial"/>
                <w:sz w:val="12"/>
                <w:szCs w:val="12"/>
                <w:b w:val="1"/>
                <w:bCs w:val="1"/>
                <w:color w:val="FFFFFF"/>
              </w:rPr>
              <w:t>PAYMENT &amp; PERFORMANCE BONDS</w:t>
            </w:r>
          </w:p>
        </w:tc>
        <w:tc>
          <w:tcPr>
            <w:tcW w:w="1140" w:type="dxa"/>
            <w:vAlign w:val="bottom"/>
            <w:tcBorders>
              <w:bottom w:val="single" w:sz="8" w:color="800080"/>
              <w:right w:val="single" w:sz="8" w:color="800080"/>
            </w:tcBorders>
            <w:shd w:val="clear" w:color="auto" w:fill="800080"/>
          </w:tcPr>
          <w:p>
            <w:pPr>
              <w:spacing w:after="0"/>
              <w:rPr>
                <w:sz w:val="19"/>
                <w:szCs w:val="19"/>
                <w:color w:val="auto"/>
              </w:rPr>
            </w:pPr>
          </w:p>
        </w:tc>
        <w:tc>
          <w:tcPr>
            <w:tcW w:w="1160" w:type="dxa"/>
            <w:vAlign w:val="bottom"/>
            <w:tcBorders>
              <w:bottom w:val="single" w:sz="8" w:color="800080"/>
              <w:right w:val="single" w:sz="8" w:color="800080"/>
            </w:tcBorders>
            <w:shd w:val="clear" w:color="auto" w:fill="800080"/>
          </w:tcPr>
          <w:p>
            <w:pPr>
              <w:spacing w:after="0"/>
              <w:rPr>
                <w:sz w:val="19"/>
                <w:szCs w:val="19"/>
                <w:color w:val="auto"/>
              </w:rPr>
            </w:pPr>
          </w:p>
        </w:tc>
        <w:tc>
          <w:tcPr>
            <w:tcW w:w="1140" w:type="dxa"/>
            <w:vAlign w:val="bottom"/>
            <w:tcBorders>
              <w:bottom w:val="single" w:sz="8" w:color="800080"/>
              <w:right w:val="single" w:sz="8" w:color="800080"/>
            </w:tcBorders>
            <w:shd w:val="clear" w:color="auto" w:fill="800080"/>
          </w:tcPr>
          <w:p>
            <w:pPr>
              <w:spacing w:after="0"/>
              <w:rPr>
                <w:sz w:val="19"/>
                <w:szCs w:val="19"/>
                <w:color w:val="auto"/>
              </w:rPr>
            </w:pPr>
          </w:p>
        </w:tc>
        <w:tc>
          <w:tcPr>
            <w:tcW w:w="1600" w:type="dxa"/>
            <w:vAlign w:val="bottom"/>
            <w:tcBorders>
              <w:bottom w:val="single" w:sz="8" w:color="800080"/>
              <w:right w:val="single" w:sz="8" w:color="800080"/>
            </w:tcBorders>
            <w:shd w:val="clear" w:color="auto" w:fill="800080"/>
          </w:tcPr>
          <w:p>
            <w:pPr>
              <w:spacing w:after="0"/>
              <w:rPr>
                <w:sz w:val="19"/>
                <w:szCs w:val="19"/>
                <w:color w:val="auto"/>
              </w:rPr>
            </w:pPr>
          </w:p>
        </w:tc>
        <w:tc>
          <w:tcPr>
            <w:tcW w:w="1160" w:type="dxa"/>
            <w:vAlign w:val="bottom"/>
            <w:tcBorders>
              <w:bottom w:val="single" w:sz="8" w:color="800080"/>
              <w:right w:val="single" w:sz="8" w:color="800080"/>
            </w:tcBorders>
            <w:shd w:val="clear" w:color="auto" w:fill="800080"/>
          </w:tcPr>
          <w:p>
            <w:pPr>
              <w:spacing w:after="0"/>
              <w:rPr>
                <w:sz w:val="19"/>
                <w:szCs w:val="19"/>
                <w:color w:val="auto"/>
              </w:rPr>
            </w:pPr>
          </w:p>
        </w:tc>
        <w:tc>
          <w:tcPr>
            <w:tcW w:w="1020" w:type="dxa"/>
            <w:vAlign w:val="bottom"/>
            <w:tcBorders>
              <w:bottom w:val="single" w:sz="8" w:color="800080"/>
              <w:right w:val="single" w:sz="8" w:color="800080"/>
            </w:tcBorders>
            <w:shd w:val="clear" w:color="auto" w:fill="800080"/>
          </w:tcPr>
          <w:p>
            <w:pPr>
              <w:spacing w:after="0"/>
              <w:rPr>
                <w:sz w:val="19"/>
                <w:szCs w:val="19"/>
                <w:color w:val="auto"/>
              </w:rPr>
            </w:pPr>
          </w:p>
        </w:tc>
        <w:tc>
          <w:tcPr>
            <w:tcW w:w="1020" w:type="dxa"/>
            <w:vAlign w:val="bottom"/>
            <w:tcBorders>
              <w:bottom w:val="single" w:sz="8" w:color="800080"/>
              <w:right w:val="single" w:sz="8" w:color="800080"/>
            </w:tcBorders>
            <w:shd w:val="clear" w:color="auto" w:fill="800080"/>
          </w:tcPr>
          <w:p>
            <w:pPr>
              <w:spacing w:after="0"/>
              <w:rPr>
                <w:sz w:val="19"/>
                <w:szCs w:val="19"/>
                <w:color w:val="auto"/>
              </w:rPr>
            </w:pPr>
          </w:p>
        </w:tc>
        <w:tc>
          <w:tcPr>
            <w:tcW w:w="880" w:type="dxa"/>
            <w:vAlign w:val="bottom"/>
            <w:tcBorders>
              <w:bottom w:val="single" w:sz="8" w:color="800080"/>
            </w:tcBorders>
            <w:shd w:val="clear" w:color="auto" w:fill="800080"/>
          </w:tcPr>
          <w:p>
            <w:pPr>
              <w:spacing w:after="0"/>
              <w:rPr>
                <w:sz w:val="19"/>
                <w:szCs w:val="19"/>
                <w:color w:val="auto"/>
              </w:rPr>
            </w:pPr>
          </w:p>
        </w:tc>
        <w:tc>
          <w:tcPr>
            <w:tcW w:w="20" w:type="dxa"/>
            <w:vAlign w:val="bottom"/>
            <w:tcBorders>
              <w:bottom w:val="single" w:sz="8" w:color="800080"/>
            </w:tcBorders>
            <w:shd w:val="clear" w:color="auto" w:fill="800080"/>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1140" w:type="dxa"/>
            <w:vAlign w:val="bottom"/>
            <w:tcBorders>
              <w:right w:val="single" w:sz="8" w:color="CCCCFF"/>
            </w:tcBorders>
          </w:tcPr>
          <w:p>
            <w:pPr>
              <w:spacing w:after="0"/>
              <w:rPr>
                <w:sz w:val="11"/>
                <w:szCs w:val="11"/>
                <w:color w:val="auto"/>
              </w:rPr>
            </w:pPr>
          </w:p>
        </w:tc>
        <w:tc>
          <w:tcPr>
            <w:tcW w:w="1140" w:type="dxa"/>
            <w:vAlign w:val="bottom"/>
            <w:tcBorders>
              <w:right w:val="single" w:sz="8" w:color="CCCCFF"/>
            </w:tcBorders>
          </w:tcPr>
          <w:p>
            <w:pPr>
              <w:jc w:val="center"/>
              <w:spacing w:after="0" w:line="128"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tcPr>
          <w:p>
            <w:pPr>
              <w:spacing w:after="0"/>
              <w:rPr>
                <w:sz w:val="11"/>
                <w:szCs w:val="11"/>
                <w:color w:val="auto"/>
              </w:rPr>
            </w:pPr>
          </w:p>
        </w:tc>
        <w:tc>
          <w:tcPr>
            <w:tcW w:w="1160" w:type="dxa"/>
            <w:vAlign w:val="bottom"/>
            <w:tcBorders>
              <w:right w:val="single" w:sz="8" w:color="CCCCFF"/>
            </w:tcBorders>
          </w:tcPr>
          <w:p>
            <w:pPr>
              <w:jc w:val="center"/>
              <w:spacing w:after="0" w:line="128" w:lineRule="exact"/>
              <w:rPr>
                <w:sz w:val="20"/>
                <w:szCs w:val="20"/>
                <w:color w:val="auto"/>
              </w:rPr>
            </w:pPr>
            <w:r>
              <w:rPr>
                <w:rFonts w:ascii="Arial" w:cs="Arial" w:eastAsia="Arial" w:hAnsi="Arial"/>
                <w:sz w:val="12"/>
                <w:szCs w:val="12"/>
                <w:color w:val="auto"/>
                <w:w w:val="85"/>
              </w:rPr>
              <w:t>PSEG 40th Street</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Performance and/or</w:t>
            </w:r>
          </w:p>
        </w:tc>
        <w:tc>
          <w:tcPr>
            <w:tcW w:w="1600" w:type="dxa"/>
            <w:vAlign w:val="bottom"/>
            <w:tcBorders>
              <w:right w:val="single" w:sz="8" w:color="CCCCFF"/>
            </w:tcBorders>
          </w:tcPr>
          <w:p>
            <w:pPr>
              <w:spacing w:after="0"/>
              <w:rPr>
                <w:sz w:val="11"/>
                <w:szCs w:val="11"/>
                <w:color w:val="auto"/>
              </w:rPr>
            </w:pPr>
          </w:p>
        </w:tc>
        <w:tc>
          <w:tcPr>
            <w:tcW w:w="1160" w:type="dxa"/>
            <w:vAlign w:val="bottom"/>
            <w:tcBorders>
              <w:right w:val="single" w:sz="8" w:color="CCCCFF"/>
            </w:tcBorders>
          </w:tcPr>
          <w:p>
            <w:pPr>
              <w:spacing w:after="0"/>
              <w:rPr>
                <w:sz w:val="11"/>
                <w:szCs w:val="11"/>
                <w:color w:val="auto"/>
              </w:rPr>
            </w:pPr>
          </w:p>
        </w:tc>
        <w:tc>
          <w:tcPr>
            <w:tcW w:w="1020" w:type="dxa"/>
            <w:vAlign w:val="bottom"/>
            <w:tcBorders>
              <w:right w:val="single" w:sz="8" w:color="CCCCFF"/>
            </w:tcBorders>
          </w:tcPr>
          <w:p>
            <w:pPr>
              <w:spacing w:after="0"/>
              <w:rPr>
                <w:sz w:val="11"/>
                <w:szCs w:val="11"/>
                <w:color w:val="auto"/>
              </w:rPr>
            </w:pPr>
          </w:p>
        </w:tc>
        <w:tc>
          <w:tcPr>
            <w:tcW w:w="1020" w:type="dxa"/>
            <w:vAlign w:val="bottom"/>
            <w:tcBorders>
              <w:right w:val="single" w:sz="8" w:color="CCCCFF"/>
            </w:tcBorders>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1180" w:type="dxa"/>
            <w:vAlign w:val="bottom"/>
            <w:tcBorders>
              <w:right w:val="single" w:sz="8" w:color="CCCCFF"/>
            </w:tcBorders>
            <w:gridSpan w:val="2"/>
            <w:vMerge w:val="restart"/>
          </w:tcPr>
          <w:p>
            <w:pPr>
              <w:jc w:val="center"/>
              <w:spacing w:after="0" w:line="121" w:lineRule="exact"/>
              <w:rPr>
                <w:sz w:val="20"/>
                <w:szCs w:val="20"/>
                <w:color w:val="auto"/>
              </w:rPr>
            </w:pPr>
            <w:r>
              <w:rPr>
                <w:rFonts w:ascii="Arial" w:cs="Arial" w:eastAsia="Arial" w:hAnsi="Arial"/>
                <w:sz w:val="12"/>
                <w:szCs w:val="12"/>
                <w:color w:val="auto"/>
                <w:w w:val="84"/>
              </w:rPr>
              <w:t>837925</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7"/>
              </w:rPr>
              <w:t>Siemens Energy, Inc.</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Substation 69kV GIS</w:t>
            </w:r>
          </w:p>
        </w:tc>
        <w:tc>
          <w:tcPr>
            <w:tcW w:w="1140" w:type="dxa"/>
            <w:vAlign w:val="bottom"/>
            <w:tcBorders>
              <w:right w:val="single" w:sz="8" w:color="CCCCFF"/>
            </w:tcBorders>
            <w:vMerge w:val="continue"/>
          </w:tcPr>
          <w:p>
            <w:pPr>
              <w:spacing w:after="0"/>
              <w:rPr>
                <w:sz w:val="4"/>
                <w:szCs w:val="4"/>
                <w:color w:val="auto"/>
              </w:rPr>
            </w:pP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$637,851.33</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4"/>
              </w:rPr>
              <w:t>AIG Group</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16-Dec-14</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16-Dec-14</w:t>
            </w:r>
          </w:p>
        </w:tc>
        <w:tc>
          <w:tcPr>
            <w:tcW w:w="900" w:type="dxa"/>
            <w:vAlign w:val="bottom"/>
            <w:gridSpan w:val="2"/>
            <w:vMerge w:val="restart"/>
          </w:tcPr>
          <w:p>
            <w:pPr>
              <w:jc w:val="center"/>
              <w:spacing w:after="0" w:line="121" w:lineRule="exact"/>
              <w:rPr>
                <w:sz w:val="20"/>
                <w:szCs w:val="20"/>
                <w:color w:val="auto"/>
              </w:rPr>
            </w:pPr>
            <w:r>
              <w:rPr>
                <w:rFonts w:ascii="Arial" w:cs="Arial" w:eastAsia="Arial" w:hAnsi="Arial"/>
                <w:sz w:val="12"/>
                <w:szCs w:val="12"/>
                <w:color w:val="auto"/>
                <w:w w:val="89"/>
              </w:rPr>
              <w:t>16-Dec-15</w:t>
            </w:r>
          </w:p>
        </w:tc>
        <w:tc>
          <w:tcPr>
            <w:tcW w:w="0" w:type="dxa"/>
            <w:vAlign w:val="bottom"/>
          </w:tcPr>
          <w:p>
            <w:pPr>
              <w:spacing w:after="0"/>
              <w:rPr>
                <w:sz w:val="1"/>
                <w:szCs w:val="1"/>
                <w:color w:val="auto"/>
              </w:rPr>
            </w:pPr>
          </w:p>
        </w:tc>
      </w:tr>
      <w:tr>
        <w:trPr>
          <w:trHeight w:val="66"/>
        </w:trPr>
        <w:tc>
          <w:tcPr>
            <w:tcW w:w="1180" w:type="dxa"/>
            <w:vAlign w:val="bottom"/>
            <w:tcBorders>
              <w:right w:val="single" w:sz="8" w:color="CCCCFF"/>
            </w:tcBorders>
            <w:gridSpan w:val="2"/>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Payment</w:t>
            </w:r>
          </w:p>
        </w:tc>
        <w:tc>
          <w:tcPr>
            <w:tcW w:w="160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40" w:type="dxa"/>
            <w:vAlign w:val="bottom"/>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Installation</w:t>
            </w:r>
          </w:p>
        </w:tc>
        <w:tc>
          <w:tcPr>
            <w:tcW w:w="1140" w:type="dxa"/>
            <w:vAlign w:val="bottom"/>
            <w:tcBorders>
              <w:right w:val="single" w:sz="8" w:color="CCCCFF"/>
            </w:tcBorders>
            <w:vMerge w:val="continue"/>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40" w:type="dxa"/>
            <w:vAlign w:val="bottom"/>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vMerge w:val="continue"/>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vMerge w:val="continue"/>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60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880" w:type="dxa"/>
            <w:vAlign w:val="bottom"/>
            <w:tcBorders>
              <w:bottom w:val="single" w:sz="8" w:color="CCCCFF"/>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1460"/>
          </w:cols>
          <w:pgMar w:left="220" w:top="654" w:right="219" w:bottom="1440" w:gutter="0" w:footer="0" w:header="0"/>
        </w:sectPr>
      </w:pPr>
    </w:p>
    <w:bookmarkStart w:id="178" w:name="page179"/>
    <w:bookmarkEnd w:id="178"/>
    <w:tbl>
      <w:tblPr>
        <w:tblLayout w:type="fixed"/>
        <w:tblInd w:w="10" w:type="dxa"/>
        <w:tblCellMar>
          <w:top w:w="0" w:type="dxa"/>
          <w:left w:w="0" w:type="dxa"/>
          <w:bottom w:w="0" w:type="dxa"/>
          <w:right w:w="0" w:type="dxa"/>
        </w:tblCellMar>
      </w:tblPr>
      <w:tr>
        <w:trPr>
          <w:trHeight w:val="139"/>
        </w:trPr>
        <w:tc>
          <w:tcPr>
            <w:tcW w:w="1180" w:type="dxa"/>
            <w:vAlign w:val="bottom"/>
            <w:tcBorders>
              <w:top w:val="single" w:sz="8" w:color="CCCCFF"/>
              <w:left w:val="single" w:sz="8" w:color="0066CC"/>
              <w:right w:val="single" w:sz="8" w:color="CCCCFF"/>
            </w:tcBorders>
          </w:tcPr>
          <w:p>
            <w:pPr>
              <w:spacing w:after="0"/>
              <w:rPr>
                <w:sz w:val="12"/>
                <w:szCs w:val="12"/>
                <w:color w:val="auto"/>
              </w:rPr>
            </w:pPr>
          </w:p>
        </w:tc>
        <w:tc>
          <w:tcPr>
            <w:tcW w:w="1140" w:type="dxa"/>
            <w:vAlign w:val="bottom"/>
            <w:tcBorders>
              <w:top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4"/>
              </w:rPr>
              <w:t>Matrix North</w:t>
            </w:r>
          </w:p>
        </w:tc>
        <w:tc>
          <w:tcPr>
            <w:tcW w:w="1140" w:type="dxa"/>
            <w:vAlign w:val="bottom"/>
            <w:tcBorders>
              <w:top w:val="single" w:sz="8" w:color="CCCCFF"/>
              <w:right w:val="single" w:sz="8" w:color="CCCCFF"/>
            </w:tcBorders>
          </w:tcPr>
          <w:p>
            <w:pPr>
              <w:spacing w:after="0"/>
              <w:rPr>
                <w:sz w:val="12"/>
                <w:szCs w:val="12"/>
                <w:color w:val="auto"/>
              </w:rPr>
            </w:pPr>
          </w:p>
        </w:tc>
        <w:tc>
          <w:tcPr>
            <w:tcW w:w="1160" w:type="dxa"/>
            <w:vAlign w:val="bottom"/>
            <w:tcBorders>
              <w:top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2"/>
              </w:rPr>
              <w:t>PSEG Belleville</w:t>
            </w:r>
          </w:p>
        </w:tc>
        <w:tc>
          <w:tcPr>
            <w:tcW w:w="1140" w:type="dxa"/>
            <w:vAlign w:val="bottom"/>
            <w:tcBorders>
              <w:top w:val="single" w:sz="8" w:color="CCCCFF"/>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Performance and/or</w:t>
            </w:r>
          </w:p>
        </w:tc>
        <w:tc>
          <w:tcPr>
            <w:tcW w:w="1600" w:type="dxa"/>
            <w:vAlign w:val="bottom"/>
            <w:tcBorders>
              <w:top w:val="single" w:sz="8" w:color="CCCCFF"/>
              <w:right w:val="single" w:sz="8" w:color="CCCCFF"/>
            </w:tcBorders>
          </w:tcPr>
          <w:p>
            <w:pPr>
              <w:spacing w:after="0"/>
              <w:rPr>
                <w:sz w:val="12"/>
                <w:szCs w:val="12"/>
                <w:color w:val="auto"/>
              </w:rPr>
            </w:pPr>
          </w:p>
        </w:tc>
        <w:tc>
          <w:tcPr>
            <w:tcW w:w="1160" w:type="dxa"/>
            <w:vAlign w:val="bottom"/>
            <w:tcBorders>
              <w:top w:val="single" w:sz="8" w:color="CCCCFF"/>
              <w:right w:val="single" w:sz="8" w:color="CCCCFF"/>
            </w:tcBorders>
          </w:tcPr>
          <w:p>
            <w:pPr>
              <w:spacing w:after="0"/>
              <w:rPr>
                <w:sz w:val="12"/>
                <w:szCs w:val="12"/>
                <w:color w:val="auto"/>
              </w:rPr>
            </w:pPr>
          </w:p>
        </w:tc>
        <w:tc>
          <w:tcPr>
            <w:tcW w:w="1020" w:type="dxa"/>
            <w:vAlign w:val="bottom"/>
            <w:tcBorders>
              <w:top w:val="single" w:sz="8" w:color="CCCCFF"/>
              <w:right w:val="single" w:sz="8" w:color="CCCCFF"/>
            </w:tcBorders>
          </w:tcPr>
          <w:p>
            <w:pPr>
              <w:spacing w:after="0"/>
              <w:rPr>
                <w:sz w:val="12"/>
                <w:szCs w:val="12"/>
                <w:color w:val="auto"/>
              </w:rPr>
            </w:pPr>
          </w:p>
        </w:tc>
        <w:tc>
          <w:tcPr>
            <w:tcW w:w="1020" w:type="dxa"/>
            <w:vAlign w:val="bottom"/>
            <w:tcBorders>
              <w:top w:val="single" w:sz="8" w:color="CCCCFF"/>
              <w:right w:val="single" w:sz="8" w:color="CCCCFF"/>
            </w:tcBorders>
          </w:tcPr>
          <w:p>
            <w:pPr>
              <w:spacing w:after="0"/>
              <w:rPr>
                <w:sz w:val="12"/>
                <w:szCs w:val="12"/>
                <w:color w:val="auto"/>
              </w:rPr>
            </w:pPr>
          </w:p>
        </w:tc>
        <w:tc>
          <w:tcPr>
            <w:tcW w:w="920" w:type="dxa"/>
            <w:vAlign w:val="bottom"/>
            <w:tcBorders>
              <w:top w:val="single" w:sz="8" w:color="CCCCFF"/>
              <w:right w:val="single" w:sz="8" w:color="0066CC"/>
            </w:tcBorders>
          </w:tcPr>
          <w:p>
            <w:pPr>
              <w:spacing w:after="0"/>
              <w:rPr>
                <w:sz w:val="12"/>
                <w:szCs w:val="12"/>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restart"/>
          </w:tcPr>
          <w:p>
            <w:pPr>
              <w:jc w:val="right"/>
              <w:ind w:right="361"/>
              <w:spacing w:after="0" w:line="121" w:lineRule="exact"/>
              <w:rPr>
                <w:sz w:val="20"/>
                <w:szCs w:val="20"/>
                <w:color w:val="auto"/>
              </w:rPr>
            </w:pPr>
            <w:r>
              <w:rPr>
                <w:rFonts w:ascii="Arial" w:cs="Arial" w:eastAsia="Arial" w:hAnsi="Arial"/>
                <w:sz w:val="12"/>
                <w:szCs w:val="12"/>
                <w:color w:val="auto"/>
              </w:rPr>
              <w:t>837926</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7"/>
              </w:rPr>
              <w:t>Siemens Energy, Inc.</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Switch Station 69kV</w:t>
            </w:r>
          </w:p>
        </w:tc>
        <w:tc>
          <w:tcPr>
            <w:tcW w:w="1140" w:type="dxa"/>
            <w:vAlign w:val="bottom"/>
            <w:tcBorders>
              <w:right w:val="single" w:sz="8" w:color="CCCCFF"/>
            </w:tcBorders>
            <w:vMerge w:val="continue"/>
          </w:tcPr>
          <w:p>
            <w:pPr>
              <w:spacing w:after="0"/>
              <w:rPr>
                <w:sz w:val="4"/>
                <w:szCs w:val="4"/>
                <w:color w:val="auto"/>
              </w:rPr>
            </w:pP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$531,311.20</w:t>
            </w:r>
          </w:p>
        </w:tc>
        <w:tc>
          <w:tcPr>
            <w:tcW w:w="1160" w:type="dxa"/>
            <w:vAlign w:val="bottom"/>
            <w:tcBorders>
              <w:right w:val="single" w:sz="8" w:color="CCCCFF"/>
            </w:tcBorders>
            <w:vMerge w:val="restart"/>
          </w:tcPr>
          <w:p>
            <w:pPr>
              <w:ind w:left="300"/>
              <w:spacing w:after="0" w:line="121" w:lineRule="exact"/>
              <w:rPr>
                <w:sz w:val="20"/>
                <w:szCs w:val="20"/>
                <w:color w:val="auto"/>
              </w:rPr>
            </w:pPr>
            <w:r>
              <w:rPr>
                <w:rFonts w:ascii="Arial" w:cs="Arial" w:eastAsia="Arial" w:hAnsi="Arial"/>
                <w:sz w:val="12"/>
                <w:szCs w:val="12"/>
                <w:color w:val="auto"/>
              </w:rPr>
              <w:t>AIG Group</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16-Dec-14</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16-Dec-14</w:t>
            </w:r>
          </w:p>
        </w:tc>
        <w:tc>
          <w:tcPr>
            <w:tcW w:w="920" w:type="dxa"/>
            <w:vAlign w:val="bottom"/>
            <w:tcBorders>
              <w:right w:val="single" w:sz="8" w:color="0066CC"/>
            </w:tcBorders>
            <w:vMerge w:val="restart"/>
          </w:tcPr>
          <w:p>
            <w:pPr>
              <w:jc w:val="center"/>
              <w:spacing w:after="0" w:line="121" w:lineRule="exact"/>
              <w:rPr>
                <w:sz w:val="20"/>
                <w:szCs w:val="20"/>
                <w:color w:val="auto"/>
              </w:rPr>
            </w:pPr>
            <w:r>
              <w:rPr>
                <w:rFonts w:ascii="Arial" w:cs="Arial" w:eastAsia="Arial" w:hAnsi="Arial"/>
                <w:sz w:val="12"/>
                <w:szCs w:val="12"/>
                <w:color w:val="auto"/>
                <w:w w:val="89"/>
              </w:rPr>
              <w:t>16-Dec-15</w:t>
            </w: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Payment</w:t>
            </w:r>
          </w:p>
        </w:tc>
        <w:tc>
          <w:tcPr>
            <w:tcW w:w="160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920" w:type="dxa"/>
            <w:vAlign w:val="bottom"/>
            <w:tcBorders>
              <w:right w:val="single" w:sz="8" w:color="0066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GIS Installation</w:t>
            </w:r>
          </w:p>
        </w:tc>
        <w:tc>
          <w:tcPr>
            <w:tcW w:w="1140" w:type="dxa"/>
            <w:vAlign w:val="bottom"/>
            <w:tcBorders>
              <w:right w:val="single" w:sz="8" w:color="CCCCFF"/>
            </w:tcBorders>
            <w:vMerge w:val="continue"/>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80" w:type="dxa"/>
            <w:vAlign w:val="bottom"/>
            <w:tcBorders>
              <w:left w:val="single" w:sz="8" w:color="0066CC"/>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vMerge w:val="continue"/>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vMerge w:val="continue"/>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60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920" w:type="dxa"/>
            <w:vAlign w:val="bottom"/>
            <w:tcBorders>
              <w:bottom w:val="single" w:sz="8" w:color="CCCCFF"/>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6"/>
              </w:rPr>
              <w:t>PSEG North Paterson</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Performance and/or</w:t>
            </w: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restart"/>
          </w:tcPr>
          <w:p>
            <w:pPr>
              <w:jc w:val="right"/>
              <w:ind w:right="361"/>
              <w:spacing w:after="0" w:line="121" w:lineRule="exact"/>
              <w:rPr>
                <w:sz w:val="20"/>
                <w:szCs w:val="20"/>
                <w:color w:val="auto"/>
              </w:rPr>
            </w:pPr>
            <w:r>
              <w:rPr>
                <w:rFonts w:ascii="Arial" w:cs="Arial" w:eastAsia="Arial" w:hAnsi="Arial"/>
                <w:sz w:val="12"/>
                <w:szCs w:val="12"/>
                <w:color w:val="auto"/>
              </w:rPr>
              <w:t>837927</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7"/>
              </w:rPr>
              <w:t>Siemens Energy, Inc.</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Station 69kV GIS</w:t>
            </w:r>
          </w:p>
        </w:tc>
        <w:tc>
          <w:tcPr>
            <w:tcW w:w="1140" w:type="dxa"/>
            <w:vAlign w:val="bottom"/>
            <w:tcBorders>
              <w:right w:val="single" w:sz="8" w:color="CCCCFF"/>
            </w:tcBorders>
            <w:vMerge w:val="continue"/>
          </w:tcPr>
          <w:p>
            <w:pPr>
              <w:spacing w:after="0"/>
              <w:rPr>
                <w:sz w:val="4"/>
                <w:szCs w:val="4"/>
                <w:color w:val="auto"/>
              </w:rPr>
            </w:pP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$1,270,993.18</w:t>
            </w:r>
          </w:p>
        </w:tc>
        <w:tc>
          <w:tcPr>
            <w:tcW w:w="1160" w:type="dxa"/>
            <w:vAlign w:val="bottom"/>
            <w:tcBorders>
              <w:right w:val="single" w:sz="8" w:color="CCCCFF"/>
            </w:tcBorders>
            <w:vMerge w:val="restart"/>
          </w:tcPr>
          <w:p>
            <w:pPr>
              <w:ind w:left="300"/>
              <w:spacing w:after="0" w:line="121" w:lineRule="exact"/>
              <w:rPr>
                <w:sz w:val="20"/>
                <w:szCs w:val="20"/>
                <w:color w:val="auto"/>
              </w:rPr>
            </w:pPr>
            <w:r>
              <w:rPr>
                <w:rFonts w:ascii="Arial" w:cs="Arial" w:eastAsia="Arial" w:hAnsi="Arial"/>
                <w:sz w:val="12"/>
                <w:szCs w:val="12"/>
                <w:color w:val="auto"/>
              </w:rPr>
              <w:t>AIG Group</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16-Dec-14</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16-Dec-14</w:t>
            </w:r>
          </w:p>
        </w:tc>
        <w:tc>
          <w:tcPr>
            <w:tcW w:w="920" w:type="dxa"/>
            <w:vAlign w:val="bottom"/>
            <w:tcBorders>
              <w:right w:val="single" w:sz="8" w:color="0066CC"/>
            </w:tcBorders>
            <w:vMerge w:val="restart"/>
          </w:tcPr>
          <w:p>
            <w:pPr>
              <w:jc w:val="center"/>
              <w:spacing w:after="0" w:line="121" w:lineRule="exact"/>
              <w:rPr>
                <w:sz w:val="20"/>
                <w:szCs w:val="20"/>
                <w:color w:val="auto"/>
              </w:rPr>
            </w:pPr>
            <w:r>
              <w:rPr>
                <w:rFonts w:ascii="Arial" w:cs="Arial" w:eastAsia="Arial" w:hAnsi="Arial"/>
                <w:sz w:val="12"/>
                <w:szCs w:val="12"/>
                <w:color w:val="auto"/>
                <w:w w:val="89"/>
              </w:rPr>
              <w:t>16-Dec-15</w:t>
            </w: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Payment</w:t>
            </w:r>
          </w:p>
        </w:tc>
        <w:tc>
          <w:tcPr>
            <w:tcW w:w="160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920" w:type="dxa"/>
            <w:vAlign w:val="bottom"/>
            <w:tcBorders>
              <w:right w:val="single" w:sz="8" w:color="0066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Installation</w:t>
            </w:r>
          </w:p>
        </w:tc>
        <w:tc>
          <w:tcPr>
            <w:tcW w:w="1140" w:type="dxa"/>
            <w:vAlign w:val="bottom"/>
            <w:tcBorders>
              <w:right w:val="single" w:sz="8" w:color="CCCCFF"/>
            </w:tcBorders>
            <w:vMerge w:val="continue"/>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80" w:type="dxa"/>
            <w:vAlign w:val="bottom"/>
            <w:tcBorders>
              <w:left w:val="single" w:sz="8" w:color="0066CC"/>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vMerge w:val="continue"/>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vMerge w:val="continue"/>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60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920" w:type="dxa"/>
            <w:vAlign w:val="bottom"/>
            <w:tcBorders>
              <w:bottom w:val="single" w:sz="8" w:color="CCCCFF"/>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8"/>
              </w:rPr>
              <w:t>PSEG Warren Point</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Performance and/or</w:t>
            </w: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restart"/>
          </w:tcPr>
          <w:p>
            <w:pPr>
              <w:jc w:val="right"/>
              <w:ind w:right="361"/>
              <w:spacing w:after="0" w:line="121" w:lineRule="exact"/>
              <w:rPr>
                <w:sz w:val="20"/>
                <w:szCs w:val="20"/>
                <w:color w:val="auto"/>
              </w:rPr>
            </w:pPr>
            <w:r>
              <w:rPr>
                <w:rFonts w:ascii="Arial" w:cs="Arial" w:eastAsia="Arial" w:hAnsi="Arial"/>
                <w:sz w:val="12"/>
                <w:szCs w:val="12"/>
                <w:color w:val="auto"/>
              </w:rPr>
              <w:t>837928</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7"/>
              </w:rPr>
              <w:t>Siemens Energy, Inc.</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Substation 69kV GIS</w:t>
            </w:r>
          </w:p>
        </w:tc>
        <w:tc>
          <w:tcPr>
            <w:tcW w:w="1140" w:type="dxa"/>
            <w:vAlign w:val="bottom"/>
            <w:tcBorders>
              <w:right w:val="single" w:sz="8" w:color="CCCCFF"/>
            </w:tcBorders>
            <w:vMerge w:val="continue"/>
          </w:tcPr>
          <w:p>
            <w:pPr>
              <w:spacing w:after="0"/>
              <w:rPr>
                <w:sz w:val="4"/>
                <w:szCs w:val="4"/>
                <w:color w:val="auto"/>
              </w:rPr>
            </w:pP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$835,669.86</w:t>
            </w:r>
          </w:p>
        </w:tc>
        <w:tc>
          <w:tcPr>
            <w:tcW w:w="1160" w:type="dxa"/>
            <w:vAlign w:val="bottom"/>
            <w:tcBorders>
              <w:right w:val="single" w:sz="8" w:color="CCCCFF"/>
            </w:tcBorders>
            <w:vMerge w:val="restart"/>
          </w:tcPr>
          <w:p>
            <w:pPr>
              <w:ind w:left="300"/>
              <w:spacing w:after="0" w:line="121" w:lineRule="exact"/>
              <w:rPr>
                <w:sz w:val="20"/>
                <w:szCs w:val="20"/>
                <w:color w:val="auto"/>
              </w:rPr>
            </w:pPr>
            <w:r>
              <w:rPr>
                <w:rFonts w:ascii="Arial" w:cs="Arial" w:eastAsia="Arial" w:hAnsi="Arial"/>
                <w:sz w:val="12"/>
                <w:szCs w:val="12"/>
                <w:color w:val="auto"/>
              </w:rPr>
              <w:t>AIG Group</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16-Dec-14</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16-Dec-14</w:t>
            </w:r>
          </w:p>
        </w:tc>
        <w:tc>
          <w:tcPr>
            <w:tcW w:w="920" w:type="dxa"/>
            <w:vAlign w:val="bottom"/>
            <w:tcBorders>
              <w:right w:val="single" w:sz="8" w:color="0066CC"/>
            </w:tcBorders>
            <w:vMerge w:val="restart"/>
          </w:tcPr>
          <w:p>
            <w:pPr>
              <w:jc w:val="center"/>
              <w:spacing w:after="0" w:line="121" w:lineRule="exact"/>
              <w:rPr>
                <w:sz w:val="20"/>
                <w:szCs w:val="20"/>
                <w:color w:val="auto"/>
              </w:rPr>
            </w:pPr>
            <w:r>
              <w:rPr>
                <w:rFonts w:ascii="Arial" w:cs="Arial" w:eastAsia="Arial" w:hAnsi="Arial"/>
                <w:sz w:val="12"/>
                <w:szCs w:val="12"/>
                <w:color w:val="auto"/>
                <w:w w:val="89"/>
              </w:rPr>
              <w:t>16-Dec-15</w:t>
            </w: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Payment</w:t>
            </w:r>
          </w:p>
        </w:tc>
        <w:tc>
          <w:tcPr>
            <w:tcW w:w="160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920" w:type="dxa"/>
            <w:vAlign w:val="bottom"/>
            <w:tcBorders>
              <w:right w:val="single" w:sz="8" w:color="0066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Installation</w:t>
            </w:r>
          </w:p>
        </w:tc>
        <w:tc>
          <w:tcPr>
            <w:tcW w:w="1140" w:type="dxa"/>
            <w:vAlign w:val="bottom"/>
            <w:tcBorders>
              <w:right w:val="single" w:sz="8" w:color="CCCCFF"/>
            </w:tcBorders>
            <w:vMerge w:val="continue"/>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80" w:type="dxa"/>
            <w:vAlign w:val="bottom"/>
            <w:tcBorders>
              <w:left w:val="single" w:sz="8" w:color="0066CC"/>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vMerge w:val="continue"/>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vMerge w:val="continue"/>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60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920" w:type="dxa"/>
            <w:vAlign w:val="bottom"/>
            <w:tcBorders>
              <w:bottom w:val="single" w:sz="8" w:color="CCCCFF"/>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PSEG McLean Station</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Performance and/or</w:t>
            </w: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80" w:type="dxa"/>
            <w:vAlign w:val="bottom"/>
            <w:tcBorders>
              <w:left w:val="single" w:sz="8" w:color="0066CC"/>
              <w:right w:val="single" w:sz="8" w:color="CCCCFF"/>
            </w:tcBorders>
          </w:tcPr>
          <w:p>
            <w:pPr>
              <w:jc w:val="right"/>
              <w:ind w:right="361"/>
              <w:spacing w:after="0" w:line="115" w:lineRule="exact"/>
              <w:rPr>
                <w:sz w:val="20"/>
                <w:szCs w:val="20"/>
                <w:color w:val="auto"/>
              </w:rPr>
            </w:pPr>
            <w:r>
              <w:rPr>
                <w:rFonts w:ascii="Arial" w:cs="Arial" w:eastAsia="Arial" w:hAnsi="Arial"/>
                <w:sz w:val="12"/>
                <w:szCs w:val="12"/>
                <w:color w:val="auto"/>
              </w:rPr>
              <w:t>837929</w:t>
            </w:r>
          </w:p>
        </w:tc>
        <w:tc>
          <w:tcPr>
            <w:tcW w:w="1140" w:type="dxa"/>
            <w:vAlign w:val="bottom"/>
            <w:tcBorders>
              <w:right w:val="single" w:sz="8" w:color="CCCCFF"/>
            </w:tcBorders>
          </w:tcPr>
          <w:p>
            <w:pPr>
              <w:jc w:val="center"/>
              <w:spacing w:after="0" w:line="115"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tcPr>
          <w:p>
            <w:pPr>
              <w:jc w:val="center"/>
              <w:spacing w:after="0" w:line="115" w:lineRule="exact"/>
              <w:rPr>
                <w:sz w:val="20"/>
                <w:szCs w:val="20"/>
                <w:color w:val="auto"/>
              </w:rPr>
            </w:pPr>
            <w:r>
              <w:rPr>
                <w:rFonts w:ascii="Arial" w:cs="Arial" w:eastAsia="Arial" w:hAnsi="Arial"/>
                <w:sz w:val="12"/>
                <w:szCs w:val="12"/>
                <w:color w:val="auto"/>
                <w:w w:val="87"/>
              </w:rPr>
              <w:t>Siemens Energy, Inc.</w:t>
            </w:r>
          </w:p>
        </w:tc>
        <w:tc>
          <w:tcPr>
            <w:tcW w:w="1160" w:type="dxa"/>
            <w:vAlign w:val="bottom"/>
            <w:tcBorders>
              <w:right w:val="single" w:sz="8" w:color="CCCCFF"/>
            </w:tcBorders>
            <w:vMerge w:val="continue"/>
          </w:tcPr>
          <w:p>
            <w:pPr>
              <w:spacing w:after="0"/>
              <w:rPr>
                <w:sz w:val="9"/>
                <w:szCs w:val="9"/>
                <w:color w:val="auto"/>
              </w:rPr>
            </w:pPr>
          </w:p>
        </w:tc>
        <w:tc>
          <w:tcPr>
            <w:tcW w:w="1140" w:type="dxa"/>
            <w:vAlign w:val="bottom"/>
            <w:tcBorders>
              <w:right w:val="single" w:sz="8" w:color="CCCCFF"/>
            </w:tcBorders>
            <w:vMerge w:val="continue"/>
          </w:tcPr>
          <w:p>
            <w:pPr>
              <w:spacing w:after="0"/>
              <w:rPr>
                <w:sz w:val="9"/>
                <w:szCs w:val="9"/>
                <w:color w:val="auto"/>
              </w:rPr>
            </w:pPr>
          </w:p>
        </w:tc>
        <w:tc>
          <w:tcPr>
            <w:tcW w:w="1600" w:type="dxa"/>
            <w:vAlign w:val="bottom"/>
            <w:tcBorders>
              <w:right w:val="single" w:sz="8" w:color="CCCCFF"/>
            </w:tcBorders>
          </w:tcPr>
          <w:p>
            <w:pPr>
              <w:jc w:val="right"/>
              <w:spacing w:after="0" w:line="115" w:lineRule="exact"/>
              <w:rPr>
                <w:sz w:val="20"/>
                <w:szCs w:val="20"/>
                <w:color w:val="auto"/>
              </w:rPr>
            </w:pPr>
            <w:r>
              <w:rPr>
                <w:rFonts w:ascii="Arial" w:cs="Arial" w:eastAsia="Arial" w:hAnsi="Arial"/>
                <w:sz w:val="12"/>
                <w:szCs w:val="12"/>
                <w:color w:val="auto"/>
              </w:rPr>
              <w:t>$717,921.66</w:t>
            </w:r>
          </w:p>
        </w:tc>
        <w:tc>
          <w:tcPr>
            <w:tcW w:w="1160" w:type="dxa"/>
            <w:vAlign w:val="bottom"/>
            <w:tcBorders>
              <w:right w:val="single" w:sz="8" w:color="CCCCFF"/>
            </w:tcBorders>
          </w:tcPr>
          <w:p>
            <w:pPr>
              <w:ind w:left="300"/>
              <w:spacing w:after="0" w:line="115" w:lineRule="exact"/>
              <w:rPr>
                <w:sz w:val="20"/>
                <w:szCs w:val="20"/>
                <w:color w:val="auto"/>
              </w:rPr>
            </w:pPr>
            <w:r>
              <w:rPr>
                <w:rFonts w:ascii="Arial" w:cs="Arial" w:eastAsia="Arial" w:hAnsi="Arial"/>
                <w:sz w:val="12"/>
                <w:szCs w:val="12"/>
                <w:color w:val="auto"/>
              </w:rPr>
              <w:t>AIG Group</w:t>
            </w:r>
          </w:p>
        </w:tc>
        <w:tc>
          <w:tcPr>
            <w:tcW w:w="1020" w:type="dxa"/>
            <w:vAlign w:val="bottom"/>
            <w:tcBorders>
              <w:right w:val="single" w:sz="8" w:color="CCCCFF"/>
            </w:tcBorders>
          </w:tcPr>
          <w:p>
            <w:pPr>
              <w:jc w:val="center"/>
              <w:spacing w:after="0" w:line="115" w:lineRule="exact"/>
              <w:rPr>
                <w:sz w:val="20"/>
                <w:szCs w:val="20"/>
                <w:color w:val="auto"/>
              </w:rPr>
            </w:pPr>
            <w:r>
              <w:rPr>
                <w:rFonts w:ascii="Arial" w:cs="Arial" w:eastAsia="Arial" w:hAnsi="Arial"/>
                <w:sz w:val="12"/>
                <w:szCs w:val="12"/>
                <w:color w:val="auto"/>
                <w:w w:val="85"/>
              </w:rPr>
              <w:t>06-Jan-15</w:t>
            </w:r>
          </w:p>
        </w:tc>
        <w:tc>
          <w:tcPr>
            <w:tcW w:w="1020" w:type="dxa"/>
            <w:vAlign w:val="bottom"/>
            <w:tcBorders>
              <w:right w:val="single" w:sz="8" w:color="CCCCFF"/>
            </w:tcBorders>
          </w:tcPr>
          <w:p>
            <w:pPr>
              <w:jc w:val="center"/>
              <w:spacing w:after="0" w:line="115" w:lineRule="exact"/>
              <w:rPr>
                <w:sz w:val="20"/>
                <w:szCs w:val="20"/>
                <w:color w:val="auto"/>
              </w:rPr>
            </w:pPr>
            <w:r>
              <w:rPr>
                <w:rFonts w:ascii="Arial" w:cs="Arial" w:eastAsia="Arial" w:hAnsi="Arial"/>
                <w:sz w:val="12"/>
                <w:szCs w:val="12"/>
                <w:color w:val="auto"/>
                <w:w w:val="88"/>
              </w:rPr>
              <w:t>06-Jan-15</w:t>
            </w:r>
          </w:p>
        </w:tc>
        <w:tc>
          <w:tcPr>
            <w:tcW w:w="920" w:type="dxa"/>
            <w:vAlign w:val="bottom"/>
            <w:tcBorders>
              <w:right w:val="single" w:sz="8" w:color="0066CC"/>
            </w:tcBorders>
          </w:tcPr>
          <w:p>
            <w:pPr>
              <w:jc w:val="center"/>
              <w:spacing w:after="0" w:line="115" w:lineRule="exact"/>
              <w:rPr>
                <w:sz w:val="20"/>
                <w:szCs w:val="20"/>
                <w:color w:val="auto"/>
              </w:rPr>
            </w:pPr>
            <w:r>
              <w:rPr>
                <w:rFonts w:ascii="Arial" w:cs="Arial" w:eastAsia="Arial" w:hAnsi="Arial"/>
                <w:sz w:val="12"/>
                <w:szCs w:val="12"/>
                <w:color w:val="auto"/>
                <w:w w:val="88"/>
              </w:rPr>
              <w:t>06-Jan-16</w:t>
            </w: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2"/>
              </w:rPr>
              <w:t>69kV GIS Installation</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Payment</w:t>
            </w: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bottom w:val="single" w:sz="8" w:color="CCCCFF"/>
              <w:right w:val="single" w:sz="8" w:color="CCCCFF"/>
            </w:tcBorders>
          </w:tcPr>
          <w:p>
            <w:pPr>
              <w:spacing w:after="0"/>
              <w:rPr>
                <w:sz w:val="3"/>
                <w:szCs w:val="3"/>
                <w:color w:val="auto"/>
              </w:rPr>
            </w:pPr>
          </w:p>
        </w:tc>
        <w:tc>
          <w:tcPr>
            <w:tcW w:w="1140" w:type="dxa"/>
            <w:vAlign w:val="bottom"/>
            <w:tcBorders>
              <w:bottom w:val="single" w:sz="8" w:color="CCCCFF"/>
              <w:right w:val="single" w:sz="8" w:color="CCCCFF"/>
            </w:tcBorders>
            <w:vMerge w:val="continue"/>
          </w:tcPr>
          <w:p>
            <w:pPr>
              <w:spacing w:after="0"/>
              <w:rPr>
                <w:sz w:val="3"/>
                <w:szCs w:val="3"/>
                <w:color w:val="auto"/>
              </w:rPr>
            </w:pPr>
          </w:p>
        </w:tc>
        <w:tc>
          <w:tcPr>
            <w:tcW w:w="1140" w:type="dxa"/>
            <w:vAlign w:val="bottom"/>
            <w:tcBorders>
              <w:bottom w:val="single" w:sz="8" w:color="CCCCFF"/>
              <w:right w:val="single" w:sz="8" w:color="CCCCFF"/>
            </w:tcBorders>
          </w:tcPr>
          <w:p>
            <w:pPr>
              <w:spacing w:after="0"/>
              <w:rPr>
                <w:sz w:val="3"/>
                <w:szCs w:val="3"/>
                <w:color w:val="auto"/>
              </w:rPr>
            </w:pPr>
          </w:p>
        </w:tc>
        <w:tc>
          <w:tcPr>
            <w:tcW w:w="1160" w:type="dxa"/>
            <w:vAlign w:val="bottom"/>
            <w:tcBorders>
              <w:bottom w:val="single" w:sz="8" w:color="CCCCFF"/>
              <w:right w:val="single" w:sz="8" w:color="CCCCFF"/>
            </w:tcBorders>
          </w:tcPr>
          <w:p>
            <w:pPr>
              <w:spacing w:after="0"/>
              <w:rPr>
                <w:sz w:val="3"/>
                <w:szCs w:val="3"/>
                <w:color w:val="auto"/>
              </w:rPr>
            </w:pPr>
          </w:p>
        </w:tc>
        <w:tc>
          <w:tcPr>
            <w:tcW w:w="1140" w:type="dxa"/>
            <w:vAlign w:val="bottom"/>
            <w:tcBorders>
              <w:bottom w:val="single" w:sz="8" w:color="CCCCFF"/>
              <w:right w:val="single" w:sz="8" w:color="CCCCFF"/>
            </w:tcBorders>
          </w:tcPr>
          <w:p>
            <w:pPr>
              <w:spacing w:after="0"/>
              <w:rPr>
                <w:sz w:val="3"/>
                <w:szCs w:val="3"/>
                <w:color w:val="auto"/>
              </w:rPr>
            </w:pPr>
          </w:p>
        </w:tc>
        <w:tc>
          <w:tcPr>
            <w:tcW w:w="1600" w:type="dxa"/>
            <w:vAlign w:val="bottom"/>
            <w:tcBorders>
              <w:bottom w:val="single" w:sz="8" w:color="CCCCFF"/>
              <w:right w:val="single" w:sz="8" w:color="CCCCFF"/>
            </w:tcBorders>
          </w:tcPr>
          <w:p>
            <w:pPr>
              <w:spacing w:after="0"/>
              <w:rPr>
                <w:sz w:val="3"/>
                <w:szCs w:val="3"/>
                <w:color w:val="auto"/>
              </w:rPr>
            </w:pPr>
          </w:p>
        </w:tc>
        <w:tc>
          <w:tcPr>
            <w:tcW w:w="1160" w:type="dxa"/>
            <w:vAlign w:val="bottom"/>
            <w:tcBorders>
              <w:bottom w:val="single" w:sz="8" w:color="CCCCFF"/>
              <w:right w:val="single" w:sz="8" w:color="CCCCFF"/>
            </w:tcBorders>
          </w:tcPr>
          <w:p>
            <w:pPr>
              <w:spacing w:after="0"/>
              <w:rPr>
                <w:sz w:val="3"/>
                <w:szCs w:val="3"/>
                <w:color w:val="auto"/>
              </w:rPr>
            </w:pPr>
          </w:p>
        </w:tc>
        <w:tc>
          <w:tcPr>
            <w:tcW w:w="1020" w:type="dxa"/>
            <w:vAlign w:val="bottom"/>
            <w:tcBorders>
              <w:bottom w:val="single" w:sz="8" w:color="CCCCFF"/>
              <w:right w:val="single" w:sz="8" w:color="CCCCFF"/>
            </w:tcBorders>
          </w:tcPr>
          <w:p>
            <w:pPr>
              <w:spacing w:after="0"/>
              <w:rPr>
                <w:sz w:val="3"/>
                <w:szCs w:val="3"/>
                <w:color w:val="auto"/>
              </w:rPr>
            </w:pPr>
          </w:p>
        </w:tc>
        <w:tc>
          <w:tcPr>
            <w:tcW w:w="1020" w:type="dxa"/>
            <w:vAlign w:val="bottom"/>
            <w:tcBorders>
              <w:bottom w:val="single" w:sz="8" w:color="CCCCFF"/>
              <w:right w:val="single" w:sz="8" w:color="CCCCFF"/>
            </w:tcBorders>
          </w:tcPr>
          <w:p>
            <w:pPr>
              <w:spacing w:after="0"/>
              <w:rPr>
                <w:sz w:val="3"/>
                <w:szCs w:val="3"/>
                <w:color w:val="auto"/>
              </w:rPr>
            </w:pPr>
          </w:p>
        </w:tc>
        <w:tc>
          <w:tcPr>
            <w:tcW w:w="920" w:type="dxa"/>
            <w:vAlign w:val="bottom"/>
            <w:tcBorders>
              <w:bottom w:val="single" w:sz="8" w:color="CCCCFF"/>
              <w:right w:val="single" w:sz="8" w:color="0066CC"/>
            </w:tcBorders>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7"/>
              </w:rPr>
              <w:t>Texas LNG Samsung</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vMerge w:val="restart"/>
          </w:tcPr>
          <w:p>
            <w:pPr>
              <w:jc w:val="right"/>
              <w:ind w:right="361"/>
              <w:spacing w:after="0"/>
              <w:rPr>
                <w:sz w:val="20"/>
                <w:szCs w:val="20"/>
                <w:color w:val="auto"/>
              </w:rPr>
            </w:pPr>
            <w:r>
              <w:rPr>
                <w:rFonts w:ascii="Arial" w:cs="Arial" w:eastAsia="Arial" w:hAnsi="Arial"/>
                <w:sz w:val="12"/>
                <w:szCs w:val="12"/>
                <w:color w:val="auto"/>
              </w:rPr>
              <w:t>837930</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5"/>
              </w:rPr>
              <w:t>Matrix PDM</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Samsung Engineering</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LNG Storage Tank</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Performance and/or</w:t>
            </w:r>
          </w:p>
        </w:tc>
        <w:tc>
          <w:tcPr>
            <w:tcW w:w="1600" w:type="dxa"/>
            <w:vAlign w:val="bottom"/>
            <w:tcBorders>
              <w:right w:val="single" w:sz="8" w:color="CCCCFF"/>
            </w:tcBorders>
            <w:vMerge w:val="restart"/>
          </w:tcPr>
          <w:p>
            <w:pPr>
              <w:jc w:val="right"/>
              <w:spacing w:after="0"/>
              <w:rPr>
                <w:sz w:val="20"/>
                <w:szCs w:val="20"/>
                <w:color w:val="auto"/>
              </w:rPr>
            </w:pPr>
            <w:r>
              <w:rPr>
                <w:rFonts w:ascii="Arial" w:cs="Arial" w:eastAsia="Arial" w:hAnsi="Arial"/>
                <w:sz w:val="12"/>
                <w:szCs w:val="12"/>
                <w:color w:val="auto"/>
              </w:rPr>
              <w:t>$27,750.00</w:t>
            </w:r>
          </w:p>
        </w:tc>
        <w:tc>
          <w:tcPr>
            <w:tcW w:w="1160" w:type="dxa"/>
            <w:vAlign w:val="bottom"/>
            <w:tcBorders>
              <w:right w:val="single" w:sz="8" w:color="CCCCFF"/>
            </w:tcBorders>
            <w:vMerge w:val="restart"/>
          </w:tcPr>
          <w:p>
            <w:pPr>
              <w:ind w:left="300"/>
              <w:spacing w:after="0"/>
              <w:rPr>
                <w:sz w:val="20"/>
                <w:szCs w:val="20"/>
                <w:color w:val="auto"/>
              </w:rPr>
            </w:pPr>
            <w:r>
              <w:rPr>
                <w:rFonts w:ascii="Arial" w:cs="Arial" w:eastAsia="Arial" w:hAnsi="Arial"/>
                <w:sz w:val="12"/>
                <w:szCs w:val="12"/>
                <w:color w:val="auto"/>
              </w:rPr>
              <w:t>AIG Group</w:t>
            </w:r>
          </w:p>
        </w:tc>
        <w:tc>
          <w:tcPr>
            <w:tcW w:w="10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3"/>
              </w:rPr>
              <w:t>24-Apr-15</w:t>
            </w:r>
          </w:p>
        </w:tc>
        <w:tc>
          <w:tcPr>
            <w:tcW w:w="10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3"/>
              </w:rPr>
              <w:t>30-Mar-16</w:t>
            </w:r>
          </w:p>
        </w:tc>
        <w:tc>
          <w:tcPr>
            <w:tcW w:w="920" w:type="dxa"/>
            <w:vAlign w:val="bottom"/>
            <w:tcBorders>
              <w:right w:val="single" w:sz="8" w:color="0066CC"/>
            </w:tcBorders>
            <w:vMerge w:val="restart"/>
          </w:tcPr>
          <w:p>
            <w:pPr>
              <w:jc w:val="center"/>
              <w:spacing w:after="0"/>
              <w:rPr>
                <w:sz w:val="20"/>
                <w:szCs w:val="20"/>
                <w:color w:val="auto"/>
              </w:rPr>
            </w:pPr>
            <w:r>
              <w:rPr>
                <w:rFonts w:ascii="Arial" w:cs="Arial" w:eastAsia="Arial" w:hAnsi="Arial"/>
                <w:sz w:val="12"/>
                <w:szCs w:val="12"/>
                <w:color w:val="auto"/>
                <w:w w:val="93"/>
              </w:rPr>
              <w:t>30-Mar-17</w:t>
            </w: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Engineering</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5"/>
              </w:rPr>
              <w:t>Co., Ltd</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FEED Study -</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Payment</w:t>
            </w:r>
          </w:p>
        </w:tc>
        <w:tc>
          <w:tcPr>
            <w:tcW w:w="160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vMerge w:val="continue"/>
          </w:tcPr>
          <w:p>
            <w:pPr>
              <w:spacing w:after="0"/>
              <w:rPr>
                <w:sz w:val="7"/>
                <w:szCs w:val="7"/>
                <w:color w:val="auto"/>
              </w:rPr>
            </w:pPr>
          </w:p>
        </w:tc>
        <w:tc>
          <w:tcPr>
            <w:tcW w:w="920" w:type="dxa"/>
            <w:vAlign w:val="bottom"/>
            <w:tcBorders>
              <w:right w:val="single" w:sz="8" w:color="0066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vMerge w:val="continue"/>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vMerge w:val="continue"/>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8"/>
              </w:rPr>
              <w:t>Advance Payment</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Mass Electric</w:t>
            </w: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0"/>
              </w:rPr>
              <w:t>Philips 66 Cogen</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Performance and/or</w:t>
            </w: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restart"/>
          </w:tcPr>
          <w:p>
            <w:pPr>
              <w:jc w:val="right"/>
              <w:ind w:right="361"/>
              <w:spacing w:after="0" w:line="121" w:lineRule="exact"/>
              <w:rPr>
                <w:sz w:val="20"/>
                <w:szCs w:val="20"/>
                <w:color w:val="auto"/>
              </w:rPr>
            </w:pPr>
            <w:r>
              <w:rPr>
                <w:rFonts w:ascii="Arial" w:cs="Arial" w:eastAsia="Arial" w:hAnsi="Arial"/>
                <w:sz w:val="12"/>
                <w:szCs w:val="12"/>
                <w:color w:val="auto"/>
              </w:rPr>
              <w:t>837932</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230kV Gas Insulated</w:t>
            </w:r>
          </w:p>
        </w:tc>
        <w:tc>
          <w:tcPr>
            <w:tcW w:w="1140" w:type="dxa"/>
            <w:vAlign w:val="bottom"/>
            <w:tcBorders>
              <w:right w:val="single" w:sz="8" w:color="CCCCFF"/>
            </w:tcBorders>
            <w:vMerge w:val="continue"/>
          </w:tcPr>
          <w:p>
            <w:pPr>
              <w:spacing w:after="0"/>
              <w:rPr>
                <w:sz w:val="4"/>
                <w:szCs w:val="4"/>
                <w:color w:val="auto"/>
              </w:rPr>
            </w:pP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$1,211,355.00</w:t>
            </w:r>
          </w:p>
        </w:tc>
        <w:tc>
          <w:tcPr>
            <w:tcW w:w="1160" w:type="dxa"/>
            <w:vAlign w:val="bottom"/>
            <w:tcBorders>
              <w:right w:val="single" w:sz="8" w:color="CCCCFF"/>
            </w:tcBorders>
            <w:vMerge w:val="restart"/>
          </w:tcPr>
          <w:p>
            <w:pPr>
              <w:ind w:left="300"/>
              <w:spacing w:after="0" w:line="121" w:lineRule="exact"/>
              <w:rPr>
                <w:sz w:val="20"/>
                <w:szCs w:val="20"/>
                <w:color w:val="auto"/>
              </w:rPr>
            </w:pPr>
            <w:r>
              <w:rPr>
                <w:rFonts w:ascii="Arial" w:cs="Arial" w:eastAsia="Arial" w:hAnsi="Arial"/>
                <w:sz w:val="12"/>
                <w:szCs w:val="12"/>
                <w:color w:val="auto"/>
              </w:rPr>
              <w:t>AIG Group</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29-Sep-15</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09-Oct-15</w:t>
            </w:r>
          </w:p>
        </w:tc>
        <w:tc>
          <w:tcPr>
            <w:tcW w:w="920" w:type="dxa"/>
            <w:vAlign w:val="bottom"/>
            <w:tcBorders>
              <w:right w:val="single" w:sz="8" w:color="0066CC"/>
            </w:tcBorders>
            <w:vMerge w:val="restart"/>
          </w:tcPr>
          <w:p>
            <w:pPr>
              <w:jc w:val="center"/>
              <w:spacing w:after="0" w:line="121" w:lineRule="exact"/>
              <w:rPr>
                <w:sz w:val="20"/>
                <w:szCs w:val="20"/>
                <w:color w:val="auto"/>
              </w:rPr>
            </w:pPr>
            <w:r>
              <w:rPr>
                <w:rFonts w:ascii="Arial" w:cs="Arial" w:eastAsia="Arial" w:hAnsi="Arial"/>
                <w:sz w:val="12"/>
                <w:szCs w:val="12"/>
                <w:color w:val="auto"/>
                <w:w w:val="89"/>
              </w:rPr>
              <w:t>28-Apr-16</w:t>
            </w: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Construction Co.</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Payment</w:t>
            </w:r>
          </w:p>
        </w:tc>
        <w:tc>
          <w:tcPr>
            <w:tcW w:w="160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920" w:type="dxa"/>
            <w:vAlign w:val="bottom"/>
            <w:tcBorders>
              <w:right w:val="single" w:sz="8" w:color="0066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Switchgear G23 Split</w:t>
            </w:r>
          </w:p>
        </w:tc>
        <w:tc>
          <w:tcPr>
            <w:tcW w:w="1140" w:type="dxa"/>
            <w:vAlign w:val="bottom"/>
            <w:tcBorders>
              <w:right w:val="single" w:sz="8" w:color="CCCCFF"/>
            </w:tcBorders>
            <w:vMerge w:val="continue"/>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80" w:type="dxa"/>
            <w:vAlign w:val="bottom"/>
            <w:tcBorders>
              <w:left w:val="single" w:sz="8" w:color="0066CC"/>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vMerge w:val="continue"/>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vMerge w:val="continue"/>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60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920" w:type="dxa"/>
            <w:vAlign w:val="bottom"/>
            <w:tcBorders>
              <w:bottom w:val="single" w:sz="8" w:color="CCCCFF"/>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Matrix Service Canada</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Flatiron Constructors</w:t>
            </w: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7"/>
              </w:rPr>
              <w:t>Proposal #9285-0914-</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Performance and/or</w:t>
            </w: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restart"/>
          </w:tcPr>
          <w:p>
            <w:pPr>
              <w:jc w:val="right"/>
              <w:ind w:right="361"/>
              <w:spacing w:after="0" w:line="121" w:lineRule="exact"/>
              <w:rPr>
                <w:sz w:val="20"/>
                <w:szCs w:val="20"/>
                <w:color w:val="auto"/>
              </w:rPr>
            </w:pPr>
            <w:r>
              <w:rPr>
                <w:rFonts w:ascii="Arial" w:cs="Arial" w:eastAsia="Arial" w:hAnsi="Arial"/>
                <w:sz w:val="12"/>
                <w:szCs w:val="12"/>
                <w:color w:val="auto"/>
              </w:rPr>
              <w:t>915246</w:t>
            </w: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034; CNRL Horizon</w:t>
            </w:r>
          </w:p>
        </w:tc>
        <w:tc>
          <w:tcPr>
            <w:tcW w:w="1140" w:type="dxa"/>
            <w:vAlign w:val="bottom"/>
            <w:tcBorders>
              <w:right w:val="single" w:sz="8" w:color="CCCCFF"/>
            </w:tcBorders>
            <w:vMerge w:val="continue"/>
          </w:tcPr>
          <w:p>
            <w:pPr>
              <w:spacing w:after="0"/>
              <w:rPr>
                <w:sz w:val="4"/>
                <w:szCs w:val="4"/>
                <w:color w:val="auto"/>
              </w:rPr>
            </w:pP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$1,527,537.96</w:t>
            </w:r>
          </w:p>
        </w:tc>
        <w:tc>
          <w:tcPr>
            <w:tcW w:w="1160" w:type="dxa"/>
            <w:vAlign w:val="bottom"/>
            <w:tcBorders>
              <w:right w:val="single" w:sz="8" w:color="CCCCFF"/>
            </w:tcBorders>
            <w:vMerge w:val="restart"/>
          </w:tcPr>
          <w:p>
            <w:pPr>
              <w:ind w:left="300"/>
              <w:spacing w:after="0" w:line="121" w:lineRule="exact"/>
              <w:rPr>
                <w:sz w:val="20"/>
                <w:szCs w:val="20"/>
                <w:color w:val="auto"/>
              </w:rPr>
            </w:pPr>
            <w:r>
              <w:rPr>
                <w:rFonts w:ascii="Arial" w:cs="Arial" w:eastAsia="Arial" w:hAnsi="Arial"/>
                <w:sz w:val="12"/>
                <w:szCs w:val="12"/>
                <w:color w:val="auto"/>
              </w:rPr>
              <w:t>AIG Group</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18-Sep-14</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5"/>
              </w:rPr>
              <w:t>18-Sep-14</w:t>
            </w:r>
          </w:p>
        </w:tc>
        <w:tc>
          <w:tcPr>
            <w:tcW w:w="920" w:type="dxa"/>
            <w:vAlign w:val="bottom"/>
            <w:tcBorders>
              <w:right w:val="single" w:sz="8" w:color="0066CC"/>
            </w:tcBorders>
            <w:vMerge w:val="restart"/>
          </w:tcPr>
          <w:p>
            <w:pPr>
              <w:jc w:val="center"/>
              <w:spacing w:after="0" w:line="121" w:lineRule="exact"/>
              <w:rPr>
                <w:sz w:val="20"/>
                <w:szCs w:val="20"/>
                <w:color w:val="auto"/>
              </w:rPr>
            </w:pPr>
            <w:r>
              <w:rPr>
                <w:rFonts w:ascii="Arial" w:cs="Arial" w:eastAsia="Arial" w:hAnsi="Arial"/>
                <w:sz w:val="12"/>
                <w:szCs w:val="12"/>
                <w:color w:val="auto"/>
                <w:w w:val="89"/>
              </w:rPr>
              <w:t>19-Dec-14</w:t>
            </w: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9"/>
              </w:rPr>
              <w:t>ULC</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Canada Limited</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Payment</w:t>
            </w:r>
          </w:p>
        </w:tc>
        <w:tc>
          <w:tcPr>
            <w:tcW w:w="160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920" w:type="dxa"/>
            <w:vAlign w:val="bottom"/>
            <w:tcBorders>
              <w:right w:val="single" w:sz="8" w:color="0066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Thickener Steel Tank</w:t>
            </w:r>
          </w:p>
        </w:tc>
        <w:tc>
          <w:tcPr>
            <w:tcW w:w="1140" w:type="dxa"/>
            <w:vAlign w:val="bottom"/>
            <w:tcBorders>
              <w:right w:val="single" w:sz="8" w:color="CCCCFF"/>
            </w:tcBorders>
            <w:vMerge w:val="continue"/>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80" w:type="dxa"/>
            <w:vAlign w:val="bottom"/>
            <w:tcBorders>
              <w:left w:val="single" w:sz="8" w:color="0066CC"/>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vMerge w:val="continue"/>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60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920" w:type="dxa"/>
            <w:vAlign w:val="bottom"/>
            <w:tcBorders>
              <w:bottom w:val="single" w:sz="8" w:color="CCCCFF"/>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8"/>
              </w:rPr>
              <w:t>Mechanical</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2"/>
              </w:rPr>
              <w:t>Installation,</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180" w:type="dxa"/>
            <w:vAlign w:val="bottom"/>
            <w:tcBorders>
              <w:left w:val="single" w:sz="8" w:color="0066CC"/>
              <w:right w:val="single" w:sz="8" w:color="CCCCFF"/>
            </w:tcBorders>
            <w:vMerge w:val="restart"/>
          </w:tcPr>
          <w:p>
            <w:pPr>
              <w:jc w:val="right"/>
              <w:ind w:right="361"/>
              <w:spacing w:after="0"/>
              <w:rPr>
                <w:sz w:val="20"/>
                <w:szCs w:val="20"/>
                <w:color w:val="auto"/>
              </w:rPr>
            </w:pPr>
            <w:r>
              <w:rPr>
                <w:rFonts w:ascii="Arial" w:cs="Arial" w:eastAsia="Arial" w:hAnsi="Arial"/>
                <w:sz w:val="12"/>
                <w:szCs w:val="12"/>
                <w:color w:val="auto"/>
              </w:rPr>
              <w:t>994630</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1"/>
              </w:rPr>
              <w:t>Matrix Service Inc.</w:t>
            </w:r>
          </w:p>
        </w:tc>
        <w:tc>
          <w:tcPr>
            <w:tcW w:w="1140" w:type="dxa"/>
            <w:vAlign w:val="bottom"/>
            <w:tcBorders>
              <w:right w:val="single" w:sz="8" w:color="CCCCFF"/>
            </w:tcBorders>
          </w:tcPr>
          <w:p>
            <w:pPr>
              <w:jc w:val="center"/>
              <w:spacing w:after="0"/>
              <w:rPr>
                <w:sz w:val="20"/>
                <w:szCs w:val="20"/>
                <w:color w:val="auto"/>
              </w:rPr>
            </w:pPr>
            <w:r>
              <w:rPr>
                <w:rFonts w:ascii="Arial" w:cs="Arial" w:eastAsia="Arial" w:hAnsi="Arial"/>
                <w:sz w:val="12"/>
                <w:szCs w:val="12"/>
                <w:color w:val="auto"/>
                <w:w w:val="87"/>
              </w:rPr>
              <w:t>Rust Constructors,Rust</w:t>
            </w:r>
          </w:p>
        </w:tc>
        <w:tc>
          <w:tcPr>
            <w:tcW w:w="1160" w:type="dxa"/>
            <w:vAlign w:val="bottom"/>
            <w:tcBorders>
              <w:right w:val="single" w:sz="8" w:color="CCCCFF"/>
            </w:tcBorders>
          </w:tcPr>
          <w:p>
            <w:pPr>
              <w:jc w:val="center"/>
              <w:spacing w:after="0"/>
              <w:rPr>
                <w:sz w:val="20"/>
                <w:szCs w:val="20"/>
                <w:color w:val="auto"/>
              </w:rPr>
            </w:pPr>
            <w:r>
              <w:rPr>
                <w:rFonts w:ascii="Arial" w:cs="Arial" w:eastAsia="Arial" w:hAnsi="Arial"/>
                <w:sz w:val="12"/>
                <w:szCs w:val="12"/>
                <w:color w:val="auto"/>
                <w:w w:val="87"/>
              </w:rPr>
              <w:t>Subcontract #33797-</w:t>
            </w:r>
          </w:p>
        </w:tc>
        <w:tc>
          <w:tcPr>
            <w:tcW w:w="1140" w:type="dxa"/>
            <w:vAlign w:val="bottom"/>
            <w:tcBorders>
              <w:right w:val="single" w:sz="8" w:color="CCCCFF"/>
            </w:tcBorders>
          </w:tcPr>
          <w:p>
            <w:pPr>
              <w:jc w:val="center"/>
              <w:spacing w:after="0"/>
              <w:rPr>
                <w:sz w:val="20"/>
                <w:szCs w:val="20"/>
                <w:color w:val="auto"/>
              </w:rPr>
            </w:pPr>
            <w:r>
              <w:rPr>
                <w:rFonts w:ascii="Arial" w:cs="Arial" w:eastAsia="Arial" w:hAnsi="Arial"/>
                <w:sz w:val="12"/>
                <w:szCs w:val="12"/>
                <w:color w:val="auto"/>
                <w:w w:val="88"/>
              </w:rPr>
              <w:t>Performance and/or</w:t>
            </w:r>
          </w:p>
        </w:tc>
        <w:tc>
          <w:tcPr>
            <w:tcW w:w="1600" w:type="dxa"/>
            <w:vAlign w:val="bottom"/>
            <w:tcBorders>
              <w:right w:val="single" w:sz="8" w:color="CCCCFF"/>
            </w:tcBorders>
            <w:vMerge w:val="restart"/>
          </w:tcPr>
          <w:p>
            <w:pPr>
              <w:jc w:val="right"/>
              <w:spacing w:after="0"/>
              <w:rPr>
                <w:sz w:val="20"/>
                <w:szCs w:val="20"/>
                <w:color w:val="auto"/>
              </w:rPr>
            </w:pPr>
            <w:r>
              <w:rPr>
                <w:rFonts w:ascii="Arial" w:cs="Arial" w:eastAsia="Arial" w:hAnsi="Arial"/>
                <w:sz w:val="12"/>
                <w:szCs w:val="12"/>
                <w:color w:val="auto"/>
              </w:rPr>
              <w:t>$3,460,498.00</w:t>
            </w:r>
          </w:p>
        </w:tc>
        <w:tc>
          <w:tcPr>
            <w:tcW w:w="1160" w:type="dxa"/>
            <w:vAlign w:val="bottom"/>
            <w:tcBorders>
              <w:right w:val="single" w:sz="8" w:color="CCCCFF"/>
            </w:tcBorders>
            <w:vMerge w:val="restart"/>
          </w:tcPr>
          <w:p>
            <w:pPr>
              <w:ind w:left="300"/>
              <w:spacing w:after="0"/>
              <w:rPr>
                <w:sz w:val="20"/>
                <w:szCs w:val="20"/>
                <w:color w:val="auto"/>
              </w:rPr>
            </w:pPr>
            <w:r>
              <w:rPr>
                <w:rFonts w:ascii="Arial" w:cs="Arial" w:eastAsia="Arial" w:hAnsi="Arial"/>
                <w:sz w:val="12"/>
                <w:szCs w:val="12"/>
                <w:color w:val="auto"/>
              </w:rPr>
              <w:t>AIG Group</w:t>
            </w:r>
          </w:p>
        </w:tc>
        <w:tc>
          <w:tcPr>
            <w:tcW w:w="10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2"/>
              </w:rPr>
              <w:t>05-Nov-13</w:t>
            </w:r>
          </w:p>
        </w:tc>
        <w:tc>
          <w:tcPr>
            <w:tcW w:w="10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2"/>
              </w:rPr>
              <w:t>05-Nov-13</w:t>
            </w:r>
          </w:p>
        </w:tc>
        <w:tc>
          <w:tcPr>
            <w:tcW w:w="920" w:type="dxa"/>
            <w:vAlign w:val="bottom"/>
            <w:tcBorders>
              <w:right w:val="single" w:sz="8" w:color="0066CC"/>
            </w:tcBorders>
            <w:vMerge w:val="restart"/>
          </w:tcPr>
          <w:p>
            <w:pPr>
              <w:jc w:val="center"/>
              <w:spacing w:after="0"/>
              <w:rPr>
                <w:sz w:val="20"/>
                <w:szCs w:val="20"/>
                <w:color w:val="auto"/>
              </w:rPr>
            </w:pPr>
            <w:r>
              <w:rPr>
                <w:rFonts w:ascii="Arial" w:cs="Arial" w:eastAsia="Arial" w:hAnsi="Arial"/>
                <w:sz w:val="12"/>
                <w:szCs w:val="12"/>
                <w:color w:val="auto"/>
                <w:w w:val="92"/>
              </w:rPr>
              <w:t>05-Nov-14</w:t>
            </w:r>
          </w:p>
        </w:tc>
        <w:tc>
          <w:tcPr>
            <w:tcW w:w="0" w:type="dxa"/>
            <w:vAlign w:val="bottom"/>
          </w:tcPr>
          <w:p>
            <w:pPr>
              <w:spacing w:after="0"/>
              <w:rPr>
                <w:sz w:val="1"/>
                <w:szCs w:val="1"/>
                <w:color w:val="auto"/>
              </w:rPr>
            </w:pPr>
          </w:p>
        </w:tc>
      </w:tr>
      <w:tr>
        <w:trPr>
          <w:trHeight w:val="73"/>
        </w:trPr>
        <w:tc>
          <w:tcPr>
            <w:tcW w:w="1180" w:type="dxa"/>
            <w:vAlign w:val="bottom"/>
            <w:tcBorders>
              <w:left w:val="single" w:sz="8" w:color="0066CC"/>
              <w:right w:val="single" w:sz="8" w:color="CCCCFF"/>
            </w:tcBorders>
            <w:vMerge w:val="continue"/>
          </w:tcPr>
          <w:p>
            <w:pPr>
              <w:spacing w:after="0"/>
              <w:rPr>
                <w:sz w:val="6"/>
                <w:szCs w:val="6"/>
                <w:color w:val="auto"/>
              </w:rPr>
            </w:pPr>
          </w:p>
        </w:tc>
        <w:tc>
          <w:tcPr>
            <w:tcW w:w="1140" w:type="dxa"/>
            <w:vAlign w:val="bottom"/>
            <w:tcBorders>
              <w:right w:val="single" w:sz="8" w:color="CCCCFF"/>
            </w:tcBorders>
            <w:vMerge w:val="continue"/>
          </w:tcPr>
          <w:p>
            <w:pPr>
              <w:spacing w:after="0"/>
              <w:rPr>
                <w:sz w:val="6"/>
                <w:szCs w:val="6"/>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Constructors, Inc.</w:t>
            </w:r>
          </w:p>
        </w:tc>
        <w:tc>
          <w:tcPr>
            <w:tcW w:w="1160" w:type="dxa"/>
            <w:vAlign w:val="bottom"/>
            <w:tcBorders>
              <w:right w:val="single" w:sz="8" w:color="CCCCFF"/>
            </w:tcBorders>
          </w:tcPr>
          <w:p>
            <w:pPr>
              <w:jc w:val="center"/>
              <w:spacing w:after="0" w:line="73" w:lineRule="exact"/>
              <w:rPr>
                <w:sz w:val="20"/>
                <w:szCs w:val="20"/>
                <w:color w:val="auto"/>
              </w:rPr>
            </w:pPr>
            <w:r>
              <w:rPr>
                <w:rFonts w:ascii="Arial" w:cs="Arial" w:eastAsia="Arial" w:hAnsi="Arial"/>
                <w:sz w:val="8"/>
                <w:szCs w:val="8"/>
                <w:color w:val="auto"/>
              </w:rPr>
              <w:t>SC-003, Morenci</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Payment</w:t>
            </w:r>
          </w:p>
        </w:tc>
        <w:tc>
          <w:tcPr>
            <w:tcW w:w="1600" w:type="dxa"/>
            <w:vAlign w:val="bottom"/>
            <w:tcBorders>
              <w:right w:val="single" w:sz="8" w:color="CCCCFF"/>
            </w:tcBorders>
            <w:vMerge w:val="continue"/>
          </w:tcPr>
          <w:p>
            <w:pPr>
              <w:spacing w:after="0"/>
              <w:rPr>
                <w:sz w:val="6"/>
                <w:szCs w:val="6"/>
                <w:color w:val="auto"/>
              </w:rPr>
            </w:pPr>
          </w:p>
        </w:tc>
        <w:tc>
          <w:tcPr>
            <w:tcW w:w="1160" w:type="dxa"/>
            <w:vAlign w:val="bottom"/>
            <w:tcBorders>
              <w:right w:val="single" w:sz="8" w:color="CCCCFF"/>
            </w:tcBorders>
            <w:vMerge w:val="continue"/>
          </w:tcPr>
          <w:p>
            <w:pPr>
              <w:spacing w:after="0"/>
              <w:rPr>
                <w:sz w:val="6"/>
                <w:szCs w:val="6"/>
                <w:color w:val="auto"/>
              </w:rPr>
            </w:pPr>
          </w:p>
        </w:tc>
        <w:tc>
          <w:tcPr>
            <w:tcW w:w="1020" w:type="dxa"/>
            <w:vAlign w:val="bottom"/>
            <w:tcBorders>
              <w:right w:val="single" w:sz="8" w:color="CCCCFF"/>
            </w:tcBorders>
            <w:vMerge w:val="continue"/>
          </w:tcPr>
          <w:p>
            <w:pPr>
              <w:spacing w:after="0"/>
              <w:rPr>
                <w:sz w:val="6"/>
                <w:szCs w:val="6"/>
                <w:color w:val="auto"/>
              </w:rPr>
            </w:pPr>
          </w:p>
        </w:tc>
        <w:tc>
          <w:tcPr>
            <w:tcW w:w="1020" w:type="dxa"/>
            <w:vAlign w:val="bottom"/>
            <w:tcBorders>
              <w:right w:val="single" w:sz="8" w:color="CCCCFF"/>
            </w:tcBorders>
            <w:vMerge w:val="continue"/>
          </w:tcPr>
          <w:p>
            <w:pPr>
              <w:spacing w:after="0"/>
              <w:rPr>
                <w:sz w:val="6"/>
                <w:szCs w:val="6"/>
                <w:color w:val="auto"/>
              </w:rPr>
            </w:pPr>
          </w:p>
        </w:tc>
        <w:tc>
          <w:tcPr>
            <w:tcW w:w="920" w:type="dxa"/>
            <w:vAlign w:val="bottom"/>
            <w:tcBorders>
              <w:right w:val="single" w:sz="8" w:color="0066CC"/>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7"/>
              </w:rPr>
              <w:t>Tailings Storage</w:t>
            </w:r>
          </w:p>
        </w:tc>
        <w:tc>
          <w:tcPr>
            <w:tcW w:w="1140" w:type="dxa"/>
            <w:vAlign w:val="bottom"/>
            <w:tcBorders>
              <w:right w:val="single" w:sz="8" w:color="CCCCFF"/>
            </w:tcBorders>
            <w:vMerge w:val="continue"/>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Expansion, Morenci,</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rPr>
              <w:t>AZ</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8"/>
              </w:rPr>
              <w:t>Engineering,</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procurement and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construction for the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vMerge w:val="restart"/>
          </w:tcPr>
          <w:p>
            <w:pPr>
              <w:jc w:val="right"/>
              <w:ind w:right="361"/>
              <w:spacing w:after="0"/>
              <w:rPr>
                <w:sz w:val="20"/>
                <w:szCs w:val="20"/>
                <w:color w:val="auto"/>
              </w:rPr>
            </w:pPr>
            <w:r>
              <w:rPr>
                <w:rFonts w:ascii="Arial" w:cs="Arial" w:eastAsia="Arial" w:hAnsi="Arial"/>
                <w:sz w:val="12"/>
                <w:szCs w:val="12"/>
                <w:color w:val="auto"/>
              </w:rPr>
              <w:t>994637</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1"/>
              </w:rPr>
              <w:t>Matrix Service Inc.</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3"/>
              </w:rPr>
              <w:t>Sabine Pass</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5"/>
              </w:rPr>
              <w:t>condensate storage and</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Performance and/or</w:t>
            </w:r>
          </w:p>
        </w:tc>
        <w:tc>
          <w:tcPr>
            <w:tcW w:w="1600" w:type="dxa"/>
            <w:vAlign w:val="bottom"/>
            <w:tcBorders>
              <w:right w:val="single" w:sz="8" w:color="CCCCFF"/>
            </w:tcBorders>
            <w:vMerge w:val="restart"/>
          </w:tcPr>
          <w:p>
            <w:pPr>
              <w:jc w:val="right"/>
              <w:spacing w:after="0"/>
              <w:rPr>
                <w:sz w:val="20"/>
                <w:szCs w:val="20"/>
                <w:color w:val="auto"/>
              </w:rPr>
            </w:pPr>
            <w:r>
              <w:rPr>
                <w:rFonts w:ascii="Arial" w:cs="Arial" w:eastAsia="Arial" w:hAnsi="Arial"/>
                <w:sz w:val="12"/>
                <w:szCs w:val="12"/>
                <w:color w:val="auto"/>
              </w:rPr>
              <w:t>$8,838,935.00</w:t>
            </w:r>
          </w:p>
        </w:tc>
        <w:tc>
          <w:tcPr>
            <w:tcW w:w="1160" w:type="dxa"/>
            <w:vAlign w:val="bottom"/>
            <w:tcBorders>
              <w:right w:val="single" w:sz="8" w:color="CCCCFF"/>
            </w:tcBorders>
            <w:vMerge w:val="restart"/>
          </w:tcPr>
          <w:p>
            <w:pPr>
              <w:ind w:left="300"/>
              <w:spacing w:after="0"/>
              <w:rPr>
                <w:sz w:val="20"/>
                <w:szCs w:val="20"/>
                <w:color w:val="auto"/>
              </w:rPr>
            </w:pPr>
            <w:r>
              <w:rPr>
                <w:rFonts w:ascii="Arial" w:cs="Arial" w:eastAsia="Arial" w:hAnsi="Arial"/>
                <w:sz w:val="12"/>
                <w:szCs w:val="12"/>
                <w:color w:val="auto"/>
              </w:rPr>
              <w:t>AIG Group</w:t>
            </w:r>
          </w:p>
        </w:tc>
        <w:tc>
          <w:tcPr>
            <w:tcW w:w="10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24-Feb-14</w:t>
            </w:r>
          </w:p>
        </w:tc>
        <w:tc>
          <w:tcPr>
            <w:tcW w:w="10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6"/>
              </w:rPr>
              <w:t>24-Feb-14</w:t>
            </w:r>
          </w:p>
        </w:tc>
        <w:tc>
          <w:tcPr>
            <w:tcW w:w="920" w:type="dxa"/>
            <w:vAlign w:val="bottom"/>
            <w:tcBorders>
              <w:right w:val="single" w:sz="8" w:color="0066CC"/>
            </w:tcBorders>
            <w:vMerge w:val="restart"/>
          </w:tcPr>
          <w:p>
            <w:pPr>
              <w:jc w:val="center"/>
              <w:spacing w:after="0"/>
              <w:rPr>
                <w:sz w:val="20"/>
                <w:szCs w:val="20"/>
                <w:color w:val="auto"/>
              </w:rPr>
            </w:pPr>
            <w:r>
              <w:rPr>
                <w:rFonts w:ascii="Arial" w:cs="Arial" w:eastAsia="Arial" w:hAnsi="Arial"/>
                <w:sz w:val="12"/>
                <w:szCs w:val="12"/>
                <w:color w:val="auto"/>
                <w:w w:val="86"/>
              </w:rPr>
              <w:t>24-Feb-15</w:t>
            </w: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4"/>
              </w:rPr>
              <w:t>Liquefaction, LLC</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7"/>
              </w:rPr>
              <w:t>send-out system sub-</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Payment</w:t>
            </w:r>
          </w:p>
        </w:tc>
        <w:tc>
          <w:tcPr>
            <w:tcW w:w="160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vMerge w:val="continue"/>
          </w:tcPr>
          <w:p>
            <w:pPr>
              <w:spacing w:after="0"/>
              <w:rPr>
                <w:sz w:val="7"/>
                <w:szCs w:val="7"/>
                <w:color w:val="auto"/>
              </w:rPr>
            </w:pPr>
          </w:p>
        </w:tc>
        <w:tc>
          <w:tcPr>
            <w:tcW w:w="920" w:type="dxa"/>
            <w:vAlign w:val="bottom"/>
            <w:tcBorders>
              <w:right w:val="single" w:sz="8" w:color="0066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vMerge w:val="continue"/>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vMerge w:val="continue"/>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project for the Sabine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7"/>
              </w:rPr>
              <w:t>Pass LNG</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1"/>
              </w:rPr>
              <w:t>Liquefaction Project.</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8"/>
              </w:rPr>
              <w:t>Construct the three (3)</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7"/>
              </w:rPr>
              <w:t>CS+ Tanks on the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3"/>
              </w:rPr>
              <w:t>Burns &amp; McDonnell</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Phillips 66 Freeport</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Performance and/or</w:t>
            </w: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restart"/>
          </w:tcPr>
          <w:p>
            <w:pPr>
              <w:jc w:val="right"/>
              <w:ind w:right="361"/>
              <w:spacing w:after="0" w:line="121" w:lineRule="exact"/>
              <w:rPr>
                <w:sz w:val="20"/>
                <w:szCs w:val="20"/>
                <w:color w:val="auto"/>
              </w:rPr>
            </w:pPr>
            <w:r>
              <w:rPr>
                <w:rFonts w:ascii="Arial" w:cs="Arial" w:eastAsia="Arial" w:hAnsi="Arial"/>
                <w:sz w:val="12"/>
                <w:szCs w:val="12"/>
                <w:color w:val="auto"/>
              </w:rPr>
              <w:t>994638</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Matrix Service Inc.</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Engineering Company,</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LPG Export Terminal</w:t>
            </w:r>
          </w:p>
        </w:tc>
        <w:tc>
          <w:tcPr>
            <w:tcW w:w="1140" w:type="dxa"/>
            <w:vAlign w:val="bottom"/>
            <w:tcBorders>
              <w:right w:val="single" w:sz="8" w:color="CCCCFF"/>
            </w:tcBorders>
            <w:vMerge w:val="continue"/>
          </w:tcPr>
          <w:p>
            <w:pPr>
              <w:spacing w:after="0"/>
              <w:rPr>
                <w:sz w:val="4"/>
                <w:szCs w:val="4"/>
                <w:color w:val="auto"/>
              </w:rPr>
            </w:pP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$10,066,791.00</w:t>
            </w:r>
          </w:p>
        </w:tc>
        <w:tc>
          <w:tcPr>
            <w:tcW w:w="1160" w:type="dxa"/>
            <w:vAlign w:val="bottom"/>
            <w:tcBorders>
              <w:right w:val="single" w:sz="8" w:color="CCCCFF"/>
            </w:tcBorders>
            <w:vMerge w:val="restart"/>
          </w:tcPr>
          <w:p>
            <w:pPr>
              <w:ind w:left="300"/>
              <w:spacing w:after="0" w:line="121" w:lineRule="exact"/>
              <w:rPr>
                <w:sz w:val="20"/>
                <w:szCs w:val="20"/>
                <w:color w:val="auto"/>
              </w:rPr>
            </w:pPr>
            <w:r>
              <w:rPr>
                <w:rFonts w:ascii="Arial" w:cs="Arial" w:eastAsia="Arial" w:hAnsi="Arial"/>
                <w:sz w:val="12"/>
                <w:szCs w:val="12"/>
                <w:color w:val="auto"/>
              </w:rPr>
              <w:t>AIG Group</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5"/>
              </w:rPr>
              <w:t>31-Jan-14</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31-Jan-14</w:t>
            </w:r>
          </w:p>
        </w:tc>
        <w:tc>
          <w:tcPr>
            <w:tcW w:w="920" w:type="dxa"/>
            <w:vAlign w:val="bottom"/>
            <w:tcBorders>
              <w:right w:val="single" w:sz="8" w:color="0066CC"/>
            </w:tcBorders>
            <w:vMerge w:val="restart"/>
          </w:tcPr>
          <w:p>
            <w:pPr>
              <w:jc w:val="center"/>
              <w:spacing w:after="0" w:line="121" w:lineRule="exact"/>
              <w:rPr>
                <w:sz w:val="20"/>
                <w:szCs w:val="20"/>
                <w:color w:val="auto"/>
              </w:rPr>
            </w:pPr>
            <w:r>
              <w:rPr>
                <w:rFonts w:ascii="Arial" w:cs="Arial" w:eastAsia="Arial" w:hAnsi="Arial"/>
                <w:sz w:val="12"/>
                <w:szCs w:val="12"/>
                <w:color w:val="auto"/>
                <w:w w:val="85"/>
              </w:rPr>
              <w:t>15-Sep-15</w:t>
            </w: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Payment</w:t>
            </w:r>
          </w:p>
        </w:tc>
        <w:tc>
          <w:tcPr>
            <w:tcW w:w="160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920" w:type="dxa"/>
            <w:vAlign w:val="bottom"/>
            <w:tcBorders>
              <w:right w:val="single" w:sz="8" w:color="0066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Inc.</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Project In Accordance</w:t>
            </w:r>
          </w:p>
        </w:tc>
        <w:tc>
          <w:tcPr>
            <w:tcW w:w="1140" w:type="dxa"/>
            <w:vAlign w:val="bottom"/>
            <w:tcBorders>
              <w:right w:val="single" w:sz="8" w:color="CCCCFF"/>
            </w:tcBorders>
            <w:vMerge w:val="continue"/>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vMerge w:val="continue"/>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with Subcontract</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2"/>
              </w:rPr>
              <w:t>78597-TNK-201.</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1480"/>
          </w:cols>
          <w:pgMar w:left="220" w:top="605" w:right="199" w:bottom="1440" w:gutter="0" w:footer="0" w:header="0"/>
        </w:sectPr>
      </w:pPr>
    </w:p>
    <w:bookmarkStart w:id="179" w:name="page180"/>
    <w:bookmarkEnd w:id="179"/>
    <w:tbl>
      <w:tblPr>
        <w:tblLayout w:type="fixed"/>
        <w:tblInd w:w="10" w:type="dxa"/>
        <w:tblCellMar>
          <w:top w:w="0" w:type="dxa"/>
          <w:left w:w="0" w:type="dxa"/>
          <w:bottom w:w="0" w:type="dxa"/>
          <w:right w:w="0" w:type="dxa"/>
        </w:tblCellMar>
      </w:tblPr>
      <w:tr>
        <w:trPr>
          <w:trHeight w:val="139"/>
        </w:trPr>
        <w:tc>
          <w:tcPr>
            <w:tcW w:w="1180" w:type="dxa"/>
            <w:vAlign w:val="bottom"/>
            <w:tcBorders>
              <w:top w:val="single" w:sz="8" w:color="CCCCFF"/>
              <w:left w:val="single" w:sz="8" w:color="0066CC"/>
              <w:right w:val="single" w:sz="8" w:color="CCCCFF"/>
            </w:tcBorders>
          </w:tcPr>
          <w:p>
            <w:pPr>
              <w:spacing w:after="0"/>
              <w:rPr>
                <w:sz w:val="12"/>
                <w:szCs w:val="12"/>
                <w:color w:val="auto"/>
              </w:rPr>
            </w:pPr>
          </w:p>
        </w:tc>
        <w:tc>
          <w:tcPr>
            <w:tcW w:w="1140" w:type="dxa"/>
            <w:vAlign w:val="bottom"/>
            <w:tcBorders>
              <w:top w:val="single" w:sz="8" w:color="CCCCFF"/>
              <w:right w:val="single" w:sz="8" w:color="CCCCFF"/>
            </w:tcBorders>
          </w:tcPr>
          <w:p>
            <w:pPr>
              <w:spacing w:after="0"/>
              <w:rPr>
                <w:sz w:val="12"/>
                <w:szCs w:val="12"/>
                <w:color w:val="auto"/>
              </w:rPr>
            </w:pPr>
          </w:p>
        </w:tc>
        <w:tc>
          <w:tcPr>
            <w:tcW w:w="1140" w:type="dxa"/>
            <w:vAlign w:val="bottom"/>
            <w:tcBorders>
              <w:top w:val="single" w:sz="8" w:color="CCCCFF"/>
              <w:right w:val="single" w:sz="8" w:color="CCCCFF"/>
            </w:tcBorders>
          </w:tcPr>
          <w:p>
            <w:pPr>
              <w:spacing w:after="0"/>
              <w:rPr>
                <w:sz w:val="12"/>
                <w:szCs w:val="12"/>
                <w:color w:val="auto"/>
              </w:rPr>
            </w:pPr>
          </w:p>
        </w:tc>
        <w:tc>
          <w:tcPr>
            <w:tcW w:w="1160" w:type="dxa"/>
            <w:vAlign w:val="bottom"/>
            <w:tcBorders>
              <w:top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8"/>
              </w:rPr>
              <w:t>Furnish and Erect</w:t>
            </w:r>
          </w:p>
        </w:tc>
        <w:tc>
          <w:tcPr>
            <w:tcW w:w="1140" w:type="dxa"/>
            <w:vAlign w:val="bottom"/>
            <w:tcBorders>
              <w:top w:val="single" w:sz="8" w:color="CCCCFF"/>
              <w:right w:val="single" w:sz="8" w:color="CCCCFF"/>
            </w:tcBorders>
          </w:tcPr>
          <w:p>
            <w:pPr>
              <w:spacing w:after="0"/>
              <w:rPr>
                <w:sz w:val="12"/>
                <w:szCs w:val="12"/>
                <w:color w:val="auto"/>
              </w:rPr>
            </w:pPr>
          </w:p>
        </w:tc>
        <w:tc>
          <w:tcPr>
            <w:tcW w:w="1600" w:type="dxa"/>
            <w:vAlign w:val="bottom"/>
            <w:tcBorders>
              <w:top w:val="single" w:sz="8" w:color="CCCCFF"/>
              <w:right w:val="single" w:sz="8" w:color="CCCCFF"/>
            </w:tcBorders>
          </w:tcPr>
          <w:p>
            <w:pPr>
              <w:spacing w:after="0"/>
              <w:rPr>
                <w:sz w:val="12"/>
                <w:szCs w:val="12"/>
                <w:color w:val="auto"/>
              </w:rPr>
            </w:pPr>
          </w:p>
        </w:tc>
        <w:tc>
          <w:tcPr>
            <w:tcW w:w="1160" w:type="dxa"/>
            <w:vAlign w:val="bottom"/>
            <w:tcBorders>
              <w:top w:val="single" w:sz="8" w:color="CCCCFF"/>
              <w:right w:val="single" w:sz="8" w:color="CCCCFF"/>
            </w:tcBorders>
          </w:tcPr>
          <w:p>
            <w:pPr>
              <w:spacing w:after="0"/>
              <w:rPr>
                <w:sz w:val="12"/>
                <w:szCs w:val="12"/>
                <w:color w:val="auto"/>
              </w:rPr>
            </w:pPr>
          </w:p>
        </w:tc>
        <w:tc>
          <w:tcPr>
            <w:tcW w:w="1020" w:type="dxa"/>
            <w:vAlign w:val="bottom"/>
            <w:tcBorders>
              <w:top w:val="single" w:sz="8" w:color="CCCCFF"/>
              <w:right w:val="single" w:sz="8" w:color="CCCCFF"/>
            </w:tcBorders>
          </w:tcPr>
          <w:p>
            <w:pPr>
              <w:spacing w:after="0"/>
              <w:rPr>
                <w:sz w:val="12"/>
                <w:szCs w:val="12"/>
                <w:color w:val="auto"/>
              </w:rPr>
            </w:pPr>
          </w:p>
        </w:tc>
        <w:tc>
          <w:tcPr>
            <w:tcW w:w="1020" w:type="dxa"/>
            <w:vAlign w:val="bottom"/>
            <w:tcBorders>
              <w:top w:val="single" w:sz="8" w:color="CCCCFF"/>
              <w:right w:val="single" w:sz="8" w:color="CCCCFF"/>
            </w:tcBorders>
          </w:tcPr>
          <w:p>
            <w:pPr>
              <w:spacing w:after="0"/>
              <w:rPr>
                <w:sz w:val="12"/>
                <w:szCs w:val="12"/>
                <w:color w:val="auto"/>
              </w:rPr>
            </w:pPr>
          </w:p>
        </w:tc>
        <w:tc>
          <w:tcPr>
            <w:tcW w:w="920" w:type="dxa"/>
            <w:vAlign w:val="bottom"/>
            <w:tcBorders>
              <w:top w:val="single" w:sz="8" w:color="CCCCFF"/>
              <w:right w:val="single" w:sz="8" w:color="0066CC"/>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3"/>
              </w:rPr>
              <w:t>Burns &amp; McDonnell</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Tanks at the Phillips</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66 Freeport LPG</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Performance and/or</w:t>
            </w: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4"/>
              </w:rPr>
              <w:t>994639</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Matrix Service Inc.</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Engineering Company,</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$2,325,746.00</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4"/>
              </w:rPr>
              <w:t>AIG Group</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06-Jun-14</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06-Jun-14</w:t>
            </w:r>
          </w:p>
        </w:tc>
        <w:tc>
          <w:tcPr>
            <w:tcW w:w="920" w:type="dxa"/>
            <w:vAlign w:val="bottom"/>
            <w:tcBorders>
              <w:right w:val="single" w:sz="8" w:color="0066CC"/>
            </w:tcBorders>
            <w:vMerge w:val="restart"/>
          </w:tcPr>
          <w:p>
            <w:pPr>
              <w:jc w:val="center"/>
              <w:spacing w:after="0" w:line="121" w:lineRule="exact"/>
              <w:rPr>
                <w:sz w:val="20"/>
                <w:szCs w:val="20"/>
                <w:color w:val="auto"/>
              </w:rPr>
            </w:pPr>
            <w:r>
              <w:rPr>
                <w:rFonts w:ascii="Arial" w:cs="Arial" w:eastAsia="Arial" w:hAnsi="Arial"/>
                <w:sz w:val="12"/>
                <w:szCs w:val="12"/>
                <w:color w:val="auto"/>
                <w:w w:val="88"/>
              </w:rPr>
              <w:t>06-Jun-15</w:t>
            </w: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Export Terminal</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Payment</w:t>
            </w:r>
          </w:p>
        </w:tc>
        <w:tc>
          <w:tcPr>
            <w:tcW w:w="160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920" w:type="dxa"/>
            <w:vAlign w:val="bottom"/>
            <w:tcBorders>
              <w:right w:val="single" w:sz="8" w:color="0066CC"/>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2"/>
              </w:rPr>
              <w:t>Inc.</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Project in Freeport,</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0"/>
              </w:rPr>
              <w:t>TX, Contract #82849</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8"/>
              </w:rPr>
              <w:t>Furnish and Erect</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3"/>
              </w:rPr>
              <w:t>Burns &amp; McDonnell</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Tanks at the Phillips</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66 Freeport LPG</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Performance and/or</w:t>
            </w: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4"/>
              </w:rPr>
              <w:t>994640</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Matrix Service Inc.</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Engineering Company,</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$28,253,940.00</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4"/>
              </w:rPr>
              <w:t>AIG Group</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06-Jun-14</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06-Jun-14</w:t>
            </w:r>
          </w:p>
        </w:tc>
        <w:tc>
          <w:tcPr>
            <w:tcW w:w="920" w:type="dxa"/>
            <w:vAlign w:val="bottom"/>
            <w:tcBorders>
              <w:right w:val="single" w:sz="8" w:color="0066CC"/>
            </w:tcBorders>
            <w:vMerge w:val="restart"/>
          </w:tcPr>
          <w:p>
            <w:pPr>
              <w:jc w:val="center"/>
              <w:spacing w:after="0" w:line="121" w:lineRule="exact"/>
              <w:rPr>
                <w:sz w:val="20"/>
                <w:szCs w:val="20"/>
                <w:color w:val="auto"/>
              </w:rPr>
            </w:pPr>
            <w:r>
              <w:rPr>
                <w:rFonts w:ascii="Arial" w:cs="Arial" w:eastAsia="Arial" w:hAnsi="Arial"/>
                <w:sz w:val="12"/>
                <w:szCs w:val="12"/>
                <w:color w:val="auto"/>
                <w:w w:val="88"/>
              </w:rPr>
              <w:t>06-Jun-15</w:t>
            </w: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Export Terminal</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Payment</w:t>
            </w:r>
          </w:p>
        </w:tc>
        <w:tc>
          <w:tcPr>
            <w:tcW w:w="160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920" w:type="dxa"/>
            <w:vAlign w:val="bottom"/>
            <w:tcBorders>
              <w:right w:val="single" w:sz="8" w:color="0066CC"/>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2"/>
              </w:rPr>
              <w:t>Inc.</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Project in Freeport,</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9"/>
              </w:rPr>
              <w:t>TX, Contract #82850.</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9"/>
              </w:rPr>
              <w:t>Fuel Storage Facility</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Modifications - Phase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5"/>
              </w:rPr>
              <w:t>II - Aircraft Fuel</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7"/>
              </w:rPr>
              <w:t>Receiving Storage and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5"/>
              </w:rPr>
              <w:t>Distribution Facility</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4"/>
              </w:rPr>
              <w:t>994641</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1"/>
              </w:rPr>
              <w:t>Matrix Service Inc.</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5"/>
              </w:rPr>
              <w:t>MMC, Inc.</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Expansion at</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Performance and/or</w:t>
            </w:r>
          </w:p>
        </w:tc>
        <w:tc>
          <w:tcPr>
            <w:tcW w:w="1600" w:type="dxa"/>
            <w:vAlign w:val="bottom"/>
            <w:tcBorders>
              <w:right w:val="single" w:sz="8" w:color="CCCCFF"/>
            </w:tcBorders>
            <w:vMerge w:val="restart"/>
          </w:tcPr>
          <w:p>
            <w:pPr>
              <w:jc w:val="right"/>
              <w:spacing w:after="0"/>
              <w:rPr>
                <w:sz w:val="20"/>
                <w:szCs w:val="20"/>
                <w:color w:val="auto"/>
              </w:rPr>
            </w:pPr>
            <w:r>
              <w:rPr>
                <w:rFonts w:ascii="Arial" w:cs="Arial" w:eastAsia="Arial" w:hAnsi="Arial"/>
                <w:sz w:val="12"/>
                <w:szCs w:val="12"/>
                <w:color w:val="auto"/>
              </w:rPr>
              <w:t>$3,558,000.00</w:t>
            </w: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4"/>
              </w:rPr>
              <w:t>AIG Group</w:t>
            </w:r>
          </w:p>
        </w:tc>
        <w:tc>
          <w:tcPr>
            <w:tcW w:w="10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2"/>
              </w:rPr>
              <w:t>08-Aug-14</w:t>
            </w:r>
          </w:p>
        </w:tc>
        <w:tc>
          <w:tcPr>
            <w:tcW w:w="10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2"/>
              </w:rPr>
              <w:t>08-Aug-14</w:t>
            </w:r>
          </w:p>
        </w:tc>
        <w:tc>
          <w:tcPr>
            <w:tcW w:w="920" w:type="dxa"/>
            <w:vAlign w:val="bottom"/>
            <w:tcBorders>
              <w:right w:val="single" w:sz="8" w:color="0066CC"/>
            </w:tcBorders>
            <w:vMerge w:val="restart"/>
          </w:tcPr>
          <w:p>
            <w:pPr>
              <w:jc w:val="center"/>
              <w:spacing w:after="0"/>
              <w:rPr>
                <w:sz w:val="20"/>
                <w:szCs w:val="20"/>
                <w:color w:val="auto"/>
              </w:rPr>
            </w:pPr>
            <w:r>
              <w:rPr>
                <w:rFonts w:ascii="Arial" w:cs="Arial" w:eastAsia="Arial" w:hAnsi="Arial"/>
                <w:sz w:val="12"/>
                <w:szCs w:val="12"/>
                <w:color w:val="auto"/>
                <w:w w:val="92"/>
              </w:rPr>
              <w:t>08-Aug-15</w:t>
            </w: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McCarran</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Payment</w:t>
            </w:r>
          </w:p>
        </w:tc>
        <w:tc>
          <w:tcPr>
            <w:tcW w:w="160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vMerge w:val="continue"/>
          </w:tcPr>
          <w:p>
            <w:pPr>
              <w:spacing w:after="0"/>
              <w:rPr>
                <w:sz w:val="7"/>
                <w:szCs w:val="7"/>
                <w:color w:val="auto"/>
              </w:rPr>
            </w:pPr>
          </w:p>
        </w:tc>
        <w:tc>
          <w:tcPr>
            <w:tcW w:w="920" w:type="dxa"/>
            <w:vAlign w:val="bottom"/>
            <w:tcBorders>
              <w:right w:val="single" w:sz="8" w:color="0066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vMerge w:val="continue"/>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3"/>
              </w:rPr>
              <w:t>International Airport</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in Las Vegas, NV; Bid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No. 1130167/LAS-14-</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001, Subcontract No.</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8"/>
              </w:rPr>
              <w:t>724-S013</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3"/>
              </w:rPr>
              <w:t>Illinois Extension</w:t>
            </w: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6"/>
              </w:rPr>
              <w:t>Eastern Access</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7"/>
              </w:rPr>
              <w:t>Pipeline Company,</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Program (EAP)</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Performance and/or</w:t>
            </w: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4"/>
              </w:rPr>
              <w:t>994643</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3"/>
              </w:rPr>
              <w:t>Matrix SME, Inc.</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LLC and Enbridge</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7"/>
              </w:rPr>
              <w:t>Flanagan Phase III</w:t>
            </w:r>
          </w:p>
        </w:tc>
        <w:tc>
          <w:tcPr>
            <w:tcW w:w="1140" w:type="dxa"/>
            <w:vAlign w:val="bottom"/>
            <w:tcBorders>
              <w:right w:val="single" w:sz="8" w:color="CCCCFF"/>
            </w:tcBorders>
            <w:vMerge w:val="continue"/>
          </w:tcPr>
          <w:p>
            <w:pPr>
              <w:spacing w:after="0"/>
              <w:rPr>
                <w:sz w:val="4"/>
                <w:szCs w:val="4"/>
                <w:color w:val="auto"/>
              </w:rPr>
            </w:pP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$20,710,850.84</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4"/>
              </w:rPr>
              <w:t>AIG Group</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07-Oct-14</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07-Oct-14</w:t>
            </w:r>
          </w:p>
        </w:tc>
        <w:tc>
          <w:tcPr>
            <w:tcW w:w="920" w:type="dxa"/>
            <w:vAlign w:val="bottom"/>
            <w:tcBorders>
              <w:right w:val="single" w:sz="8" w:color="0066CC"/>
            </w:tcBorders>
            <w:vMerge w:val="restart"/>
          </w:tcPr>
          <w:p>
            <w:pPr>
              <w:jc w:val="center"/>
              <w:spacing w:after="0" w:line="121" w:lineRule="exact"/>
              <w:rPr>
                <w:sz w:val="20"/>
                <w:szCs w:val="20"/>
                <w:color w:val="auto"/>
              </w:rPr>
            </w:pPr>
            <w:r>
              <w:rPr>
                <w:rFonts w:ascii="Arial" w:cs="Arial" w:eastAsia="Arial" w:hAnsi="Arial"/>
                <w:sz w:val="12"/>
                <w:szCs w:val="12"/>
                <w:color w:val="auto"/>
                <w:w w:val="89"/>
              </w:rPr>
              <w:t>07-Oct-15</w:t>
            </w: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Payment</w:t>
            </w:r>
          </w:p>
        </w:tc>
        <w:tc>
          <w:tcPr>
            <w:tcW w:w="160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920" w:type="dxa"/>
            <w:vAlign w:val="bottom"/>
            <w:tcBorders>
              <w:right w:val="single" w:sz="8" w:color="0066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Energy, Limited</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Manifold Expansion -</w:t>
            </w:r>
          </w:p>
        </w:tc>
        <w:tc>
          <w:tcPr>
            <w:tcW w:w="1140" w:type="dxa"/>
            <w:vAlign w:val="bottom"/>
            <w:tcBorders>
              <w:right w:val="single" w:sz="8" w:color="CCCCFF"/>
            </w:tcBorders>
            <w:vMerge w:val="continue"/>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vMerge w:val="continue"/>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4"/>
              </w:rPr>
              <w:t>Partnership</w:t>
            </w: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9"/>
              </w:rPr>
              <w:t>E</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5"/>
              </w:rPr>
              <w:t>Southern Access</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3"/>
              </w:rPr>
              <w:t>Illinois Extension</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3"/>
              </w:rPr>
              <w:t>Extension (SAX)</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7"/>
              </w:rPr>
              <w:t>Flanagan Pump</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Performance and/or</w:t>
            </w: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4"/>
              </w:rPr>
              <w:t>994644</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3"/>
              </w:rPr>
              <w:t>Matrix SME, Inc.</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7"/>
              </w:rPr>
              <w:t>Pipeline Company,</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$23,140,152.00</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4"/>
              </w:rPr>
              <w:t>AIG Group</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07-Oct-14</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07-Oct-14</w:t>
            </w:r>
          </w:p>
        </w:tc>
        <w:tc>
          <w:tcPr>
            <w:tcW w:w="920" w:type="dxa"/>
            <w:vAlign w:val="bottom"/>
            <w:tcBorders>
              <w:right w:val="single" w:sz="8" w:color="0066CC"/>
            </w:tcBorders>
            <w:vMerge w:val="restart"/>
          </w:tcPr>
          <w:p>
            <w:pPr>
              <w:jc w:val="center"/>
              <w:spacing w:after="0" w:line="121" w:lineRule="exact"/>
              <w:rPr>
                <w:sz w:val="20"/>
                <w:szCs w:val="20"/>
                <w:color w:val="auto"/>
              </w:rPr>
            </w:pPr>
            <w:r>
              <w:rPr>
                <w:rFonts w:ascii="Arial" w:cs="Arial" w:eastAsia="Arial" w:hAnsi="Arial"/>
                <w:sz w:val="12"/>
                <w:szCs w:val="12"/>
                <w:color w:val="auto"/>
                <w:w w:val="89"/>
              </w:rPr>
              <w:t>07-Oct-15</w:t>
            </w: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Station General</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Payment</w:t>
            </w:r>
          </w:p>
        </w:tc>
        <w:tc>
          <w:tcPr>
            <w:tcW w:w="160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920" w:type="dxa"/>
            <w:vAlign w:val="bottom"/>
            <w:tcBorders>
              <w:right w:val="single" w:sz="8" w:color="0066CC"/>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9"/>
              </w:rPr>
              <w:t>L.L.C.</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Construction - SAX-1-</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3"/>
              </w:rPr>
              <w:t>01B</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9"/>
              </w:rPr>
              <w:t>ETC Project</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Performance and/or</w:t>
            </w: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7"/>
              </w:rPr>
              <w:t>8237-93-94</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Revolution</w:t>
            </w:r>
          </w:p>
        </w:tc>
        <w:tc>
          <w:tcPr>
            <w:tcW w:w="1140" w:type="dxa"/>
            <w:vAlign w:val="bottom"/>
            <w:tcBorders>
              <w:right w:val="single" w:sz="8" w:color="CCCCFF"/>
            </w:tcBorders>
            <w:vMerge w:val="continue"/>
          </w:tcPr>
          <w:p>
            <w:pPr>
              <w:spacing w:after="0"/>
              <w:rPr>
                <w:sz w:val="4"/>
                <w:szCs w:val="4"/>
                <w:color w:val="auto"/>
              </w:rPr>
            </w:pP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$4,847,700.00</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Chubb Group</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02-Sep-16</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5"/>
              </w:rPr>
              <w:t>02-Sep-16</w:t>
            </w:r>
          </w:p>
        </w:tc>
        <w:tc>
          <w:tcPr>
            <w:tcW w:w="920" w:type="dxa"/>
            <w:vAlign w:val="bottom"/>
            <w:tcBorders>
              <w:right w:val="single" w:sz="8" w:color="0066CC"/>
            </w:tcBorders>
            <w:vMerge w:val="restart"/>
          </w:tcPr>
          <w:p>
            <w:pPr>
              <w:jc w:val="center"/>
              <w:spacing w:after="0" w:line="121" w:lineRule="exact"/>
              <w:rPr>
                <w:sz w:val="20"/>
                <w:szCs w:val="20"/>
                <w:color w:val="auto"/>
              </w:rPr>
            </w:pPr>
            <w:r>
              <w:rPr>
                <w:rFonts w:ascii="Arial" w:cs="Arial" w:eastAsia="Arial" w:hAnsi="Arial"/>
                <w:sz w:val="12"/>
                <w:szCs w:val="12"/>
                <w:color w:val="auto"/>
                <w:w w:val="85"/>
              </w:rPr>
              <w:t>02-Sep-17</w:t>
            </w: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Payment</w:t>
            </w:r>
          </w:p>
        </w:tc>
        <w:tc>
          <w:tcPr>
            <w:tcW w:w="160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920" w:type="dxa"/>
            <w:vAlign w:val="bottom"/>
            <w:tcBorders>
              <w:right w:val="single" w:sz="8" w:color="0066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Fractionator</w:t>
            </w:r>
          </w:p>
        </w:tc>
        <w:tc>
          <w:tcPr>
            <w:tcW w:w="1140" w:type="dxa"/>
            <w:vAlign w:val="bottom"/>
            <w:tcBorders>
              <w:right w:val="single" w:sz="8" w:color="CCCCFF"/>
            </w:tcBorders>
            <w:vMerge w:val="continue"/>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80" w:type="dxa"/>
            <w:vAlign w:val="bottom"/>
            <w:tcBorders>
              <w:left w:val="single" w:sz="8" w:color="0066CC"/>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vMerge w:val="continue"/>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vMerge w:val="continue"/>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60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920" w:type="dxa"/>
            <w:vAlign w:val="bottom"/>
            <w:tcBorders>
              <w:bottom w:val="single" w:sz="8" w:color="CCCCFF"/>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1"/>
              </w:rPr>
              <w:t>EPC of one 2MM</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gallon net working</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7"/>
              </w:rPr>
              <w:t>8237-93-95</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1"/>
              </w:rPr>
              <w:t>Matrix Service Inc.</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6"/>
              </w:rPr>
              <w:t>JAX LNG, LLC</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capacity double wall,</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Performance and/or</w:t>
            </w:r>
          </w:p>
        </w:tc>
        <w:tc>
          <w:tcPr>
            <w:tcW w:w="1600" w:type="dxa"/>
            <w:vAlign w:val="bottom"/>
            <w:tcBorders>
              <w:right w:val="single" w:sz="8" w:color="CCCCFF"/>
            </w:tcBorders>
            <w:vMerge w:val="restart"/>
          </w:tcPr>
          <w:p>
            <w:pPr>
              <w:jc w:val="right"/>
              <w:spacing w:after="0"/>
              <w:rPr>
                <w:sz w:val="20"/>
                <w:szCs w:val="20"/>
                <w:color w:val="auto"/>
              </w:rPr>
            </w:pPr>
            <w:r>
              <w:rPr>
                <w:rFonts w:ascii="Arial" w:cs="Arial" w:eastAsia="Arial" w:hAnsi="Arial"/>
                <w:sz w:val="12"/>
                <w:szCs w:val="12"/>
                <w:color w:val="auto"/>
              </w:rPr>
              <w:t>$14,547,350.00</w:t>
            </w: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Chubb Group</w:t>
            </w:r>
          </w:p>
        </w:tc>
        <w:tc>
          <w:tcPr>
            <w:tcW w:w="10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05-Oct-16</w:t>
            </w:r>
          </w:p>
        </w:tc>
        <w:tc>
          <w:tcPr>
            <w:tcW w:w="10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05-Oct-16</w:t>
            </w:r>
          </w:p>
        </w:tc>
        <w:tc>
          <w:tcPr>
            <w:tcW w:w="920" w:type="dxa"/>
            <w:vAlign w:val="bottom"/>
            <w:tcBorders>
              <w:right w:val="single" w:sz="8" w:color="0066CC"/>
            </w:tcBorders>
            <w:vMerge w:val="restart"/>
          </w:tcPr>
          <w:p>
            <w:pPr>
              <w:jc w:val="center"/>
              <w:spacing w:after="0"/>
              <w:rPr>
                <w:sz w:val="20"/>
                <w:szCs w:val="20"/>
                <w:color w:val="auto"/>
              </w:rPr>
            </w:pPr>
            <w:r>
              <w:rPr>
                <w:rFonts w:ascii="Arial" w:cs="Arial" w:eastAsia="Arial" w:hAnsi="Arial"/>
                <w:sz w:val="12"/>
                <w:szCs w:val="12"/>
                <w:color w:val="auto"/>
                <w:w w:val="89"/>
              </w:rPr>
              <w:t>05-Oct-17</w:t>
            </w: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single containment</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Payment</w:t>
            </w:r>
          </w:p>
        </w:tc>
        <w:tc>
          <w:tcPr>
            <w:tcW w:w="160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vMerge w:val="continue"/>
          </w:tcPr>
          <w:p>
            <w:pPr>
              <w:spacing w:after="0"/>
              <w:rPr>
                <w:sz w:val="7"/>
                <w:szCs w:val="7"/>
                <w:color w:val="auto"/>
              </w:rPr>
            </w:pPr>
          </w:p>
        </w:tc>
        <w:tc>
          <w:tcPr>
            <w:tcW w:w="920" w:type="dxa"/>
            <w:vAlign w:val="bottom"/>
            <w:tcBorders>
              <w:right w:val="single" w:sz="8" w:color="0066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vMerge w:val="continue"/>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LNG Tank in</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1"/>
              </w:rPr>
              <w:t>Jacksonville, FL</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119</w:t>
      </w:r>
    </w:p>
    <w:p>
      <w:pPr>
        <w:sectPr>
          <w:pgSz w:w="11900" w:h="16838" w:orient="portrait"/>
          <w:cols w:equalWidth="0" w:num="1">
            <w:col w:w="11480"/>
          </w:cols>
          <w:pgMar w:left="220" w:top="604" w:right="199" w:bottom="1440" w:gutter="0" w:footer="0" w:header="0"/>
        </w:sectPr>
      </w:pPr>
    </w:p>
    <w:bookmarkStart w:id="180" w:name="page181"/>
    <w:bookmarkEnd w:id="180"/>
    <w:tbl>
      <w:tblPr>
        <w:tblLayout w:type="fixed"/>
        <w:tblInd w:w="10" w:type="dxa"/>
        <w:tblCellMar>
          <w:top w:w="0" w:type="dxa"/>
          <w:left w:w="0" w:type="dxa"/>
          <w:bottom w:w="0" w:type="dxa"/>
          <w:right w:w="0" w:type="dxa"/>
        </w:tblCellMar>
      </w:tblPr>
      <w:tr>
        <w:trPr>
          <w:trHeight w:val="139"/>
        </w:trPr>
        <w:tc>
          <w:tcPr>
            <w:tcW w:w="1180" w:type="dxa"/>
            <w:vAlign w:val="bottom"/>
            <w:tcBorders>
              <w:top w:val="single" w:sz="8" w:color="CCCCFF"/>
              <w:left w:val="single" w:sz="8" w:color="0066CC"/>
              <w:right w:val="single" w:sz="8" w:color="CCCCFF"/>
            </w:tcBorders>
          </w:tcPr>
          <w:p>
            <w:pPr>
              <w:spacing w:after="0"/>
              <w:rPr>
                <w:sz w:val="12"/>
                <w:szCs w:val="12"/>
                <w:color w:val="auto"/>
              </w:rPr>
            </w:pPr>
          </w:p>
        </w:tc>
        <w:tc>
          <w:tcPr>
            <w:tcW w:w="1140" w:type="dxa"/>
            <w:vAlign w:val="bottom"/>
            <w:tcBorders>
              <w:top w:val="single" w:sz="8" w:color="CCCCFF"/>
              <w:right w:val="single" w:sz="8" w:color="CCCCFF"/>
            </w:tcBorders>
          </w:tcPr>
          <w:p>
            <w:pPr>
              <w:spacing w:after="0"/>
              <w:rPr>
                <w:sz w:val="12"/>
                <w:szCs w:val="12"/>
                <w:color w:val="auto"/>
              </w:rPr>
            </w:pPr>
          </w:p>
        </w:tc>
        <w:tc>
          <w:tcPr>
            <w:tcW w:w="1140" w:type="dxa"/>
            <w:vAlign w:val="bottom"/>
            <w:tcBorders>
              <w:top w:val="single" w:sz="8" w:color="CCCCFF"/>
              <w:right w:val="single" w:sz="8" w:color="CCCCFF"/>
            </w:tcBorders>
          </w:tcPr>
          <w:p>
            <w:pPr>
              <w:spacing w:after="0"/>
              <w:rPr>
                <w:sz w:val="12"/>
                <w:szCs w:val="12"/>
                <w:color w:val="auto"/>
              </w:rPr>
            </w:pPr>
          </w:p>
        </w:tc>
        <w:tc>
          <w:tcPr>
            <w:tcW w:w="1160" w:type="dxa"/>
            <w:vAlign w:val="bottom"/>
            <w:tcBorders>
              <w:top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5"/>
              </w:rPr>
              <w:t>Village of Mount</w:t>
            </w:r>
          </w:p>
        </w:tc>
        <w:tc>
          <w:tcPr>
            <w:tcW w:w="1140" w:type="dxa"/>
            <w:vAlign w:val="bottom"/>
            <w:tcBorders>
              <w:top w:val="single" w:sz="8" w:color="CCCCFF"/>
              <w:right w:val="single" w:sz="8" w:color="CCCCFF"/>
            </w:tcBorders>
          </w:tcPr>
          <w:p>
            <w:pPr>
              <w:spacing w:after="0"/>
              <w:rPr>
                <w:sz w:val="12"/>
                <w:szCs w:val="12"/>
                <w:color w:val="auto"/>
              </w:rPr>
            </w:pPr>
          </w:p>
        </w:tc>
        <w:tc>
          <w:tcPr>
            <w:tcW w:w="1600" w:type="dxa"/>
            <w:vAlign w:val="bottom"/>
            <w:tcBorders>
              <w:top w:val="single" w:sz="8" w:color="CCCCFF"/>
              <w:right w:val="single" w:sz="8" w:color="CCCCFF"/>
            </w:tcBorders>
          </w:tcPr>
          <w:p>
            <w:pPr>
              <w:spacing w:after="0"/>
              <w:rPr>
                <w:sz w:val="12"/>
                <w:szCs w:val="12"/>
                <w:color w:val="auto"/>
              </w:rPr>
            </w:pPr>
          </w:p>
        </w:tc>
        <w:tc>
          <w:tcPr>
            <w:tcW w:w="1160" w:type="dxa"/>
            <w:vAlign w:val="bottom"/>
            <w:tcBorders>
              <w:top w:val="single" w:sz="8" w:color="CCCCFF"/>
              <w:right w:val="single" w:sz="8" w:color="CCCCFF"/>
            </w:tcBorders>
          </w:tcPr>
          <w:p>
            <w:pPr>
              <w:spacing w:after="0"/>
              <w:rPr>
                <w:sz w:val="12"/>
                <w:szCs w:val="12"/>
                <w:color w:val="auto"/>
              </w:rPr>
            </w:pPr>
          </w:p>
        </w:tc>
        <w:tc>
          <w:tcPr>
            <w:tcW w:w="1020" w:type="dxa"/>
            <w:vAlign w:val="bottom"/>
            <w:tcBorders>
              <w:top w:val="single" w:sz="8" w:color="CCCCFF"/>
              <w:right w:val="single" w:sz="8" w:color="CCCCFF"/>
            </w:tcBorders>
          </w:tcPr>
          <w:p>
            <w:pPr>
              <w:spacing w:after="0"/>
              <w:rPr>
                <w:sz w:val="12"/>
                <w:szCs w:val="12"/>
                <w:color w:val="auto"/>
              </w:rPr>
            </w:pPr>
          </w:p>
        </w:tc>
        <w:tc>
          <w:tcPr>
            <w:tcW w:w="1020" w:type="dxa"/>
            <w:vAlign w:val="bottom"/>
            <w:tcBorders>
              <w:top w:val="single" w:sz="8" w:color="CCCCFF"/>
              <w:right w:val="single" w:sz="8" w:color="CCCCFF"/>
            </w:tcBorders>
          </w:tcPr>
          <w:p>
            <w:pPr>
              <w:spacing w:after="0"/>
              <w:rPr>
                <w:sz w:val="12"/>
                <w:szCs w:val="12"/>
                <w:color w:val="auto"/>
              </w:rPr>
            </w:pPr>
          </w:p>
        </w:tc>
        <w:tc>
          <w:tcPr>
            <w:tcW w:w="920" w:type="dxa"/>
            <w:vAlign w:val="bottom"/>
            <w:tcBorders>
              <w:top w:val="single" w:sz="8" w:color="CCCCFF"/>
              <w:right w:val="single" w:sz="8" w:color="0066CC"/>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Prospect, IL Tank 17</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existing umbrella roof</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vMerge w:val="restart"/>
          </w:tcPr>
          <w:p>
            <w:pPr>
              <w:jc w:val="right"/>
              <w:ind w:right="261"/>
              <w:spacing w:after="0"/>
              <w:rPr>
                <w:sz w:val="20"/>
                <w:szCs w:val="20"/>
                <w:color w:val="auto"/>
              </w:rPr>
            </w:pPr>
            <w:r>
              <w:rPr>
                <w:rFonts w:ascii="Arial" w:cs="Arial" w:eastAsia="Arial" w:hAnsi="Arial"/>
                <w:sz w:val="12"/>
                <w:szCs w:val="12"/>
                <w:color w:val="auto"/>
              </w:rPr>
              <w:t>8237-99-01</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1"/>
              </w:rPr>
              <w:t>Matrix Service Inc.</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2"/>
              </w:rPr>
              <w:t>Village of Mount</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2"/>
              </w:rPr>
              <w:t>demolition,</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Performance and/or</w:t>
            </w:r>
          </w:p>
        </w:tc>
        <w:tc>
          <w:tcPr>
            <w:tcW w:w="1600" w:type="dxa"/>
            <w:vAlign w:val="bottom"/>
            <w:tcBorders>
              <w:right w:val="single" w:sz="8" w:color="CCCCFF"/>
            </w:tcBorders>
            <w:vMerge w:val="restart"/>
          </w:tcPr>
          <w:p>
            <w:pPr>
              <w:jc w:val="right"/>
              <w:spacing w:after="0"/>
              <w:rPr>
                <w:sz w:val="20"/>
                <w:szCs w:val="20"/>
                <w:color w:val="auto"/>
              </w:rPr>
            </w:pPr>
            <w:r>
              <w:rPr>
                <w:rFonts w:ascii="Arial" w:cs="Arial" w:eastAsia="Arial" w:hAnsi="Arial"/>
                <w:sz w:val="12"/>
                <w:szCs w:val="12"/>
                <w:color w:val="auto"/>
              </w:rPr>
              <w:t>$1,131,447.00</w:t>
            </w:r>
          </w:p>
        </w:tc>
        <w:tc>
          <w:tcPr>
            <w:tcW w:w="1160" w:type="dxa"/>
            <w:vAlign w:val="bottom"/>
            <w:tcBorders>
              <w:right w:val="single" w:sz="8" w:color="CCCCFF"/>
            </w:tcBorders>
            <w:vMerge w:val="restart"/>
          </w:tcPr>
          <w:p>
            <w:pPr>
              <w:ind w:left="240"/>
              <w:spacing w:after="0"/>
              <w:rPr>
                <w:sz w:val="20"/>
                <w:szCs w:val="20"/>
                <w:color w:val="auto"/>
              </w:rPr>
            </w:pPr>
            <w:r>
              <w:rPr>
                <w:rFonts w:ascii="Arial" w:cs="Arial" w:eastAsia="Arial" w:hAnsi="Arial"/>
                <w:sz w:val="12"/>
                <w:szCs w:val="12"/>
                <w:color w:val="auto"/>
              </w:rPr>
              <w:t>Chubb Group</w:t>
            </w:r>
          </w:p>
        </w:tc>
        <w:tc>
          <w:tcPr>
            <w:tcW w:w="10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3"/>
              </w:rPr>
              <w:t>07-Apr-16</w:t>
            </w:r>
          </w:p>
        </w:tc>
        <w:tc>
          <w:tcPr>
            <w:tcW w:w="10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07-Apr-16</w:t>
            </w:r>
          </w:p>
        </w:tc>
        <w:tc>
          <w:tcPr>
            <w:tcW w:w="920" w:type="dxa"/>
            <w:vAlign w:val="bottom"/>
            <w:tcBorders>
              <w:right w:val="single" w:sz="8" w:color="0066CC"/>
            </w:tcBorders>
            <w:vMerge w:val="restart"/>
          </w:tcPr>
          <w:p>
            <w:pPr>
              <w:ind w:left="200"/>
              <w:spacing w:after="0"/>
              <w:rPr>
                <w:sz w:val="20"/>
                <w:szCs w:val="20"/>
                <w:color w:val="auto"/>
              </w:rPr>
            </w:pPr>
            <w:r>
              <w:rPr>
                <w:rFonts w:ascii="Arial" w:cs="Arial" w:eastAsia="Arial" w:hAnsi="Arial"/>
                <w:sz w:val="12"/>
                <w:szCs w:val="12"/>
                <w:color w:val="auto"/>
              </w:rPr>
              <w:t>07-Apr-17</w:t>
            </w: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4"/>
              </w:rPr>
              <w:t>Prospect</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replacement with a</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Payment</w:t>
            </w:r>
          </w:p>
        </w:tc>
        <w:tc>
          <w:tcPr>
            <w:tcW w:w="160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vMerge w:val="continue"/>
          </w:tcPr>
          <w:p>
            <w:pPr>
              <w:spacing w:after="0"/>
              <w:rPr>
                <w:sz w:val="7"/>
                <w:szCs w:val="7"/>
                <w:color w:val="auto"/>
              </w:rPr>
            </w:pPr>
          </w:p>
        </w:tc>
        <w:tc>
          <w:tcPr>
            <w:tcW w:w="920" w:type="dxa"/>
            <w:vAlign w:val="bottom"/>
            <w:tcBorders>
              <w:right w:val="single" w:sz="8" w:color="0066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vMerge w:val="continue"/>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vMerge w:val="continue"/>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supported cone roof,</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interior and exterior</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2"/>
              </w:rPr>
              <w:t>painting.</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7"/>
              </w:rPr>
              <w:t>Packinox heat</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6"/>
              </w:rPr>
              <w:t>exchange cleaning;</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chemical clean to</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remove molten salt;</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vMerge w:val="restart"/>
          </w:tcPr>
          <w:p>
            <w:pPr>
              <w:jc w:val="right"/>
              <w:ind w:right="261"/>
              <w:spacing w:after="0"/>
              <w:rPr>
                <w:sz w:val="20"/>
                <w:szCs w:val="20"/>
                <w:color w:val="auto"/>
              </w:rPr>
            </w:pPr>
            <w:r>
              <w:rPr>
                <w:rFonts w:ascii="Arial" w:cs="Arial" w:eastAsia="Arial" w:hAnsi="Arial"/>
                <w:sz w:val="12"/>
                <w:szCs w:val="12"/>
                <w:color w:val="auto"/>
              </w:rPr>
              <w:t>8237-99-02</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1"/>
              </w:rPr>
              <w:t>Matrix Service Inc.</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Arizona Solar One</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service of chemical</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Performance and/or</w:t>
            </w:r>
          </w:p>
        </w:tc>
        <w:tc>
          <w:tcPr>
            <w:tcW w:w="1600" w:type="dxa"/>
            <w:vAlign w:val="bottom"/>
            <w:tcBorders>
              <w:right w:val="single" w:sz="8" w:color="CCCCFF"/>
            </w:tcBorders>
            <w:vMerge w:val="restart"/>
          </w:tcPr>
          <w:p>
            <w:pPr>
              <w:jc w:val="right"/>
              <w:spacing w:after="0"/>
              <w:rPr>
                <w:sz w:val="20"/>
                <w:szCs w:val="20"/>
                <w:color w:val="auto"/>
              </w:rPr>
            </w:pPr>
            <w:r>
              <w:rPr>
                <w:rFonts w:ascii="Arial" w:cs="Arial" w:eastAsia="Arial" w:hAnsi="Arial"/>
                <w:sz w:val="12"/>
                <w:szCs w:val="12"/>
                <w:color w:val="auto"/>
              </w:rPr>
              <w:t>$373,640.00</w:t>
            </w:r>
          </w:p>
        </w:tc>
        <w:tc>
          <w:tcPr>
            <w:tcW w:w="1160" w:type="dxa"/>
            <w:vAlign w:val="bottom"/>
            <w:tcBorders>
              <w:right w:val="single" w:sz="8" w:color="CCCCFF"/>
            </w:tcBorders>
            <w:vMerge w:val="restart"/>
          </w:tcPr>
          <w:p>
            <w:pPr>
              <w:ind w:left="240"/>
              <w:spacing w:after="0"/>
              <w:rPr>
                <w:sz w:val="20"/>
                <w:szCs w:val="20"/>
                <w:color w:val="auto"/>
              </w:rPr>
            </w:pPr>
            <w:r>
              <w:rPr>
                <w:rFonts w:ascii="Arial" w:cs="Arial" w:eastAsia="Arial" w:hAnsi="Arial"/>
                <w:sz w:val="12"/>
                <w:szCs w:val="12"/>
                <w:color w:val="auto"/>
              </w:rPr>
              <w:t>Chubb Group</w:t>
            </w:r>
          </w:p>
        </w:tc>
        <w:tc>
          <w:tcPr>
            <w:tcW w:w="10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3"/>
              </w:rPr>
              <w:t>21-Apr-16</w:t>
            </w:r>
          </w:p>
        </w:tc>
        <w:tc>
          <w:tcPr>
            <w:tcW w:w="10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21-Apr-16</w:t>
            </w:r>
          </w:p>
        </w:tc>
        <w:tc>
          <w:tcPr>
            <w:tcW w:w="920" w:type="dxa"/>
            <w:vAlign w:val="bottom"/>
            <w:tcBorders>
              <w:right w:val="single" w:sz="8" w:color="0066CC"/>
            </w:tcBorders>
            <w:vMerge w:val="restart"/>
          </w:tcPr>
          <w:p>
            <w:pPr>
              <w:ind w:left="200"/>
              <w:spacing w:after="0"/>
              <w:rPr>
                <w:sz w:val="20"/>
                <w:szCs w:val="20"/>
                <w:color w:val="auto"/>
              </w:rPr>
            </w:pPr>
            <w:r>
              <w:rPr>
                <w:rFonts w:ascii="Arial" w:cs="Arial" w:eastAsia="Arial" w:hAnsi="Arial"/>
                <w:sz w:val="12"/>
                <w:szCs w:val="12"/>
                <w:color w:val="auto"/>
              </w:rPr>
              <w:t>21-Apr-17</w:t>
            </w: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rPr>
              <w:t>LLC</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7"/>
              </w:rPr>
              <w:t>cleaning for the Solana</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Payment</w:t>
            </w:r>
          </w:p>
        </w:tc>
        <w:tc>
          <w:tcPr>
            <w:tcW w:w="160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vMerge w:val="continue"/>
          </w:tcPr>
          <w:p>
            <w:pPr>
              <w:spacing w:after="0"/>
              <w:rPr>
                <w:sz w:val="7"/>
                <w:szCs w:val="7"/>
                <w:color w:val="auto"/>
              </w:rPr>
            </w:pPr>
          </w:p>
        </w:tc>
        <w:tc>
          <w:tcPr>
            <w:tcW w:w="920" w:type="dxa"/>
            <w:vAlign w:val="bottom"/>
            <w:tcBorders>
              <w:right w:val="single" w:sz="8" w:color="0066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vMerge w:val="continue"/>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vMerge w:val="continue"/>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Generating Station in</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2"/>
              </w:rPr>
              <w:t>Maricopa County, AZ</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 Contract No.</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right"/>
              <w:ind w:right="241"/>
              <w:spacing w:after="0"/>
              <w:rPr>
                <w:sz w:val="20"/>
                <w:szCs w:val="20"/>
                <w:color w:val="auto"/>
              </w:rPr>
            </w:pPr>
            <w:r>
              <w:rPr>
                <w:rFonts w:ascii="Arial" w:cs="Arial" w:eastAsia="Arial" w:hAnsi="Arial"/>
                <w:sz w:val="12"/>
                <w:szCs w:val="12"/>
                <w:color w:val="auto"/>
              </w:rPr>
              <w:t>4500832626</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7"/>
              </w:rPr>
              <w:t>Civil &amp; Electrical</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Scope for installation</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4"/>
              </w:rPr>
              <w:t>SNC-Lavalin</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3"/>
              </w:rPr>
              <w:t>of 500kV Switchyard</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Performance and/or</w:t>
            </w: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restart"/>
          </w:tcPr>
          <w:p>
            <w:pPr>
              <w:jc w:val="right"/>
              <w:ind w:right="261"/>
              <w:spacing w:after="0" w:line="121" w:lineRule="exact"/>
              <w:rPr>
                <w:sz w:val="20"/>
                <w:szCs w:val="20"/>
                <w:color w:val="auto"/>
              </w:rPr>
            </w:pPr>
            <w:r>
              <w:rPr>
                <w:rFonts w:ascii="Arial" w:cs="Arial" w:eastAsia="Arial" w:hAnsi="Arial"/>
                <w:sz w:val="12"/>
                <w:szCs w:val="12"/>
                <w:color w:val="auto"/>
              </w:rPr>
              <w:t>8237-99-03</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6"/>
              </w:rPr>
              <w:t>at the Keyes Energy</w:t>
            </w:r>
          </w:p>
        </w:tc>
        <w:tc>
          <w:tcPr>
            <w:tcW w:w="1140" w:type="dxa"/>
            <w:vAlign w:val="bottom"/>
            <w:tcBorders>
              <w:right w:val="single" w:sz="8" w:color="CCCCFF"/>
            </w:tcBorders>
            <w:vMerge w:val="continue"/>
          </w:tcPr>
          <w:p>
            <w:pPr>
              <w:spacing w:after="0"/>
              <w:rPr>
                <w:sz w:val="4"/>
                <w:szCs w:val="4"/>
                <w:color w:val="auto"/>
              </w:rPr>
            </w:pP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$8,895,000.00</w:t>
            </w:r>
          </w:p>
        </w:tc>
        <w:tc>
          <w:tcPr>
            <w:tcW w:w="1160" w:type="dxa"/>
            <w:vAlign w:val="bottom"/>
            <w:tcBorders>
              <w:right w:val="single" w:sz="8" w:color="CCCCFF"/>
            </w:tcBorders>
            <w:vMerge w:val="restart"/>
          </w:tcPr>
          <w:p>
            <w:pPr>
              <w:ind w:left="240"/>
              <w:spacing w:after="0" w:line="121" w:lineRule="exact"/>
              <w:rPr>
                <w:sz w:val="20"/>
                <w:szCs w:val="20"/>
                <w:color w:val="auto"/>
              </w:rPr>
            </w:pPr>
            <w:r>
              <w:rPr>
                <w:rFonts w:ascii="Arial" w:cs="Arial" w:eastAsia="Arial" w:hAnsi="Arial"/>
                <w:sz w:val="12"/>
                <w:szCs w:val="12"/>
                <w:color w:val="auto"/>
              </w:rPr>
              <w:t>Chubb Group</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4"/>
              </w:rPr>
              <w:t>13-May-16</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13-May-16</w:t>
            </w:r>
          </w:p>
        </w:tc>
        <w:tc>
          <w:tcPr>
            <w:tcW w:w="920" w:type="dxa"/>
            <w:vAlign w:val="bottom"/>
            <w:tcBorders>
              <w:right w:val="single" w:sz="8" w:color="0066CC"/>
            </w:tcBorders>
            <w:vMerge w:val="restart"/>
          </w:tcPr>
          <w:p>
            <w:pPr>
              <w:ind w:left="200"/>
              <w:spacing w:after="0" w:line="121" w:lineRule="exact"/>
              <w:rPr>
                <w:sz w:val="20"/>
                <w:szCs w:val="20"/>
                <w:color w:val="auto"/>
              </w:rPr>
            </w:pPr>
            <w:r>
              <w:rPr>
                <w:rFonts w:ascii="Arial" w:cs="Arial" w:eastAsia="Arial" w:hAnsi="Arial"/>
                <w:sz w:val="12"/>
                <w:szCs w:val="12"/>
                <w:color w:val="auto"/>
              </w:rPr>
              <w:t>31-Dec-16</w:t>
            </w: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Constructors, Inc.</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Payment</w:t>
            </w:r>
          </w:p>
        </w:tc>
        <w:tc>
          <w:tcPr>
            <w:tcW w:w="160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920" w:type="dxa"/>
            <w:vAlign w:val="bottom"/>
            <w:tcBorders>
              <w:right w:val="single" w:sz="8" w:color="0066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6"/>
              </w:rPr>
              <w:t>Center - Prince</w:t>
            </w:r>
          </w:p>
        </w:tc>
        <w:tc>
          <w:tcPr>
            <w:tcW w:w="1140" w:type="dxa"/>
            <w:vAlign w:val="bottom"/>
            <w:tcBorders>
              <w:right w:val="single" w:sz="8" w:color="CCCCFF"/>
            </w:tcBorders>
            <w:vMerge w:val="continue"/>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5"/>
              </w:rPr>
              <w:t>George's County,</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3"/>
              </w:rPr>
              <w:t>Maryland</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9"/>
              </w:rPr>
              <w:t>ETC Project</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Revolution</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Fractionator; S-420</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Cooling Water</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ETC Northeast</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6"/>
              </w:rPr>
              <w:t>Electrical &amp;</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Performance and/or</w:t>
            </w: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restart"/>
          </w:tcPr>
          <w:p>
            <w:pPr>
              <w:jc w:val="right"/>
              <w:ind w:right="261"/>
              <w:spacing w:after="0" w:line="121" w:lineRule="exact"/>
              <w:rPr>
                <w:sz w:val="20"/>
                <w:szCs w:val="20"/>
                <w:color w:val="auto"/>
              </w:rPr>
            </w:pPr>
            <w:r>
              <w:rPr>
                <w:rFonts w:ascii="Arial" w:cs="Arial" w:eastAsia="Arial" w:hAnsi="Arial"/>
                <w:sz w:val="12"/>
                <w:szCs w:val="12"/>
                <w:color w:val="auto"/>
              </w:rPr>
              <w:t>8237-99-04</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$512,026.00</w:t>
            </w:r>
          </w:p>
        </w:tc>
        <w:tc>
          <w:tcPr>
            <w:tcW w:w="1160" w:type="dxa"/>
            <w:vAlign w:val="bottom"/>
            <w:tcBorders>
              <w:right w:val="single" w:sz="8" w:color="CCCCFF"/>
            </w:tcBorders>
            <w:vMerge w:val="restart"/>
          </w:tcPr>
          <w:p>
            <w:pPr>
              <w:ind w:left="240"/>
              <w:spacing w:after="0" w:line="121" w:lineRule="exact"/>
              <w:rPr>
                <w:sz w:val="20"/>
                <w:szCs w:val="20"/>
                <w:color w:val="auto"/>
              </w:rPr>
            </w:pPr>
            <w:r>
              <w:rPr>
                <w:rFonts w:ascii="Arial" w:cs="Arial" w:eastAsia="Arial" w:hAnsi="Arial"/>
                <w:sz w:val="12"/>
                <w:szCs w:val="12"/>
                <w:color w:val="auto"/>
              </w:rPr>
              <w:t>Chubb Group</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4"/>
              </w:rPr>
              <w:t>26-May-16</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02-Jun-16</w:t>
            </w:r>
          </w:p>
        </w:tc>
        <w:tc>
          <w:tcPr>
            <w:tcW w:w="920" w:type="dxa"/>
            <w:vAlign w:val="bottom"/>
            <w:tcBorders>
              <w:right w:val="single" w:sz="8" w:color="0066CC"/>
            </w:tcBorders>
            <w:vMerge w:val="restart"/>
          </w:tcPr>
          <w:p>
            <w:pPr>
              <w:ind w:left="200"/>
              <w:spacing w:after="0" w:line="121" w:lineRule="exact"/>
              <w:rPr>
                <w:sz w:val="20"/>
                <w:szCs w:val="20"/>
                <w:color w:val="auto"/>
              </w:rPr>
            </w:pPr>
            <w:r>
              <w:rPr>
                <w:rFonts w:ascii="Arial" w:cs="Arial" w:eastAsia="Arial" w:hAnsi="Arial"/>
                <w:sz w:val="12"/>
                <w:szCs w:val="12"/>
                <w:color w:val="auto"/>
              </w:rPr>
              <w:t>02-Jun-17</w:t>
            </w: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4"/>
              </w:rPr>
              <w:t>Pipeline LLC</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7"/>
              </w:rPr>
              <w:t>Instrumentation at the</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Payment</w:t>
            </w:r>
          </w:p>
        </w:tc>
        <w:tc>
          <w:tcPr>
            <w:tcW w:w="160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920" w:type="dxa"/>
            <w:vAlign w:val="bottom"/>
            <w:tcBorders>
              <w:right w:val="single" w:sz="8" w:color="0066CC"/>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Marcus Hook</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Industrial Complex;</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Subcontract Number</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right"/>
              <w:ind w:right="201"/>
              <w:spacing w:after="0"/>
              <w:rPr>
                <w:sz w:val="20"/>
                <w:szCs w:val="20"/>
                <w:color w:val="auto"/>
              </w:rPr>
            </w:pPr>
            <w:r>
              <w:rPr>
                <w:rFonts w:ascii="Arial" w:cs="Arial" w:eastAsia="Arial" w:hAnsi="Arial"/>
                <w:sz w:val="12"/>
                <w:szCs w:val="12"/>
                <w:color w:val="auto"/>
              </w:rPr>
              <w:t>110088-84361</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1"/>
              </w:rPr>
              <w:t>Amtrak Metuchen GIS</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Installation for the</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Performance and/or</w:t>
            </w: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restart"/>
          </w:tcPr>
          <w:p>
            <w:pPr>
              <w:jc w:val="right"/>
              <w:ind w:right="261"/>
              <w:spacing w:after="0" w:line="121" w:lineRule="exact"/>
              <w:rPr>
                <w:sz w:val="20"/>
                <w:szCs w:val="20"/>
                <w:color w:val="auto"/>
              </w:rPr>
            </w:pPr>
            <w:r>
              <w:rPr>
                <w:rFonts w:ascii="Arial" w:cs="Arial" w:eastAsia="Arial" w:hAnsi="Arial"/>
                <w:sz w:val="12"/>
                <w:szCs w:val="12"/>
                <w:color w:val="auto"/>
              </w:rPr>
              <w:t>8237-99-05</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6"/>
              </w:rPr>
              <w:t>Siemens Energy Inc.</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$719,400.00</w:t>
            </w:r>
          </w:p>
        </w:tc>
        <w:tc>
          <w:tcPr>
            <w:tcW w:w="1160" w:type="dxa"/>
            <w:vAlign w:val="bottom"/>
            <w:tcBorders>
              <w:right w:val="single" w:sz="8" w:color="CCCCFF"/>
            </w:tcBorders>
            <w:vMerge w:val="restart"/>
          </w:tcPr>
          <w:p>
            <w:pPr>
              <w:ind w:left="240"/>
              <w:spacing w:after="0" w:line="121" w:lineRule="exact"/>
              <w:rPr>
                <w:sz w:val="20"/>
                <w:szCs w:val="20"/>
                <w:color w:val="auto"/>
              </w:rPr>
            </w:pPr>
            <w:r>
              <w:rPr>
                <w:rFonts w:ascii="Arial" w:cs="Arial" w:eastAsia="Arial" w:hAnsi="Arial"/>
                <w:sz w:val="12"/>
                <w:szCs w:val="12"/>
                <w:color w:val="auto"/>
              </w:rPr>
              <w:t>Chubb Group</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07-Jun-16</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07-Jun-16</w:t>
            </w:r>
          </w:p>
        </w:tc>
        <w:tc>
          <w:tcPr>
            <w:tcW w:w="920" w:type="dxa"/>
            <w:vAlign w:val="bottom"/>
            <w:tcBorders>
              <w:right w:val="single" w:sz="8" w:color="0066CC"/>
            </w:tcBorders>
            <w:vMerge w:val="restart"/>
          </w:tcPr>
          <w:p>
            <w:pPr>
              <w:ind w:left="200"/>
              <w:spacing w:after="0" w:line="121" w:lineRule="exact"/>
              <w:rPr>
                <w:sz w:val="20"/>
                <w:szCs w:val="20"/>
                <w:color w:val="auto"/>
              </w:rPr>
            </w:pPr>
            <w:r>
              <w:rPr>
                <w:rFonts w:ascii="Arial" w:cs="Arial" w:eastAsia="Arial" w:hAnsi="Arial"/>
                <w:sz w:val="12"/>
                <w:szCs w:val="12"/>
                <w:color w:val="auto"/>
              </w:rPr>
              <w:t>07-Jun-17</w:t>
            </w: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Frequency Converter</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Payment</w:t>
            </w:r>
          </w:p>
        </w:tc>
        <w:tc>
          <w:tcPr>
            <w:tcW w:w="160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920" w:type="dxa"/>
            <w:vAlign w:val="bottom"/>
            <w:tcBorders>
              <w:right w:val="single" w:sz="8" w:color="0066CC"/>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Project. No. G-000215</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80" w:type="dxa"/>
            <w:vAlign w:val="bottom"/>
            <w:tcBorders>
              <w:left w:val="single" w:sz="8" w:color="0066CC"/>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vMerge w:val="continue"/>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60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920" w:type="dxa"/>
            <w:vAlign w:val="bottom"/>
            <w:tcBorders>
              <w:bottom w:val="single" w:sz="8" w:color="CCCCFF"/>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6"/>
              </w:rPr>
              <w:t>TX6 Building</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Fluor Industrial</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Foundations &amp;</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Performance and/or</w:t>
            </w: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restart"/>
          </w:tcPr>
          <w:p>
            <w:pPr>
              <w:jc w:val="right"/>
              <w:ind w:right="261"/>
              <w:spacing w:after="0" w:line="121" w:lineRule="exact"/>
              <w:rPr>
                <w:sz w:val="20"/>
                <w:szCs w:val="20"/>
                <w:color w:val="auto"/>
              </w:rPr>
            </w:pPr>
            <w:r>
              <w:rPr>
                <w:rFonts w:ascii="Arial" w:cs="Arial" w:eastAsia="Arial" w:hAnsi="Arial"/>
                <w:sz w:val="12"/>
                <w:szCs w:val="12"/>
                <w:color w:val="auto"/>
              </w:rPr>
              <w:t>8237-99-10</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Matrix Service Inc.</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7"/>
              </w:rPr>
              <w:t>Structural Steel</w:t>
            </w:r>
          </w:p>
        </w:tc>
        <w:tc>
          <w:tcPr>
            <w:tcW w:w="1140" w:type="dxa"/>
            <w:vAlign w:val="bottom"/>
            <w:tcBorders>
              <w:right w:val="single" w:sz="8" w:color="CCCCFF"/>
            </w:tcBorders>
            <w:vMerge w:val="continue"/>
          </w:tcPr>
          <w:p>
            <w:pPr>
              <w:spacing w:after="0"/>
              <w:rPr>
                <w:sz w:val="4"/>
                <w:szCs w:val="4"/>
                <w:color w:val="auto"/>
              </w:rPr>
            </w:pP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$1,769,894.00</w:t>
            </w:r>
          </w:p>
        </w:tc>
        <w:tc>
          <w:tcPr>
            <w:tcW w:w="1160" w:type="dxa"/>
            <w:vAlign w:val="bottom"/>
            <w:tcBorders>
              <w:right w:val="single" w:sz="8" w:color="CCCCFF"/>
            </w:tcBorders>
            <w:vMerge w:val="restart"/>
          </w:tcPr>
          <w:p>
            <w:pPr>
              <w:ind w:left="240"/>
              <w:spacing w:after="0" w:line="121" w:lineRule="exact"/>
              <w:rPr>
                <w:sz w:val="20"/>
                <w:szCs w:val="20"/>
                <w:color w:val="auto"/>
              </w:rPr>
            </w:pPr>
            <w:r>
              <w:rPr>
                <w:rFonts w:ascii="Arial" w:cs="Arial" w:eastAsia="Arial" w:hAnsi="Arial"/>
                <w:sz w:val="12"/>
                <w:szCs w:val="12"/>
                <w:color w:val="auto"/>
              </w:rPr>
              <w:t>Chubb Group</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02-Jun-16</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02-Jun-16</w:t>
            </w:r>
          </w:p>
        </w:tc>
        <w:tc>
          <w:tcPr>
            <w:tcW w:w="920" w:type="dxa"/>
            <w:vAlign w:val="bottom"/>
            <w:tcBorders>
              <w:right w:val="single" w:sz="8" w:color="0066CC"/>
            </w:tcBorders>
            <w:vMerge w:val="restart"/>
          </w:tcPr>
          <w:p>
            <w:pPr>
              <w:ind w:left="200"/>
              <w:spacing w:after="0" w:line="121" w:lineRule="exact"/>
              <w:rPr>
                <w:sz w:val="20"/>
                <w:szCs w:val="20"/>
                <w:color w:val="auto"/>
              </w:rPr>
            </w:pPr>
            <w:r>
              <w:rPr>
                <w:rFonts w:ascii="Arial" w:cs="Arial" w:eastAsia="Arial" w:hAnsi="Arial"/>
                <w:sz w:val="12"/>
                <w:szCs w:val="12"/>
                <w:color w:val="auto"/>
              </w:rPr>
              <w:t>02-Jun-17</w:t>
            </w: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Services, Inc.</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Payment</w:t>
            </w:r>
          </w:p>
        </w:tc>
        <w:tc>
          <w:tcPr>
            <w:tcW w:w="160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920" w:type="dxa"/>
            <w:vAlign w:val="bottom"/>
            <w:tcBorders>
              <w:right w:val="single" w:sz="8" w:color="0066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Contract No. A5EF-</w:t>
            </w:r>
          </w:p>
        </w:tc>
        <w:tc>
          <w:tcPr>
            <w:tcW w:w="1140" w:type="dxa"/>
            <w:vAlign w:val="bottom"/>
            <w:tcBorders>
              <w:right w:val="single" w:sz="8" w:color="CCCCFF"/>
            </w:tcBorders>
            <w:vMerge w:val="continue"/>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1"/>
              </w:rPr>
              <w:t>90-K130 Oxnard, CA</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120</w:t>
      </w:r>
    </w:p>
    <w:p>
      <w:pPr>
        <w:sectPr>
          <w:pgSz w:w="11900" w:h="16838" w:orient="portrait"/>
          <w:cols w:equalWidth="0" w:num="1">
            <w:col w:w="11480"/>
          </w:cols>
          <w:pgMar w:left="220" w:top="604" w:right="199" w:bottom="1440" w:gutter="0" w:footer="0" w:header="0"/>
        </w:sectPr>
      </w:pPr>
    </w:p>
    <w:bookmarkStart w:id="181" w:name="page182"/>
    <w:bookmarkEnd w:id="181"/>
    <w:tbl>
      <w:tblPr>
        <w:tblLayout w:type="fixed"/>
        <w:tblInd w:w="10" w:type="dxa"/>
        <w:tblCellMar>
          <w:top w:w="0" w:type="dxa"/>
          <w:left w:w="0" w:type="dxa"/>
          <w:bottom w:w="0" w:type="dxa"/>
          <w:right w:w="0" w:type="dxa"/>
        </w:tblCellMar>
      </w:tblPr>
      <w:tr>
        <w:trPr>
          <w:trHeight w:val="139"/>
        </w:trPr>
        <w:tc>
          <w:tcPr>
            <w:tcW w:w="1100" w:type="dxa"/>
            <w:vAlign w:val="bottom"/>
            <w:tcBorders>
              <w:top w:val="single" w:sz="8" w:color="CCCCFF"/>
              <w:left w:val="single" w:sz="8" w:color="0066CC"/>
              <w:right w:val="single" w:sz="8" w:color="CCCCFF"/>
            </w:tcBorders>
          </w:tcPr>
          <w:p>
            <w:pPr>
              <w:spacing w:after="0"/>
              <w:rPr>
                <w:sz w:val="12"/>
                <w:szCs w:val="12"/>
                <w:color w:val="auto"/>
              </w:rPr>
            </w:pPr>
          </w:p>
        </w:tc>
        <w:tc>
          <w:tcPr>
            <w:tcW w:w="1120" w:type="dxa"/>
            <w:vAlign w:val="bottom"/>
            <w:tcBorders>
              <w:top w:val="single" w:sz="8" w:color="CCCCFF"/>
              <w:right w:val="single" w:sz="8" w:color="CCCCFF"/>
            </w:tcBorders>
          </w:tcPr>
          <w:p>
            <w:pPr>
              <w:spacing w:after="0"/>
              <w:rPr>
                <w:sz w:val="12"/>
                <w:szCs w:val="12"/>
                <w:color w:val="auto"/>
              </w:rPr>
            </w:pPr>
          </w:p>
        </w:tc>
        <w:tc>
          <w:tcPr>
            <w:tcW w:w="1100" w:type="dxa"/>
            <w:vAlign w:val="bottom"/>
            <w:tcBorders>
              <w:top w:val="single" w:sz="8" w:color="CCCCFF"/>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Fluor Industrial</w:t>
            </w:r>
          </w:p>
        </w:tc>
        <w:tc>
          <w:tcPr>
            <w:tcW w:w="1520" w:type="dxa"/>
            <w:vAlign w:val="bottom"/>
            <w:tcBorders>
              <w:top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1"/>
              </w:rPr>
              <w:t>Xc2 Bldg. 17 Ductwork,</w:t>
            </w:r>
          </w:p>
        </w:tc>
        <w:tc>
          <w:tcPr>
            <w:tcW w:w="1120" w:type="dxa"/>
            <w:vAlign w:val="bottom"/>
            <w:tcBorders>
              <w:top w:val="single" w:sz="8" w:color="CCCCFF"/>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Performance and/or</w:t>
            </w:r>
          </w:p>
        </w:tc>
        <w:tc>
          <w:tcPr>
            <w:tcW w:w="1560" w:type="dxa"/>
            <w:vAlign w:val="bottom"/>
            <w:tcBorders>
              <w:top w:val="single" w:sz="8" w:color="CCCCFF"/>
              <w:right w:val="single" w:sz="8" w:color="CCCCFF"/>
            </w:tcBorders>
          </w:tcPr>
          <w:p>
            <w:pPr>
              <w:spacing w:after="0"/>
              <w:rPr>
                <w:sz w:val="12"/>
                <w:szCs w:val="12"/>
                <w:color w:val="auto"/>
              </w:rPr>
            </w:pPr>
          </w:p>
        </w:tc>
        <w:tc>
          <w:tcPr>
            <w:tcW w:w="1080" w:type="dxa"/>
            <w:vAlign w:val="bottom"/>
            <w:tcBorders>
              <w:top w:val="single" w:sz="8" w:color="CCCCFF"/>
              <w:right w:val="single" w:sz="8" w:color="CCCCFF"/>
            </w:tcBorders>
          </w:tcPr>
          <w:p>
            <w:pPr>
              <w:spacing w:after="0"/>
              <w:rPr>
                <w:sz w:val="12"/>
                <w:szCs w:val="12"/>
                <w:color w:val="auto"/>
              </w:rPr>
            </w:pPr>
          </w:p>
        </w:tc>
        <w:tc>
          <w:tcPr>
            <w:tcW w:w="1000" w:type="dxa"/>
            <w:vAlign w:val="bottom"/>
            <w:tcBorders>
              <w:top w:val="single" w:sz="8" w:color="CCCCFF"/>
              <w:right w:val="single" w:sz="8" w:color="CCCCFF"/>
            </w:tcBorders>
          </w:tcPr>
          <w:p>
            <w:pPr>
              <w:spacing w:after="0"/>
              <w:rPr>
                <w:sz w:val="12"/>
                <w:szCs w:val="12"/>
                <w:color w:val="auto"/>
              </w:rPr>
            </w:pPr>
          </w:p>
        </w:tc>
        <w:tc>
          <w:tcPr>
            <w:tcW w:w="980" w:type="dxa"/>
            <w:vAlign w:val="bottom"/>
            <w:tcBorders>
              <w:top w:val="single" w:sz="8" w:color="CCCCFF"/>
              <w:right w:val="single" w:sz="8" w:color="CCCCFF"/>
            </w:tcBorders>
          </w:tcPr>
          <w:p>
            <w:pPr>
              <w:spacing w:after="0"/>
              <w:rPr>
                <w:sz w:val="12"/>
                <w:szCs w:val="12"/>
                <w:color w:val="auto"/>
              </w:rPr>
            </w:pPr>
          </w:p>
        </w:tc>
        <w:tc>
          <w:tcPr>
            <w:tcW w:w="900" w:type="dxa"/>
            <w:vAlign w:val="bottom"/>
            <w:tcBorders>
              <w:top w:val="single" w:sz="8" w:color="CCCCFF"/>
              <w:right w:val="single" w:sz="8" w:color="0066CC"/>
            </w:tcBorders>
          </w:tcPr>
          <w:p>
            <w:pPr>
              <w:spacing w:after="0"/>
              <w:rPr>
                <w:sz w:val="12"/>
                <w:szCs w:val="12"/>
                <w:color w:val="auto"/>
              </w:rPr>
            </w:pPr>
          </w:p>
        </w:tc>
        <w:tc>
          <w:tcPr>
            <w:tcW w:w="0" w:type="dxa"/>
            <w:vAlign w:val="bottom"/>
          </w:tcPr>
          <w:p>
            <w:pPr>
              <w:spacing w:after="0"/>
              <w:rPr>
                <w:sz w:val="1"/>
                <w:szCs w:val="1"/>
                <w:color w:val="auto"/>
              </w:rPr>
            </w:pPr>
          </w:p>
        </w:tc>
      </w:tr>
      <w:tr>
        <w:trPr>
          <w:trHeight w:val="55"/>
        </w:trPr>
        <w:tc>
          <w:tcPr>
            <w:tcW w:w="1100" w:type="dxa"/>
            <w:vAlign w:val="bottom"/>
            <w:tcBorders>
              <w:left w:val="single" w:sz="8" w:color="0066CC"/>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8237-99-12</w:t>
            </w:r>
          </w:p>
        </w:tc>
        <w:tc>
          <w:tcPr>
            <w:tcW w:w="11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Matrix Service Inc.</w:t>
            </w:r>
          </w:p>
        </w:tc>
        <w:tc>
          <w:tcPr>
            <w:tcW w:w="1100" w:type="dxa"/>
            <w:vAlign w:val="bottom"/>
            <w:tcBorders>
              <w:right w:val="single" w:sz="8" w:color="CCCCFF"/>
            </w:tcBorders>
            <w:vMerge w:val="continue"/>
          </w:tcPr>
          <w:p>
            <w:pPr>
              <w:spacing w:after="0"/>
              <w:rPr>
                <w:sz w:val="4"/>
                <w:szCs w:val="4"/>
                <w:color w:val="auto"/>
              </w:rPr>
            </w:pPr>
          </w:p>
        </w:tc>
        <w:tc>
          <w:tcPr>
            <w:tcW w:w="15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Contract No. A5EF-90-K131,</w:t>
            </w:r>
          </w:p>
        </w:tc>
        <w:tc>
          <w:tcPr>
            <w:tcW w:w="1120" w:type="dxa"/>
            <w:vAlign w:val="bottom"/>
            <w:tcBorders>
              <w:right w:val="single" w:sz="8" w:color="CCCCFF"/>
            </w:tcBorders>
            <w:vMerge w:val="continue"/>
          </w:tcPr>
          <w:p>
            <w:pPr>
              <w:spacing w:after="0"/>
              <w:rPr>
                <w:sz w:val="4"/>
                <w:szCs w:val="4"/>
                <w:color w:val="auto"/>
              </w:rPr>
            </w:pPr>
          </w:p>
        </w:tc>
        <w:tc>
          <w:tcPr>
            <w:tcW w:w="156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$696,775.78</w:t>
            </w:r>
          </w:p>
        </w:tc>
        <w:tc>
          <w:tcPr>
            <w:tcW w:w="108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Chubb Group</w:t>
            </w:r>
          </w:p>
        </w:tc>
        <w:tc>
          <w:tcPr>
            <w:tcW w:w="100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08-Aug-16</w:t>
            </w:r>
          </w:p>
        </w:tc>
        <w:tc>
          <w:tcPr>
            <w:tcW w:w="98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08-Aug-16</w:t>
            </w:r>
          </w:p>
        </w:tc>
        <w:tc>
          <w:tcPr>
            <w:tcW w:w="900" w:type="dxa"/>
            <w:vAlign w:val="bottom"/>
            <w:tcBorders>
              <w:right w:val="single" w:sz="8" w:color="0066CC"/>
            </w:tcBorders>
            <w:vMerge w:val="restart"/>
          </w:tcPr>
          <w:p>
            <w:pPr>
              <w:jc w:val="center"/>
              <w:spacing w:after="0" w:line="121" w:lineRule="exact"/>
              <w:rPr>
                <w:sz w:val="20"/>
                <w:szCs w:val="20"/>
                <w:color w:val="auto"/>
              </w:rPr>
            </w:pPr>
            <w:r>
              <w:rPr>
                <w:rFonts w:ascii="Arial" w:cs="Arial" w:eastAsia="Arial" w:hAnsi="Arial"/>
                <w:sz w:val="12"/>
                <w:szCs w:val="12"/>
                <w:color w:val="auto"/>
                <w:w w:val="92"/>
              </w:rPr>
              <w:t>08-Aug-17</w:t>
            </w:r>
          </w:p>
        </w:tc>
        <w:tc>
          <w:tcPr>
            <w:tcW w:w="0" w:type="dxa"/>
            <w:vAlign w:val="bottom"/>
          </w:tcPr>
          <w:p>
            <w:pPr>
              <w:spacing w:after="0"/>
              <w:rPr>
                <w:sz w:val="1"/>
                <w:szCs w:val="1"/>
                <w:color w:val="auto"/>
              </w:rPr>
            </w:pPr>
          </w:p>
        </w:tc>
      </w:tr>
      <w:tr>
        <w:trPr>
          <w:trHeight w:val="66"/>
        </w:trPr>
        <w:tc>
          <w:tcPr>
            <w:tcW w:w="1100" w:type="dxa"/>
            <w:vAlign w:val="bottom"/>
            <w:tcBorders>
              <w:left w:val="single" w:sz="8" w:color="0066CC"/>
              <w:right w:val="single" w:sz="8" w:color="CCCCFF"/>
            </w:tcBorders>
            <w:vMerge w:val="continue"/>
          </w:tcPr>
          <w:p>
            <w:pPr>
              <w:spacing w:after="0"/>
              <w:rPr>
                <w:sz w:val="5"/>
                <w:szCs w:val="5"/>
                <w:color w:val="auto"/>
              </w:rPr>
            </w:pPr>
          </w:p>
        </w:tc>
        <w:tc>
          <w:tcPr>
            <w:tcW w:w="1120" w:type="dxa"/>
            <w:vAlign w:val="bottom"/>
            <w:tcBorders>
              <w:right w:val="single" w:sz="8" w:color="CCCCFF"/>
            </w:tcBorders>
            <w:vMerge w:val="continue"/>
          </w:tcPr>
          <w:p>
            <w:pPr>
              <w:spacing w:after="0"/>
              <w:rPr>
                <w:sz w:val="5"/>
                <w:szCs w:val="5"/>
                <w:color w:val="auto"/>
              </w:rPr>
            </w:pPr>
          </w:p>
        </w:tc>
        <w:tc>
          <w:tcPr>
            <w:tcW w:w="110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Services, Inc.</w:t>
            </w:r>
          </w:p>
        </w:tc>
        <w:tc>
          <w:tcPr>
            <w:tcW w:w="1520" w:type="dxa"/>
            <w:vAlign w:val="bottom"/>
            <w:tcBorders>
              <w:right w:val="single" w:sz="8" w:color="CCCCFF"/>
            </w:tcBorders>
            <w:vMerge w:val="continue"/>
          </w:tcPr>
          <w:p>
            <w:pPr>
              <w:spacing w:after="0"/>
              <w:rPr>
                <w:sz w:val="5"/>
                <w:szCs w:val="5"/>
                <w:color w:val="auto"/>
              </w:rPr>
            </w:pPr>
          </w:p>
        </w:tc>
        <w:tc>
          <w:tcPr>
            <w:tcW w:w="11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Payment</w:t>
            </w:r>
          </w:p>
        </w:tc>
        <w:tc>
          <w:tcPr>
            <w:tcW w:w="1560" w:type="dxa"/>
            <w:vAlign w:val="bottom"/>
            <w:tcBorders>
              <w:right w:val="single" w:sz="8" w:color="CCCCFF"/>
            </w:tcBorders>
            <w:vMerge w:val="continue"/>
          </w:tcPr>
          <w:p>
            <w:pPr>
              <w:spacing w:after="0"/>
              <w:rPr>
                <w:sz w:val="5"/>
                <w:szCs w:val="5"/>
                <w:color w:val="auto"/>
              </w:rPr>
            </w:pPr>
          </w:p>
        </w:tc>
        <w:tc>
          <w:tcPr>
            <w:tcW w:w="1080" w:type="dxa"/>
            <w:vAlign w:val="bottom"/>
            <w:tcBorders>
              <w:right w:val="single" w:sz="8" w:color="CCCCFF"/>
            </w:tcBorders>
            <w:vMerge w:val="continue"/>
          </w:tcPr>
          <w:p>
            <w:pPr>
              <w:spacing w:after="0"/>
              <w:rPr>
                <w:sz w:val="5"/>
                <w:szCs w:val="5"/>
                <w:color w:val="auto"/>
              </w:rPr>
            </w:pPr>
          </w:p>
        </w:tc>
        <w:tc>
          <w:tcPr>
            <w:tcW w:w="1000" w:type="dxa"/>
            <w:vAlign w:val="bottom"/>
            <w:tcBorders>
              <w:right w:val="single" w:sz="8" w:color="CCCCFF"/>
            </w:tcBorders>
            <w:vMerge w:val="continue"/>
          </w:tcPr>
          <w:p>
            <w:pPr>
              <w:spacing w:after="0"/>
              <w:rPr>
                <w:sz w:val="5"/>
                <w:szCs w:val="5"/>
                <w:color w:val="auto"/>
              </w:rPr>
            </w:pPr>
          </w:p>
        </w:tc>
        <w:tc>
          <w:tcPr>
            <w:tcW w:w="980" w:type="dxa"/>
            <w:vAlign w:val="bottom"/>
            <w:tcBorders>
              <w:right w:val="single" w:sz="8" w:color="CCCCFF"/>
            </w:tcBorders>
            <w:vMerge w:val="continue"/>
          </w:tcPr>
          <w:p>
            <w:pPr>
              <w:spacing w:after="0"/>
              <w:rPr>
                <w:sz w:val="5"/>
                <w:szCs w:val="5"/>
                <w:color w:val="auto"/>
              </w:rPr>
            </w:pPr>
          </w:p>
        </w:tc>
        <w:tc>
          <w:tcPr>
            <w:tcW w:w="900" w:type="dxa"/>
            <w:vAlign w:val="bottom"/>
            <w:tcBorders>
              <w:right w:val="single" w:sz="8" w:color="0066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00" w:type="dxa"/>
            <w:vAlign w:val="bottom"/>
            <w:tcBorders>
              <w:left w:val="single" w:sz="8" w:color="0066CC"/>
              <w:right w:val="single" w:sz="8" w:color="CCCCFF"/>
            </w:tcBorders>
          </w:tcPr>
          <w:p>
            <w:pPr>
              <w:spacing w:after="0"/>
              <w:rPr>
                <w:sz w:val="7"/>
                <w:szCs w:val="7"/>
                <w:color w:val="auto"/>
              </w:rPr>
            </w:pPr>
          </w:p>
        </w:tc>
        <w:tc>
          <w:tcPr>
            <w:tcW w:w="1120" w:type="dxa"/>
            <w:vAlign w:val="bottom"/>
            <w:tcBorders>
              <w:right w:val="single" w:sz="8" w:color="CCCCFF"/>
            </w:tcBorders>
          </w:tcPr>
          <w:p>
            <w:pPr>
              <w:spacing w:after="0"/>
              <w:rPr>
                <w:sz w:val="7"/>
                <w:szCs w:val="7"/>
                <w:color w:val="auto"/>
              </w:rPr>
            </w:pPr>
          </w:p>
        </w:tc>
        <w:tc>
          <w:tcPr>
            <w:tcW w:w="1100" w:type="dxa"/>
            <w:vAlign w:val="bottom"/>
            <w:tcBorders>
              <w:right w:val="single" w:sz="8" w:color="CCCCFF"/>
            </w:tcBorders>
            <w:vMerge w:val="continue"/>
          </w:tcPr>
          <w:p>
            <w:pPr>
              <w:spacing w:after="0"/>
              <w:rPr>
                <w:sz w:val="7"/>
                <w:szCs w:val="7"/>
                <w:color w:val="auto"/>
              </w:rPr>
            </w:pPr>
          </w:p>
        </w:tc>
        <w:tc>
          <w:tcPr>
            <w:tcW w:w="15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1"/>
              </w:rPr>
              <w:t>P&amp;G - Oxnard, CA</w:t>
            </w:r>
          </w:p>
        </w:tc>
        <w:tc>
          <w:tcPr>
            <w:tcW w:w="1120" w:type="dxa"/>
            <w:vAlign w:val="bottom"/>
            <w:tcBorders>
              <w:right w:val="single" w:sz="8" w:color="CCCCFF"/>
            </w:tcBorders>
            <w:vMerge w:val="continue"/>
          </w:tcPr>
          <w:p>
            <w:pPr>
              <w:spacing w:after="0"/>
              <w:rPr>
                <w:sz w:val="7"/>
                <w:szCs w:val="7"/>
                <w:color w:val="auto"/>
              </w:rPr>
            </w:pPr>
          </w:p>
        </w:tc>
        <w:tc>
          <w:tcPr>
            <w:tcW w:w="1560" w:type="dxa"/>
            <w:vAlign w:val="bottom"/>
            <w:tcBorders>
              <w:right w:val="single" w:sz="8" w:color="CCCCFF"/>
            </w:tcBorders>
          </w:tcPr>
          <w:p>
            <w:pPr>
              <w:spacing w:after="0"/>
              <w:rPr>
                <w:sz w:val="7"/>
                <w:szCs w:val="7"/>
                <w:color w:val="auto"/>
              </w:rPr>
            </w:pPr>
          </w:p>
        </w:tc>
        <w:tc>
          <w:tcPr>
            <w:tcW w:w="1080" w:type="dxa"/>
            <w:vAlign w:val="bottom"/>
            <w:tcBorders>
              <w:right w:val="single" w:sz="8" w:color="CCCCFF"/>
            </w:tcBorders>
          </w:tcPr>
          <w:p>
            <w:pPr>
              <w:spacing w:after="0"/>
              <w:rPr>
                <w:sz w:val="7"/>
                <w:szCs w:val="7"/>
                <w:color w:val="auto"/>
              </w:rPr>
            </w:pPr>
          </w:p>
        </w:tc>
        <w:tc>
          <w:tcPr>
            <w:tcW w:w="1000" w:type="dxa"/>
            <w:vAlign w:val="bottom"/>
            <w:tcBorders>
              <w:right w:val="single" w:sz="8" w:color="CCCCFF"/>
            </w:tcBorders>
          </w:tcPr>
          <w:p>
            <w:pPr>
              <w:spacing w:after="0"/>
              <w:rPr>
                <w:sz w:val="7"/>
                <w:szCs w:val="7"/>
                <w:color w:val="auto"/>
              </w:rPr>
            </w:pPr>
          </w:p>
        </w:tc>
        <w:tc>
          <w:tcPr>
            <w:tcW w:w="980" w:type="dxa"/>
            <w:vAlign w:val="bottom"/>
            <w:tcBorders>
              <w:right w:val="single" w:sz="8" w:color="CCCCFF"/>
            </w:tcBorders>
          </w:tcPr>
          <w:p>
            <w:pPr>
              <w:spacing w:after="0"/>
              <w:rPr>
                <w:sz w:val="7"/>
                <w:szCs w:val="7"/>
                <w:color w:val="auto"/>
              </w:rPr>
            </w:pPr>
          </w:p>
        </w:tc>
        <w:tc>
          <w:tcPr>
            <w:tcW w:w="90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00" w:type="dxa"/>
            <w:vAlign w:val="bottom"/>
            <w:tcBorders>
              <w:left w:val="single" w:sz="8" w:color="0066CC"/>
              <w:bottom w:val="single" w:sz="8" w:color="CCCCFF"/>
              <w:right w:val="single" w:sz="8" w:color="CCCCFF"/>
            </w:tcBorders>
          </w:tcPr>
          <w:p>
            <w:pPr>
              <w:spacing w:after="0"/>
              <w:rPr>
                <w:sz w:val="6"/>
                <w:szCs w:val="6"/>
                <w:color w:val="auto"/>
              </w:rPr>
            </w:pPr>
          </w:p>
        </w:tc>
        <w:tc>
          <w:tcPr>
            <w:tcW w:w="1120" w:type="dxa"/>
            <w:vAlign w:val="bottom"/>
            <w:tcBorders>
              <w:bottom w:val="single" w:sz="8" w:color="CCCCFF"/>
              <w:right w:val="single" w:sz="8" w:color="CCCCFF"/>
            </w:tcBorders>
          </w:tcPr>
          <w:p>
            <w:pPr>
              <w:spacing w:after="0"/>
              <w:rPr>
                <w:sz w:val="6"/>
                <w:szCs w:val="6"/>
                <w:color w:val="auto"/>
              </w:rPr>
            </w:pPr>
          </w:p>
        </w:tc>
        <w:tc>
          <w:tcPr>
            <w:tcW w:w="1100" w:type="dxa"/>
            <w:vAlign w:val="bottom"/>
            <w:tcBorders>
              <w:bottom w:val="single" w:sz="8" w:color="CCCCFF"/>
              <w:right w:val="single" w:sz="8" w:color="CCCCFF"/>
            </w:tcBorders>
          </w:tcPr>
          <w:p>
            <w:pPr>
              <w:spacing w:after="0"/>
              <w:rPr>
                <w:sz w:val="6"/>
                <w:szCs w:val="6"/>
                <w:color w:val="auto"/>
              </w:rPr>
            </w:pPr>
          </w:p>
        </w:tc>
        <w:tc>
          <w:tcPr>
            <w:tcW w:w="1520" w:type="dxa"/>
            <w:vAlign w:val="bottom"/>
            <w:tcBorders>
              <w:bottom w:val="single" w:sz="8" w:color="CCCCFF"/>
              <w:right w:val="single" w:sz="8" w:color="CCCCFF"/>
            </w:tcBorders>
            <w:vMerge w:val="continue"/>
          </w:tcPr>
          <w:p>
            <w:pPr>
              <w:spacing w:after="0"/>
              <w:rPr>
                <w:sz w:val="6"/>
                <w:szCs w:val="6"/>
                <w:color w:val="auto"/>
              </w:rPr>
            </w:pPr>
          </w:p>
        </w:tc>
        <w:tc>
          <w:tcPr>
            <w:tcW w:w="1120" w:type="dxa"/>
            <w:vAlign w:val="bottom"/>
            <w:tcBorders>
              <w:bottom w:val="single" w:sz="8" w:color="CCCCFF"/>
              <w:right w:val="single" w:sz="8" w:color="CCCCFF"/>
            </w:tcBorders>
          </w:tcPr>
          <w:p>
            <w:pPr>
              <w:spacing w:after="0"/>
              <w:rPr>
                <w:sz w:val="6"/>
                <w:szCs w:val="6"/>
                <w:color w:val="auto"/>
              </w:rPr>
            </w:pPr>
          </w:p>
        </w:tc>
        <w:tc>
          <w:tcPr>
            <w:tcW w:w="1560" w:type="dxa"/>
            <w:vAlign w:val="bottom"/>
            <w:tcBorders>
              <w:bottom w:val="single" w:sz="8" w:color="CCCCFF"/>
              <w:right w:val="single" w:sz="8" w:color="CCCCFF"/>
            </w:tcBorders>
          </w:tcPr>
          <w:p>
            <w:pPr>
              <w:spacing w:after="0"/>
              <w:rPr>
                <w:sz w:val="6"/>
                <w:szCs w:val="6"/>
                <w:color w:val="auto"/>
              </w:rPr>
            </w:pPr>
          </w:p>
        </w:tc>
        <w:tc>
          <w:tcPr>
            <w:tcW w:w="1080" w:type="dxa"/>
            <w:vAlign w:val="bottom"/>
            <w:tcBorders>
              <w:bottom w:val="single" w:sz="8" w:color="CCCCFF"/>
              <w:right w:val="single" w:sz="8" w:color="CCCCFF"/>
            </w:tcBorders>
          </w:tcPr>
          <w:p>
            <w:pPr>
              <w:spacing w:after="0"/>
              <w:rPr>
                <w:sz w:val="6"/>
                <w:szCs w:val="6"/>
                <w:color w:val="auto"/>
              </w:rPr>
            </w:pPr>
          </w:p>
        </w:tc>
        <w:tc>
          <w:tcPr>
            <w:tcW w:w="1000" w:type="dxa"/>
            <w:vAlign w:val="bottom"/>
            <w:tcBorders>
              <w:bottom w:val="single" w:sz="8" w:color="CCCCFF"/>
              <w:right w:val="single" w:sz="8" w:color="CCCCFF"/>
            </w:tcBorders>
          </w:tcPr>
          <w:p>
            <w:pPr>
              <w:spacing w:after="0"/>
              <w:rPr>
                <w:sz w:val="6"/>
                <w:szCs w:val="6"/>
                <w:color w:val="auto"/>
              </w:rPr>
            </w:pPr>
          </w:p>
        </w:tc>
        <w:tc>
          <w:tcPr>
            <w:tcW w:w="980" w:type="dxa"/>
            <w:vAlign w:val="bottom"/>
            <w:tcBorders>
              <w:bottom w:val="single" w:sz="8" w:color="CCCCFF"/>
              <w:right w:val="single" w:sz="8" w:color="CCCCFF"/>
            </w:tcBorders>
          </w:tcPr>
          <w:p>
            <w:pPr>
              <w:spacing w:after="0"/>
              <w:rPr>
                <w:sz w:val="6"/>
                <w:szCs w:val="6"/>
                <w:color w:val="auto"/>
              </w:rPr>
            </w:pPr>
          </w:p>
        </w:tc>
        <w:tc>
          <w:tcPr>
            <w:tcW w:w="900" w:type="dxa"/>
            <w:vAlign w:val="bottom"/>
            <w:tcBorders>
              <w:bottom w:val="single" w:sz="8" w:color="CCCCFF"/>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100" w:type="dxa"/>
            <w:vAlign w:val="bottom"/>
            <w:tcBorders>
              <w:left w:val="single" w:sz="8" w:color="0066CC"/>
              <w:right w:val="single" w:sz="8" w:color="CCCCFF"/>
            </w:tcBorders>
          </w:tcPr>
          <w:p>
            <w:pPr>
              <w:spacing w:after="0"/>
              <w:rPr>
                <w:sz w:val="10"/>
                <w:szCs w:val="10"/>
                <w:color w:val="auto"/>
              </w:rPr>
            </w:pPr>
          </w:p>
        </w:tc>
        <w:tc>
          <w:tcPr>
            <w:tcW w:w="11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2"/>
              </w:rPr>
              <w:t>Matrix Service</w:t>
            </w:r>
          </w:p>
        </w:tc>
        <w:tc>
          <w:tcPr>
            <w:tcW w:w="110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7"/>
              </w:rPr>
              <w:t>Enbridge Pipelines</w:t>
            </w:r>
          </w:p>
        </w:tc>
        <w:tc>
          <w:tcPr>
            <w:tcW w:w="152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0"/>
              </w:rPr>
              <w:t>Northwest Redwater</w:t>
            </w:r>
          </w:p>
        </w:tc>
        <w:tc>
          <w:tcPr>
            <w:tcW w:w="11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Performance and/or</w:t>
            </w:r>
          </w:p>
        </w:tc>
        <w:tc>
          <w:tcPr>
            <w:tcW w:w="1560" w:type="dxa"/>
            <w:vAlign w:val="bottom"/>
            <w:tcBorders>
              <w:right w:val="single" w:sz="8" w:color="CCCCFF"/>
            </w:tcBorders>
          </w:tcPr>
          <w:p>
            <w:pPr>
              <w:spacing w:after="0"/>
              <w:rPr>
                <w:sz w:val="10"/>
                <w:szCs w:val="10"/>
                <w:color w:val="auto"/>
              </w:rPr>
            </w:pPr>
          </w:p>
        </w:tc>
        <w:tc>
          <w:tcPr>
            <w:tcW w:w="1080" w:type="dxa"/>
            <w:vAlign w:val="bottom"/>
            <w:tcBorders>
              <w:right w:val="single" w:sz="8" w:color="CCCCFF"/>
            </w:tcBorders>
          </w:tcPr>
          <w:p>
            <w:pPr>
              <w:spacing w:after="0"/>
              <w:rPr>
                <w:sz w:val="10"/>
                <w:szCs w:val="10"/>
                <w:color w:val="auto"/>
              </w:rPr>
            </w:pPr>
          </w:p>
        </w:tc>
        <w:tc>
          <w:tcPr>
            <w:tcW w:w="1000" w:type="dxa"/>
            <w:vAlign w:val="bottom"/>
            <w:tcBorders>
              <w:right w:val="single" w:sz="8" w:color="CCCCFF"/>
            </w:tcBorders>
          </w:tcPr>
          <w:p>
            <w:pPr>
              <w:spacing w:after="0"/>
              <w:rPr>
                <w:sz w:val="10"/>
                <w:szCs w:val="10"/>
                <w:color w:val="auto"/>
              </w:rPr>
            </w:pPr>
          </w:p>
        </w:tc>
        <w:tc>
          <w:tcPr>
            <w:tcW w:w="980" w:type="dxa"/>
            <w:vAlign w:val="bottom"/>
            <w:tcBorders>
              <w:right w:val="single" w:sz="8" w:color="CCCCFF"/>
            </w:tcBorders>
          </w:tcPr>
          <w:p>
            <w:pPr>
              <w:spacing w:after="0"/>
              <w:rPr>
                <w:sz w:val="10"/>
                <w:szCs w:val="10"/>
                <w:color w:val="auto"/>
              </w:rPr>
            </w:pPr>
          </w:p>
        </w:tc>
        <w:tc>
          <w:tcPr>
            <w:tcW w:w="90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00" w:type="dxa"/>
            <w:vAlign w:val="bottom"/>
            <w:tcBorders>
              <w:left w:val="single" w:sz="8" w:color="0066CC"/>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8239-39-79</w:t>
            </w:r>
          </w:p>
        </w:tc>
        <w:tc>
          <w:tcPr>
            <w:tcW w:w="1120" w:type="dxa"/>
            <w:vAlign w:val="bottom"/>
            <w:tcBorders>
              <w:right w:val="single" w:sz="8" w:color="CCCCFF"/>
            </w:tcBorders>
            <w:vMerge w:val="continue"/>
          </w:tcPr>
          <w:p>
            <w:pPr>
              <w:spacing w:after="0"/>
              <w:rPr>
                <w:sz w:val="4"/>
                <w:szCs w:val="4"/>
                <w:color w:val="auto"/>
              </w:rPr>
            </w:pPr>
          </w:p>
        </w:tc>
        <w:tc>
          <w:tcPr>
            <w:tcW w:w="1100" w:type="dxa"/>
            <w:vAlign w:val="bottom"/>
            <w:tcBorders>
              <w:right w:val="single" w:sz="8" w:color="CCCCFF"/>
            </w:tcBorders>
            <w:vMerge w:val="continue"/>
          </w:tcPr>
          <w:p>
            <w:pPr>
              <w:spacing w:after="0"/>
              <w:rPr>
                <w:sz w:val="4"/>
                <w:szCs w:val="4"/>
                <w:color w:val="auto"/>
              </w:rPr>
            </w:pPr>
          </w:p>
        </w:tc>
        <w:tc>
          <w:tcPr>
            <w:tcW w:w="15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7"/>
              </w:rPr>
              <w:t>Connections Project at</w:t>
            </w:r>
          </w:p>
        </w:tc>
        <w:tc>
          <w:tcPr>
            <w:tcW w:w="1120" w:type="dxa"/>
            <w:vAlign w:val="bottom"/>
            <w:tcBorders>
              <w:right w:val="single" w:sz="8" w:color="CCCCFF"/>
            </w:tcBorders>
            <w:vMerge w:val="continue"/>
          </w:tcPr>
          <w:p>
            <w:pPr>
              <w:spacing w:after="0"/>
              <w:rPr>
                <w:sz w:val="4"/>
                <w:szCs w:val="4"/>
                <w:color w:val="auto"/>
              </w:rPr>
            </w:pPr>
          </w:p>
        </w:tc>
        <w:tc>
          <w:tcPr>
            <w:tcW w:w="156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$2,276,291.50</w:t>
            </w:r>
          </w:p>
        </w:tc>
        <w:tc>
          <w:tcPr>
            <w:tcW w:w="108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Chubb Group</w:t>
            </w:r>
          </w:p>
        </w:tc>
        <w:tc>
          <w:tcPr>
            <w:tcW w:w="100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29-Jan-16</w:t>
            </w:r>
          </w:p>
        </w:tc>
        <w:tc>
          <w:tcPr>
            <w:tcW w:w="98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29-Jan-16</w:t>
            </w:r>
          </w:p>
        </w:tc>
        <w:tc>
          <w:tcPr>
            <w:tcW w:w="900" w:type="dxa"/>
            <w:vAlign w:val="bottom"/>
            <w:tcBorders>
              <w:right w:val="single" w:sz="8" w:color="0066CC"/>
            </w:tcBorders>
            <w:vMerge w:val="restart"/>
          </w:tcPr>
          <w:p>
            <w:pPr>
              <w:jc w:val="center"/>
              <w:spacing w:after="0" w:line="121" w:lineRule="exact"/>
              <w:rPr>
                <w:sz w:val="20"/>
                <w:szCs w:val="20"/>
                <w:color w:val="auto"/>
              </w:rPr>
            </w:pPr>
            <w:r>
              <w:rPr>
                <w:rFonts w:ascii="Arial" w:cs="Arial" w:eastAsia="Arial" w:hAnsi="Arial"/>
                <w:sz w:val="12"/>
                <w:szCs w:val="12"/>
                <w:color w:val="auto"/>
                <w:w w:val="88"/>
              </w:rPr>
              <w:t>27-Jun-17</w:t>
            </w:r>
          </w:p>
        </w:tc>
        <w:tc>
          <w:tcPr>
            <w:tcW w:w="0" w:type="dxa"/>
            <w:vAlign w:val="bottom"/>
          </w:tcPr>
          <w:p>
            <w:pPr>
              <w:spacing w:after="0"/>
              <w:rPr>
                <w:sz w:val="1"/>
                <w:szCs w:val="1"/>
                <w:color w:val="auto"/>
              </w:rPr>
            </w:pPr>
          </w:p>
        </w:tc>
      </w:tr>
      <w:tr>
        <w:trPr>
          <w:trHeight w:val="66"/>
        </w:trPr>
        <w:tc>
          <w:tcPr>
            <w:tcW w:w="1100" w:type="dxa"/>
            <w:vAlign w:val="bottom"/>
            <w:tcBorders>
              <w:left w:val="single" w:sz="8" w:color="0066CC"/>
              <w:right w:val="single" w:sz="8" w:color="CCCCFF"/>
            </w:tcBorders>
            <w:vMerge w:val="continue"/>
          </w:tcPr>
          <w:p>
            <w:pPr>
              <w:spacing w:after="0"/>
              <w:rPr>
                <w:sz w:val="5"/>
                <w:szCs w:val="5"/>
                <w:color w:val="auto"/>
              </w:rPr>
            </w:pPr>
          </w:p>
        </w:tc>
        <w:tc>
          <w:tcPr>
            <w:tcW w:w="11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Canada ULC</w:t>
            </w:r>
          </w:p>
        </w:tc>
        <w:tc>
          <w:tcPr>
            <w:tcW w:w="110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6"/>
              </w:rPr>
              <w:t>(Athabasca) Inc.</w:t>
            </w:r>
          </w:p>
        </w:tc>
        <w:tc>
          <w:tcPr>
            <w:tcW w:w="1520" w:type="dxa"/>
            <w:vAlign w:val="bottom"/>
            <w:tcBorders>
              <w:right w:val="single" w:sz="8" w:color="CCCCFF"/>
            </w:tcBorders>
            <w:vMerge w:val="continue"/>
          </w:tcPr>
          <w:p>
            <w:pPr>
              <w:spacing w:after="0"/>
              <w:rPr>
                <w:sz w:val="5"/>
                <w:szCs w:val="5"/>
                <w:color w:val="auto"/>
              </w:rPr>
            </w:pPr>
          </w:p>
        </w:tc>
        <w:tc>
          <w:tcPr>
            <w:tcW w:w="11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Payment</w:t>
            </w:r>
          </w:p>
        </w:tc>
        <w:tc>
          <w:tcPr>
            <w:tcW w:w="1560" w:type="dxa"/>
            <w:vAlign w:val="bottom"/>
            <w:tcBorders>
              <w:right w:val="single" w:sz="8" w:color="CCCCFF"/>
            </w:tcBorders>
            <w:vMerge w:val="continue"/>
          </w:tcPr>
          <w:p>
            <w:pPr>
              <w:spacing w:after="0"/>
              <w:rPr>
                <w:sz w:val="5"/>
                <w:szCs w:val="5"/>
                <w:color w:val="auto"/>
              </w:rPr>
            </w:pPr>
          </w:p>
        </w:tc>
        <w:tc>
          <w:tcPr>
            <w:tcW w:w="1080" w:type="dxa"/>
            <w:vAlign w:val="bottom"/>
            <w:tcBorders>
              <w:right w:val="single" w:sz="8" w:color="CCCCFF"/>
            </w:tcBorders>
            <w:vMerge w:val="continue"/>
          </w:tcPr>
          <w:p>
            <w:pPr>
              <w:spacing w:after="0"/>
              <w:rPr>
                <w:sz w:val="5"/>
                <w:szCs w:val="5"/>
                <w:color w:val="auto"/>
              </w:rPr>
            </w:pPr>
          </w:p>
        </w:tc>
        <w:tc>
          <w:tcPr>
            <w:tcW w:w="1000" w:type="dxa"/>
            <w:vAlign w:val="bottom"/>
            <w:tcBorders>
              <w:right w:val="single" w:sz="8" w:color="CCCCFF"/>
            </w:tcBorders>
            <w:vMerge w:val="continue"/>
          </w:tcPr>
          <w:p>
            <w:pPr>
              <w:spacing w:after="0"/>
              <w:rPr>
                <w:sz w:val="5"/>
                <w:szCs w:val="5"/>
                <w:color w:val="auto"/>
              </w:rPr>
            </w:pPr>
          </w:p>
        </w:tc>
        <w:tc>
          <w:tcPr>
            <w:tcW w:w="980" w:type="dxa"/>
            <w:vAlign w:val="bottom"/>
            <w:tcBorders>
              <w:right w:val="single" w:sz="8" w:color="CCCCFF"/>
            </w:tcBorders>
            <w:vMerge w:val="continue"/>
          </w:tcPr>
          <w:p>
            <w:pPr>
              <w:spacing w:after="0"/>
              <w:rPr>
                <w:sz w:val="5"/>
                <w:szCs w:val="5"/>
                <w:color w:val="auto"/>
              </w:rPr>
            </w:pPr>
          </w:p>
        </w:tc>
        <w:tc>
          <w:tcPr>
            <w:tcW w:w="900" w:type="dxa"/>
            <w:vAlign w:val="bottom"/>
            <w:tcBorders>
              <w:right w:val="single" w:sz="8" w:color="0066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00" w:type="dxa"/>
            <w:vAlign w:val="bottom"/>
            <w:tcBorders>
              <w:left w:val="single" w:sz="8" w:color="0066CC"/>
              <w:right w:val="single" w:sz="8" w:color="CCCCFF"/>
            </w:tcBorders>
          </w:tcPr>
          <w:p>
            <w:pPr>
              <w:spacing w:after="0"/>
              <w:rPr>
                <w:sz w:val="7"/>
                <w:szCs w:val="7"/>
                <w:color w:val="auto"/>
              </w:rPr>
            </w:pPr>
          </w:p>
        </w:tc>
        <w:tc>
          <w:tcPr>
            <w:tcW w:w="1120" w:type="dxa"/>
            <w:vAlign w:val="bottom"/>
            <w:tcBorders>
              <w:right w:val="single" w:sz="8" w:color="CCCCFF"/>
            </w:tcBorders>
            <w:vMerge w:val="continue"/>
          </w:tcPr>
          <w:p>
            <w:pPr>
              <w:spacing w:after="0"/>
              <w:rPr>
                <w:sz w:val="7"/>
                <w:szCs w:val="7"/>
                <w:color w:val="auto"/>
              </w:rPr>
            </w:pPr>
          </w:p>
        </w:tc>
        <w:tc>
          <w:tcPr>
            <w:tcW w:w="1100" w:type="dxa"/>
            <w:vAlign w:val="bottom"/>
            <w:tcBorders>
              <w:right w:val="single" w:sz="8" w:color="CCCCFF"/>
            </w:tcBorders>
            <w:vMerge w:val="continue"/>
          </w:tcPr>
          <w:p>
            <w:pPr>
              <w:spacing w:after="0"/>
              <w:rPr>
                <w:sz w:val="7"/>
                <w:szCs w:val="7"/>
                <w:color w:val="auto"/>
              </w:rPr>
            </w:pPr>
          </w:p>
        </w:tc>
        <w:tc>
          <w:tcPr>
            <w:tcW w:w="15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Stonefell</w:t>
            </w:r>
          </w:p>
        </w:tc>
        <w:tc>
          <w:tcPr>
            <w:tcW w:w="1120" w:type="dxa"/>
            <w:vAlign w:val="bottom"/>
            <w:tcBorders>
              <w:right w:val="single" w:sz="8" w:color="CCCCFF"/>
            </w:tcBorders>
            <w:vMerge w:val="continue"/>
          </w:tcPr>
          <w:p>
            <w:pPr>
              <w:spacing w:after="0"/>
              <w:rPr>
                <w:sz w:val="7"/>
                <w:szCs w:val="7"/>
                <w:color w:val="auto"/>
              </w:rPr>
            </w:pPr>
          </w:p>
        </w:tc>
        <w:tc>
          <w:tcPr>
            <w:tcW w:w="1560" w:type="dxa"/>
            <w:vAlign w:val="bottom"/>
            <w:tcBorders>
              <w:right w:val="single" w:sz="8" w:color="CCCCFF"/>
            </w:tcBorders>
          </w:tcPr>
          <w:p>
            <w:pPr>
              <w:spacing w:after="0"/>
              <w:rPr>
                <w:sz w:val="7"/>
                <w:szCs w:val="7"/>
                <w:color w:val="auto"/>
              </w:rPr>
            </w:pPr>
          </w:p>
        </w:tc>
        <w:tc>
          <w:tcPr>
            <w:tcW w:w="1080" w:type="dxa"/>
            <w:vAlign w:val="bottom"/>
            <w:tcBorders>
              <w:right w:val="single" w:sz="8" w:color="CCCCFF"/>
            </w:tcBorders>
          </w:tcPr>
          <w:p>
            <w:pPr>
              <w:spacing w:after="0"/>
              <w:rPr>
                <w:sz w:val="7"/>
                <w:szCs w:val="7"/>
                <w:color w:val="auto"/>
              </w:rPr>
            </w:pPr>
          </w:p>
        </w:tc>
        <w:tc>
          <w:tcPr>
            <w:tcW w:w="1000" w:type="dxa"/>
            <w:vAlign w:val="bottom"/>
            <w:tcBorders>
              <w:right w:val="single" w:sz="8" w:color="CCCCFF"/>
            </w:tcBorders>
          </w:tcPr>
          <w:p>
            <w:pPr>
              <w:spacing w:after="0"/>
              <w:rPr>
                <w:sz w:val="7"/>
                <w:szCs w:val="7"/>
                <w:color w:val="auto"/>
              </w:rPr>
            </w:pPr>
          </w:p>
        </w:tc>
        <w:tc>
          <w:tcPr>
            <w:tcW w:w="980" w:type="dxa"/>
            <w:vAlign w:val="bottom"/>
            <w:tcBorders>
              <w:right w:val="single" w:sz="8" w:color="CCCCFF"/>
            </w:tcBorders>
          </w:tcPr>
          <w:p>
            <w:pPr>
              <w:spacing w:after="0"/>
              <w:rPr>
                <w:sz w:val="7"/>
                <w:szCs w:val="7"/>
                <w:color w:val="auto"/>
              </w:rPr>
            </w:pPr>
          </w:p>
        </w:tc>
        <w:tc>
          <w:tcPr>
            <w:tcW w:w="90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00" w:type="dxa"/>
            <w:vAlign w:val="bottom"/>
            <w:tcBorders>
              <w:left w:val="single" w:sz="8" w:color="0066CC"/>
              <w:bottom w:val="single" w:sz="8" w:color="CCCCFF"/>
              <w:right w:val="single" w:sz="8" w:color="CCCCFF"/>
            </w:tcBorders>
          </w:tcPr>
          <w:p>
            <w:pPr>
              <w:spacing w:after="0"/>
              <w:rPr>
                <w:sz w:val="6"/>
                <w:szCs w:val="6"/>
                <w:color w:val="auto"/>
              </w:rPr>
            </w:pPr>
          </w:p>
        </w:tc>
        <w:tc>
          <w:tcPr>
            <w:tcW w:w="1120" w:type="dxa"/>
            <w:vAlign w:val="bottom"/>
            <w:tcBorders>
              <w:bottom w:val="single" w:sz="8" w:color="CCCCFF"/>
              <w:right w:val="single" w:sz="8" w:color="CCCCFF"/>
            </w:tcBorders>
          </w:tcPr>
          <w:p>
            <w:pPr>
              <w:spacing w:after="0"/>
              <w:rPr>
                <w:sz w:val="6"/>
                <w:szCs w:val="6"/>
                <w:color w:val="auto"/>
              </w:rPr>
            </w:pPr>
          </w:p>
        </w:tc>
        <w:tc>
          <w:tcPr>
            <w:tcW w:w="1100" w:type="dxa"/>
            <w:vAlign w:val="bottom"/>
            <w:tcBorders>
              <w:bottom w:val="single" w:sz="8" w:color="CCCCFF"/>
              <w:right w:val="single" w:sz="8" w:color="CCCCFF"/>
            </w:tcBorders>
          </w:tcPr>
          <w:p>
            <w:pPr>
              <w:spacing w:after="0"/>
              <w:rPr>
                <w:sz w:val="6"/>
                <w:szCs w:val="6"/>
                <w:color w:val="auto"/>
              </w:rPr>
            </w:pPr>
          </w:p>
        </w:tc>
        <w:tc>
          <w:tcPr>
            <w:tcW w:w="1520" w:type="dxa"/>
            <w:vAlign w:val="bottom"/>
            <w:tcBorders>
              <w:bottom w:val="single" w:sz="8" w:color="CCCCFF"/>
              <w:right w:val="single" w:sz="8" w:color="CCCCFF"/>
            </w:tcBorders>
            <w:vMerge w:val="continue"/>
          </w:tcPr>
          <w:p>
            <w:pPr>
              <w:spacing w:after="0"/>
              <w:rPr>
                <w:sz w:val="6"/>
                <w:szCs w:val="6"/>
                <w:color w:val="auto"/>
              </w:rPr>
            </w:pPr>
          </w:p>
        </w:tc>
        <w:tc>
          <w:tcPr>
            <w:tcW w:w="1120" w:type="dxa"/>
            <w:vAlign w:val="bottom"/>
            <w:tcBorders>
              <w:bottom w:val="single" w:sz="8" w:color="CCCCFF"/>
              <w:right w:val="single" w:sz="8" w:color="CCCCFF"/>
            </w:tcBorders>
          </w:tcPr>
          <w:p>
            <w:pPr>
              <w:spacing w:after="0"/>
              <w:rPr>
                <w:sz w:val="6"/>
                <w:szCs w:val="6"/>
                <w:color w:val="auto"/>
              </w:rPr>
            </w:pPr>
          </w:p>
        </w:tc>
        <w:tc>
          <w:tcPr>
            <w:tcW w:w="1560" w:type="dxa"/>
            <w:vAlign w:val="bottom"/>
            <w:tcBorders>
              <w:bottom w:val="single" w:sz="8" w:color="CCCCFF"/>
              <w:right w:val="single" w:sz="8" w:color="CCCCFF"/>
            </w:tcBorders>
          </w:tcPr>
          <w:p>
            <w:pPr>
              <w:spacing w:after="0"/>
              <w:rPr>
                <w:sz w:val="6"/>
                <w:szCs w:val="6"/>
                <w:color w:val="auto"/>
              </w:rPr>
            </w:pPr>
          </w:p>
        </w:tc>
        <w:tc>
          <w:tcPr>
            <w:tcW w:w="1080" w:type="dxa"/>
            <w:vAlign w:val="bottom"/>
            <w:tcBorders>
              <w:bottom w:val="single" w:sz="8" w:color="CCCCFF"/>
              <w:right w:val="single" w:sz="8" w:color="CCCCFF"/>
            </w:tcBorders>
          </w:tcPr>
          <w:p>
            <w:pPr>
              <w:spacing w:after="0"/>
              <w:rPr>
                <w:sz w:val="6"/>
                <w:szCs w:val="6"/>
                <w:color w:val="auto"/>
              </w:rPr>
            </w:pPr>
          </w:p>
        </w:tc>
        <w:tc>
          <w:tcPr>
            <w:tcW w:w="1000" w:type="dxa"/>
            <w:vAlign w:val="bottom"/>
            <w:tcBorders>
              <w:bottom w:val="single" w:sz="8" w:color="CCCCFF"/>
              <w:right w:val="single" w:sz="8" w:color="CCCCFF"/>
            </w:tcBorders>
          </w:tcPr>
          <w:p>
            <w:pPr>
              <w:spacing w:after="0"/>
              <w:rPr>
                <w:sz w:val="6"/>
                <w:szCs w:val="6"/>
                <w:color w:val="auto"/>
              </w:rPr>
            </w:pPr>
          </w:p>
        </w:tc>
        <w:tc>
          <w:tcPr>
            <w:tcW w:w="980" w:type="dxa"/>
            <w:vAlign w:val="bottom"/>
            <w:tcBorders>
              <w:bottom w:val="single" w:sz="8" w:color="CCCCFF"/>
              <w:right w:val="single" w:sz="8" w:color="CCCCFF"/>
            </w:tcBorders>
          </w:tcPr>
          <w:p>
            <w:pPr>
              <w:spacing w:after="0"/>
              <w:rPr>
                <w:sz w:val="6"/>
                <w:szCs w:val="6"/>
                <w:color w:val="auto"/>
              </w:rPr>
            </w:pPr>
          </w:p>
        </w:tc>
        <w:tc>
          <w:tcPr>
            <w:tcW w:w="900" w:type="dxa"/>
            <w:vAlign w:val="bottom"/>
            <w:tcBorders>
              <w:bottom w:val="single" w:sz="8" w:color="CCCCFF"/>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100" w:type="dxa"/>
            <w:vAlign w:val="bottom"/>
            <w:tcBorders>
              <w:left w:val="single" w:sz="8" w:color="0066CC"/>
              <w:right w:val="single" w:sz="8" w:color="CCCCFF"/>
            </w:tcBorders>
          </w:tcPr>
          <w:p>
            <w:pPr>
              <w:spacing w:after="0"/>
              <w:rPr>
                <w:sz w:val="10"/>
                <w:szCs w:val="10"/>
                <w:color w:val="auto"/>
              </w:rPr>
            </w:pPr>
          </w:p>
        </w:tc>
        <w:tc>
          <w:tcPr>
            <w:tcW w:w="1120" w:type="dxa"/>
            <w:vAlign w:val="bottom"/>
            <w:tcBorders>
              <w:right w:val="single" w:sz="8" w:color="CCCCFF"/>
            </w:tcBorders>
          </w:tcPr>
          <w:p>
            <w:pPr>
              <w:spacing w:after="0"/>
              <w:rPr>
                <w:sz w:val="10"/>
                <w:szCs w:val="10"/>
                <w:color w:val="auto"/>
              </w:rPr>
            </w:pPr>
          </w:p>
        </w:tc>
        <w:tc>
          <w:tcPr>
            <w:tcW w:w="110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Fluor Industrial</w:t>
            </w:r>
          </w:p>
        </w:tc>
        <w:tc>
          <w:tcPr>
            <w:tcW w:w="152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2"/>
              </w:rPr>
              <w:t>Contract No. A5EF-90-K133,</w:t>
            </w:r>
          </w:p>
        </w:tc>
        <w:tc>
          <w:tcPr>
            <w:tcW w:w="11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Performance and/or</w:t>
            </w:r>
          </w:p>
        </w:tc>
        <w:tc>
          <w:tcPr>
            <w:tcW w:w="1560" w:type="dxa"/>
            <w:vAlign w:val="bottom"/>
            <w:tcBorders>
              <w:right w:val="single" w:sz="8" w:color="CCCCFF"/>
            </w:tcBorders>
          </w:tcPr>
          <w:p>
            <w:pPr>
              <w:spacing w:after="0"/>
              <w:rPr>
                <w:sz w:val="10"/>
                <w:szCs w:val="10"/>
                <w:color w:val="auto"/>
              </w:rPr>
            </w:pPr>
          </w:p>
        </w:tc>
        <w:tc>
          <w:tcPr>
            <w:tcW w:w="1080" w:type="dxa"/>
            <w:vAlign w:val="bottom"/>
            <w:tcBorders>
              <w:right w:val="single" w:sz="8" w:color="CCCCFF"/>
            </w:tcBorders>
          </w:tcPr>
          <w:p>
            <w:pPr>
              <w:spacing w:after="0"/>
              <w:rPr>
                <w:sz w:val="10"/>
                <w:szCs w:val="10"/>
                <w:color w:val="auto"/>
              </w:rPr>
            </w:pPr>
          </w:p>
        </w:tc>
        <w:tc>
          <w:tcPr>
            <w:tcW w:w="1000" w:type="dxa"/>
            <w:vAlign w:val="bottom"/>
            <w:tcBorders>
              <w:right w:val="single" w:sz="8" w:color="CCCCFF"/>
            </w:tcBorders>
          </w:tcPr>
          <w:p>
            <w:pPr>
              <w:spacing w:after="0"/>
              <w:rPr>
                <w:sz w:val="10"/>
                <w:szCs w:val="10"/>
                <w:color w:val="auto"/>
              </w:rPr>
            </w:pPr>
          </w:p>
        </w:tc>
        <w:tc>
          <w:tcPr>
            <w:tcW w:w="980" w:type="dxa"/>
            <w:vAlign w:val="bottom"/>
            <w:tcBorders>
              <w:right w:val="single" w:sz="8" w:color="CCCCFF"/>
            </w:tcBorders>
          </w:tcPr>
          <w:p>
            <w:pPr>
              <w:spacing w:after="0"/>
              <w:rPr>
                <w:sz w:val="10"/>
                <w:szCs w:val="10"/>
                <w:color w:val="auto"/>
              </w:rPr>
            </w:pPr>
          </w:p>
        </w:tc>
        <w:tc>
          <w:tcPr>
            <w:tcW w:w="90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00" w:type="dxa"/>
            <w:vAlign w:val="bottom"/>
            <w:tcBorders>
              <w:left w:val="single" w:sz="8" w:color="0066CC"/>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8244-93-47</w:t>
            </w:r>
          </w:p>
        </w:tc>
        <w:tc>
          <w:tcPr>
            <w:tcW w:w="11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Matrix Service Inc.</w:t>
            </w:r>
          </w:p>
        </w:tc>
        <w:tc>
          <w:tcPr>
            <w:tcW w:w="1100" w:type="dxa"/>
            <w:vAlign w:val="bottom"/>
            <w:tcBorders>
              <w:right w:val="single" w:sz="8" w:color="CCCCFF"/>
            </w:tcBorders>
            <w:vMerge w:val="continue"/>
          </w:tcPr>
          <w:p>
            <w:pPr>
              <w:spacing w:after="0"/>
              <w:rPr>
                <w:sz w:val="4"/>
                <w:szCs w:val="4"/>
                <w:color w:val="auto"/>
              </w:rPr>
            </w:pPr>
          </w:p>
        </w:tc>
        <w:tc>
          <w:tcPr>
            <w:tcW w:w="15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P&amp;G Oxnard, CA - XC2 Pipe</w:t>
            </w:r>
          </w:p>
        </w:tc>
        <w:tc>
          <w:tcPr>
            <w:tcW w:w="1120" w:type="dxa"/>
            <w:vAlign w:val="bottom"/>
            <w:tcBorders>
              <w:right w:val="single" w:sz="8" w:color="CCCCFF"/>
            </w:tcBorders>
            <w:vMerge w:val="continue"/>
          </w:tcPr>
          <w:p>
            <w:pPr>
              <w:spacing w:after="0"/>
              <w:rPr>
                <w:sz w:val="4"/>
                <w:szCs w:val="4"/>
                <w:color w:val="auto"/>
              </w:rPr>
            </w:pPr>
          </w:p>
        </w:tc>
        <w:tc>
          <w:tcPr>
            <w:tcW w:w="156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$386,645.00</w:t>
            </w:r>
          </w:p>
        </w:tc>
        <w:tc>
          <w:tcPr>
            <w:tcW w:w="108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Chubb Group</w:t>
            </w:r>
          </w:p>
        </w:tc>
        <w:tc>
          <w:tcPr>
            <w:tcW w:w="100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5"/>
              </w:rPr>
              <w:t>01-Sep-16</w:t>
            </w:r>
          </w:p>
        </w:tc>
        <w:tc>
          <w:tcPr>
            <w:tcW w:w="98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5"/>
              </w:rPr>
              <w:t>01-Sep-16</w:t>
            </w:r>
          </w:p>
        </w:tc>
        <w:tc>
          <w:tcPr>
            <w:tcW w:w="900" w:type="dxa"/>
            <w:vAlign w:val="bottom"/>
            <w:tcBorders>
              <w:right w:val="single" w:sz="8" w:color="0066CC"/>
            </w:tcBorders>
            <w:vMerge w:val="restart"/>
          </w:tcPr>
          <w:p>
            <w:pPr>
              <w:jc w:val="center"/>
              <w:spacing w:after="0" w:line="121" w:lineRule="exact"/>
              <w:rPr>
                <w:sz w:val="20"/>
                <w:szCs w:val="20"/>
                <w:color w:val="auto"/>
              </w:rPr>
            </w:pPr>
            <w:r>
              <w:rPr>
                <w:rFonts w:ascii="Arial" w:cs="Arial" w:eastAsia="Arial" w:hAnsi="Arial"/>
                <w:sz w:val="12"/>
                <w:szCs w:val="12"/>
                <w:color w:val="auto"/>
                <w:w w:val="85"/>
              </w:rPr>
              <w:t>01-Jan-17</w:t>
            </w:r>
          </w:p>
        </w:tc>
        <w:tc>
          <w:tcPr>
            <w:tcW w:w="0" w:type="dxa"/>
            <w:vAlign w:val="bottom"/>
          </w:tcPr>
          <w:p>
            <w:pPr>
              <w:spacing w:after="0"/>
              <w:rPr>
                <w:sz w:val="1"/>
                <w:szCs w:val="1"/>
                <w:color w:val="auto"/>
              </w:rPr>
            </w:pPr>
          </w:p>
        </w:tc>
      </w:tr>
      <w:tr>
        <w:trPr>
          <w:trHeight w:val="66"/>
        </w:trPr>
        <w:tc>
          <w:tcPr>
            <w:tcW w:w="1100" w:type="dxa"/>
            <w:vAlign w:val="bottom"/>
            <w:tcBorders>
              <w:left w:val="single" w:sz="8" w:color="0066CC"/>
              <w:right w:val="single" w:sz="8" w:color="CCCCFF"/>
            </w:tcBorders>
            <w:vMerge w:val="continue"/>
          </w:tcPr>
          <w:p>
            <w:pPr>
              <w:spacing w:after="0"/>
              <w:rPr>
                <w:sz w:val="5"/>
                <w:szCs w:val="5"/>
                <w:color w:val="auto"/>
              </w:rPr>
            </w:pPr>
          </w:p>
        </w:tc>
        <w:tc>
          <w:tcPr>
            <w:tcW w:w="1120" w:type="dxa"/>
            <w:vAlign w:val="bottom"/>
            <w:tcBorders>
              <w:right w:val="single" w:sz="8" w:color="CCCCFF"/>
            </w:tcBorders>
            <w:vMerge w:val="continue"/>
          </w:tcPr>
          <w:p>
            <w:pPr>
              <w:spacing w:after="0"/>
              <w:rPr>
                <w:sz w:val="5"/>
                <w:szCs w:val="5"/>
                <w:color w:val="auto"/>
              </w:rPr>
            </w:pPr>
          </w:p>
        </w:tc>
        <w:tc>
          <w:tcPr>
            <w:tcW w:w="110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Services, Inc.</w:t>
            </w:r>
          </w:p>
        </w:tc>
        <w:tc>
          <w:tcPr>
            <w:tcW w:w="1520" w:type="dxa"/>
            <w:vAlign w:val="bottom"/>
            <w:tcBorders>
              <w:right w:val="single" w:sz="8" w:color="CCCCFF"/>
            </w:tcBorders>
            <w:vMerge w:val="continue"/>
          </w:tcPr>
          <w:p>
            <w:pPr>
              <w:spacing w:after="0"/>
              <w:rPr>
                <w:sz w:val="5"/>
                <w:szCs w:val="5"/>
                <w:color w:val="auto"/>
              </w:rPr>
            </w:pPr>
          </w:p>
        </w:tc>
        <w:tc>
          <w:tcPr>
            <w:tcW w:w="11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Payment</w:t>
            </w:r>
          </w:p>
        </w:tc>
        <w:tc>
          <w:tcPr>
            <w:tcW w:w="1560" w:type="dxa"/>
            <w:vAlign w:val="bottom"/>
            <w:tcBorders>
              <w:right w:val="single" w:sz="8" w:color="CCCCFF"/>
            </w:tcBorders>
            <w:vMerge w:val="continue"/>
          </w:tcPr>
          <w:p>
            <w:pPr>
              <w:spacing w:after="0"/>
              <w:rPr>
                <w:sz w:val="5"/>
                <w:szCs w:val="5"/>
                <w:color w:val="auto"/>
              </w:rPr>
            </w:pPr>
          </w:p>
        </w:tc>
        <w:tc>
          <w:tcPr>
            <w:tcW w:w="1080" w:type="dxa"/>
            <w:vAlign w:val="bottom"/>
            <w:tcBorders>
              <w:right w:val="single" w:sz="8" w:color="CCCCFF"/>
            </w:tcBorders>
            <w:vMerge w:val="continue"/>
          </w:tcPr>
          <w:p>
            <w:pPr>
              <w:spacing w:after="0"/>
              <w:rPr>
                <w:sz w:val="5"/>
                <w:szCs w:val="5"/>
                <w:color w:val="auto"/>
              </w:rPr>
            </w:pPr>
          </w:p>
        </w:tc>
        <w:tc>
          <w:tcPr>
            <w:tcW w:w="1000" w:type="dxa"/>
            <w:vAlign w:val="bottom"/>
            <w:tcBorders>
              <w:right w:val="single" w:sz="8" w:color="CCCCFF"/>
            </w:tcBorders>
            <w:vMerge w:val="continue"/>
          </w:tcPr>
          <w:p>
            <w:pPr>
              <w:spacing w:after="0"/>
              <w:rPr>
                <w:sz w:val="5"/>
                <w:szCs w:val="5"/>
                <w:color w:val="auto"/>
              </w:rPr>
            </w:pPr>
          </w:p>
        </w:tc>
        <w:tc>
          <w:tcPr>
            <w:tcW w:w="980" w:type="dxa"/>
            <w:vAlign w:val="bottom"/>
            <w:tcBorders>
              <w:right w:val="single" w:sz="8" w:color="CCCCFF"/>
            </w:tcBorders>
            <w:vMerge w:val="continue"/>
          </w:tcPr>
          <w:p>
            <w:pPr>
              <w:spacing w:after="0"/>
              <w:rPr>
                <w:sz w:val="5"/>
                <w:szCs w:val="5"/>
                <w:color w:val="auto"/>
              </w:rPr>
            </w:pPr>
          </w:p>
        </w:tc>
        <w:tc>
          <w:tcPr>
            <w:tcW w:w="900" w:type="dxa"/>
            <w:vAlign w:val="bottom"/>
            <w:tcBorders>
              <w:right w:val="single" w:sz="8" w:color="0066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00" w:type="dxa"/>
            <w:vAlign w:val="bottom"/>
            <w:tcBorders>
              <w:left w:val="single" w:sz="8" w:color="0066CC"/>
              <w:right w:val="single" w:sz="8" w:color="CCCCFF"/>
            </w:tcBorders>
          </w:tcPr>
          <w:p>
            <w:pPr>
              <w:spacing w:after="0"/>
              <w:rPr>
                <w:sz w:val="7"/>
                <w:szCs w:val="7"/>
                <w:color w:val="auto"/>
              </w:rPr>
            </w:pPr>
          </w:p>
        </w:tc>
        <w:tc>
          <w:tcPr>
            <w:tcW w:w="1120" w:type="dxa"/>
            <w:vAlign w:val="bottom"/>
            <w:tcBorders>
              <w:right w:val="single" w:sz="8" w:color="CCCCFF"/>
            </w:tcBorders>
          </w:tcPr>
          <w:p>
            <w:pPr>
              <w:spacing w:after="0"/>
              <w:rPr>
                <w:sz w:val="7"/>
                <w:szCs w:val="7"/>
                <w:color w:val="auto"/>
              </w:rPr>
            </w:pPr>
          </w:p>
        </w:tc>
        <w:tc>
          <w:tcPr>
            <w:tcW w:w="1100" w:type="dxa"/>
            <w:vAlign w:val="bottom"/>
            <w:tcBorders>
              <w:right w:val="single" w:sz="8" w:color="CCCCFF"/>
            </w:tcBorders>
            <w:vMerge w:val="continue"/>
          </w:tcPr>
          <w:p>
            <w:pPr>
              <w:spacing w:after="0"/>
              <w:rPr>
                <w:sz w:val="7"/>
                <w:szCs w:val="7"/>
                <w:color w:val="auto"/>
              </w:rPr>
            </w:pPr>
          </w:p>
        </w:tc>
        <w:tc>
          <w:tcPr>
            <w:tcW w:w="15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Rack and Duct Support Steel</w:t>
            </w:r>
          </w:p>
        </w:tc>
        <w:tc>
          <w:tcPr>
            <w:tcW w:w="1120" w:type="dxa"/>
            <w:vAlign w:val="bottom"/>
            <w:tcBorders>
              <w:right w:val="single" w:sz="8" w:color="CCCCFF"/>
            </w:tcBorders>
            <w:vMerge w:val="continue"/>
          </w:tcPr>
          <w:p>
            <w:pPr>
              <w:spacing w:after="0"/>
              <w:rPr>
                <w:sz w:val="7"/>
                <w:szCs w:val="7"/>
                <w:color w:val="auto"/>
              </w:rPr>
            </w:pPr>
          </w:p>
        </w:tc>
        <w:tc>
          <w:tcPr>
            <w:tcW w:w="1560" w:type="dxa"/>
            <w:vAlign w:val="bottom"/>
            <w:tcBorders>
              <w:right w:val="single" w:sz="8" w:color="CCCCFF"/>
            </w:tcBorders>
          </w:tcPr>
          <w:p>
            <w:pPr>
              <w:spacing w:after="0"/>
              <w:rPr>
                <w:sz w:val="7"/>
                <w:szCs w:val="7"/>
                <w:color w:val="auto"/>
              </w:rPr>
            </w:pPr>
          </w:p>
        </w:tc>
        <w:tc>
          <w:tcPr>
            <w:tcW w:w="1080" w:type="dxa"/>
            <w:vAlign w:val="bottom"/>
            <w:tcBorders>
              <w:right w:val="single" w:sz="8" w:color="CCCCFF"/>
            </w:tcBorders>
          </w:tcPr>
          <w:p>
            <w:pPr>
              <w:spacing w:after="0"/>
              <w:rPr>
                <w:sz w:val="7"/>
                <w:szCs w:val="7"/>
                <w:color w:val="auto"/>
              </w:rPr>
            </w:pPr>
          </w:p>
        </w:tc>
        <w:tc>
          <w:tcPr>
            <w:tcW w:w="1000" w:type="dxa"/>
            <w:vAlign w:val="bottom"/>
            <w:tcBorders>
              <w:right w:val="single" w:sz="8" w:color="CCCCFF"/>
            </w:tcBorders>
          </w:tcPr>
          <w:p>
            <w:pPr>
              <w:spacing w:after="0"/>
              <w:rPr>
                <w:sz w:val="7"/>
                <w:szCs w:val="7"/>
                <w:color w:val="auto"/>
              </w:rPr>
            </w:pPr>
          </w:p>
        </w:tc>
        <w:tc>
          <w:tcPr>
            <w:tcW w:w="980" w:type="dxa"/>
            <w:vAlign w:val="bottom"/>
            <w:tcBorders>
              <w:right w:val="single" w:sz="8" w:color="CCCCFF"/>
            </w:tcBorders>
          </w:tcPr>
          <w:p>
            <w:pPr>
              <w:spacing w:after="0"/>
              <w:rPr>
                <w:sz w:val="7"/>
                <w:szCs w:val="7"/>
                <w:color w:val="auto"/>
              </w:rPr>
            </w:pPr>
          </w:p>
        </w:tc>
        <w:tc>
          <w:tcPr>
            <w:tcW w:w="90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00" w:type="dxa"/>
            <w:vAlign w:val="bottom"/>
            <w:tcBorders>
              <w:left w:val="single" w:sz="8" w:color="0066CC"/>
              <w:bottom w:val="single" w:sz="8" w:color="CCCCFF"/>
              <w:right w:val="single" w:sz="8" w:color="CCCCFF"/>
            </w:tcBorders>
          </w:tcPr>
          <w:p>
            <w:pPr>
              <w:spacing w:after="0"/>
              <w:rPr>
                <w:sz w:val="6"/>
                <w:szCs w:val="6"/>
                <w:color w:val="auto"/>
              </w:rPr>
            </w:pPr>
          </w:p>
        </w:tc>
        <w:tc>
          <w:tcPr>
            <w:tcW w:w="1120" w:type="dxa"/>
            <w:vAlign w:val="bottom"/>
            <w:tcBorders>
              <w:bottom w:val="single" w:sz="8" w:color="CCCCFF"/>
              <w:right w:val="single" w:sz="8" w:color="CCCCFF"/>
            </w:tcBorders>
          </w:tcPr>
          <w:p>
            <w:pPr>
              <w:spacing w:after="0"/>
              <w:rPr>
                <w:sz w:val="6"/>
                <w:szCs w:val="6"/>
                <w:color w:val="auto"/>
              </w:rPr>
            </w:pPr>
          </w:p>
        </w:tc>
        <w:tc>
          <w:tcPr>
            <w:tcW w:w="1100" w:type="dxa"/>
            <w:vAlign w:val="bottom"/>
            <w:tcBorders>
              <w:bottom w:val="single" w:sz="8" w:color="CCCCFF"/>
              <w:right w:val="single" w:sz="8" w:color="CCCCFF"/>
            </w:tcBorders>
          </w:tcPr>
          <w:p>
            <w:pPr>
              <w:spacing w:after="0"/>
              <w:rPr>
                <w:sz w:val="6"/>
                <w:szCs w:val="6"/>
                <w:color w:val="auto"/>
              </w:rPr>
            </w:pPr>
          </w:p>
        </w:tc>
        <w:tc>
          <w:tcPr>
            <w:tcW w:w="1520" w:type="dxa"/>
            <w:vAlign w:val="bottom"/>
            <w:tcBorders>
              <w:bottom w:val="single" w:sz="8" w:color="CCCCFF"/>
              <w:right w:val="single" w:sz="8" w:color="CCCCFF"/>
            </w:tcBorders>
            <w:vMerge w:val="continue"/>
          </w:tcPr>
          <w:p>
            <w:pPr>
              <w:spacing w:after="0"/>
              <w:rPr>
                <w:sz w:val="6"/>
                <w:szCs w:val="6"/>
                <w:color w:val="auto"/>
              </w:rPr>
            </w:pPr>
          </w:p>
        </w:tc>
        <w:tc>
          <w:tcPr>
            <w:tcW w:w="1120" w:type="dxa"/>
            <w:vAlign w:val="bottom"/>
            <w:tcBorders>
              <w:bottom w:val="single" w:sz="8" w:color="CCCCFF"/>
              <w:right w:val="single" w:sz="8" w:color="CCCCFF"/>
            </w:tcBorders>
          </w:tcPr>
          <w:p>
            <w:pPr>
              <w:spacing w:after="0"/>
              <w:rPr>
                <w:sz w:val="6"/>
                <w:szCs w:val="6"/>
                <w:color w:val="auto"/>
              </w:rPr>
            </w:pPr>
          </w:p>
        </w:tc>
        <w:tc>
          <w:tcPr>
            <w:tcW w:w="1560" w:type="dxa"/>
            <w:vAlign w:val="bottom"/>
            <w:tcBorders>
              <w:bottom w:val="single" w:sz="8" w:color="CCCCFF"/>
              <w:right w:val="single" w:sz="8" w:color="CCCCFF"/>
            </w:tcBorders>
          </w:tcPr>
          <w:p>
            <w:pPr>
              <w:spacing w:after="0"/>
              <w:rPr>
                <w:sz w:val="6"/>
                <w:szCs w:val="6"/>
                <w:color w:val="auto"/>
              </w:rPr>
            </w:pPr>
          </w:p>
        </w:tc>
        <w:tc>
          <w:tcPr>
            <w:tcW w:w="1080" w:type="dxa"/>
            <w:vAlign w:val="bottom"/>
            <w:tcBorders>
              <w:bottom w:val="single" w:sz="8" w:color="CCCCFF"/>
              <w:right w:val="single" w:sz="8" w:color="CCCCFF"/>
            </w:tcBorders>
          </w:tcPr>
          <w:p>
            <w:pPr>
              <w:spacing w:after="0"/>
              <w:rPr>
                <w:sz w:val="6"/>
                <w:szCs w:val="6"/>
                <w:color w:val="auto"/>
              </w:rPr>
            </w:pPr>
          </w:p>
        </w:tc>
        <w:tc>
          <w:tcPr>
            <w:tcW w:w="1000" w:type="dxa"/>
            <w:vAlign w:val="bottom"/>
            <w:tcBorders>
              <w:bottom w:val="single" w:sz="8" w:color="CCCCFF"/>
              <w:right w:val="single" w:sz="8" w:color="CCCCFF"/>
            </w:tcBorders>
          </w:tcPr>
          <w:p>
            <w:pPr>
              <w:spacing w:after="0"/>
              <w:rPr>
                <w:sz w:val="6"/>
                <w:szCs w:val="6"/>
                <w:color w:val="auto"/>
              </w:rPr>
            </w:pPr>
          </w:p>
        </w:tc>
        <w:tc>
          <w:tcPr>
            <w:tcW w:w="980" w:type="dxa"/>
            <w:vAlign w:val="bottom"/>
            <w:tcBorders>
              <w:bottom w:val="single" w:sz="8" w:color="CCCCFF"/>
              <w:right w:val="single" w:sz="8" w:color="CCCCFF"/>
            </w:tcBorders>
          </w:tcPr>
          <w:p>
            <w:pPr>
              <w:spacing w:after="0"/>
              <w:rPr>
                <w:sz w:val="6"/>
                <w:szCs w:val="6"/>
                <w:color w:val="auto"/>
              </w:rPr>
            </w:pPr>
          </w:p>
        </w:tc>
        <w:tc>
          <w:tcPr>
            <w:tcW w:w="900" w:type="dxa"/>
            <w:vAlign w:val="bottom"/>
            <w:tcBorders>
              <w:bottom w:val="single" w:sz="8" w:color="CCCCFF"/>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100" w:type="dxa"/>
            <w:vAlign w:val="bottom"/>
            <w:tcBorders>
              <w:left w:val="single" w:sz="8" w:color="0066CC"/>
              <w:right w:val="single" w:sz="8" w:color="CCCCFF"/>
            </w:tcBorders>
          </w:tcPr>
          <w:p>
            <w:pPr>
              <w:spacing w:after="0"/>
              <w:rPr>
                <w:sz w:val="10"/>
                <w:szCs w:val="10"/>
                <w:color w:val="auto"/>
              </w:rPr>
            </w:pPr>
          </w:p>
        </w:tc>
        <w:tc>
          <w:tcPr>
            <w:tcW w:w="1120" w:type="dxa"/>
            <w:vAlign w:val="bottom"/>
            <w:tcBorders>
              <w:right w:val="single" w:sz="8" w:color="CCCCFF"/>
            </w:tcBorders>
          </w:tcPr>
          <w:p>
            <w:pPr>
              <w:spacing w:after="0"/>
              <w:rPr>
                <w:sz w:val="10"/>
                <w:szCs w:val="10"/>
                <w:color w:val="auto"/>
              </w:rPr>
            </w:pPr>
          </w:p>
        </w:tc>
        <w:tc>
          <w:tcPr>
            <w:tcW w:w="1100" w:type="dxa"/>
            <w:vAlign w:val="bottom"/>
            <w:tcBorders>
              <w:right w:val="single" w:sz="8" w:color="CCCCFF"/>
            </w:tcBorders>
          </w:tcPr>
          <w:p>
            <w:pPr>
              <w:spacing w:after="0"/>
              <w:rPr>
                <w:sz w:val="10"/>
                <w:szCs w:val="10"/>
                <w:color w:val="auto"/>
              </w:rPr>
            </w:pPr>
          </w:p>
        </w:tc>
        <w:tc>
          <w:tcPr>
            <w:tcW w:w="152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7"/>
              </w:rPr>
              <w:t>Design, engineer, procure and</w:t>
            </w:r>
          </w:p>
        </w:tc>
        <w:tc>
          <w:tcPr>
            <w:tcW w:w="1120" w:type="dxa"/>
            <w:vAlign w:val="bottom"/>
            <w:tcBorders>
              <w:right w:val="single" w:sz="8" w:color="CCCCFF"/>
            </w:tcBorders>
          </w:tcPr>
          <w:p>
            <w:pPr>
              <w:spacing w:after="0"/>
              <w:rPr>
                <w:sz w:val="10"/>
                <w:szCs w:val="10"/>
                <w:color w:val="auto"/>
              </w:rPr>
            </w:pPr>
          </w:p>
        </w:tc>
        <w:tc>
          <w:tcPr>
            <w:tcW w:w="1560" w:type="dxa"/>
            <w:vAlign w:val="bottom"/>
            <w:tcBorders>
              <w:right w:val="single" w:sz="8" w:color="CCCCFF"/>
            </w:tcBorders>
          </w:tcPr>
          <w:p>
            <w:pPr>
              <w:spacing w:after="0"/>
              <w:rPr>
                <w:sz w:val="10"/>
                <w:szCs w:val="10"/>
                <w:color w:val="auto"/>
              </w:rPr>
            </w:pPr>
          </w:p>
        </w:tc>
        <w:tc>
          <w:tcPr>
            <w:tcW w:w="1080" w:type="dxa"/>
            <w:vAlign w:val="bottom"/>
            <w:tcBorders>
              <w:right w:val="single" w:sz="8" w:color="CCCCFF"/>
            </w:tcBorders>
          </w:tcPr>
          <w:p>
            <w:pPr>
              <w:spacing w:after="0"/>
              <w:rPr>
                <w:sz w:val="10"/>
                <w:szCs w:val="10"/>
                <w:color w:val="auto"/>
              </w:rPr>
            </w:pPr>
          </w:p>
        </w:tc>
        <w:tc>
          <w:tcPr>
            <w:tcW w:w="1000" w:type="dxa"/>
            <w:vAlign w:val="bottom"/>
            <w:tcBorders>
              <w:right w:val="single" w:sz="8" w:color="CCCCFF"/>
            </w:tcBorders>
          </w:tcPr>
          <w:p>
            <w:pPr>
              <w:spacing w:after="0"/>
              <w:rPr>
                <w:sz w:val="10"/>
                <w:szCs w:val="10"/>
                <w:color w:val="auto"/>
              </w:rPr>
            </w:pPr>
          </w:p>
        </w:tc>
        <w:tc>
          <w:tcPr>
            <w:tcW w:w="980" w:type="dxa"/>
            <w:vAlign w:val="bottom"/>
            <w:tcBorders>
              <w:right w:val="single" w:sz="8" w:color="CCCCFF"/>
            </w:tcBorders>
          </w:tcPr>
          <w:p>
            <w:pPr>
              <w:spacing w:after="0"/>
              <w:rPr>
                <w:sz w:val="10"/>
                <w:szCs w:val="10"/>
                <w:color w:val="auto"/>
              </w:rPr>
            </w:pPr>
          </w:p>
        </w:tc>
        <w:tc>
          <w:tcPr>
            <w:tcW w:w="90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00" w:type="dxa"/>
            <w:vAlign w:val="bottom"/>
            <w:tcBorders>
              <w:left w:val="single" w:sz="8" w:color="0066CC"/>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1"/>
              </w:rPr>
              <w:t>8244-93-63</w:t>
            </w:r>
          </w:p>
        </w:tc>
        <w:tc>
          <w:tcPr>
            <w:tcW w:w="11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1"/>
              </w:rPr>
              <w:t>Matrix Service Inc.</w:t>
            </w:r>
          </w:p>
        </w:tc>
        <w:tc>
          <w:tcPr>
            <w:tcW w:w="110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Vopax Terminal Deer</w:t>
            </w:r>
          </w:p>
        </w:tc>
        <w:tc>
          <w:tcPr>
            <w:tcW w:w="152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construct ten (10) bulk liquid</w:t>
            </w:r>
          </w:p>
        </w:tc>
        <w:tc>
          <w:tcPr>
            <w:tcW w:w="112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Performance and/or</w:t>
            </w:r>
          </w:p>
        </w:tc>
        <w:tc>
          <w:tcPr>
            <w:tcW w:w="1560" w:type="dxa"/>
            <w:vAlign w:val="bottom"/>
            <w:tcBorders>
              <w:right w:val="single" w:sz="8" w:color="CCCCFF"/>
            </w:tcBorders>
            <w:vMerge w:val="restart"/>
          </w:tcPr>
          <w:p>
            <w:pPr>
              <w:jc w:val="right"/>
              <w:spacing w:after="0"/>
              <w:rPr>
                <w:sz w:val="20"/>
                <w:szCs w:val="20"/>
                <w:color w:val="auto"/>
              </w:rPr>
            </w:pPr>
            <w:r>
              <w:rPr>
                <w:rFonts w:ascii="Arial" w:cs="Arial" w:eastAsia="Arial" w:hAnsi="Arial"/>
                <w:sz w:val="12"/>
                <w:szCs w:val="12"/>
                <w:color w:val="auto"/>
              </w:rPr>
              <w:t>$4,800,000.00</w:t>
            </w:r>
          </w:p>
        </w:tc>
        <w:tc>
          <w:tcPr>
            <w:tcW w:w="108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Chubb Group</w:t>
            </w:r>
          </w:p>
        </w:tc>
        <w:tc>
          <w:tcPr>
            <w:tcW w:w="100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21-Dec-16</w:t>
            </w:r>
          </w:p>
        </w:tc>
        <w:tc>
          <w:tcPr>
            <w:tcW w:w="98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21-Dec-16</w:t>
            </w:r>
          </w:p>
        </w:tc>
        <w:tc>
          <w:tcPr>
            <w:tcW w:w="900" w:type="dxa"/>
            <w:vAlign w:val="bottom"/>
            <w:tcBorders>
              <w:right w:val="single" w:sz="8" w:color="0066CC"/>
            </w:tcBorders>
            <w:vMerge w:val="restart"/>
          </w:tcPr>
          <w:p>
            <w:pPr>
              <w:jc w:val="center"/>
              <w:spacing w:after="0"/>
              <w:rPr>
                <w:sz w:val="20"/>
                <w:szCs w:val="20"/>
                <w:color w:val="auto"/>
              </w:rPr>
            </w:pPr>
            <w:r>
              <w:rPr>
                <w:rFonts w:ascii="Arial" w:cs="Arial" w:eastAsia="Arial" w:hAnsi="Arial"/>
                <w:sz w:val="12"/>
                <w:szCs w:val="12"/>
                <w:color w:val="auto"/>
                <w:w w:val="89"/>
              </w:rPr>
              <w:t>21-Dec-17</w:t>
            </w:r>
          </w:p>
        </w:tc>
        <w:tc>
          <w:tcPr>
            <w:tcW w:w="0" w:type="dxa"/>
            <w:vAlign w:val="bottom"/>
          </w:tcPr>
          <w:p>
            <w:pPr>
              <w:spacing w:after="0"/>
              <w:rPr>
                <w:sz w:val="1"/>
                <w:szCs w:val="1"/>
                <w:color w:val="auto"/>
              </w:rPr>
            </w:pPr>
          </w:p>
        </w:tc>
      </w:tr>
      <w:tr>
        <w:trPr>
          <w:trHeight w:val="83"/>
        </w:trPr>
        <w:tc>
          <w:tcPr>
            <w:tcW w:w="1100" w:type="dxa"/>
            <w:vAlign w:val="bottom"/>
            <w:tcBorders>
              <w:left w:val="single" w:sz="8" w:color="0066CC"/>
              <w:right w:val="single" w:sz="8" w:color="CCCCFF"/>
            </w:tcBorders>
            <w:vMerge w:val="continue"/>
          </w:tcPr>
          <w:p>
            <w:pPr>
              <w:spacing w:after="0"/>
              <w:rPr>
                <w:sz w:val="7"/>
                <w:szCs w:val="7"/>
                <w:color w:val="auto"/>
              </w:rPr>
            </w:pPr>
          </w:p>
        </w:tc>
        <w:tc>
          <w:tcPr>
            <w:tcW w:w="1120" w:type="dxa"/>
            <w:vAlign w:val="bottom"/>
            <w:tcBorders>
              <w:right w:val="single" w:sz="8" w:color="CCCCFF"/>
            </w:tcBorders>
            <w:vMerge w:val="continue"/>
          </w:tcPr>
          <w:p>
            <w:pPr>
              <w:spacing w:after="0"/>
              <w:rPr>
                <w:sz w:val="7"/>
                <w:szCs w:val="7"/>
                <w:color w:val="auto"/>
              </w:rPr>
            </w:pPr>
          </w:p>
        </w:tc>
        <w:tc>
          <w:tcPr>
            <w:tcW w:w="110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0"/>
              </w:rPr>
              <w:t>Park</w:t>
            </w:r>
          </w:p>
        </w:tc>
        <w:tc>
          <w:tcPr>
            <w:tcW w:w="15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5"/>
              </w:rPr>
              <w:t>storage tanks; some plant</w:t>
            </w:r>
          </w:p>
        </w:tc>
        <w:tc>
          <w:tcPr>
            <w:tcW w:w="11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Payment</w:t>
            </w:r>
          </w:p>
        </w:tc>
        <w:tc>
          <w:tcPr>
            <w:tcW w:w="1560" w:type="dxa"/>
            <w:vAlign w:val="bottom"/>
            <w:tcBorders>
              <w:right w:val="single" w:sz="8" w:color="CCCCFF"/>
            </w:tcBorders>
            <w:vMerge w:val="continue"/>
          </w:tcPr>
          <w:p>
            <w:pPr>
              <w:spacing w:after="0"/>
              <w:rPr>
                <w:sz w:val="7"/>
                <w:szCs w:val="7"/>
                <w:color w:val="auto"/>
              </w:rPr>
            </w:pPr>
          </w:p>
        </w:tc>
        <w:tc>
          <w:tcPr>
            <w:tcW w:w="1080" w:type="dxa"/>
            <w:vAlign w:val="bottom"/>
            <w:tcBorders>
              <w:right w:val="single" w:sz="8" w:color="CCCCFF"/>
            </w:tcBorders>
            <w:vMerge w:val="continue"/>
          </w:tcPr>
          <w:p>
            <w:pPr>
              <w:spacing w:after="0"/>
              <w:rPr>
                <w:sz w:val="7"/>
                <w:szCs w:val="7"/>
                <w:color w:val="auto"/>
              </w:rPr>
            </w:pPr>
          </w:p>
        </w:tc>
        <w:tc>
          <w:tcPr>
            <w:tcW w:w="1000" w:type="dxa"/>
            <w:vAlign w:val="bottom"/>
            <w:tcBorders>
              <w:right w:val="single" w:sz="8" w:color="CCCCFF"/>
            </w:tcBorders>
            <w:vMerge w:val="continue"/>
          </w:tcPr>
          <w:p>
            <w:pPr>
              <w:spacing w:after="0"/>
              <w:rPr>
                <w:sz w:val="7"/>
                <w:szCs w:val="7"/>
                <w:color w:val="auto"/>
              </w:rPr>
            </w:pPr>
          </w:p>
        </w:tc>
        <w:tc>
          <w:tcPr>
            <w:tcW w:w="980" w:type="dxa"/>
            <w:vAlign w:val="bottom"/>
            <w:tcBorders>
              <w:right w:val="single" w:sz="8" w:color="CCCCFF"/>
            </w:tcBorders>
            <w:vMerge w:val="continue"/>
          </w:tcPr>
          <w:p>
            <w:pPr>
              <w:spacing w:after="0"/>
              <w:rPr>
                <w:sz w:val="7"/>
                <w:szCs w:val="7"/>
                <w:color w:val="auto"/>
              </w:rPr>
            </w:pPr>
          </w:p>
        </w:tc>
        <w:tc>
          <w:tcPr>
            <w:tcW w:w="900" w:type="dxa"/>
            <w:vAlign w:val="bottom"/>
            <w:tcBorders>
              <w:right w:val="single" w:sz="8" w:color="0066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00" w:type="dxa"/>
            <w:vAlign w:val="bottom"/>
            <w:tcBorders>
              <w:left w:val="single" w:sz="8" w:color="0066CC"/>
              <w:right w:val="single" w:sz="8" w:color="CCCCFF"/>
            </w:tcBorders>
          </w:tcPr>
          <w:p>
            <w:pPr>
              <w:spacing w:after="0"/>
              <w:rPr>
                <w:sz w:val="3"/>
                <w:szCs w:val="3"/>
                <w:color w:val="auto"/>
              </w:rPr>
            </w:pPr>
          </w:p>
        </w:tc>
        <w:tc>
          <w:tcPr>
            <w:tcW w:w="1120" w:type="dxa"/>
            <w:vAlign w:val="bottom"/>
            <w:tcBorders>
              <w:right w:val="single" w:sz="8" w:color="CCCCFF"/>
            </w:tcBorders>
          </w:tcPr>
          <w:p>
            <w:pPr>
              <w:spacing w:after="0"/>
              <w:rPr>
                <w:sz w:val="3"/>
                <w:szCs w:val="3"/>
                <w:color w:val="auto"/>
              </w:rPr>
            </w:pPr>
          </w:p>
        </w:tc>
        <w:tc>
          <w:tcPr>
            <w:tcW w:w="1100" w:type="dxa"/>
            <w:vAlign w:val="bottom"/>
            <w:tcBorders>
              <w:right w:val="single" w:sz="8" w:color="CCCCFF"/>
            </w:tcBorders>
            <w:vMerge w:val="continue"/>
          </w:tcPr>
          <w:p>
            <w:pPr>
              <w:spacing w:after="0"/>
              <w:rPr>
                <w:sz w:val="3"/>
                <w:szCs w:val="3"/>
                <w:color w:val="auto"/>
              </w:rPr>
            </w:pPr>
          </w:p>
        </w:tc>
        <w:tc>
          <w:tcPr>
            <w:tcW w:w="1520" w:type="dxa"/>
            <w:vAlign w:val="bottom"/>
            <w:tcBorders>
              <w:right w:val="single" w:sz="8" w:color="CCCCFF"/>
            </w:tcBorders>
            <w:vMerge w:val="continue"/>
          </w:tcPr>
          <w:p>
            <w:pPr>
              <w:spacing w:after="0"/>
              <w:rPr>
                <w:sz w:val="3"/>
                <w:szCs w:val="3"/>
                <w:color w:val="auto"/>
              </w:rPr>
            </w:pPr>
          </w:p>
        </w:tc>
        <w:tc>
          <w:tcPr>
            <w:tcW w:w="1120" w:type="dxa"/>
            <w:vAlign w:val="bottom"/>
            <w:tcBorders>
              <w:right w:val="single" w:sz="8" w:color="CCCCFF"/>
            </w:tcBorders>
            <w:vMerge w:val="continue"/>
          </w:tcPr>
          <w:p>
            <w:pPr>
              <w:spacing w:after="0"/>
              <w:rPr>
                <w:sz w:val="3"/>
                <w:szCs w:val="3"/>
                <w:color w:val="auto"/>
              </w:rPr>
            </w:pPr>
          </w:p>
        </w:tc>
        <w:tc>
          <w:tcPr>
            <w:tcW w:w="1560" w:type="dxa"/>
            <w:vAlign w:val="bottom"/>
            <w:tcBorders>
              <w:right w:val="single" w:sz="8" w:color="CCCCFF"/>
            </w:tcBorders>
          </w:tcPr>
          <w:p>
            <w:pPr>
              <w:spacing w:after="0"/>
              <w:rPr>
                <w:sz w:val="3"/>
                <w:szCs w:val="3"/>
                <w:color w:val="auto"/>
              </w:rPr>
            </w:pPr>
          </w:p>
        </w:tc>
        <w:tc>
          <w:tcPr>
            <w:tcW w:w="1080" w:type="dxa"/>
            <w:vAlign w:val="bottom"/>
            <w:tcBorders>
              <w:right w:val="single" w:sz="8" w:color="CCCCFF"/>
            </w:tcBorders>
          </w:tcPr>
          <w:p>
            <w:pPr>
              <w:spacing w:after="0"/>
              <w:rPr>
                <w:sz w:val="3"/>
                <w:szCs w:val="3"/>
                <w:color w:val="auto"/>
              </w:rPr>
            </w:pPr>
          </w:p>
        </w:tc>
        <w:tc>
          <w:tcPr>
            <w:tcW w:w="1000" w:type="dxa"/>
            <w:vAlign w:val="bottom"/>
            <w:tcBorders>
              <w:right w:val="single" w:sz="8" w:color="CCCCFF"/>
            </w:tcBorders>
          </w:tcPr>
          <w:p>
            <w:pPr>
              <w:spacing w:after="0"/>
              <w:rPr>
                <w:sz w:val="3"/>
                <w:szCs w:val="3"/>
                <w:color w:val="auto"/>
              </w:rPr>
            </w:pPr>
          </w:p>
        </w:tc>
        <w:tc>
          <w:tcPr>
            <w:tcW w:w="980" w:type="dxa"/>
            <w:vAlign w:val="bottom"/>
            <w:tcBorders>
              <w:right w:val="single" w:sz="8" w:color="CCCCFF"/>
            </w:tcBorders>
          </w:tcPr>
          <w:p>
            <w:pPr>
              <w:spacing w:after="0"/>
              <w:rPr>
                <w:sz w:val="3"/>
                <w:szCs w:val="3"/>
                <w:color w:val="auto"/>
              </w:rPr>
            </w:pPr>
          </w:p>
        </w:tc>
        <w:tc>
          <w:tcPr>
            <w:tcW w:w="90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1100" w:type="dxa"/>
            <w:vAlign w:val="bottom"/>
            <w:tcBorders>
              <w:left w:val="single" w:sz="8" w:color="0066CC"/>
              <w:bottom w:val="single" w:sz="8" w:color="CCCCFF"/>
              <w:right w:val="single" w:sz="8" w:color="CCCCFF"/>
            </w:tcBorders>
          </w:tcPr>
          <w:p>
            <w:pPr>
              <w:spacing w:after="0"/>
              <w:rPr>
                <w:sz w:val="13"/>
                <w:szCs w:val="13"/>
                <w:color w:val="auto"/>
              </w:rPr>
            </w:pPr>
          </w:p>
        </w:tc>
        <w:tc>
          <w:tcPr>
            <w:tcW w:w="1120" w:type="dxa"/>
            <w:vAlign w:val="bottom"/>
            <w:tcBorders>
              <w:bottom w:val="single" w:sz="8" w:color="CCCCFF"/>
              <w:right w:val="single" w:sz="8" w:color="CCCCFF"/>
            </w:tcBorders>
          </w:tcPr>
          <w:p>
            <w:pPr>
              <w:spacing w:after="0"/>
              <w:rPr>
                <w:sz w:val="13"/>
                <w:szCs w:val="13"/>
                <w:color w:val="auto"/>
              </w:rPr>
            </w:pPr>
          </w:p>
        </w:tc>
        <w:tc>
          <w:tcPr>
            <w:tcW w:w="1100" w:type="dxa"/>
            <w:vAlign w:val="bottom"/>
            <w:tcBorders>
              <w:bottom w:val="single" w:sz="8" w:color="CCCCFF"/>
              <w:right w:val="single" w:sz="8" w:color="CCCCFF"/>
            </w:tcBorders>
          </w:tcPr>
          <w:p>
            <w:pPr>
              <w:spacing w:after="0"/>
              <w:rPr>
                <w:sz w:val="13"/>
                <w:szCs w:val="13"/>
                <w:color w:val="auto"/>
              </w:rPr>
            </w:pPr>
          </w:p>
        </w:tc>
        <w:tc>
          <w:tcPr>
            <w:tcW w:w="152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9"/>
              </w:rPr>
              <w:t>construction</w:t>
            </w:r>
          </w:p>
        </w:tc>
        <w:tc>
          <w:tcPr>
            <w:tcW w:w="1120" w:type="dxa"/>
            <w:vAlign w:val="bottom"/>
            <w:tcBorders>
              <w:bottom w:val="single" w:sz="8" w:color="CCCCFF"/>
              <w:right w:val="single" w:sz="8" w:color="CCCCFF"/>
            </w:tcBorders>
          </w:tcPr>
          <w:p>
            <w:pPr>
              <w:spacing w:after="0"/>
              <w:rPr>
                <w:sz w:val="13"/>
                <w:szCs w:val="13"/>
                <w:color w:val="auto"/>
              </w:rPr>
            </w:pPr>
          </w:p>
        </w:tc>
        <w:tc>
          <w:tcPr>
            <w:tcW w:w="1560" w:type="dxa"/>
            <w:vAlign w:val="bottom"/>
            <w:tcBorders>
              <w:bottom w:val="single" w:sz="8" w:color="CCCCFF"/>
              <w:right w:val="single" w:sz="8" w:color="CCCCFF"/>
            </w:tcBorders>
          </w:tcPr>
          <w:p>
            <w:pPr>
              <w:spacing w:after="0"/>
              <w:rPr>
                <w:sz w:val="13"/>
                <w:szCs w:val="13"/>
                <w:color w:val="auto"/>
              </w:rPr>
            </w:pPr>
          </w:p>
        </w:tc>
        <w:tc>
          <w:tcPr>
            <w:tcW w:w="1080" w:type="dxa"/>
            <w:vAlign w:val="bottom"/>
            <w:tcBorders>
              <w:bottom w:val="single" w:sz="8" w:color="CCCCFF"/>
              <w:right w:val="single" w:sz="8" w:color="CCCCFF"/>
            </w:tcBorders>
          </w:tcPr>
          <w:p>
            <w:pPr>
              <w:spacing w:after="0"/>
              <w:rPr>
                <w:sz w:val="13"/>
                <w:szCs w:val="13"/>
                <w:color w:val="auto"/>
              </w:rPr>
            </w:pPr>
          </w:p>
        </w:tc>
        <w:tc>
          <w:tcPr>
            <w:tcW w:w="1000" w:type="dxa"/>
            <w:vAlign w:val="bottom"/>
            <w:tcBorders>
              <w:bottom w:val="single" w:sz="8" w:color="CCCCFF"/>
              <w:right w:val="single" w:sz="8" w:color="CCCCFF"/>
            </w:tcBorders>
          </w:tcPr>
          <w:p>
            <w:pPr>
              <w:spacing w:after="0"/>
              <w:rPr>
                <w:sz w:val="13"/>
                <w:szCs w:val="13"/>
                <w:color w:val="auto"/>
              </w:rPr>
            </w:pPr>
          </w:p>
        </w:tc>
        <w:tc>
          <w:tcPr>
            <w:tcW w:w="980" w:type="dxa"/>
            <w:vAlign w:val="bottom"/>
            <w:tcBorders>
              <w:bottom w:val="single" w:sz="8" w:color="CCCCFF"/>
              <w:right w:val="single" w:sz="8" w:color="CCCCFF"/>
            </w:tcBorders>
          </w:tcPr>
          <w:p>
            <w:pPr>
              <w:spacing w:after="0"/>
              <w:rPr>
                <w:sz w:val="13"/>
                <w:szCs w:val="13"/>
                <w:color w:val="auto"/>
              </w:rPr>
            </w:pPr>
          </w:p>
        </w:tc>
        <w:tc>
          <w:tcPr>
            <w:tcW w:w="90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00" w:type="dxa"/>
            <w:vAlign w:val="bottom"/>
            <w:tcBorders>
              <w:left w:val="single" w:sz="8" w:color="0066CC"/>
              <w:right w:val="single" w:sz="8" w:color="CCCCFF"/>
            </w:tcBorders>
          </w:tcPr>
          <w:p>
            <w:pPr>
              <w:spacing w:after="0"/>
              <w:rPr>
                <w:sz w:val="10"/>
                <w:szCs w:val="10"/>
                <w:color w:val="auto"/>
              </w:rPr>
            </w:pPr>
          </w:p>
        </w:tc>
        <w:tc>
          <w:tcPr>
            <w:tcW w:w="11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8"/>
              </w:rPr>
              <w:t>Matrix PDM</w:t>
            </w:r>
          </w:p>
        </w:tc>
        <w:tc>
          <w:tcPr>
            <w:tcW w:w="1100" w:type="dxa"/>
            <w:vAlign w:val="bottom"/>
            <w:tcBorders>
              <w:right w:val="single" w:sz="8" w:color="CCCCFF"/>
            </w:tcBorders>
          </w:tcPr>
          <w:p>
            <w:pPr>
              <w:spacing w:after="0"/>
              <w:rPr>
                <w:sz w:val="10"/>
                <w:szCs w:val="10"/>
                <w:color w:val="auto"/>
              </w:rPr>
            </w:pPr>
          </w:p>
        </w:tc>
        <w:tc>
          <w:tcPr>
            <w:tcW w:w="152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8"/>
              </w:rPr>
              <w:t>Coke Handling Package for</w:t>
            </w:r>
          </w:p>
        </w:tc>
        <w:tc>
          <w:tcPr>
            <w:tcW w:w="1120" w:type="dxa"/>
            <w:vAlign w:val="bottom"/>
            <w:tcBorders>
              <w:right w:val="single" w:sz="8" w:color="CCCCFF"/>
            </w:tcBorders>
          </w:tcPr>
          <w:p>
            <w:pPr>
              <w:spacing w:after="0"/>
              <w:rPr>
                <w:sz w:val="10"/>
                <w:szCs w:val="10"/>
                <w:color w:val="auto"/>
              </w:rPr>
            </w:pPr>
          </w:p>
        </w:tc>
        <w:tc>
          <w:tcPr>
            <w:tcW w:w="1560" w:type="dxa"/>
            <w:vAlign w:val="bottom"/>
            <w:tcBorders>
              <w:right w:val="single" w:sz="8" w:color="CCCCFF"/>
            </w:tcBorders>
          </w:tcPr>
          <w:p>
            <w:pPr>
              <w:spacing w:after="0"/>
              <w:rPr>
                <w:sz w:val="10"/>
                <w:szCs w:val="10"/>
                <w:color w:val="auto"/>
              </w:rPr>
            </w:pPr>
          </w:p>
        </w:tc>
        <w:tc>
          <w:tcPr>
            <w:tcW w:w="1080" w:type="dxa"/>
            <w:vAlign w:val="bottom"/>
            <w:tcBorders>
              <w:right w:val="single" w:sz="8" w:color="CCCCFF"/>
            </w:tcBorders>
          </w:tcPr>
          <w:p>
            <w:pPr>
              <w:spacing w:after="0"/>
              <w:rPr>
                <w:sz w:val="10"/>
                <w:szCs w:val="10"/>
                <w:color w:val="auto"/>
              </w:rPr>
            </w:pPr>
          </w:p>
        </w:tc>
        <w:tc>
          <w:tcPr>
            <w:tcW w:w="1000" w:type="dxa"/>
            <w:vAlign w:val="bottom"/>
            <w:tcBorders>
              <w:right w:val="single" w:sz="8" w:color="CCCCFF"/>
            </w:tcBorders>
          </w:tcPr>
          <w:p>
            <w:pPr>
              <w:spacing w:after="0"/>
              <w:rPr>
                <w:sz w:val="10"/>
                <w:szCs w:val="10"/>
                <w:color w:val="auto"/>
              </w:rPr>
            </w:pPr>
          </w:p>
        </w:tc>
        <w:tc>
          <w:tcPr>
            <w:tcW w:w="980" w:type="dxa"/>
            <w:vAlign w:val="bottom"/>
            <w:tcBorders>
              <w:right w:val="single" w:sz="8" w:color="CCCCFF"/>
            </w:tcBorders>
          </w:tcPr>
          <w:p>
            <w:pPr>
              <w:spacing w:after="0"/>
              <w:rPr>
                <w:sz w:val="10"/>
                <w:szCs w:val="10"/>
                <w:color w:val="auto"/>
              </w:rPr>
            </w:pPr>
          </w:p>
        </w:tc>
        <w:tc>
          <w:tcPr>
            <w:tcW w:w="90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00" w:type="dxa"/>
            <w:vAlign w:val="bottom"/>
            <w:tcBorders>
              <w:left w:val="single" w:sz="8" w:color="0066CC"/>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837933</w:t>
            </w:r>
          </w:p>
        </w:tc>
        <w:tc>
          <w:tcPr>
            <w:tcW w:w="1120" w:type="dxa"/>
            <w:vAlign w:val="bottom"/>
            <w:tcBorders>
              <w:right w:val="single" w:sz="8" w:color="CCCCFF"/>
            </w:tcBorders>
            <w:vMerge w:val="continue"/>
          </w:tcPr>
          <w:p>
            <w:pPr>
              <w:spacing w:after="0"/>
              <w:rPr>
                <w:sz w:val="4"/>
                <w:szCs w:val="4"/>
                <w:color w:val="auto"/>
              </w:rPr>
            </w:pPr>
          </w:p>
        </w:tc>
        <w:tc>
          <w:tcPr>
            <w:tcW w:w="110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3"/>
              </w:rPr>
              <w:t>UTE TSGI</w:t>
            </w:r>
          </w:p>
        </w:tc>
        <w:tc>
          <w:tcPr>
            <w:tcW w:w="15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the Aegean Refinery Project</w:t>
            </w:r>
          </w:p>
        </w:tc>
        <w:tc>
          <w:tcPr>
            <w:tcW w:w="11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Maintenance</w:t>
            </w:r>
          </w:p>
        </w:tc>
        <w:tc>
          <w:tcPr>
            <w:tcW w:w="156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$222,810.00</w:t>
            </w:r>
          </w:p>
        </w:tc>
        <w:tc>
          <w:tcPr>
            <w:tcW w:w="108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4"/>
              </w:rPr>
              <w:t>AIG Group</w:t>
            </w:r>
          </w:p>
        </w:tc>
        <w:tc>
          <w:tcPr>
            <w:tcW w:w="100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28-Dec-15</w:t>
            </w:r>
          </w:p>
        </w:tc>
        <w:tc>
          <w:tcPr>
            <w:tcW w:w="98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28-Dec-15</w:t>
            </w:r>
          </w:p>
        </w:tc>
        <w:tc>
          <w:tcPr>
            <w:tcW w:w="900" w:type="dxa"/>
            <w:vAlign w:val="bottom"/>
            <w:tcBorders>
              <w:right w:val="single" w:sz="8" w:color="0066CC"/>
            </w:tcBorders>
            <w:vMerge w:val="restart"/>
          </w:tcPr>
          <w:p>
            <w:pPr>
              <w:jc w:val="center"/>
              <w:spacing w:after="0" w:line="121" w:lineRule="exact"/>
              <w:rPr>
                <w:sz w:val="20"/>
                <w:szCs w:val="20"/>
                <w:color w:val="auto"/>
              </w:rPr>
            </w:pPr>
            <w:r>
              <w:rPr>
                <w:rFonts w:ascii="Arial" w:cs="Arial" w:eastAsia="Arial" w:hAnsi="Arial"/>
                <w:sz w:val="12"/>
                <w:szCs w:val="12"/>
                <w:color w:val="auto"/>
                <w:w w:val="93"/>
              </w:rPr>
              <w:t>30-Apr-19</w:t>
            </w:r>
          </w:p>
        </w:tc>
        <w:tc>
          <w:tcPr>
            <w:tcW w:w="0" w:type="dxa"/>
            <w:vAlign w:val="bottom"/>
          </w:tcPr>
          <w:p>
            <w:pPr>
              <w:spacing w:after="0"/>
              <w:rPr>
                <w:sz w:val="1"/>
                <w:szCs w:val="1"/>
                <w:color w:val="auto"/>
              </w:rPr>
            </w:pPr>
          </w:p>
        </w:tc>
      </w:tr>
      <w:tr>
        <w:trPr>
          <w:trHeight w:val="66"/>
        </w:trPr>
        <w:tc>
          <w:tcPr>
            <w:tcW w:w="1100" w:type="dxa"/>
            <w:vAlign w:val="bottom"/>
            <w:tcBorders>
              <w:left w:val="single" w:sz="8" w:color="0066CC"/>
              <w:right w:val="single" w:sz="8" w:color="CCCCFF"/>
            </w:tcBorders>
            <w:vMerge w:val="continue"/>
          </w:tcPr>
          <w:p>
            <w:pPr>
              <w:spacing w:after="0"/>
              <w:rPr>
                <w:sz w:val="5"/>
                <w:szCs w:val="5"/>
                <w:color w:val="auto"/>
              </w:rPr>
            </w:pPr>
          </w:p>
        </w:tc>
        <w:tc>
          <w:tcPr>
            <w:tcW w:w="11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Engineering</w:t>
            </w:r>
          </w:p>
        </w:tc>
        <w:tc>
          <w:tcPr>
            <w:tcW w:w="1100" w:type="dxa"/>
            <w:vAlign w:val="bottom"/>
            <w:tcBorders>
              <w:right w:val="single" w:sz="8" w:color="CCCCFF"/>
            </w:tcBorders>
            <w:vMerge w:val="continue"/>
          </w:tcPr>
          <w:p>
            <w:pPr>
              <w:spacing w:after="0"/>
              <w:rPr>
                <w:sz w:val="5"/>
                <w:szCs w:val="5"/>
                <w:color w:val="auto"/>
              </w:rPr>
            </w:pPr>
          </w:p>
        </w:tc>
        <w:tc>
          <w:tcPr>
            <w:tcW w:w="1520" w:type="dxa"/>
            <w:vAlign w:val="bottom"/>
            <w:tcBorders>
              <w:right w:val="single" w:sz="8" w:color="CCCCFF"/>
            </w:tcBorders>
            <w:vMerge w:val="continue"/>
          </w:tcPr>
          <w:p>
            <w:pPr>
              <w:spacing w:after="0"/>
              <w:rPr>
                <w:sz w:val="5"/>
                <w:szCs w:val="5"/>
                <w:color w:val="auto"/>
              </w:rPr>
            </w:pPr>
          </w:p>
        </w:tc>
        <w:tc>
          <w:tcPr>
            <w:tcW w:w="1120" w:type="dxa"/>
            <w:vAlign w:val="bottom"/>
            <w:tcBorders>
              <w:right w:val="single" w:sz="8" w:color="CCCCFF"/>
            </w:tcBorders>
            <w:vMerge w:val="continue"/>
          </w:tcPr>
          <w:p>
            <w:pPr>
              <w:spacing w:after="0"/>
              <w:rPr>
                <w:sz w:val="5"/>
                <w:szCs w:val="5"/>
                <w:color w:val="auto"/>
              </w:rPr>
            </w:pPr>
          </w:p>
        </w:tc>
        <w:tc>
          <w:tcPr>
            <w:tcW w:w="1560" w:type="dxa"/>
            <w:vAlign w:val="bottom"/>
            <w:tcBorders>
              <w:right w:val="single" w:sz="8" w:color="CCCCFF"/>
            </w:tcBorders>
            <w:vMerge w:val="continue"/>
          </w:tcPr>
          <w:p>
            <w:pPr>
              <w:spacing w:after="0"/>
              <w:rPr>
                <w:sz w:val="5"/>
                <w:szCs w:val="5"/>
                <w:color w:val="auto"/>
              </w:rPr>
            </w:pPr>
          </w:p>
        </w:tc>
        <w:tc>
          <w:tcPr>
            <w:tcW w:w="1080" w:type="dxa"/>
            <w:vAlign w:val="bottom"/>
            <w:tcBorders>
              <w:right w:val="single" w:sz="8" w:color="CCCCFF"/>
            </w:tcBorders>
            <w:vMerge w:val="continue"/>
          </w:tcPr>
          <w:p>
            <w:pPr>
              <w:spacing w:after="0"/>
              <w:rPr>
                <w:sz w:val="5"/>
                <w:szCs w:val="5"/>
                <w:color w:val="auto"/>
              </w:rPr>
            </w:pPr>
          </w:p>
        </w:tc>
        <w:tc>
          <w:tcPr>
            <w:tcW w:w="1000" w:type="dxa"/>
            <w:vAlign w:val="bottom"/>
            <w:tcBorders>
              <w:right w:val="single" w:sz="8" w:color="CCCCFF"/>
            </w:tcBorders>
            <w:vMerge w:val="continue"/>
          </w:tcPr>
          <w:p>
            <w:pPr>
              <w:spacing w:after="0"/>
              <w:rPr>
                <w:sz w:val="5"/>
                <w:szCs w:val="5"/>
                <w:color w:val="auto"/>
              </w:rPr>
            </w:pPr>
          </w:p>
        </w:tc>
        <w:tc>
          <w:tcPr>
            <w:tcW w:w="980" w:type="dxa"/>
            <w:vAlign w:val="bottom"/>
            <w:tcBorders>
              <w:right w:val="single" w:sz="8" w:color="CCCCFF"/>
            </w:tcBorders>
            <w:vMerge w:val="continue"/>
          </w:tcPr>
          <w:p>
            <w:pPr>
              <w:spacing w:after="0"/>
              <w:rPr>
                <w:sz w:val="5"/>
                <w:szCs w:val="5"/>
                <w:color w:val="auto"/>
              </w:rPr>
            </w:pPr>
          </w:p>
        </w:tc>
        <w:tc>
          <w:tcPr>
            <w:tcW w:w="900" w:type="dxa"/>
            <w:vAlign w:val="bottom"/>
            <w:tcBorders>
              <w:right w:val="single" w:sz="8" w:color="0066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00" w:type="dxa"/>
            <w:vAlign w:val="bottom"/>
            <w:tcBorders>
              <w:left w:val="single" w:sz="8" w:color="0066CC"/>
              <w:right w:val="single" w:sz="8" w:color="CCCCFF"/>
            </w:tcBorders>
          </w:tcPr>
          <w:p>
            <w:pPr>
              <w:spacing w:after="0"/>
              <w:rPr>
                <w:sz w:val="7"/>
                <w:szCs w:val="7"/>
                <w:color w:val="auto"/>
              </w:rPr>
            </w:pPr>
          </w:p>
        </w:tc>
        <w:tc>
          <w:tcPr>
            <w:tcW w:w="1120" w:type="dxa"/>
            <w:vAlign w:val="bottom"/>
            <w:tcBorders>
              <w:right w:val="single" w:sz="8" w:color="CCCCFF"/>
            </w:tcBorders>
            <w:vMerge w:val="continue"/>
          </w:tcPr>
          <w:p>
            <w:pPr>
              <w:spacing w:after="0"/>
              <w:rPr>
                <w:sz w:val="7"/>
                <w:szCs w:val="7"/>
                <w:color w:val="auto"/>
              </w:rPr>
            </w:pPr>
          </w:p>
        </w:tc>
        <w:tc>
          <w:tcPr>
            <w:tcW w:w="1100" w:type="dxa"/>
            <w:vAlign w:val="bottom"/>
            <w:tcBorders>
              <w:right w:val="single" w:sz="8" w:color="CCCCFF"/>
            </w:tcBorders>
          </w:tcPr>
          <w:p>
            <w:pPr>
              <w:spacing w:after="0"/>
              <w:rPr>
                <w:sz w:val="7"/>
                <w:szCs w:val="7"/>
                <w:color w:val="auto"/>
              </w:rPr>
            </w:pPr>
          </w:p>
        </w:tc>
        <w:tc>
          <w:tcPr>
            <w:tcW w:w="15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(ARP) Project no. 02245</w:t>
            </w:r>
          </w:p>
        </w:tc>
        <w:tc>
          <w:tcPr>
            <w:tcW w:w="1120" w:type="dxa"/>
            <w:vAlign w:val="bottom"/>
            <w:tcBorders>
              <w:right w:val="single" w:sz="8" w:color="CCCCFF"/>
            </w:tcBorders>
          </w:tcPr>
          <w:p>
            <w:pPr>
              <w:spacing w:after="0"/>
              <w:rPr>
                <w:sz w:val="7"/>
                <w:szCs w:val="7"/>
                <w:color w:val="auto"/>
              </w:rPr>
            </w:pPr>
          </w:p>
        </w:tc>
        <w:tc>
          <w:tcPr>
            <w:tcW w:w="1560" w:type="dxa"/>
            <w:vAlign w:val="bottom"/>
            <w:tcBorders>
              <w:right w:val="single" w:sz="8" w:color="CCCCFF"/>
            </w:tcBorders>
          </w:tcPr>
          <w:p>
            <w:pPr>
              <w:spacing w:after="0"/>
              <w:rPr>
                <w:sz w:val="7"/>
                <w:szCs w:val="7"/>
                <w:color w:val="auto"/>
              </w:rPr>
            </w:pPr>
          </w:p>
        </w:tc>
        <w:tc>
          <w:tcPr>
            <w:tcW w:w="1080" w:type="dxa"/>
            <w:vAlign w:val="bottom"/>
            <w:tcBorders>
              <w:right w:val="single" w:sz="8" w:color="CCCCFF"/>
            </w:tcBorders>
          </w:tcPr>
          <w:p>
            <w:pPr>
              <w:spacing w:after="0"/>
              <w:rPr>
                <w:sz w:val="7"/>
                <w:szCs w:val="7"/>
                <w:color w:val="auto"/>
              </w:rPr>
            </w:pPr>
          </w:p>
        </w:tc>
        <w:tc>
          <w:tcPr>
            <w:tcW w:w="1000" w:type="dxa"/>
            <w:vAlign w:val="bottom"/>
            <w:tcBorders>
              <w:right w:val="single" w:sz="8" w:color="CCCCFF"/>
            </w:tcBorders>
          </w:tcPr>
          <w:p>
            <w:pPr>
              <w:spacing w:after="0"/>
              <w:rPr>
                <w:sz w:val="7"/>
                <w:szCs w:val="7"/>
                <w:color w:val="auto"/>
              </w:rPr>
            </w:pPr>
          </w:p>
        </w:tc>
        <w:tc>
          <w:tcPr>
            <w:tcW w:w="980" w:type="dxa"/>
            <w:vAlign w:val="bottom"/>
            <w:tcBorders>
              <w:right w:val="single" w:sz="8" w:color="CCCCFF"/>
            </w:tcBorders>
          </w:tcPr>
          <w:p>
            <w:pPr>
              <w:spacing w:after="0"/>
              <w:rPr>
                <w:sz w:val="7"/>
                <w:szCs w:val="7"/>
                <w:color w:val="auto"/>
              </w:rPr>
            </w:pPr>
          </w:p>
        </w:tc>
        <w:tc>
          <w:tcPr>
            <w:tcW w:w="90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00" w:type="dxa"/>
            <w:vAlign w:val="bottom"/>
            <w:tcBorders>
              <w:left w:val="single" w:sz="8" w:color="0066CC"/>
              <w:right w:val="single" w:sz="8" w:color="CCCCFF"/>
            </w:tcBorders>
          </w:tcPr>
          <w:p>
            <w:pPr>
              <w:spacing w:after="0"/>
              <w:rPr>
                <w:sz w:val="6"/>
                <w:szCs w:val="6"/>
                <w:color w:val="auto"/>
              </w:rPr>
            </w:pPr>
          </w:p>
        </w:tc>
        <w:tc>
          <w:tcPr>
            <w:tcW w:w="1120" w:type="dxa"/>
            <w:vAlign w:val="bottom"/>
            <w:tcBorders>
              <w:right w:val="single" w:sz="8" w:color="CCCCFF"/>
            </w:tcBorders>
          </w:tcPr>
          <w:p>
            <w:pPr>
              <w:spacing w:after="0"/>
              <w:rPr>
                <w:sz w:val="6"/>
                <w:szCs w:val="6"/>
                <w:color w:val="auto"/>
              </w:rPr>
            </w:pPr>
          </w:p>
        </w:tc>
        <w:tc>
          <w:tcPr>
            <w:tcW w:w="1100" w:type="dxa"/>
            <w:vAlign w:val="bottom"/>
            <w:tcBorders>
              <w:right w:val="single" w:sz="8" w:color="CCCCFF"/>
            </w:tcBorders>
          </w:tcPr>
          <w:p>
            <w:pPr>
              <w:spacing w:after="0"/>
              <w:rPr>
                <w:sz w:val="6"/>
                <w:szCs w:val="6"/>
                <w:color w:val="auto"/>
              </w:rPr>
            </w:pPr>
          </w:p>
        </w:tc>
        <w:tc>
          <w:tcPr>
            <w:tcW w:w="1520" w:type="dxa"/>
            <w:vAlign w:val="bottom"/>
            <w:tcBorders>
              <w:right w:val="single" w:sz="8" w:color="CCCCFF"/>
            </w:tcBorders>
            <w:vMerge w:val="continue"/>
          </w:tcPr>
          <w:p>
            <w:pPr>
              <w:spacing w:after="0"/>
              <w:rPr>
                <w:sz w:val="6"/>
                <w:szCs w:val="6"/>
                <w:color w:val="auto"/>
              </w:rPr>
            </w:pPr>
          </w:p>
        </w:tc>
        <w:tc>
          <w:tcPr>
            <w:tcW w:w="1120" w:type="dxa"/>
            <w:vAlign w:val="bottom"/>
            <w:tcBorders>
              <w:right w:val="single" w:sz="8" w:color="CCCCFF"/>
            </w:tcBorders>
          </w:tcPr>
          <w:p>
            <w:pPr>
              <w:spacing w:after="0"/>
              <w:rPr>
                <w:sz w:val="6"/>
                <w:szCs w:val="6"/>
                <w:color w:val="auto"/>
              </w:rPr>
            </w:pPr>
          </w:p>
        </w:tc>
        <w:tc>
          <w:tcPr>
            <w:tcW w:w="1560" w:type="dxa"/>
            <w:vAlign w:val="bottom"/>
            <w:tcBorders>
              <w:right w:val="single" w:sz="8" w:color="CCCCFF"/>
            </w:tcBorders>
          </w:tcPr>
          <w:p>
            <w:pPr>
              <w:spacing w:after="0"/>
              <w:rPr>
                <w:sz w:val="6"/>
                <w:szCs w:val="6"/>
                <w:color w:val="auto"/>
              </w:rPr>
            </w:pPr>
          </w:p>
        </w:tc>
        <w:tc>
          <w:tcPr>
            <w:tcW w:w="1080" w:type="dxa"/>
            <w:vAlign w:val="bottom"/>
            <w:tcBorders>
              <w:right w:val="single" w:sz="8" w:color="CCCCFF"/>
            </w:tcBorders>
          </w:tcPr>
          <w:p>
            <w:pPr>
              <w:spacing w:after="0"/>
              <w:rPr>
                <w:sz w:val="6"/>
                <w:szCs w:val="6"/>
                <w:color w:val="auto"/>
              </w:rPr>
            </w:pPr>
          </w:p>
        </w:tc>
        <w:tc>
          <w:tcPr>
            <w:tcW w:w="1000" w:type="dxa"/>
            <w:vAlign w:val="bottom"/>
            <w:tcBorders>
              <w:right w:val="single" w:sz="8" w:color="CCCCFF"/>
            </w:tcBorders>
          </w:tcPr>
          <w:p>
            <w:pPr>
              <w:spacing w:after="0"/>
              <w:rPr>
                <w:sz w:val="6"/>
                <w:szCs w:val="6"/>
                <w:color w:val="auto"/>
              </w:rPr>
            </w:pPr>
          </w:p>
        </w:tc>
        <w:tc>
          <w:tcPr>
            <w:tcW w:w="980" w:type="dxa"/>
            <w:vAlign w:val="bottom"/>
            <w:tcBorders>
              <w:right w:val="single" w:sz="8" w:color="CCCCFF"/>
            </w:tcBorders>
          </w:tcPr>
          <w:p>
            <w:pPr>
              <w:spacing w:after="0"/>
              <w:rPr>
                <w:sz w:val="6"/>
                <w:szCs w:val="6"/>
                <w:color w:val="auto"/>
              </w:rPr>
            </w:pPr>
          </w:p>
        </w:tc>
        <w:tc>
          <w:tcPr>
            <w:tcW w:w="900" w:type="dxa"/>
            <w:vAlign w:val="bottom"/>
            <w:tcBorders>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3320" w:type="dxa"/>
            <w:vAlign w:val="bottom"/>
            <w:tcBorders>
              <w:left w:val="single" w:sz="8" w:color="0066CC"/>
              <w:right w:val="single" w:sz="8" w:color="CCCCFF"/>
            </w:tcBorders>
            <w:gridSpan w:val="3"/>
            <w:shd w:val="clear" w:color="auto" w:fill="969696"/>
          </w:tcPr>
          <w:p>
            <w:pPr>
              <w:ind w:left="60"/>
              <w:spacing w:after="0"/>
              <w:rPr>
                <w:sz w:val="20"/>
                <w:szCs w:val="20"/>
                <w:color w:val="auto"/>
              </w:rPr>
            </w:pPr>
            <w:r>
              <w:rPr>
                <w:rFonts w:ascii="Arial" w:cs="Arial" w:eastAsia="Arial" w:hAnsi="Arial"/>
                <w:sz w:val="12"/>
                <w:szCs w:val="12"/>
                <w:color w:val="auto"/>
              </w:rPr>
              <w:t>TOTAL PAYMENT, PERFORMANCE &amp; MAINTENANCE</w:t>
            </w:r>
          </w:p>
        </w:tc>
        <w:tc>
          <w:tcPr>
            <w:tcW w:w="1520" w:type="dxa"/>
            <w:vAlign w:val="bottom"/>
            <w:tcBorders>
              <w:right w:val="single" w:sz="8" w:color="CCCCFF"/>
            </w:tcBorders>
            <w:shd w:val="clear" w:color="auto" w:fill="969696"/>
          </w:tcPr>
          <w:p>
            <w:pPr>
              <w:spacing w:after="0"/>
              <w:rPr>
                <w:sz w:val="12"/>
                <w:szCs w:val="12"/>
                <w:color w:val="auto"/>
              </w:rPr>
            </w:pPr>
          </w:p>
        </w:tc>
        <w:tc>
          <w:tcPr>
            <w:tcW w:w="1120" w:type="dxa"/>
            <w:vAlign w:val="bottom"/>
            <w:tcBorders>
              <w:right w:val="single" w:sz="8" w:color="CCCCFF"/>
            </w:tcBorders>
            <w:vMerge w:val="restart"/>
            <w:shd w:val="clear" w:color="auto" w:fill="969696"/>
          </w:tcPr>
          <w:p>
            <w:pPr>
              <w:jc w:val="center"/>
              <w:spacing w:after="0"/>
              <w:rPr>
                <w:sz w:val="20"/>
                <w:szCs w:val="20"/>
                <w:color w:val="auto"/>
              </w:rPr>
            </w:pPr>
            <w:r>
              <w:rPr>
                <w:rFonts w:ascii="Arial" w:cs="Arial" w:eastAsia="Arial" w:hAnsi="Arial"/>
                <w:sz w:val="12"/>
                <w:szCs w:val="12"/>
                <w:color w:val="auto"/>
                <w:w w:val="89"/>
              </w:rPr>
              <w:t>29</w:t>
            </w:r>
          </w:p>
        </w:tc>
        <w:tc>
          <w:tcPr>
            <w:tcW w:w="1560" w:type="dxa"/>
            <w:vAlign w:val="bottom"/>
            <w:tcBorders>
              <w:right w:val="single" w:sz="8" w:color="CCCCFF"/>
            </w:tcBorders>
            <w:vMerge w:val="restart"/>
            <w:shd w:val="clear" w:color="auto" w:fill="969696"/>
          </w:tcPr>
          <w:p>
            <w:pPr>
              <w:jc w:val="right"/>
              <w:spacing w:after="0"/>
              <w:rPr>
                <w:sz w:val="20"/>
                <w:szCs w:val="20"/>
                <w:color w:val="auto"/>
              </w:rPr>
            </w:pPr>
            <w:r>
              <w:rPr>
                <w:rFonts w:ascii="Arial" w:cs="Arial" w:eastAsia="Arial" w:hAnsi="Arial"/>
                <w:sz w:val="12"/>
                <w:szCs w:val="12"/>
                <w:color w:val="auto"/>
              </w:rPr>
              <w:t>$148,294,282.31</w:t>
            </w:r>
          </w:p>
        </w:tc>
        <w:tc>
          <w:tcPr>
            <w:tcW w:w="1080" w:type="dxa"/>
            <w:vAlign w:val="bottom"/>
            <w:tcBorders>
              <w:right w:val="single" w:sz="8" w:color="CCCCFF"/>
            </w:tcBorders>
            <w:shd w:val="clear" w:color="auto" w:fill="969696"/>
          </w:tcPr>
          <w:p>
            <w:pPr>
              <w:spacing w:after="0"/>
              <w:rPr>
                <w:sz w:val="12"/>
                <w:szCs w:val="12"/>
                <w:color w:val="auto"/>
              </w:rPr>
            </w:pPr>
          </w:p>
        </w:tc>
        <w:tc>
          <w:tcPr>
            <w:tcW w:w="1000" w:type="dxa"/>
            <w:vAlign w:val="bottom"/>
            <w:tcBorders>
              <w:right w:val="single" w:sz="8" w:color="CCCCFF"/>
            </w:tcBorders>
            <w:shd w:val="clear" w:color="auto" w:fill="969696"/>
          </w:tcPr>
          <w:p>
            <w:pPr>
              <w:spacing w:after="0"/>
              <w:rPr>
                <w:sz w:val="12"/>
                <w:szCs w:val="12"/>
                <w:color w:val="auto"/>
              </w:rPr>
            </w:pPr>
          </w:p>
        </w:tc>
        <w:tc>
          <w:tcPr>
            <w:tcW w:w="980" w:type="dxa"/>
            <w:vAlign w:val="bottom"/>
            <w:tcBorders>
              <w:right w:val="single" w:sz="8" w:color="CCCCFF"/>
            </w:tcBorders>
            <w:shd w:val="clear" w:color="auto" w:fill="969696"/>
          </w:tcPr>
          <w:p>
            <w:pPr>
              <w:spacing w:after="0"/>
              <w:rPr>
                <w:sz w:val="12"/>
                <w:szCs w:val="12"/>
                <w:color w:val="auto"/>
              </w:rPr>
            </w:pPr>
          </w:p>
        </w:tc>
        <w:tc>
          <w:tcPr>
            <w:tcW w:w="900" w:type="dxa"/>
            <w:vAlign w:val="bottom"/>
            <w:tcBorders>
              <w:right w:val="single" w:sz="8" w:color="0066CC"/>
            </w:tcBorders>
            <w:shd w:val="clear" w:color="auto" w:fill="969696"/>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100" w:type="dxa"/>
            <w:vAlign w:val="bottom"/>
            <w:tcBorders>
              <w:left w:val="single" w:sz="8" w:color="0066CC"/>
              <w:right w:val="single" w:sz="8" w:color="969696"/>
            </w:tcBorders>
            <w:vMerge w:val="restart"/>
            <w:shd w:val="clear" w:color="auto" w:fill="969696"/>
          </w:tcPr>
          <w:p>
            <w:pPr>
              <w:ind w:left="60"/>
              <w:spacing w:after="0"/>
              <w:rPr>
                <w:sz w:val="20"/>
                <w:szCs w:val="20"/>
                <w:color w:val="auto"/>
              </w:rPr>
            </w:pPr>
            <w:r>
              <w:rPr>
                <w:rFonts w:ascii="Arial" w:cs="Arial" w:eastAsia="Arial" w:hAnsi="Arial"/>
                <w:sz w:val="12"/>
                <w:szCs w:val="12"/>
                <w:color w:val="auto"/>
              </w:rPr>
              <w:t>BONDS</w:t>
            </w:r>
          </w:p>
        </w:tc>
        <w:tc>
          <w:tcPr>
            <w:tcW w:w="1120" w:type="dxa"/>
            <w:vAlign w:val="bottom"/>
            <w:tcBorders>
              <w:right w:val="single" w:sz="8" w:color="969696"/>
            </w:tcBorders>
            <w:shd w:val="clear" w:color="auto" w:fill="969696"/>
          </w:tcPr>
          <w:p>
            <w:pPr>
              <w:spacing w:after="0"/>
              <w:rPr>
                <w:sz w:val="7"/>
                <w:szCs w:val="7"/>
                <w:color w:val="auto"/>
              </w:rPr>
            </w:pPr>
          </w:p>
        </w:tc>
        <w:tc>
          <w:tcPr>
            <w:tcW w:w="1100" w:type="dxa"/>
            <w:vAlign w:val="bottom"/>
            <w:tcBorders>
              <w:right w:val="single" w:sz="8" w:color="CCCCFF"/>
            </w:tcBorders>
            <w:shd w:val="clear" w:color="auto" w:fill="969696"/>
          </w:tcPr>
          <w:p>
            <w:pPr>
              <w:spacing w:after="0"/>
              <w:rPr>
                <w:sz w:val="7"/>
                <w:szCs w:val="7"/>
                <w:color w:val="auto"/>
              </w:rPr>
            </w:pPr>
          </w:p>
        </w:tc>
        <w:tc>
          <w:tcPr>
            <w:tcW w:w="1520" w:type="dxa"/>
            <w:vAlign w:val="bottom"/>
            <w:tcBorders>
              <w:right w:val="single" w:sz="8" w:color="CCCCFF"/>
            </w:tcBorders>
            <w:shd w:val="clear" w:color="auto" w:fill="969696"/>
          </w:tcPr>
          <w:p>
            <w:pPr>
              <w:spacing w:after="0"/>
              <w:rPr>
                <w:sz w:val="7"/>
                <w:szCs w:val="7"/>
                <w:color w:val="auto"/>
              </w:rPr>
            </w:pPr>
          </w:p>
        </w:tc>
        <w:tc>
          <w:tcPr>
            <w:tcW w:w="1120" w:type="dxa"/>
            <w:vAlign w:val="bottom"/>
            <w:tcBorders>
              <w:right w:val="single" w:sz="8" w:color="CCCCFF"/>
            </w:tcBorders>
            <w:vMerge w:val="continue"/>
            <w:shd w:val="clear" w:color="auto" w:fill="969696"/>
          </w:tcPr>
          <w:p>
            <w:pPr>
              <w:spacing w:after="0"/>
              <w:rPr>
                <w:sz w:val="7"/>
                <w:szCs w:val="7"/>
                <w:color w:val="auto"/>
              </w:rPr>
            </w:pPr>
          </w:p>
        </w:tc>
        <w:tc>
          <w:tcPr>
            <w:tcW w:w="1560" w:type="dxa"/>
            <w:vAlign w:val="bottom"/>
            <w:tcBorders>
              <w:right w:val="single" w:sz="8" w:color="CCCCFF"/>
            </w:tcBorders>
            <w:vMerge w:val="continue"/>
            <w:shd w:val="clear" w:color="auto" w:fill="969696"/>
          </w:tcPr>
          <w:p>
            <w:pPr>
              <w:spacing w:after="0"/>
              <w:rPr>
                <w:sz w:val="7"/>
                <w:szCs w:val="7"/>
                <w:color w:val="auto"/>
              </w:rPr>
            </w:pPr>
          </w:p>
        </w:tc>
        <w:tc>
          <w:tcPr>
            <w:tcW w:w="1080" w:type="dxa"/>
            <w:vAlign w:val="bottom"/>
            <w:tcBorders>
              <w:right w:val="single" w:sz="8" w:color="CCCCFF"/>
            </w:tcBorders>
            <w:shd w:val="clear" w:color="auto" w:fill="969696"/>
          </w:tcPr>
          <w:p>
            <w:pPr>
              <w:spacing w:after="0"/>
              <w:rPr>
                <w:sz w:val="7"/>
                <w:szCs w:val="7"/>
                <w:color w:val="auto"/>
              </w:rPr>
            </w:pPr>
          </w:p>
        </w:tc>
        <w:tc>
          <w:tcPr>
            <w:tcW w:w="1000" w:type="dxa"/>
            <w:vAlign w:val="bottom"/>
            <w:tcBorders>
              <w:right w:val="single" w:sz="8" w:color="CCCCFF"/>
            </w:tcBorders>
            <w:shd w:val="clear" w:color="auto" w:fill="969696"/>
          </w:tcPr>
          <w:p>
            <w:pPr>
              <w:spacing w:after="0"/>
              <w:rPr>
                <w:sz w:val="7"/>
                <w:szCs w:val="7"/>
                <w:color w:val="auto"/>
              </w:rPr>
            </w:pPr>
          </w:p>
        </w:tc>
        <w:tc>
          <w:tcPr>
            <w:tcW w:w="980" w:type="dxa"/>
            <w:vAlign w:val="bottom"/>
            <w:tcBorders>
              <w:right w:val="single" w:sz="8" w:color="CCCCFF"/>
            </w:tcBorders>
            <w:shd w:val="clear" w:color="auto" w:fill="969696"/>
          </w:tcPr>
          <w:p>
            <w:pPr>
              <w:spacing w:after="0"/>
              <w:rPr>
                <w:sz w:val="7"/>
                <w:szCs w:val="7"/>
                <w:color w:val="auto"/>
              </w:rPr>
            </w:pPr>
          </w:p>
        </w:tc>
        <w:tc>
          <w:tcPr>
            <w:tcW w:w="900" w:type="dxa"/>
            <w:vAlign w:val="bottom"/>
            <w:tcBorders>
              <w:right w:val="single" w:sz="8" w:color="0066CC"/>
            </w:tcBorders>
            <w:shd w:val="clear" w:color="auto" w:fill="969696"/>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00" w:type="dxa"/>
            <w:vAlign w:val="bottom"/>
            <w:tcBorders>
              <w:left w:val="single" w:sz="8" w:color="0066CC"/>
              <w:right w:val="single" w:sz="8" w:color="969696"/>
            </w:tcBorders>
            <w:vMerge w:val="continue"/>
            <w:shd w:val="clear" w:color="auto" w:fill="969696"/>
          </w:tcPr>
          <w:p>
            <w:pPr>
              <w:spacing w:after="0"/>
              <w:rPr>
                <w:sz w:val="6"/>
                <w:szCs w:val="6"/>
                <w:color w:val="auto"/>
              </w:rPr>
            </w:pPr>
          </w:p>
        </w:tc>
        <w:tc>
          <w:tcPr>
            <w:tcW w:w="1120" w:type="dxa"/>
            <w:vAlign w:val="bottom"/>
            <w:tcBorders>
              <w:right w:val="single" w:sz="8" w:color="969696"/>
            </w:tcBorders>
            <w:shd w:val="clear" w:color="auto" w:fill="969696"/>
          </w:tcPr>
          <w:p>
            <w:pPr>
              <w:spacing w:after="0"/>
              <w:rPr>
                <w:sz w:val="6"/>
                <w:szCs w:val="6"/>
                <w:color w:val="auto"/>
              </w:rPr>
            </w:pPr>
          </w:p>
        </w:tc>
        <w:tc>
          <w:tcPr>
            <w:tcW w:w="1100" w:type="dxa"/>
            <w:vAlign w:val="bottom"/>
            <w:tcBorders>
              <w:right w:val="single" w:sz="8" w:color="CCCCFF"/>
            </w:tcBorders>
            <w:shd w:val="clear" w:color="auto" w:fill="969696"/>
          </w:tcPr>
          <w:p>
            <w:pPr>
              <w:spacing w:after="0"/>
              <w:rPr>
                <w:sz w:val="6"/>
                <w:szCs w:val="6"/>
                <w:color w:val="auto"/>
              </w:rPr>
            </w:pPr>
          </w:p>
        </w:tc>
        <w:tc>
          <w:tcPr>
            <w:tcW w:w="1520" w:type="dxa"/>
            <w:vAlign w:val="bottom"/>
            <w:tcBorders>
              <w:right w:val="single" w:sz="8" w:color="CCCCFF"/>
            </w:tcBorders>
            <w:shd w:val="clear" w:color="auto" w:fill="969696"/>
          </w:tcPr>
          <w:p>
            <w:pPr>
              <w:spacing w:after="0"/>
              <w:rPr>
                <w:sz w:val="6"/>
                <w:szCs w:val="6"/>
                <w:color w:val="auto"/>
              </w:rPr>
            </w:pPr>
          </w:p>
        </w:tc>
        <w:tc>
          <w:tcPr>
            <w:tcW w:w="1120" w:type="dxa"/>
            <w:vAlign w:val="bottom"/>
            <w:tcBorders>
              <w:right w:val="single" w:sz="8" w:color="CCCCFF"/>
            </w:tcBorders>
            <w:shd w:val="clear" w:color="auto" w:fill="969696"/>
          </w:tcPr>
          <w:p>
            <w:pPr>
              <w:spacing w:after="0"/>
              <w:rPr>
                <w:sz w:val="6"/>
                <w:szCs w:val="6"/>
                <w:color w:val="auto"/>
              </w:rPr>
            </w:pPr>
          </w:p>
        </w:tc>
        <w:tc>
          <w:tcPr>
            <w:tcW w:w="1560" w:type="dxa"/>
            <w:vAlign w:val="bottom"/>
            <w:tcBorders>
              <w:right w:val="single" w:sz="8" w:color="CCCCFF"/>
            </w:tcBorders>
            <w:shd w:val="clear" w:color="auto" w:fill="969696"/>
          </w:tcPr>
          <w:p>
            <w:pPr>
              <w:spacing w:after="0"/>
              <w:rPr>
                <w:sz w:val="6"/>
                <w:szCs w:val="6"/>
                <w:color w:val="auto"/>
              </w:rPr>
            </w:pPr>
          </w:p>
        </w:tc>
        <w:tc>
          <w:tcPr>
            <w:tcW w:w="1080" w:type="dxa"/>
            <w:vAlign w:val="bottom"/>
            <w:tcBorders>
              <w:right w:val="single" w:sz="8" w:color="CCCCFF"/>
            </w:tcBorders>
            <w:shd w:val="clear" w:color="auto" w:fill="969696"/>
          </w:tcPr>
          <w:p>
            <w:pPr>
              <w:spacing w:after="0"/>
              <w:rPr>
                <w:sz w:val="6"/>
                <w:szCs w:val="6"/>
                <w:color w:val="auto"/>
              </w:rPr>
            </w:pPr>
          </w:p>
        </w:tc>
        <w:tc>
          <w:tcPr>
            <w:tcW w:w="1000" w:type="dxa"/>
            <w:vAlign w:val="bottom"/>
            <w:tcBorders>
              <w:right w:val="single" w:sz="8" w:color="CCCCFF"/>
            </w:tcBorders>
            <w:shd w:val="clear" w:color="auto" w:fill="969696"/>
          </w:tcPr>
          <w:p>
            <w:pPr>
              <w:spacing w:after="0"/>
              <w:rPr>
                <w:sz w:val="6"/>
                <w:szCs w:val="6"/>
                <w:color w:val="auto"/>
              </w:rPr>
            </w:pPr>
          </w:p>
        </w:tc>
        <w:tc>
          <w:tcPr>
            <w:tcW w:w="980" w:type="dxa"/>
            <w:vAlign w:val="bottom"/>
            <w:tcBorders>
              <w:right w:val="single" w:sz="8" w:color="CCCCFF"/>
            </w:tcBorders>
            <w:shd w:val="clear" w:color="auto" w:fill="969696"/>
          </w:tcPr>
          <w:p>
            <w:pPr>
              <w:spacing w:after="0"/>
              <w:rPr>
                <w:sz w:val="6"/>
                <w:szCs w:val="6"/>
                <w:color w:val="auto"/>
              </w:rPr>
            </w:pPr>
          </w:p>
        </w:tc>
        <w:tc>
          <w:tcPr>
            <w:tcW w:w="900" w:type="dxa"/>
            <w:vAlign w:val="bottom"/>
            <w:tcBorders>
              <w:right w:val="single" w:sz="8" w:color="0066CC"/>
            </w:tcBorders>
            <w:shd w:val="clear" w:color="auto" w:fill="969696"/>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220" w:type="dxa"/>
            <w:vAlign w:val="bottom"/>
            <w:tcBorders>
              <w:left w:val="single" w:sz="8" w:color="0066CC"/>
              <w:bottom w:val="single" w:sz="8" w:color="800080"/>
              <w:right w:val="single" w:sz="8" w:color="800080"/>
            </w:tcBorders>
            <w:gridSpan w:val="2"/>
            <w:shd w:val="clear" w:color="auto" w:fill="800080"/>
          </w:tcPr>
          <w:p>
            <w:pPr>
              <w:ind w:left="60"/>
              <w:spacing w:after="0"/>
              <w:rPr>
                <w:sz w:val="20"/>
                <w:szCs w:val="20"/>
                <w:color w:val="auto"/>
              </w:rPr>
            </w:pPr>
            <w:r>
              <w:rPr>
                <w:rFonts w:ascii="Arial" w:cs="Arial" w:eastAsia="Arial" w:hAnsi="Arial"/>
                <w:sz w:val="12"/>
                <w:szCs w:val="12"/>
                <w:b w:val="1"/>
                <w:bCs w:val="1"/>
                <w:color w:val="FFFFFF"/>
              </w:rPr>
              <w:t>LICENSE &amp; PERMIT BONDS</w:t>
            </w:r>
          </w:p>
        </w:tc>
        <w:tc>
          <w:tcPr>
            <w:tcW w:w="1100" w:type="dxa"/>
            <w:vAlign w:val="bottom"/>
            <w:tcBorders>
              <w:bottom w:val="single" w:sz="8" w:color="800080"/>
              <w:right w:val="single" w:sz="8" w:color="800080"/>
            </w:tcBorders>
            <w:shd w:val="clear" w:color="auto" w:fill="800080"/>
          </w:tcPr>
          <w:p>
            <w:pPr>
              <w:spacing w:after="0"/>
              <w:rPr>
                <w:sz w:val="19"/>
                <w:szCs w:val="19"/>
                <w:color w:val="auto"/>
              </w:rPr>
            </w:pPr>
          </w:p>
        </w:tc>
        <w:tc>
          <w:tcPr>
            <w:tcW w:w="1520" w:type="dxa"/>
            <w:vAlign w:val="bottom"/>
            <w:tcBorders>
              <w:bottom w:val="single" w:sz="8" w:color="800080"/>
              <w:right w:val="single" w:sz="8" w:color="800080"/>
            </w:tcBorders>
            <w:shd w:val="clear" w:color="auto" w:fill="800080"/>
          </w:tcPr>
          <w:p>
            <w:pPr>
              <w:spacing w:after="0"/>
              <w:rPr>
                <w:sz w:val="19"/>
                <w:szCs w:val="19"/>
                <w:color w:val="auto"/>
              </w:rPr>
            </w:pPr>
          </w:p>
        </w:tc>
        <w:tc>
          <w:tcPr>
            <w:tcW w:w="1120" w:type="dxa"/>
            <w:vAlign w:val="bottom"/>
            <w:tcBorders>
              <w:bottom w:val="single" w:sz="8" w:color="800080"/>
              <w:right w:val="single" w:sz="8" w:color="800080"/>
            </w:tcBorders>
            <w:shd w:val="clear" w:color="auto" w:fill="800080"/>
          </w:tcPr>
          <w:p>
            <w:pPr>
              <w:spacing w:after="0"/>
              <w:rPr>
                <w:sz w:val="19"/>
                <w:szCs w:val="19"/>
                <w:color w:val="auto"/>
              </w:rPr>
            </w:pPr>
          </w:p>
        </w:tc>
        <w:tc>
          <w:tcPr>
            <w:tcW w:w="1560" w:type="dxa"/>
            <w:vAlign w:val="bottom"/>
            <w:tcBorders>
              <w:bottom w:val="single" w:sz="8" w:color="800080"/>
              <w:right w:val="single" w:sz="8" w:color="800080"/>
            </w:tcBorders>
            <w:shd w:val="clear" w:color="auto" w:fill="800080"/>
          </w:tcPr>
          <w:p>
            <w:pPr>
              <w:spacing w:after="0"/>
              <w:rPr>
                <w:sz w:val="19"/>
                <w:szCs w:val="19"/>
                <w:color w:val="auto"/>
              </w:rPr>
            </w:pPr>
          </w:p>
        </w:tc>
        <w:tc>
          <w:tcPr>
            <w:tcW w:w="1080" w:type="dxa"/>
            <w:vAlign w:val="bottom"/>
            <w:tcBorders>
              <w:bottom w:val="single" w:sz="8" w:color="800080"/>
              <w:right w:val="single" w:sz="8" w:color="800080"/>
            </w:tcBorders>
            <w:shd w:val="clear" w:color="auto" w:fill="800080"/>
          </w:tcPr>
          <w:p>
            <w:pPr>
              <w:spacing w:after="0"/>
              <w:rPr>
                <w:sz w:val="19"/>
                <w:szCs w:val="19"/>
                <w:color w:val="auto"/>
              </w:rPr>
            </w:pPr>
          </w:p>
        </w:tc>
        <w:tc>
          <w:tcPr>
            <w:tcW w:w="1000" w:type="dxa"/>
            <w:vAlign w:val="bottom"/>
            <w:tcBorders>
              <w:bottom w:val="single" w:sz="8" w:color="800080"/>
              <w:right w:val="single" w:sz="8" w:color="800080"/>
            </w:tcBorders>
            <w:shd w:val="clear" w:color="auto" w:fill="800080"/>
          </w:tcPr>
          <w:p>
            <w:pPr>
              <w:spacing w:after="0"/>
              <w:rPr>
                <w:sz w:val="19"/>
                <w:szCs w:val="19"/>
                <w:color w:val="auto"/>
              </w:rPr>
            </w:pPr>
          </w:p>
        </w:tc>
        <w:tc>
          <w:tcPr>
            <w:tcW w:w="980" w:type="dxa"/>
            <w:vAlign w:val="bottom"/>
            <w:tcBorders>
              <w:bottom w:val="single" w:sz="8" w:color="800080"/>
              <w:right w:val="single" w:sz="8" w:color="800080"/>
            </w:tcBorders>
            <w:shd w:val="clear" w:color="auto" w:fill="800080"/>
          </w:tcPr>
          <w:p>
            <w:pPr>
              <w:spacing w:after="0"/>
              <w:rPr>
                <w:sz w:val="19"/>
                <w:szCs w:val="19"/>
                <w:color w:val="auto"/>
              </w:rPr>
            </w:pPr>
          </w:p>
        </w:tc>
        <w:tc>
          <w:tcPr>
            <w:tcW w:w="900" w:type="dxa"/>
            <w:vAlign w:val="bottom"/>
            <w:tcBorders>
              <w:bottom w:val="single" w:sz="8" w:color="800080"/>
              <w:right w:val="single" w:sz="8" w:color="0066CC"/>
            </w:tcBorders>
            <w:shd w:val="clear" w:color="auto" w:fill="800080"/>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1100" w:type="dxa"/>
            <w:vAlign w:val="bottom"/>
            <w:tcBorders>
              <w:left w:val="single" w:sz="8" w:color="0066CC"/>
              <w:right w:val="single" w:sz="8" w:color="CCCCFF"/>
            </w:tcBorders>
          </w:tcPr>
          <w:p>
            <w:pPr>
              <w:spacing w:after="0"/>
              <w:rPr>
                <w:sz w:val="11"/>
                <w:szCs w:val="11"/>
                <w:color w:val="auto"/>
              </w:rPr>
            </w:pPr>
          </w:p>
        </w:tc>
        <w:tc>
          <w:tcPr>
            <w:tcW w:w="1120" w:type="dxa"/>
            <w:vAlign w:val="bottom"/>
            <w:tcBorders>
              <w:right w:val="single" w:sz="8" w:color="CCCCFF"/>
            </w:tcBorders>
          </w:tcPr>
          <w:p>
            <w:pPr>
              <w:jc w:val="center"/>
              <w:spacing w:after="0" w:line="128" w:lineRule="exact"/>
              <w:rPr>
                <w:sz w:val="20"/>
                <w:szCs w:val="20"/>
                <w:color w:val="auto"/>
              </w:rPr>
            </w:pPr>
            <w:r>
              <w:rPr>
                <w:rFonts w:ascii="Arial" w:cs="Arial" w:eastAsia="Arial" w:hAnsi="Arial"/>
                <w:sz w:val="12"/>
                <w:szCs w:val="12"/>
                <w:color w:val="auto"/>
                <w:w w:val="94"/>
              </w:rPr>
              <w:t>Matrix North</w:t>
            </w:r>
          </w:p>
        </w:tc>
        <w:tc>
          <w:tcPr>
            <w:tcW w:w="110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1"/>
              </w:rPr>
              <w:t>State of North</w:t>
            </w:r>
          </w:p>
        </w:tc>
        <w:tc>
          <w:tcPr>
            <w:tcW w:w="1520" w:type="dxa"/>
            <w:vAlign w:val="bottom"/>
            <w:tcBorders>
              <w:right w:val="single" w:sz="8" w:color="CCCCFF"/>
            </w:tcBorders>
          </w:tcPr>
          <w:p>
            <w:pPr>
              <w:spacing w:after="0"/>
              <w:rPr>
                <w:sz w:val="11"/>
                <w:szCs w:val="11"/>
                <w:color w:val="auto"/>
              </w:rPr>
            </w:pPr>
          </w:p>
        </w:tc>
        <w:tc>
          <w:tcPr>
            <w:tcW w:w="1120" w:type="dxa"/>
            <w:vAlign w:val="bottom"/>
            <w:tcBorders>
              <w:right w:val="single" w:sz="8" w:color="CCCCFF"/>
            </w:tcBorders>
          </w:tcPr>
          <w:p>
            <w:pPr>
              <w:spacing w:after="0"/>
              <w:rPr>
                <w:sz w:val="11"/>
                <w:szCs w:val="11"/>
                <w:color w:val="auto"/>
              </w:rPr>
            </w:pPr>
          </w:p>
        </w:tc>
        <w:tc>
          <w:tcPr>
            <w:tcW w:w="1560" w:type="dxa"/>
            <w:vAlign w:val="bottom"/>
            <w:tcBorders>
              <w:right w:val="single" w:sz="8" w:color="CCCCFF"/>
            </w:tcBorders>
          </w:tcPr>
          <w:p>
            <w:pPr>
              <w:spacing w:after="0"/>
              <w:rPr>
                <w:sz w:val="11"/>
                <w:szCs w:val="11"/>
                <w:color w:val="auto"/>
              </w:rPr>
            </w:pPr>
          </w:p>
        </w:tc>
        <w:tc>
          <w:tcPr>
            <w:tcW w:w="1080" w:type="dxa"/>
            <w:vAlign w:val="bottom"/>
            <w:tcBorders>
              <w:right w:val="single" w:sz="8" w:color="CCCCFF"/>
            </w:tcBorders>
          </w:tcPr>
          <w:p>
            <w:pPr>
              <w:spacing w:after="0"/>
              <w:rPr>
                <w:sz w:val="11"/>
                <w:szCs w:val="11"/>
                <w:color w:val="auto"/>
              </w:rPr>
            </w:pPr>
          </w:p>
        </w:tc>
        <w:tc>
          <w:tcPr>
            <w:tcW w:w="1000" w:type="dxa"/>
            <w:vAlign w:val="bottom"/>
            <w:tcBorders>
              <w:right w:val="single" w:sz="8" w:color="CCCCFF"/>
            </w:tcBorders>
          </w:tcPr>
          <w:p>
            <w:pPr>
              <w:spacing w:after="0"/>
              <w:rPr>
                <w:sz w:val="11"/>
                <w:szCs w:val="11"/>
                <w:color w:val="auto"/>
              </w:rPr>
            </w:pPr>
          </w:p>
        </w:tc>
        <w:tc>
          <w:tcPr>
            <w:tcW w:w="980" w:type="dxa"/>
            <w:vAlign w:val="bottom"/>
            <w:tcBorders>
              <w:right w:val="single" w:sz="8" w:color="CCCCFF"/>
            </w:tcBorders>
          </w:tcPr>
          <w:p>
            <w:pPr>
              <w:spacing w:after="0"/>
              <w:rPr>
                <w:sz w:val="11"/>
                <w:szCs w:val="11"/>
                <w:color w:val="auto"/>
              </w:rPr>
            </w:pPr>
          </w:p>
        </w:tc>
        <w:tc>
          <w:tcPr>
            <w:tcW w:w="900" w:type="dxa"/>
            <w:vAlign w:val="bottom"/>
            <w:tcBorders>
              <w:right w:val="single" w:sz="8" w:color="0066CC"/>
            </w:tcBorders>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1100" w:type="dxa"/>
            <w:vAlign w:val="bottom"/>
            <w:tcBorders>
              <w:left w:val="single" w:sz="8" w:color="0066CC"/>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08364704</w:t>
            </w:r>
          </w:p>
        </w:tc>
        <w:tc>
          <w:tcPr>
            <w:tcW w:w="11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00" w:type="dxa"/>
            <w:vAlign w:val="bottom"/>
            <w:tcBorders>
              <w:right w:val="single" w:sz="8" w:color="CCCCFF"/>
            </w:tcBorders>
            <w:vMerge w:val="continue"/>
          </w:tcPr>
          <w:p>
            <w:pPr>
              <w:spacing w:after="0"/>
              <w:rPr>
                <w:sz w:val="4"/>
                <w:szCs w:val="4"/>
                <w:color w:val="auto"/>
              </w:rPr>
            </w:pPr>
          </w:p>
        </w:tc>
        <w:tc>
          <w:tcPr>
            <w:tcW w:w="15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Contractors License</w:t>
            </w:r>
          </w:p>
        </w:tc>
        <w:tc>
          <w:tcPr>
            <w:tcW w:w="11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Contractors License</w:t>
            </w:r>
          </w:p>
        </w:tc>
        <w:tc>
          <w:tcPr>
            <w:tcW w:w="156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$2,000,000.00</w:t>
            </w:r>
          </w:p>
        </w:tc>
        <w:tc>
          <w:tcPr>
            <w:tcW w:w="108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5"/>
              </w:rPr>
              <w:t>Zurich</w:t>
            </w:r>
          </w:p>
        </w:tc>
        <w:tc>
          <w:tcPr>
            <w:tcW w:w="100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01-Mar-11</w:t>
            </w:r>
          </w:p>
        </w:tc>
        <w:tc>
          <w:tcPr>
            <w:tcW w:w="98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3"/>
              </w:rPr>
              <w:t>01-Mar-16</w:t>
            </w:r>
          </w:p>
        </w:tc>
        <w:tc>
          <w:tcPr>
            <w:tcW w:w="900" w:type="dxa"/>
            <w:vAlign w:val="bottom"/>
            <w:tcBorders>
              <w:right w:val="single" w:sz="8" w:color="0066CC"/>
            </w:tcBorders>
            <w:vMerge w:val="restart"/>
          </w:tcPr>
          <w:p>
            <w:pPr>
              <w:jc w:val="center"/>
              <w:spacing w:after="0" w:line="121" w:lineRule="exact"/>
              <w:rPr>
                <w:sz w:val="20"/>
                <w:szCs w:val="20"/>
                <w:color w:val="auto"/>
              </w:rPr>
            </w:pPr>
            <w:r>
              <w:rPr>
                <w:rFonts w:ascii="Arial" w:cs="Arial" w:eastAsia="Arial" w:hAnsi="Arial"/>
                <w:sz w:val="12"/>
                <w:szCs w:val="12"/>
                <w:color w:val="auto"/>
                <w:w w:val="90"/>
              </w:rPr>
              <w:t>01-Mar-17</w:t>
            </w:r>
          </w:p>
        </w:tc>
        <w:tc>
          <w:tcPr>
            <w:tcW w:w="0" w:type="dxa"/>
            <w:vAlign w:val="bottom"/>
          </w:tcPr>
          <w:p>
            <w:pPr>
              <w:spacing w:after="0"/>
              <w:rPr>
                <w:sz w:val="1"/>
                <w:szCs w:val="1"/>
                <w:color w:val="auto"/>
              </w:rPr>
            </w:pPr>
          </w:p>
        </w:tc>
      </w:tr>
      <w:tr>
        <w:trPr>
          <w:trHeight w:val="66"/>
        </w:trPr>
        <w:tc>
          <w:tcPr>
            <w:tcW w:w="1100" w:type="dxa"/>
            <w:vAlign w:val="bottom"/>
            <w:tcBorders>
              <w:left w:val="single" w:sz="8" w:color="0066CC"/>
              <w:right w:val="single" w:sz="8" w:color="CCCCFF"/>
            </w:tcBorders>
            <w:vMerge w:val="continue"/>
          </w:tcPr>
          <w:p>
            <w:pPr>
              <w:spacing w:after="0"/>
              <w:rPr>
                <w:sz w:val="5"/>
                <w:szCs w:val="5"/>
                <w:color w:val="auto"/>
              </w:rPr>
            </w:pPr>
          </w:p>
        </w:tc>
        <w:tc>
          <w:tcPr>
            <w:tcW w:w="1120" w:type="dxa"/>
            <w:vAlign w:val="bottom"/>
            <w:tcBorders>
              <w:right w:val="single" w:sz="8" w:color="CCCCFF"/>
            </w:tcBorders>
            <w:vMerge w:val="continue"/>
          </w:tcPr>
          <w:p>
            <w:pPr>
              <w:spacing w:after="0"/>
              <w:rPr>
                <w:sz w:val="5"/>
                <w:szCs w:val="5"/>
                <w:color w:val="auto"/>
              </w:rPr>
            </w:pPr>
          </w:p>
        </w:tc>
        <w:tc>
          <w:tcPr>
            <w:tcW w:w="110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Carolina</w:t>
            </w:r>
          </w:p>
        </w:tc>
        <w:tc>
          <w:tcPr>
            <w:tcW w:w="1520" w:type="dxa"/>
            <w:vAlign w:val="bottom"/>
            <w:tcBorders>
              <w:right w:val="single" w:sz="8" w:color="CCCCFF"/>
            </w:tcBorders>
            <w:vMerge w:val="continue"/>
          </w:tcPr>
          <w:p>
            <w:pPr>
              <w:spacing w:after="0"/>
              <w:rPr>
                <w:sz w:val="5"/>
                <w:szCs w:val="5"/>
                <w:color w:val="auto"/>
              </w:rPr>
            </w:pPr>
          </w:p>
        </w:tc>
        <w:tc>
          <w:tcPr>
            <w:tcW w:w="1120" w:type="dxa"/>
            <w:vAlign w:val="bottom"/>
            <w:tcBorders>
              <w:right w:val="single" w:sz="8" w:color="CCCCFF"/>
            </w:tcBorders>
            <w:vMerge w:val="continue"/>
          </w:tcPr>
          <w:p>
            <w:pPr>
              <w:spacing w:after="0"/>
              <w:rPr>
                <w:sz w:val="5"/>
                <w:szCs w:val="5"/>
                <w:color w:val="auto"/>
              </w:rPr>
            </w:pPr>
          </w:p>
        </w:tc>
        <w:tc>
          <w:tcPr>
            <w:tcW w:w="1560" w:type="dxa"/>
            <w:vAlign w:val="bottom"/>
            <w:tcBorders>
              <w:right w:val="single" w:sz="8" w:color="CCCCFF"/>
            </w:tcBorders>
            <w:vMerge w:val="continue"/>
          </w:tcPr>
          <w:p>
            <w:pPr>
              <w:spacing w:after="0"/>
              <w:rPr>
                <w:sz w:val="5"/>
                <w:szCs w:val="5"/>
                <w:color w:val="auto"/>
              </w:rPr>
            </w:pPr>
          </w:p>
        </w:tc>
        <w:tc>
          <w:tcPr>
            <w:tcW w:w="1080" w:type="dxa"/>
            <w:vAlign w:val="bottom"/>
            <w:tcBorders>
              <w:right w:val="single" w:sz="8" w:color="CCCCFF"/>
            </w:tcBorders>
            <w:vMerge w:val="continue"/>
          </w:tcPr>
          <w:p>
            <w:pPr>
              <w:spacing w:after="0"/>
              <w:rPr>
                <w:sz w:val="5"/>
                <w:szCs w:val="5"/>
                <w:color w:val="auto"/>
              </w:rPr>
            </w:pPr>
          </w:p>
        </w:tc>
        <w:tc>
          <w:tcPr>
            <w:tcW w:w="1000" w:type="dxa"/>
            <w:vAlign w:val="bottom"/>
            <w:tcBorders>
              <w:right w:val="single" w:sz="8" w:color="CCCCFF"/>
            </w:tcBorders>
            <w:vMerge w:val="continue"/>
          </w:tcPr>
          <w:p>
            <w:pPr>
              <w:spacing w:after="0"/>
              <w:rPr>
                <w:sz w:val="5"/>
                <w:szCs w:val="5"/>
                <w:color w:val="auto"/>
              </w:rPr>
            </w:pPr>
          </w:p>
        </w:tc>
        <w:tc>
          <w:tcPr>
            <w:tcW w:w="980" w:type="dxa"/>
            <w:vAlign w:val="bottom"/>
            <w:tcBorders>
              <w:right w:val="single" w:sz="8" w:color="CCCCFF"/>
            </w:tcBorders>
            <w:vMerge w:val="continue"/>
          </w:tcPr>
          <w:p>
            <w:pPr>
              <w:spacing w:after="0"/>
              <w:rPr>
                <w:sz w:val="5"/>
                <w:szCs w:val="5"/>
                <w:color w:val="auto"/>
              </w:rPr>
            </w:pPr>
          </w:p>
        </w:tc>
        <w:tc>
          <w:tcPr>
            <w:tcW w:w="900" w:type="dxa"/>
            <w:vAlign w:val="bottom"/>
            <w:tcBorders>
              <w:right w:val="single" w:sz="8" w:color="0066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00" w:type="dxa"/>
            <w:vAlign w:val="bottom"/>
            <w:tcBorders>
              <w:left w:val="single" w:sz="8" w:color="0066CC"/>
              <w:right w:val="single" w:sz="8" w:color="CCCCFF"/>
            </w:tcBorders>
          </w:tcPr>
          <w:p>
            <w:pPr>
              <w:spacing w:after="0"/>
              <w:rPr>
                <w:sz w:val="7"/>
                <w:szCs w:val="7"/>
                <w:color w:val="auto"/>
              </w:rPr>
            </w:pPr>
          </w:p>
        </w:tc>
        <w:tc>
          <w:tcPr>
            <w:tcW w:w="11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2"/>
              </w:rPr>
              <w:t>Construction, Inc.</w:t>
            </w:r>
          </w:p>
        </w:tc>
        <w:tc>
          <w:tcPr>
            <w:tcW w:w="1100" w:type="dxa"/>
            <w:vAlign w:val="bottom"/>
            <w:tcBorders>
              <w:right w:val="single" w:sz="8" w:color="CCCCFF"/>
            </w:tcBorders>
            <w:vMerge w:val="continue"/>
          </w:tcPr>
          <w:p>
            <w:pPr>
              <w:spacing w:after="0"/>
              <w:rPr>
                <w:sz w:val="7"/>
                <w:szCs w:val="7"/>
                <w:color w:val="auto"/>
              </w:rPr>
            </w:pPr>
          </w:p>
        </w:tc>
        <w:tc>
          <w:tcPr>
            <w:tcW w:w="1520" w:type="dxa"/>
            <w:vAlign w:val="bottom"/>
            <w:tcBorders>
              <w:right w:val="single" w:sz="8" w:color="CCCCFF"/>
            </w:tcBorders>
          </w:tcPr>
          <w:p>
            <w:pPr>
              <w:spacing w:after="0"/>
              <w:rPr>
                <w:sz w:val="7"/>
                <w:szCs w:val="7"/>
                <w:color w:val="auto"/>
              </w:rPr>
            </w:pPr>
          </w:p>
        </w:tc>
        <w:tc>
          <w:tcPr>
            <w:tcW w:w="1120" w:type="dxa"/>
            <w:vAlign w:val="bottom"/>
            <w:tcBorders>
              <w:right w:val="single" w:sz="8" w:color="CCCCFF"/>
            </w:tcBorders>
          </w:tcPr>
          <w:p>
            <w:pPr>
              <w:spacing w:after="0"/>
              <w:rPr>
                <w:sz w:val="7"/>
                <w:szCs w:val="7"/>
                <w:color w:val="auto"/>
              </w:rPr>
            </w:pPr>
          </w:p>
        </w:tc>
        <w:tc>
          <w:tcPr>
            <w:tcW w:w="1560" w:type="dxa"/>
            <w:vAlign w:val="bottom"/>
            <w:tcBorders>
              <w:right w:val="single" w:sz="8" w:color="CCCCFF"/>
            </w:tcBorders>
          </w:tcPr>
          <w:p>
            <w:pPr>
              <w:spacing w:after="0"/>
              <w:rPr>
                <w:sz w:val="7"/>
                <w:szCs w:val="7"/>
                <w:color w:val="auto"/>
              </w:rPr>
            </w:pPr>
          </w:p>
        </w:tc>
        <w:tc>
          <w:tcPr>
            <w:tcW w:w="1080" w:type="dxa"/>
            <w:vAlign w:val="bottom"/>
            <w:tcBorders>
              <w:right w:val="single" w:sz="8" w:color="CCCCFF"/>
            </w:tcBorders>
          </w:tcPr>
          <w:p>
            <w:pPr>
              <w:spacing w:after="0"/>
              <w:rPr>
                <w:sz w:val="7"/>
                <w:szCs w:val="7"/>
                <w:color w:val="auto"/>
              </w:rPr>
            </w:pPr>
          </w:p>
        </w:tc>
        <w:tc>
          <w:tcPr>
            <w:tcW w:w="1000" w:type="dxa"/>
            <w:vAlign w:val="bottom"/>
            <w:tcBorders>
              <w:right w:val="single" w:sz="8" w:color="CCCCFF"/>
            </w:tcBorders>
          </w:tcPr>
          <w:p>
            <w:pPr>
              <w:spacing w:after="0"/>
              <w:rPr>
                <w:sz w:val="7"/>
                <w:szCs w:val="7"/>
                <w:color w:val="auto"/>
              </w:rPr>
            </w:pPr>
          </w:p>
        </w:tc>
        <w:tc>
          <w:tcPr>
            <w:tcW w:w="980" w:type="dxa"/>
            <w:vAlign w:val="bottom"/>
            <w:tcBorders>
              <w:right w:val="single" w:sz="8" w:color="CCCCFF"/>
            </w:tcBorders>
          </w:tcPr>
          <w:p>
            <w:pPr>
              <w:spacing w:after="0"/>
              <w:rPr>
                <w:sz w:val="7"/>
                <w:szCs w:val="7"/>
                <w:color w:val="auto"/>
              </w:rPr>
            </w:pPr>
          </w:p>
        </w:tc>
        <w:tc>
          <w:tcPr>
            <w:tcW w:w="90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00" w:type="dxa"/>
            <w:vAlign w:val="bottom"/>
            <w:tcBorders>
              <w:left w:val="single" w:sz="8" w:color="0066CC"/>
              <w:bottom w:val="single" w:sz="8" w:color="CCCCFF"/>
              <w:right w:val="single" w:sz="8" w:color="CCCCFF"/>
            </w:tcBorders>
          </w:tcPr>
          <w:p>
            <w:pPr>
              <w:spacing w:after="0"/>
              <w:rPr>
                <w:sz w:val="6"/>
                <w:szCs w:val="6"/>
                <w:color w:val="auto"/>
              </w:rPr>
            </w:pPr>
          </w:p>
        </w:tc>
        <w:tc>
          <w:tcPr>
            <w:tcW w:w="1120" w:type="dxa"/>
            <w:vAlign w:val="bottom"/>
            <w:tcBorders>
              <w:bottom w:val="single" w:sz="8" w:color="CCCCFF"/>
              <w:right w:val="single" w:sz="8" w:color="CCCCFF"/>
            </w:tcBorders>
            <w:vMerge w:val="continue"/>
          </w:tcPr>
          <w:p>
            <w:pPr>
              <w:spacing w:after="0"/>
              <w:rPr>
                <w:sz w:val="6"/>
                <w:szCs w:val="6"/>
                <w:color w:val="auto"/>
              </w:rPr>
            </w:pPr>
          </w:p>
        </w:tc>
        <w:tc>
          <w:tcPr>
            <w:tcW w:w="1100" w:type="dxa"/>
            <w:vAlign w:val="bottom"/>
            <w:tcBorders>
              <w:bottom w:val="single" w:sz="8" w:color="CCCCFF"/>
              <w:right w:val="single" w:sz="8" w:color="CCCCFF"/>
            </w:tcBorders>
          </w:tcPr>
          <w:p>
            <w:pPr>
              <w:spacing w:after="0"/>
              <w:rPr>
                <w:sz w:val="6"/>
                <w:szCs w:val="6"/>
                <w:color w:val="auto"/>
              </w:rPr>
            </w:pPr>
          </w:p>
        </w:tc>
        <w:tc>
          <w:tcPr>
            <w:tcW w:w="1520" w:type="dxa"/>
            <w:vAlign w:val="bottom"/>
            <w:tcBorders>
              <w:bottom w:val="single" w:sz="8" w:color="CCCCFF"/>
              <w:right w:val="single" w:sz="8" w:color="CCCCFF"/>
            </w:tcBorders>
          </w:tcPr>
          <w:p>
            <w:pPr>
              <w:spacing w:after="0"/>
              <w:rPr>
                <w:sz w:val="6"/>
                <w:szCs w:val="6"/>
                <w:color w:val="auto"/>
              </w:rPr>
            </w:pPr>
          </w:p>
        </w:tc>
        <w:tc>
          <w:tcPr>
            <w:tcW w:w="1120" w:type="dxa"/>
            <w:vAlign w:val="bottom"/>
            <w:tcBorders>
              <w:bottom w:val="single" w:sz="8" w:color="CCCCFF"/>
              <w:right w:val="single" w:sz="8" w:color="CCCCFF"/>
            </w:tcBorders>
          </w:tcPr>
          <w:p>
            <w:pPr>
              <w:spacing w:after="0"/>
              <w:rPr>
                <w:sz w:val="6"/>
                <w:szCs w:val="6"/>
                <w:color w:val="auto"/>
              </w:rPr>
            </w:pPr>
          </w:p>
        </w:tc>
        <w:tc>
          <w:tcPr>
            <w:tcW w:w="1560" w:type="dxa"/>
            <w:vAlign w:val="bottom"/>
            <w:tcBorders>
              <w:bottom w:val="single" w:sz="8" w:color="CCCCFF"/>
              <w:right w:val="single" w:sz="8" w:color="CCCCFF"/>
            </w:tcBorders>
          </w:tcPr>
          <w:p>
            <w:pPr>
              <w:spacing w:after="0"/>
              <w:rPr>
                <w:sz w:val="6"/>
                <w:szCs w:val="6"/>
                <w:color w:val="auto"/>
              </w:rPr>
            </w:pPr>
          </w:p>
        </w:tc>
        <w:tc>
          <w:tcPr>
            <w:tcW w:w="1080" w:type="dxa"/>
            <w:vAlign w:val="bottom"/>
            <w:tcBorders>
              <w:bottom w:val="single" w:sz="8" w:color="CCCCFF"/>
              <w:right w:val="single" w:sz="8" w:color="CCCCFF"/>
            </w:tcBorders>
          </w:tcPr>
          <w:p>
            <w:pPr>
              <w:spacing w:after="0"/>
              <w:rPr>
                <w:sz w:val="6"/>
                <w:szCs w:val="6"/>
                <w:color w:val="auto"/>
              </w:rPr>
            </w:pPr>
          </w:p>
        </w:tc>
        <w:tc>
          <w:tcPr>
            <w:tcW w:w="1000" w:type="dxa"/>
            <w:vAlign w:val="bottom"/>
            <w:tcBorders>
              <w:bottom w:val="single" w:sz="8" w:color="CCCCFF"/>
              <w:right w:val="single" w:sz="8" w:color="CCCCFF"/>
            </w:tcBorders>
          </w:tcPr>
          <w:p>
            <w:pPr>
              <w:spacing w:after="0"/>
              <w:rPr>
                <w:sz w:val="6"/>
                <w:szCs w:val="6"/>
                <w:color w:val="auto"/>
              </w:rPr>
            </w:pPr>
          </w:p>
        </w:tc>
        <w:tc>
          <w:tcPr>
            <w:tcW w:w="980" w:type="dxa"/>
            <w:vAlign w:val="bottom"/>
            <w:tcBorders>
              <w:bottom w:val="single" w:sz="8" w:color="CCCCFF"/>
              <w:right w:val="single" w:sz="8" w:color="CCCCFF"/>
            </w:tcBorders>
          </w:tcPr>
          <w:p>
            <w:pPr>
              <w:spacing w:after="0"/>
              <w:rPr>
                <w:sz w:val="6"/>
                <w:szCs w:val="6"/>
                <w:color w:val="auto"/>
              </w:rPr>
            </w:pPr>
          </w:p>
        </w:tc>
        <w:tc>
          <w:tcPr>
            <w:tcW w:w="900" w:type="dxa"/>
            <w:vAlign w:val="bottom"/>
            <w:tcBorders>
              <w:bottom w:val="single" w:sz="8" w:color="CCCCFF"/>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100" w:type="dxa"/>
            <w:vAlign w:val="bottom"/>
            <w:tcBorders>
              <w:left w:val="single" w:sz="8" w:color="0066CC"/>
              <w:right w:val="single" w:sz="8" w:color="CCCCFF"/>
            </w:tcBorders>
          </w:tcPr>
          <w:p>
            <w:pPr>
              <w:spacing w:after="0"/>
              <w:rPr>
                <w:sz w:val="10"/>
                <w:szCs w:val="10"/>
                <w:color w:val="auto"/>
              </w:rPr>
            </w:pPr>
          </w:p>
        </w:tc>
        <w:tc>
          <w:tcPr>
            <w:tcW w:w="112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4"/>
              </w:rPr>
              <w:t>Matrix North</w:t>
            </w:r>
          </w:p>
        </w:tc>
        <w:tc>
          <w:tcPr>
            <w:tcW w:w="1100" w:type="dxa"/>
            <w:vAlign w:val="bottom"/>
            <w:tcBorders>
              <w:right w:val="single" w:sz="8" w:color="CCCCFF"/>
            </w:tcBorders>
          </w:tcPr>
          <w:p>
            <w:pPr>
              <w:spacing w:after="0"/>
              <w:rPr>
                <w:sz w:val="10"/>
                <w:szCs w:val="10"/>
                <w:color w:val="auto"/>
              </w:rPr>
            </w:pPr>
          </w:p>
        </w:tc>
        <w:tc>
          <w:tcPr>
            <w:tcW w:w="1520" w:type="dxa"/>
            <w:vAlign w:val="bottom"/>
            <w:tcBorders>
              <w:right w:val="single" w:sz="8" w:color="CCCCFF"/>
            </w:tcBorders>
          </w:tcPr>
          <w:p>
            <w:pPr>
              <w:spacing w:after="0"/>
              <w:rPr>
                <w:sz w:val="10"/>
                <w:szCs w:val="10"/>
                <w:color w:val="auto"/>
              </w:rPr>
            </w:pPr>
          </w:p>
        </w:tc>
        <w:tc>
          <w:tcPr>
            <w:tcW w:w="1120" w:type="dxa"/>
            <w:vAlign w:val="bottom"/>
            <w:tcBorders>
              <w:right w:val="single" w:sz="8" w:color="CCCCFF"/>
            </w:tcBorders>
          </w:tcPr>
          <w:p>
            <w:pPr>
              <w:spacing w:after="0"/>
              <w:rPr>
                <w:sz w:val="10"/>
                <w:szCs w:val="10"/>
                <w:color w:val="auto"/>
              </w:rPr>
            </w:pPr>
          </w:p>
        </w:tc>
        <w:tc>
          <w:tcPr>
            <w:tcW w:w="1560" w:type="dxa"/>
            <w:vAlign w:val="bottom"/>
            <w:tcBorders>
              <w:right w:val="single" w:sz="8" w:color="CCCCFF"/>
            </w:tcBorders>
          </w:tcPr>
          <w:p>
            <w:pPr>
              <w:spacing w:after="0"/>
              <w:rPr>
                <w:sz w:val="10"/>
                <w:szCs w:val="10"/>
                <w:color w:val="auto"/>
              </w:rPr>
            </w:pPr>
          </w:p>
        </w:tc>
        <w:tc>
          <w:tcPr>
            <w:tcW w:w="1080" w:type="dxa"/>
            <w:vAlign w:val="bottom"/>
            <w:tcBorders>
              <w:right w:val="single" w:sz="8" w:color="CCCCFF"/>
            </w:tcBorders>
          </w:tcPr>
          <w:p>
            <w:pPr>
              <w:spacing w:after="0"/>
              <w:rPr>
                <w:sz w:val="10"/>
                <w:szCs w:val="10"/>
                <w:color w:val="auto"/>
              </w:rPr>
            </w:pPr>
          </w:p>
        </w:tc>
        <w:tc>
          <w:tcPr>
            <w:tcW w:w="1000" w:type="dxa"/>
            <w:vAlign w:val="bottom"/>
            <w:tcBorders>
              <w:right w:val="single" w:sz="8" w:color="CCCCFF"/>
            </w:tcBorders>
          </w:tcPr>
          <w:p>
            <w:pPr>
              <w:spacing w:after="0"/>
              <w:rPr>
                <w:sz w:val="10"/>
                <w:szCs w:val="10"/>
                <w:color w:val="auto"/>
              </w:rPr>
            </w:pPr>
          </w:p>
        </w:tc>
        <w:tc>
          <w:tcPr>
            <w:tcW w:w="980" w:type="dxa"/>
            <w:vAlign w:val="bottom"/>
            <w:tcBorders>
              <w:right w:val="single" w:sz="8" w:color="CCCCFF"/>
            </w:tcBorders>
          </w:tcPr>
          <w:p>
            <w:pPr>
              <w:spacing w:after="0"/>
              <w:rPr>
                <w:sz w:val="10"/>
                <w:szCs w:val="10"/>
                <w:color w:val="auto"/>
              </w:rPr>
            </w:pPr>
          </w:p>
        </w:tc>
        <w:tc>
          <w:tcPr>
            <w:tcW w:w="90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00" w:type="dxa"/>
            <w:vAlign w:val="bottom"/>
            <w:tcBorders>
              <w:left w:val="single" w:sz="8" w:color="0066CC"/>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08364733</w:t>
            </w:r>
          </w:p>
        </w:tc>
        <w:tc>
          <w:tcPr>
            <w:tcW w:w="112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0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2"/>
              </w:rPr>
              <w:t>State of California</w:t>
            </w:r>
          </w:p>
        </w:tc>
        <w:tc>
          <w:tcPr>
            <w:tcW w:w="15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3"/>
              </w:rPr>
              <w:t>Bond of Qualifying Individual</w:t>
            </w:r>
          </w:p>
        </w:tc>
        <w:tc>
          <w:tcPr>
            <w:tcW w:w="11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Contractors License</w:t>
            </w:r>
          </w:p>
        </w:tc>
        <w:tc>
          <w:tcPr>
            <w:tcW w:w="1560" w:type="dxa"/>
            <w:vAlign w:val="bottom"/>
            <w:tcBorders>
              <w:right w:val="single" w:sz="8" w:color="CCCCFF"/>
            </w:tcBorders>
            <w:vMerge w:val="restart"/>
          </w:tcPr>
          <w:p>
            <w:pPr>
              <w:jc w:val="right"/>
              <w:spacing w:after="0"/>
              <w:rPr>
                <w:sz w:val="20"/>
                <w:szCs w:val="20"/>
                <w:color w:val="auto"/>
              </w:rPr>
            </w:pPr>
            <w:r>
              <w:rPr>
                <w:rFonts w:ascii="Arial" w:cs="Arial" w:eastAsia="Arial" w:hAnsi="Arial"/>
                <w:sz w:val="12"/>
                <w:szCs w:val="12"/>
                <w:color w:val="auto"/>
              </w:rPr>
              <w:t>$15,000.00</w:t>
            </w:r>
          </w:p>
        </w:tc>
        <w:tc>
          <w:tcPr>
            <w:tcW w:w="108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5"/>
              </w:rPr>
              <w:t>Zurich</w:t>
            </w:r>
          </w:p>
        </w:tc>
        <w:tc>
          <w:tcPr>
            <w:tcW w:w="100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18-Jun-09</w:t>
            </w:r>
          </w:p>
        </w:tc>
        <w:tc>
          <w:tcPr>
            <w:tcW w:w="98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18-Jun-16</w:t>
            </w:r>
          </w:p>
        </w:tc>
        <w:tc>
          <w:tcPr>
            <w:tcW w:w="900" w:type="dxa"/>
            <w:vAlign w:val="bottom"/>
            <w:tcBorders>
              <w:right w:val="single" w:sz="8" w:color="0066CC"/>
            </w:tcBorders>
            <w:vMerge w:val="restart"/>
          </w:tcPr>
          <w:p>
            <w:pPr>
              <w:jc w:val="center"/>
              <w:spacing w:after="0"/>
              <w:rPr>
                <w:sz w:val="20"/>
                <w:szCs w:val="20"/>
                <w:color w:val="auto"/>
              </w:rPr>
            </w:pPr>
            <w:r>
              <w:rPr>
                <w:rFonts w:ascii="Arial" w:cs="Arial" w:eastAsia="Arial" w:hAnsi="Arial"/>
                <w:sz w:val="12"/>
                <w:szCs w:val="12"/>
                <w:color w:val="auto"/>
                <w:w w:val="88"/>
              </w:rPr>
              <w:t>18-Jun-17</w:t>
            </w:r>
          </w:p>
        </w:tc>
        <w:tc>
          <w:tcPr>
            <w:tcW w:w="0" w:type="dxa"/>
            <w:vAlign w:val="bottom"/>
          </w:tcPr>
          <w:p>
            <w:pPr>
              <w:spacing w:after="0"/>
              <w:rPr>
                <w:sz w:val="1"/>
                <w:szCs w:val="1"/>
                <w:color w:val="auto"/>
              </w:rPr>
            </w:pPr>
          </w:p>
        </w:tc>
      </w:tr>
      <w:tr>
        <w:trPr>
          <w:trHeight w:val="83"/>
        </w:trPr>
        <w:tc>
          <w:tcPr>
            <w:tcW w:w="1100" w:type="dxa"/>
            <w:vAlign w:val="bottom"/>
            <w:tcBorders>
              <w:left w:val="single" w:sz="8" w:color="0066CC"/>
              <w:right w:val="single" w:sz="8" w:color="CCCCFF"/>
            </w:tcBorders>
            <w:vMerge w:val="continue"/>
          </w:tcPr>
          <w:p>
            <w:pPr>
              <w:spacing w:after="0"/>
              <w:rPr>
                <w:sz w:val="7"/>
                <w:szCs w:val="7"/>
                <w:color w:val="auto"/>
              </w:rPr>
            </w:pPr>
          </w:p>
        </w:tc>
        <w:tc>
          <w:tcPr>
            <w:tcW w:w="11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3"/>
              </w:rPr>
              <w:t>Construction, Inc. &amp;</w:t>
            </w:r>
          </w:p>
        </w:tc>
        <w:tc>
          <w:tcPr>
            <w:tcW w:w="1100" w:type="dxa"/>
            <w:vAlign w:val="bottom"/>
            <w:tcBorders>
              <w:right w:val="single" w:sz="8" w:color="CCCCFF"/>
            </w:tcBorders>
            <w:vMerge w:val="continue"/>
          </w:tcPr>
          <w:p>
            <w:pPr>
              <w:spacing w:after="0"/>
              <w:rPr>
                <w:sz w:val="7"/>
                <w:szCs w:val="7"/>
                <w:color w:val="auto"/>
              </w:rPr>
            </w:pPr>
          </w:p>
        </w:tc>
        <w:tc>
          <w:tcPr>
            <w:tcW w:w="1520" w:type="dxa"/>
            <w:vAlign w:val="bottom"/>
            <w:tcBorders>
              <w:right w:val="single" w:sz="8" w:color="CCCCFF"/>
            </w:tcBorders>
            <w:vMerge w:val="continue"/>
          </w:tcPr>
          <w:p>
            <w:pPr>
              <w:spacing w:after="0"/>
              <w:rPr>
                <w:sz w:val="7"/>
                <w:szCs w:val="7"/>
                <w:color w:val="auto"/>
              </w:rPr>
            </w:pPr>
          </w:p>
        </w:tc>
        <w:tc>
          <w:tcPr>
            <w:tcW w:w="1120" w:type="dxa"/>
            <w:vAlign w:val="bottom"/>
            <w:tcBorders>
              <w:right w:val="single" w:sz="8" w:color="CCCCFF"/>
            </w:tcBorders>
            <w:vMerge w:val="continue"/>
          </w:tcPr>
          <w:p>
            <w:pPr>
              <w:spacing w:after="0"/>
              <w:rPr>
                <w:sz w:val="7"/>
                <w:szCs w:val="7"/>
                <w:color w:val="auto"/>
              </w:rPr>
            </w:pPr>
          </w:p>
        </w:tc>
        <w:tc>
          <w:tcPr>
            <w:tcW w:w="1560" w:type="dxa"/>
            <w:vAlign w:val="bottom"/>
            <w:tcBorders>
              <w:right w:val="single" w:sz="8" w:color="CCCCFF"/>
            </w:tcBorders>
            <w:vMerge w:val="continue"/>
          </w:tcPr>
          <w:p>
            <w:pPr>
              <w:spacing w:after="0"/>
              <w:rPr>
                <w:sz w:val="7"/>
                <w:szCs w:val="7"/>
                <w:color w:val="auto"/>
              </w:rPr>
            </w:pPr>
          </w:p>
        </w:tc>
        <w:tc>
          <w:tcPr>
            <w:tcW w:w="1080" w:type="dxa"/>
            <w:vAlign w:val="bottom"/>
            <w:tcBorders>
              <w:right w:val="single" w:sz="8" w:color="CCCCFF"/>
            </w:tcBorders>
            <w:vMerge w:val="continue"/>
          </w:tcPr>
          <w:p>
            <w:pPr>
              <w:spacing w:after="0"/>
              <w:rPr>
                <w:sz w:val="7"/>
                <w:szCs w:val="7"/>
                <w:color w:val="auto"/>
              </w:rPr>
            </w:pPr>
          </w:p>
        </w:tc>
        <w:tc>
          <w:tcPr>
            <w:tcW w:w="1000" w:type="dxa"/>
            <w:vAlign w:val="bottom"/>
            <w:tcBorders>
              <w:right w:val="single" w:sz="8" w:color="CCCCFF"/>
            </w:tcBorders>
            <w:vMerge w:val="continue"/>
          </w:tcPr>
          <w:p>
            <w:pPr>
              <w:spacing w:after="0"/>
              <w:rPr>
                <w:sz w:val="7"/>
                <w:szCs w:val="7"/>
                <w:color w:val="auto"/>
              </w:rPr>
            </w:pPr>
          </w:p>
        </w:tc>
        <w:tc>
          <w:tcPr>
            <w:tcW w:w="980" w:type="dxa"/>
            <w:vAlign w:val="bottom"/>
            <w:tcBorders>
              <w:right w:val="single" w:sz="8" w:color="CCCCFF"/>
            </w:tcBorders>
            <w:vMerge w:val="continue"/>
          </w:tcPr>
          <w:p>
            <w:pPr>
              <w:spacing w:after="0"/>
              <w:rPr>
                <w:sz w:val="7"/>
                <w:szCs w:val="7"/>
                <w:color w:val="auto"/>
              </w:rPr>
            </w:pPr>
          </w:p>
        </w:tc>
        <w:tc>
          <w:tcPr>
            <w:tcW w:w="900" w:type="dxa"/>
            <w:vAlign w:val="bottom"/>
            <w:tcBorders>
              <w:right w:val="single" w:sz="8" w:color="0066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00" w:type="dxa"/>
            <w:vAlign w:val="bottom"/>
            <w:tcBorders>
              <w:left w:val="single" w:sz="8" w:color="0066CC"/>
              <w:right w:val="single" w:sz="8" w:color="CCCCFF"/>
            </w:tcBorders>
          </w:tcPr>
          <w:p>
            <w:pPr>
              <w:spacing w:after="0"/>
              <w:rPr>
                <w:sz w:val="3"/>
                <w:szCs w:val="3"/>
                <w:color w:val="auto"/>
              </w:rPr>
            </w:pPr>
          </w:p>
        </w:tc>
        <w:tc>
          <w:tcPr>
            <w:tcW w:w="1120" w:type="dxa"/>
            <w:vAlign w:val="bottom"/>
            <w:tcBorders>
              <w:right w:val="single" w:sz="8" w:color="CCCCFF"/>
            </w:tcBorders>
            <w:vMerge w:val="continue"/>
          </w:tcPr>
          <w:p>
            <w:pPr>
              <w:spacing w:after="0"/>
              <w:rPr>
                <w:sz w:val="3"/>
                <w:szCs w:val="3"/>
                <w:color w:val="auto"/>
              </w:rPr>
            </w:pPr>
          </w:p>
        </w:tc>
        <w:tc>
          <w:tcPr>
            <w:tcW w:w="1100" w:type="dxa"/>
            <w:vAlign w:val="bottom"/>
            <w:tcBorders>
              <w:right w:val="single" w:sz="8" w:color="CCCCFF"/>
            </w:tcBorders>
          </w:tcPr>
          <w:p>
            <w:pPr>
              <w:spacing w:after="0"/>
              <w:rPr>
                <w:sz w:val="3"/>
                <w:szCs w:val="3"/>
                <w:color w:val="auto"/>
              </w:rPr>
            </w:pPr>
          </w:p>
        </w:tc>
        <w:tc>
          <w:tcPr>
            <w:tcW w:w="1520" w:type="dxa"/>
            <w:vAlign w:val="bottom"/>
            <w:tcBorders>
              <w:right w:val="single" w:sz="8" w:color="CCCCFF"/>
            </w:tcBorders>
          </w:tcPr>
          <w:p>
            <w:pPr>
              <w:spacing w:after="0"/>
              <w:rPr>
                <w:sz w:val="3"/>
                <w:szCs w:val="3"/>
                <w:color w:val="auto"/>
              </w:rPr>
            </w:pPr>
          </w:p>
        </w:tc>
        <w:tc>
          <w:tcPr>
            <w:tcW w:w="1120" w:type="dxa"/>
            <w:vAlign w:val="bottom"/>
            <w:tcBorders>
              <w:right w:val="single" w:sz="8" w:color="CCCCFF"/>
            </w:tcBorders>
          </w:tcPr>
          <w:p>
            <w:pPr>
              <w:spacing w:after="0"/>
              <w:rPr>
                <w:sz w:val="3"/>
                <w:szCs w:val="3"/>
                <w:color w:val="auto"/>
              </w:rPr>
            </w:pPr>
          </w:p>
        </w:tc>
        <w:tc>
          <w:tcPr>
            <w:tcW w:w="1560" w:type="dxa"/>
            <w:vAlign w:val="bottom"/>
            <w:tcBorders>
              <w:right w:val="single" w:sz="8" w:color="CCCCFF"/>
            </w:tcBorders>
          </w:tcPr>
          <w:p>
            <w:pPr>
              <w:spacing w:after="0"/>
              <w:rPr>
                <w:sz w:val="3"/>
                <w:szCs w:val="3"/>
                <w:color w:val="auto"/>
              </w:rPr>
            </w:pPr>
          </w:p>
        </w:tc>
        <w:tc>
          <w:tcPr>
            <w:tcW w:w="1080" w:type="dxa"/>
            <w:vAlign w:val="bottom"/>
            <w:tcBorders>
              <w:right w:val="single" w:sz="8" w:color="CCCCFF"/>
            </w:tcBorders>
          </w:tcPr>
          <w:p>
            <w:pPr>
              <w:spacing w:after="0"/>
              <w:rPr>
                <w:sz w:val="3"/>
                <w:szCs w:val="3"/>
                <w:color w:val="auto"/>
              </w:rPr>
            </w:pPr>
          </w:p>
        </w:tc>
        <w:tc>
          <w:tcPr>
            <w:tcW w:w="1000" w:type="dxa"/>
            <w:vAlign w:val="bottom"/>
            <w:tcBorders>
              <w:right w:val="single" w:sz="8" w:color="CCCCFF"/>
            </w:tcBorders>
          </w:tcPr>
          <w:p>
            <w:pPr>
              <w:spacing w:after="0"/>
              <w:rPr>
                <w:sz w:val="3"/>
                <w:szCs w:val="3"/>
                <w:color w:val="auto"/>
              </w:rPr>
            </w:pPr>
          </w:p>
        </w:tc>
        <w:tc>
          <w:tcPr>
            <w:tcW w:w="980" w:type="dxa"/>
            <w:vAlign w:val="bottom"/>
            <w:tcBorders>
              <w:right w:val="single" w:sz="8" w:color="CCCCFF"/>
            </w:tcBorders>
          </w:tcPr>
          <w:p>
            <w:pPr>
              <w:spacing w:after="0"/>
              <w:rPr>
                <w:sz w:val="3"/>
                <w:szCs w:val="3"/>
                <w:color w:val="auto"/>
              </w:rPr>
            </w:pPr>
          </w:p>
        </w:tc>
        <w:tc>
          <w:tcPr>
            <w:tcW w:w="90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1100" w:type="dxa"/>
            <w:vAlign w:val="bottom"/>
            <w:tcBorders>
              <w:left w:val="single" w:sz="8" w:color="0066CC"/>
              <w:bottom w:val="single" w:sz="8" w:color="CCCCFF"/>
              <w:right w:val="single" w:sz="8" w:color="CCCCFF"/>
            </w:tcBorders>
          </w:tcPr>
          <w:p>
            <w:pPr>
              <w:spacing w:after="0"/>
              <w:rPr>
                <w:sz w:val="13"/>
                <w:szCs w:val="13"/>
                <w:color w:val="auto"/>
              </w:rPr>
            </w:pPr>
          </w:p>
        </w:tc>
        <w:tc>
          <w:tcPr>
            <w:tcW w:w="112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3"/>
              </w:rPr>
              <w:t>Bill Jackel</w:t>
            </w:r>
          </w:p>
        </w:tc>
        <w:tc>
          <w:tcPr>
            <w:tcW w:w="1100" w:type="dxa"/>
            <w:vAlign w:val="bottom"/>
            <w:tcBorders>
              <w:bottom w:val="single" w:sz="8" w:color="CCCCFF"/>
              <w:right w:val="single" w:sz="8" w:color="CCCCFF"/>
            </w:tcBorders>
          </w:tcPr>
          <w:p>
            <w:pPr>
              <w:spacing w:after="0"/>
              <w:rPr>
                <w:sz w:val="13"/>
                <w:szCs w:val="13"/>
                <w:color w:val="auto"/>
              </w:rPr>
            </w:pPr>
          </w:p>
        </w:tc>
        <w:tc>
          <w:tcPr>
            <w:tcW w:w="1520" w:type="dxa"/>
            <w:vAlign w:val="bottom"/>
            <w:tcBorders>
              <w:bottom w:val="single" w:sz="8" w:color="CCCCFF"/>
              <w:right w:val="single" w:sz="8" w:color="CCCCFF"/>
            </w:tcBorders>
          </w:tcPr>
          <w:p>
            <w:pPr>
              <w:spacing w:after="0"/>
              <w:rPr>
                <w:sz w:val="13"/>
                <w:szCs w:val="13"/>
                <w:color w:val="auto"/>
              </w:rPr>
            </w:pPr>
          </w:p>
        </w:tc>
        <w:tc>
          <w:tcPr>
            <w:tcW w:w="1120" w:type="dxa"/>
            <w:vAlign w:val="bottom"/>
            <w:tcBorders>
              <w:bottom w:val="single" w:sz="8" w:color="CCCCFF"/>
              <w:right w:val="single" w:sz="8" w:color="CCCCFF"/>
            </w:tcBorders>
          </w:tcPr>
          <w:p>
            <w:pPr>
              <w:spacing w:after="0"/>
              <w:rPr>
                <w:sz w:val="13"/>
                <w:szCs w:val="13"/>
                <w:color w:val="auto"/>
              </w:rPr>
            </w:pPr>
          </w:p>
        </w:tc>
        <w:tc>
          <w:tcPr>
            <w:tcW w:w="1560" w:type="dxa"/>
            <w:vAlign w:val="bottom"/>
            <w:tcBorders>
              <w:bottom w:val="single" w:sz="8" w:color="CCCCFF"/>
              <w:right w:val="single" w:sz="8" w:color="CCCCFF"/>
            </w:tcBorders>
          </w:tcPr>
          <w:p>
            <w:pPr>
              <w:spacing w:after="0"/>
              <w:rPr>
                <w:sz w:val="13"/>
                <w:szCs w:val="13"/>
                <w:color w:val="auto"/>
              </w:rPr>
            </w:pPr>
          </w:p>
        </w:tc>
        <w:tc>
          <w:tcPr>
            <w:tcW w:w="1080" w:type="dxa"/>
            <w:vAlign w:val="bottom"/>
            <w:tcBorders>
              <w:bottom w:val="single" w:sz="8" w:color="CCCCFF"/>
              <w:right w:val="single" w:sz="8" w:color="CCCCFF"/>
            </w:tcBorders>
          </w:tcPr>
          <w:p>
            <w:pPr>
              <w:spacing w:after="0"/>
              <w:rPr>
                <w:sz w:val="13"/>
                <w:szCs w:val="13"/>
                <w:color w:val="auto"/>
              </w:rPr>
            </w:pPr>
          </w:p>
        </w:tc>
        <w:tc>
          <w:tcPr>
            <w:tcW w:w="1000" w:type="dxa"/>
            <w:vAlign w:val="bottom"/>
            <w:tcBorders>
              <w:bottom w:val="single" w:sz="8" w:color="CCCCFF"/>
              <w:right w:val="single" w:sz="8" w:color="CCCCFF"/>
            </w:tcBorders>
          </w:tcPr>
          <w:p>
            <w:pPr>
              <w:spacing w:after="0"/>
              <w:rPr>
                <w:sz w:val="13"/>
                <w:szCs w:val="13"/>
                <w:color w:val="auto"/>
              </w:rPr>
            </w:pPr>
          </w:p>
        </w:tc>
        <w:tc>
          <w:tcPr>
            <w:tcW w:w="980" w:type="dxa"/>
            <w:vAlign w:val="bottom"/>
            <w:tcBorders>
              <w:bottom w:val="single" w:sz="8" w:color="CCCCFF"/>
              <w:right w:val="single" w:sz="8" w:color="CCCCFF"/>
            </w:tcBorders>
          </w:tcPr>
          <w:p>
            <w:pPr>
              <w:spacing w:after="0"/>
              <w:rPr>
                <w:sz w:val="13"/>
                <w:szCs w:val="13"/>
                <w:color w:val="auto"/>
              </w:rPr>
            </w:pPr>
          </w:p>
        </w:tc>
        <w:tc>
          <w:tcPr>
            <w:tcW w:w="90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00" w:type="dxa"/>
            <w:vAlign w:val="bottom"/>
            <w:tcBorders>
              <w:left w:val="single" w:sz="8" w:color="0066CC"/>
              <w:right w:val="single" w:sz="8" w:color="CCCCFF"/>
            </w:tcBorders>
          </w:tcPr>
          <w:p>
            <w:pPr>
              <w:spacing w:after="0"/>
              <w:rPr>
                <w:sz w:val="10"/>
                <w:szCs w:val="10"/>
                <w:color w:val="auto"/>
              </w:rPr>
            </w:pPr>
          </w:p>
        </w:tc>
        <w:tc>
          <w:tcPr>
            <w:tcW w:w="112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4"/>
              </w:rPr>
              <w:t>Matrix North</w:t>
            </w:r>
          </w:p>
        </w:tc>
        <w:tc>
          <w:tcPr>
            <w:tcW w:w="1100" w:type="dxa"/>
            <w:vAlign w:val="bottom"/>
            <w:tcBorders>
              <w:right w:val="single" w:sz="8" w:color="CCCCFF"/>
            </w:tcBorders>
          </w:tcPr>
          <w:p>
            <w:pPr>
              <w:spacing w:after="0"/>
              <w:rPr>
                <w:sz w:val="10"/>
                <w:szCs w:val="10"/>
                <w:color w:val="auto"/>
              </w:rPr>
            </w:pPr>
          </w:p>
        </w:tc>
        <w:tc>
          <w:tcPr>
            <w:tcW w:w="1520" w:type="dxa"/>
            <w:vAlign w:val="bottom"/>
            <w:tcBorders>
              <w:right w:val="single" w:sz="8" w:color="CCCCFF"/>
            </w:tcBorders>
          </w:tcPr>
          <w:p>
            <w:pPr>
              <w:spacing w:after="0"/>
              <w:rPr>
                <w:sz w:val="10"/>
                <w:szCs w:val="10"/>
                <w:color w:val="auto"/>
              </w:rPr>
            </w:pPr>
          </w:p>
        </w:tc>
        <w:tc>
          <w:tcPr>
            <w:tcW w:w="1120" w:type="dxa"/>
            <w:vAlign w:val="bottom"/>
            <w:tcBorders>
              <w:right w:val="single" w:sz="8" w:color="CCCCFF"/>
            </w:tcBorders>
          </w:tcPr>
          <w:p>
            <w:pPr>
              <w:spacing w:after="0"/>
              <w:rPr>
                <w:sz w:val="10"/>
                <w:szCs w:val="10"/>
                <w:color w:val="auto"/>
              </w:rPr>
            </w:pPr>
          </w:p>
        </w:tc>
        <w:tc>
          <w:tcPr>
            <w:tcW w:w="1560" w:type="dxa"/>
            <w:vAlign w:val="bottom"/>
            <w:tcBorders>
              <w:right w:val="single" w:sz="8" w:color="CCCCFF"/>
            </w:tcBorders>
          </w:tcPr>
          <w:p>
            <w:pPr>
              <w:spacing w:after="0"/>
              <w:rPr>
                <w:sz w:val="10"/>
                <w:szCs w:val="10"/>
                <w:color w:val="auto"/>
              </w:rPr>
            </w:pPr>
          </w:p>
        </w:tc>
        <w:tc>
          <w:tcPr>
            <w:tcW w:w="1080" w:type="dxa"/>
            <w:vAlign w:val="bottom"/>
            <w:tcBorders>
              <w:right w:val="single" w:sz="8" w:color="CCCCFF"/>
            </w:tcBorders>
          </w:tcPr>
          <w:p>
            <w:pPr>
              <w:spacing w:after="0"/>
              <w:rPr>
                <w:sz w:val="10"/>
                <w:szCs w:val="10"/>
                <w:color w:val="auto"/>
              </w:rPr>
            </w:pPr>
          </w:p>
        </w:tc>
        <w:tc>
          <w:tcPr>
            <w:tcW w:w="1000" w:type="dxa"/>
            <w:vAlign w:val="bottom"/>
            <w:tcBorders>
              <w:right w:val="single" w:sz="8" w:color="CCCCFF"/>
            </w:tcBorders>
          </w:tcPr>
          <w:p>
            <w:pPr>
              <w:spacing w:after="0"/>
              <w:rPr>
                <w:sz w:val="10"/>
                <w:szCs w:val="10"/>
                <w:color w:val="auto"/>
              </w:rPr>
            </w:pPr>
          </w:p>
        </w:tc>
        <w:tc>
          <w:tcPr>
            <w:tcW w:w="980" w:type="dxa"/>
            <w:vAlign w:val="bottom"/>
            <w:tcBorders>
              <w:right w:val="single" w:sz="8" w:color="CCCCFF"/>
            </w:tcBorders>
          </w:tcPr>
          <w:p>
            <w:pPr>
              <w:spacing w:after="0"/>
              <w:rPr>
                <w:sz w:val="10"/>
                <w:szCs w:val="10"/>
                <w:color w:val="auto"/>
              </w:rPr>
            </w:pPr>
          </w:p>
        </w:tc>
        <w:tc>
          <w:tcPr>
            <w:tcW w:w="90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00" w:type="dxa"/>
            <w:vAlign w:val="bottom"/>
            <w:tcBorders>
              <w:left w:val="single" w:sz="8" w:color="0066CC"/>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08756491</w:t>
            </w:r>
          </w:p>
        </w:tc>
        <w:tc>
          <w:tcPr>
            <w:tcW w:w="112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0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State of Washington</w:t>
            </w:r>
          </w:p>
        </w:tc>
        <w:tc>
          <w:tcPr>
            <w:tcW w:w="152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Contractors License</w:t>
            </w:r>
          </w:p>
        </w:tc>
        <w:tc>
          <w:tcPr>
            <w:tcW w:w="112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Contractors License</w:t>
            </w:r>
          </w:p>
        </w:tc>
        <w:tc>
          <w:tcPr>
            <w:tcW w:w="1560" w:type="dxa"/>
            <w:vAlign w:val="bottom"/>
            <w:tcBorders>
              <w:right w:val="single" w:sz="8" w:color="CCCCFF"/>
            </w:tcBorders>
          </w:tcPr>
          <w:p>
            <w:pPr>
              <w:jc w:val="right"/>
              <w:spacing w:after="0" w:line="121" w:lineRule="exact"/>
              <w:rPr>
                <w:sz w:val="20"/>
                <w:szCs w:val="20"/>
                <w:color w:val="auto"/>
              </w:rPr>
            </w:pPr>
            <w:r>
              <w:rPr>
                <w:rFonts w:ascii="Arial" w:cs="Arial" w:eastAsia="Arial" w:hAnsi="Arial"/>
                <w:sz w:val="12"/>
                <w:szCs w:val="12"/>
                <w:color w:val="auto"/>
              </w:rPr>
              <w:t>$12,000.00</w:t>
            </w:r>
          </w:p>
        </w:tc>
        <w:tc>
          <w:tcPr>
            <w:tcW w:w="108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5"/>
              </w:rPr>
              <w:t>Zurich</w:t>
            </w:r>
          </w:p>
        </w:tc>
        <w:tc>
          <w:tcPr>
            <w:tcW w:w="100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15-Mar-05</w:t>
            </w:r>
          </w:p>
        </w:tc>
        <w:tc>
          <w:tcPr>
            <w:tcW w:w="98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3"/>
              </w:rPr>
              <w:t>15-Mar-16</w:t>
            </w:r>
          </w:p>
        </w:tc>
        <w:tc>
          <w:tcPr>
            <w:tcW w:w="900" w:type="dxa"/>
            <w:vAlign w:val="bottom"/>
            <w:tcBorders>
              <w:right w:val="single" w:sz="8" w:color="0066CC"/>
            </w:tcBorders>
          </w:tcPr>
          <w:p>
            <w:pPr>
              <w:jc w:val="center"/>
              <w:spacing w:after="0" w:line="121" w:lineRule="exact"/>
              <w:rPr>
                <w:sz w:val="20"/>
                <w:szCs w:val="20"/>
                <w:color w:val="auto"/>
              </w:rPr>
            </w:pPr>
            <w:r>
              <w:rPr>
                <w:rFonts w:ascii="Arial" w:cs="Arial" w:eastAsia="Arial" w:hAnsi="Arial"/>
                <w:sz w:val="12"/>
                <w:szCs w:val="12"/>
                <w:color w:val="auto"/>
                <w:w w:val="90"/>
              </w:rPr>
              <w:t>15-Mar-17</w:t>
            </w:r>
          </w:p>
        </w:tc>
        <w:tc>
          <w:tcPr>
            <w:tcW w:w="0" w:type="dxa"/>
            <w:vAlign w:val="bottom"/>
          </w:tcPr>
          <w:p>
            <w:pPr>
              <w:spacing w:after="0"/>
              <w:rPr>
                <w:sz w:val="1"/>
                <w:szCs w:val="1"/>
                <w:color w:val="auto"/>
              </w:rPr>
            </w:pPr>
          </w:p>
        </w:tc>
      </w:tr>
      <w:tr>
        <w:trPr>
          <w:trHeight w:val="154"/>
        </w:trPr>
        <w:tc>
          <w:tcPr>
            <w:tcW w:w="1100" w:type="dxa"/>
            <w:vAlign w:val="bottom"/>
            <w:tcBorders>
              <w:left w:val="single" w:sz="8" w:color="0066CC"/>
              <w:bottom w:val="single" w:sz="8" w:color="CCCCFF"/>
              <w:right w:val="single" w:sz="8" w:color="CCCCFF"/>
            </w:tcBorders>
          </w:tcPr>
          <w:p>
            <w:pPr>
              <w:spacing w:after="0"/>
              <w:rPr>
                <w:sz w:val="13"/>
                <w:szCs w:val="13"/>
                <w:color w:val="auto"/>
              </w:rPr>
            </w:pPr>
          </w:p>
        </w:tc>
        <w:tc>
          <w:tcPr>
            <w:tcW w:w="112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2"/>
              </w:rPr>
              <w:t>Construction, Inc.</w:t>
            </w:r>
          </w:p>
        </w:tc>
        <w:tc>
          <w:tcPr>
            <w:tcW w:w="1100" w:type="dxa"/>
            <w:vAlign w:val="bottom"/>
            <w:tcBorders>
              <w:bottom w:val="single" w:sz="8" w:color="CCCCFF"/>
              <w:right w:val="single" w:sz="8" w:color="CCCCFF"/>
            </w:tcBorders>
          </w:tcPr>
          <w:p>
            <w:pPr>
              <w:spacing w:after="0"/>
              <w:rPr>
                <w:sz w:val="13"/>
                <w:szCs w:val="13"/>
                <w:color w:val="auto"/>
              </w:rPr>
            </w:pPr>
          </w:p>
        </w:tc>
        <w:tc>
          <w:tcPr>
            <w:tcW w:w="1520" w:type="dxa"/>
            <w:vAlign w:val="bottom"/>
            <w:tcBorders>
              <w:bottom w:val="single" w:sz="8" w:color="CCCCFF"/>
              <w:right w:val="single" w:sz="8" w:color="CCCCFF"/>
            </w:tcBorders>
          </w:tcPr>
          <w:p>
            <w:pPr>
              <w:spacing w:after="0"/>
              <w:rPr>
                <w:sz w:val="13"/>
                <w:szCs w:val="13"/>
                <w:color w:val="auto"/>
              </w:rPr>
            </w:pPr>
          </w:p>
        </w:tc>
        <w:tc>
          <w:tcPr>
            <w:tcW w:w="1120" w:type="dxa"/>
            <w:vAlign w:val="bottom"/>
            <w:tcBorders>
              <w:bottom w:val="single" w:sz="8" w:color="CCCCFF"/>
              <w:right w:val="single" w:sz="8" w:color="CCCCFF"/>
            </w:tcBorders>
          </w:tcPr>
          <w:p>
            <w:pPr>
              <w:spacing w:after="0"/>
              <w:rPr>
                <w:sz w:val="13"/>
                <w:szCs w:val="13"/>
                <w:color w:val="auto"/>
              </w:rPr>
            </w:pPr>
          </w:p>
        </w:tc>
        <w:tc>
          <w:tcPr>
            <w:tcW w:w="1560" w:type="dxa"/>
            <w:vAlign w:val="bottom"/>
            <w:tcBorders>
              <w:bottom w:val="single" w:sz="8" w:color="CCCCFF"/>
              <w:right w:val="single" w:sz="8" w:color="CCCCFF"/>
            </w:tcBorders>
          </w:tcPr>
          <w:p>
            <w:pPr>
              <w:spacing w:after="0"/>
              <w:rPr>
                <w:sz w:val="13"/>
                <w:szCs w:val="13"/>
                <w:color w:val="auto"/>
              </w:rPr>
            </w:pPr>
          </w:p>
        </w:tc>
        <w:tc>
          <w:tcPr>
            <w:tcW w:w="1080" w:type="dxa"/>
            <w:vAlign w:val="bottom"/>
            <w:tcBorders>
              <w:bottom w:val="single" w:sz="8" w:color="CCCCFF"/>
              <w:right w:val="single" w:sz="8" w:color="CCCCFF"/>
            </w:tcBorders>
          </w:tcPr>
          <w:p>
            <w:pPr>
              <w:spacing w:after="0"/>
              <w:rPr>
                <w:sz w:val="13"/>
                <w:szCs w:val="13"/>
                <w:color w:val="auto"/>
              </w:rPr>
            </w:pPr>
          </w:p>
        </w:tc>
        <w:tc>
          <w:tcPr>
            <w:tcW w:w="1000" w:type="dxa"/>
            <w:vAlign w:val="bottom"/>
            <w:tcBorders>
              <w:bottom w:val="single" w:sz="8" w:color="CCCCFF"/>
              <w:right w:val="single" w:sz="8" w:color="CCCCFF"/>
            </w:tcBorders>
          </w:tcPr>
          <w:p>
            <w:pPr>
              <w:spacing w:after="0"/>
              <w:rPr>
                <w:sz w:val="13"/>
                <w:szCs w:val="13"/>
                <w:color w:val="auto"/>
              </w:rPr>
            </w:pPr>
          </w:p>
        </w:tc>
        <w:tc>
          <w:tcPr>
            <w:tcW w:w="980" w:type="dxa"/>
            <w:vAlign w:val="bottom"/>
            <w:tcBorders>
              <w:bottom w:val="single" w:sz="8" w:color="CCCCFF"/>
              <w:right w:val="single" w:sz="8" w:color="CCCCFF"/>
            </w:tcBorders>
          </w:tcPr>
          <w:p>
            <w:pPr>
              <w:spacing w:after="0"/>
              <w:rPr>
                <w:sz w:val="13"/>
                <w:szCs w:val="13"/>
                <w:color w:val="auto"/>
              </w:rPr>
            </w:pPr>
          </w:p>
        </w:tc>
        <w:tc>
          <w:tcPr>
            <w:tcW w:w="90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00" w:type="dxa"/>
            <w:vAlign w:val="bottom"/>
            <w:tcBorders>
              <w:left w:val="single" w:sz="8" w:color="0066CC"/>
              <w:right w:val="single" w:sz="8" w:color="CCCCFF"/>
            </w:tcBorders>
          </w:tcPr>
          <w:p>
            <w:pPr>
              <w:spacing w:after="0"/>
              <w:rPr>
                <w:sz w:val="10"/>
                <w:szCs w:val="10"/>
                <w:color w:val="auto"/>
              </w:rPr>
            </w:pPr>
          </w:p>
        </w:tc>
        <w:tc>
          <w:tcPr>
            <w:tcW w:w="112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4"/>
              </w:rPr>
              <w:t>Matrix North</w:t>
            </w:r>
          </w:p>
        </w:tc>
        <w:tc>
          <w:tcPr>
            <w:tcW w:w="110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0"/>
              </w:rPr>
              <w:t>Regulation of</w:t>
            </w:r>
          </w:p>
        </w:tc>
        <w:tc>
          <w:tcPr>
            <w:tcW w:w="1520" w:type="dxa"/>
            <w:vAlign w:val="bottom"/>
            <w:tcBorders>
              <w:right w:val="single" w:sz="8" w:color="CCCCFF"/>
            </w:tcBorders>
          </w:tcPr>
          <w:p>
            <w:pPr>
              <w:spacing w:after="0"/>
              <w:rPr>
                <w:sz w:val="10"/>
                <w:szCs w:val="10"/>
                <w:color w:val="auto"/>
              </w:rPr>
            </w:pPr>
          </w:p>
        </w:tc>
        <w:tc>
          <w:tcPr>
            <w:tcW w:w="1120" w:type="dxa"/>
            <w:vAlign w:val="bottom"/>
            <w:tcBorders>
              <w:right w:val="single" w:sz="8" w:color="CCCCFF"/>
            </w:tcBorders>
          </w:tcPr>
          <w:p>
            <w:pPr>
              <w:spacing w:after="0"/>
              <w:rPr>
                <w:sz w:val="10"/>
                <w:szCs w:val="10"/>
                <w:color w:val="auto"/>
              </w:rPr>
            </w:pPr>
          </w:p>
        </w:tc>
        <w:tc>
          <w:tcPr>
            <w:tcW w:w="1560" w:type="dxa"/>
            <w:vAlign w:val="bottom"/>
            <w:tcBorders>
              <w:right w:val="single" w:sz="8" w:color="CCCCFF"/>
            </w:tcBorders>
          </w:tcPr>
          <w:p>
            <w:pPr>
              <w:spacing w:after="0"/>
              <w:rPr>
                <w:sz w:val="10"/>
                <w:szCs w:val="10"/>
                <w:color w:val="auto"/>
              </w:rPr>
            </w:pPr>
          </w:p>
        </w:tc>
        <w:tc>
          <w:tcPr>
            <w:tcW w:w="1080" w:type="dxa"/>
            <w:vAlign w:val="bottom"/>
            <w:tcBorders>
              <w:right w:val="single" w:sz="8" w:color="CCCCFF"/>
            </w:tcBorders>
          </w:tcPr>
          <w:p>
            <w:pPr>
              <w:spacing w:after="0"/>
              <w:rPr>
                <w:sz w:val="10"/>
                <w:szCs w:val="10"/>
                <w:color w:val="auto"/>
              </w:rPr>
            </w:pPr>
          </w:p>
        </w:tc>
        <w:tc>
          <w:tcPr>
            <w:tcW w:w="1000" w:type="dxa"/>
            <w:vAlign w:val="bottom"/>
            <w:tcBorders>
              <w:right w:val="single" w:sz="8" w:color="CCCCFF"/>
            </w:tcBorders>
          </w:tcPr>
          <w:p>
            <w:pPr>
              <w:spacing w:after="0"/>
              <w:rPr>
                <w:sz w:val="10"/>
                <w:szCs w:val="10"/>
                <w:color w:val="auto"/>
              </w:rPr>
            </w:pPr>
          </w:p>
        </w:tc>
        <w:tc>
          <w:tcPr>
            <w:tcW w:w="980" w:type="dxa"/>
            <w:vAlign w:val="bottom"/>
            <w:tcBorders>
              <w:right w:val="single" w:sz="8" w:color="CCCCFF"/>
            </w:tcBorders>
          </w:tcPr>
          <w:p>
            <w:pPr>
              <w:spacing w:after="0"/>
              <w:rPr>
                <w:sz w:val="10"/>
                <w:szCs w:val="10"/>
                <w:color w:val="auto"/>
              </w:rPr>
            </w:pPr>
          </w:p>
        </w:tc>
        <w:tc>
          <w:tcPr>
            <w:tcW w:w="90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00" w:type="dxa"/>
            <w:vAlign w:val="bottom"/>
            <w:tcBorders>
              <w:left w:val="single" w:sz="8" w:color="0066CC"/>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08756504</w:t>
            </w:r>
          </w:p>
        </w:tc>
        <w:tc>
          <w:tcPr>
            <w:tcW w:w="112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0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Construction</w:t>
            </w:r>
          </w:p>
        </w:tc>
        <w:tc>
          <w:tcPr>
            <w:tcW w:w="152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General Contractor</w:t>
            </w:r>
          </w:p>
        </w:tc>
        <w:tc>
          <w:tcPr>
            <w:tcW w:w="112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Contractors License</w:t>
            </w:r>
          </w:p>
        </w:tc>
        <w:tc>
          <w:tcPr>
            <w:tcW w:w="1560" w:type="dxa"/>
            <w:vAlign w:val="bottom"/>
            <w:tcBorders>
              <w:right w:val="single" w:sz="8" w:color="CCCCFF"/>
            </w:tcBorders>
          </w:tcPr>
          <w:p>
            <w:pPr>
              <w:jc w:val="right"/>
              <w:spacing w:after="0" w:line="121" w:lineRule="exact"/>
              <w:rPr>
                <w:sz w:val="20"/>
                <w:szCs w:val="20"/>
                <w:color w:val="auto"/>
              </w:rPr>
            </w:pPr>
            <w:r>
              <w:rPr>
                <w:rFonts w:ascii="Arial" w:cs="Arial" w:eastAsia="Arial" w:hAnsi="Arial"/>
                <w:sz w:val="12"/>
                <w:szCs w:val="12"/>
                <w:color w:val="auto"/>
              </w:rPr>
              <w:t>$25,000.00</w:t>
            </w:r>
          </w:p>
        </w:tc>
        <w:tc>
          <w:tcPr>
            <w:tcW w:w="108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5"/>
              </w:rPr>
              <w:t>Zurich</w:t>
            </w:r>
          </w:p>
        </w:tc>
        <w:tc>
          <w:tcPr>
            <w:tcW w:w="100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31-Dec-07</w:t>
            </w:r>
          </w:p>
        </w:tc>
        <w:tc>
          <w:tcPr>
            <w:tcW w:w="98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31-Dec-16</w:t>
            </w:r>
          </w:p>
        </w:tc>
        <w:tc>
          <w:tcPr>
            <w:tcW w:w="900" w:type="dxa"/>
            <w:vAlign w:val="bottom"/>
            <w:tcBorders>
              <w:right w:val="single" w:sz="8" w:color="0066CC"/>
            </w:tcBorders>
          </w:tcPr>
          <w:p>
            <w:pPr>
              <w:jc w:val="center"/>
              <w:spacing w:after="0" w:line="121" w:lineRule="exact"/>
              <w:rPr>
                <w:sz w:val="20"/>
                <w:szCs w:val="20"/>
                <w:color w:val="auto"/>
              </w:rPr>
            </w:pPr>
            <w:r>
              <w:rPr>
                <w:rFonts w:ascii="Arial" w:cs="Arial" w:eastAsia="Arial" w:hAnsi="Arial"/>
                <w:sz w:val="12"/>
                <w:szCs w:val="12"/>
                <w:color w:val="auto"/>
                <w:w w:val="89"/>
              </w:rPr>
              <w:t>31-Dec-17</w:t>
            </w:r>
          </w:p>
        </w:tc>
        <w:tc>
          <w:tcPr>
            <w:tcW w:w="0" w:type="dxa"/>
            <w:vAlign w:val="bottom"/>
          </w:tcPr>
          <w:p>
            <w:pPr>
              <w:spacing w:after="0"/>
              <w:rPr>
                <w:sz w:val="1"/>
                <w:szCs w:val="1"/>
                <w:color w:val="auto"/>
              </w:rPr>
            </w:pPr>
          </w:p>
        </w:tc>
      </w:tr>
      <w:tr>
        <w:trPr>
          <w:trHeight w:val="154"/>
        </w:trPr>
        <w:tc>
          <w:tcPr>
            <w:tcW w:w="1100" w:type="dxa"/>
            <w:vAlign w:val="bottom"/>
            <w:tcBorders>
              <w:left w:val="single" w:sz="8" w:color="0066CC"/>
              <w:bottom w:val="single" w:sz="8" w:color="CCCCFF"/>
              <w:right w:val="single" w:sz="8" w:color="CCCCFF"/>
            </w:tcBorders>
          </w:tcPr>
          <w:p>
            <w:pPr>
              <w:spacing w:after="0"/>
              <w:rPr>
                <w:sz w:val="13"/>
                <w:szCs w:val="13"/>
                <w:color w:val="auto"/>
              </w:rPr>
            </w:pPr>
          </w:p>
        </w:tc>
        <w:tc>
          <w:tcPr>
            <w:tcW w:w="112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2"/>
              </w:rPr>
              <w:t>Construction, Inc.</w:t>
            </w:r>
          </w:p>
        </w:tc>
        <w:tc>
          <w:tcPr>
            <w:tcW w:w="110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0"/>
              </w:rPr>
              <w:t>Contractors</w:t>
            </w:r>
          </w:p>
        </w:tc>
        <w:tc>
          <w:tcPr>
            <w:tcW w:w="1520" w:type="dxa"/>
            <w:vAlign w:val="bottom"/>
            <w:tcBorders>
              <w:bottom w:val="single" w:sz="8" w:color="CCCCFF"/>
              <w:right w:val="single" w:sz="8" w:color="CCCCFF"/>
            </w:tcBorders>
          </w:tcPr>
          <w:p>
            <w:pPr>
              <w:spacing w:after="0"/>
              <w:rPr>
                <w:sz w:val="13"/>
                <w:szCs w:val="13"/>
                <w:color w:val="auto"/>
              </w:rPr>
            </w:pPr>
          </w:p>
        </w:tc>
        <w:tc>
          <w:tcPr>
            <w:tcW w:w="1120" w:type="dxa"/>
            <w:vAlign w:val="bottom"/>
            <w:tcBorders>
              <w:bottom w:val="single" w:sz="8" w:color="CCCCFF"/>
              <w:right w:val="single" w:sz="8" w:color="CCCCFF"/>
            </w:tcBorders>
          </w:tcPr>
          <w:p>
            <w:pPr>
              <w:spacing w:after="0"/>
              <w:rPr>
                <w:sz w:val="13"/>
                <w:szCs w:val="13"/>
                <w:color w:val="auto"/>
              </w:rPr>
            </w:pPr>
          </w:p>
        </w:tc>
        <w:tc>
          <w:tcPr>
            <w:tcW w:w="1560" w:type="dxa"/>
            <w:vAlign w:val="bottom"/>
            <w:tcBorders>
              <w:bottom w:val="single" w:sz="8" w:color="CCCCFF"/>
              <w:right w:val="single" w:sz="8" w:color="CCCCFF"/>
            </w:tcBorders>
          </w:tcPr>
          <w:p>
            <w:pPr>
              <w:spacing w:after="0"/>
              <w:rPr>
                <w:sz w:val="13"/>
                <w:szCs w:val="13"/>
                <w:color w:val="auto"/>
              </w:rPr>
            </w:pPr>
          </w:p>
        </w:tc>
        <w:tc>
          <w:tcPr>
            <w:tcW w:w="1080" w:type="dxa"/>
            <w:vAlign w:val="bottom"/>
            <w:tcBorders>
              <w:bottom w:val="single" w:sz="8" w:color="CCCCFF"/>
              <w:right w:val="single" w:sz="8" w:color="CCCCFF"/>
            </w:tcBorders>
          </w:tcPr>
          <w:p>
            <w:pPr>
              <w:spacing w:after="0"/>
              <w:rPr>
                <w:sz w:val="13"/>
                <w:szCs w:val="13"/>
                <w:color w:val="auto"/>
              </w:rPr>
            </w:pPr>
          </w:p>
        </w:tc>
        <w:tc>
          <w:tcPr>
            <w:tcW w:w="1000" w:type="dxa"/>
            <w:vAlign w:val="bottom"/>
            <w:tcBorders>
              <w:bottom w:val="single" w:sz="8" w:color="CCCCFF"/>
              <w:right w:val="single" w:sz="8" w:color="CCCCFF"/>
            </w:tcBorders>
          </w:tcPr>
          <w:p>
            <w:pPr>
              <w:spacing w:after="0"/>
              <w:rPr>
                <w:sz w:val="13"/>
                <w:szCs w:val="13"/>
                <w:color w:val="auto"/>
              </w:rPr>
            </w:pPr>
          </w:p>
        </w:tc>
        <w:tc>
          <w:tcPr>
            <w:tcW w:w="980" w:type="dxa"/>
            <w:vAlign w:val="bottom"/>
            <w:tcBorders>
              <w:bottom w:val="single" w:sz="8" w:color="CCCCFF"/>
              <w:right w:val="single" w:sz="8" w:color="CCCCFF"/>
            </w:tcBorders>
          </w:tcPr>
          <w:p>
            <w:pPr>
              <w:spacing w:after="0"/>
              <w:rPr>
                <w:sz w:val="13"/>
                <w:szCs w:val="13"/>
                <w:color w:val="auto"/>
              </w:rPr>
            </w:pPr>
          </w:p>
        </w:tc>
        <w:tc>
          <w:tcPr>
            <w:tcW w:w="90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00" w:type="dxa"/>
            <w:vAlign w:val="bottom"/>
            <w:tcBorders>
              <w:left w:val="single" w:sz="8" w:color="0066CC"/>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08756513</w:t>
            </w:r>
          </w:p>
        </w:tc>
        <w:tc>
          <w:tcPr>
            <w:tcW w:w="11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1"/>
              </w:rPr>
              <w:t>Matrix Service Inc.</w:t>
            </w:r>
          </w:p>
        </w:tc>
        <w:tc>
          <w:tcPr>
            <w:tcW w:w="110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8"/>
              </w:rPr>
              <w:t>City of Whiting</w:t>
            </w:r>
          </w:p>
        </w:tc>
        <w:tc>
          <w:tcPr>
            <w:tcW w:w="15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Contractor</w:t>
            </w:r>
          </w:p>
        </w:tc>
        <w:tc>
          <w:tcPr>
            <w:tcW w:w="11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Contractors License</w:t>
            </w:r>
          </w:p>
        </w:tc>
        <w:tc>
          <w:tcPr>
            <w:tcW w:w="1560" w:type="dxa"/>
            <w:vAlign w:val="bottom"/>
            <w:tcBorders>
              <w:right w:val="single" w:sz="8" w:color="CCCCFF"/>
            </w:tcBorders>
            <w:vMerge w:val="restart"/>
          </w:tcPr>
          <w:p>
            <w:pPr>
              <w:jc w:val="right"/>
              <w:spacing w:after="0"/>
              <w:rPr>
                <w:sz w:val="20"/>
                <w:szCs w:val="20"/>
                <w:color w:val="auto"/>
              </w:rPr>
            </w:pPr>
            <w:r>
              <w:rPr>
                <w:rFonts w:ascii="Arial" w:cs="Arial" w:eastAsia="Arial" w:hAnsi="Arial"/>
                <w:sz w:val="12"/>
                <w:szCs w:val="12"/>
                <w:color w:val="auto"/>
              </w:rPr>
              <w:t>$5,000.00</w:t>
            </w:r>
          </w:p>
        </w:tc>
        <w:tc>
          <w:tcPr>
            <w:tcW w:w="108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5"/>
              </w:rPr>
              <w:t>Zurich</w:t>
            </w:r>
          </w:p>
        </w:tc>
        <w:tc>
          <w:tcPr>
            <w:tcW w:w="100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18-May-05</w:t>
            </w:r>
          </w:p>
        </w:tc>
        <w:tc>
          <w:tcPr>
            <w:tcW w:w="98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18-May-16</w:t>
            </w:r>
          </w:p>
        </w:tc>
        <w:tc>
          <w:tcPr>
            <w:tcW w:w="900" w:type="dxa"/>
            <w:vAlign w:val="bottom"/>
            <w:tcBorders>
              <w:right w:val="single" w:sz="8" w:color="0066CC"/>
            </w:tcBorders>
            <w:vMerge w:val="restart"/>
          </w:tcPr>
          <w:p>
            <w:pPr>
              <w:jc w:val="center"/>
              <w:spacing w:after="0"/>
              <w:rPr>
                <w:sz w:val="20"/>
                <w:szCs w:val="20"/>
                <w:color w:val="auto"/>
              </w:rPr>
            </w:pPr>
            <w:r>
              <w:rPr>
                <w:rFonts w:ascii="Arial" w:cs="Arial" w:eastAsia="Arial" w:hAnsi="Arial"/>
                <w:sz w:val="12"/>
                <w:szCs w:val="12"/>
                <w:color w:val="auto"/>
                <w:w w:val="94"/>
              </w:rPr>
              <w:t>18-May-17</w:t>
            </w:r>
          </w:p>
        </w:tc>
        <w:tc>
          <w:tcPr>
            <w:tcW w:w="0" w:type="dxa"/>
            <w:vAlign w:val="bottom"/>
          </w:tcPr>
          <w:p>
            <w:pPr>
              <w:spacing w:after="0"/>
              <w:rPr>
                <w:sz w:val="1"/>
                <w:szCs w:val="1"/>
                <w:color w:val="auto"/>
              </w:rPr>
            </w:pPr>
          </w:p>
        </w:tc>
      </w:tr>
      <w:tr>
        <w:trPr>
          <w:trHeight w:val="83"/>
        </w:trPr>
        <w:tc>
          <w:tcPr>
            <w:tcW w:w="1100" w:type="dxa"/>
            <w:vAlign w:val="bottom"/>
            <w:tcBorders>
              <w:left w:val="single" w:sz="8" w:color="0066CC"/>
              <w:right w:val="single" w:sz="8" w:color="CCCCFF"/>
            </w:tcBorders>
            <w:vMerge w:val="continue"/>
          </w:tcPr>
          <w:p>
            <w:pPr>
              <w:spacing w:after="0"/>
              <w:rPr>
                <w:sz w:val="7"/>
                <w:szCs w:val="7"/>
                <w:color w:val="auto"/>
              </w:rPr>
            </w:pPr>
          </w:p>
        </w:tc>
        <w:tc>
          <w:tcPr>
            <w:tcW w:w="1120" w:type="dxa"/>
            <w:vAlign w:val="bottom"/>
            <w:tcBorders>
              <w:right w:val="single" w:sz="8" w:color="CCCCFF"/>
            </w:tcBorders>
            <w:vMerge w:val="continue"/>
          </w:tcPr>
          <w:p>
            <w:pPr>
              <w:spacing w:after="0"/>
              <w:rPr>
                <w:sz w:val="7"/>
                <w:szCs w:val="7"/>
                <w:color w:val="auto"/>
              </w:rPr>
            </w:pPr>
          </w:p>
        </w:tc>
        <w:tc>
          <w:tcPr>
            <w:tcW w:w="110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1"/>
              </w:rPr>
              <w:t>Indiana</w:t>
            </w:r>
          </w:p>
        </w:tc>
        <w:tc>
          <w:tcPr>
            <w:tcW w:w="1520" w:type="dxa"/>
            <w:vAlign w:val="bottom"/>
            <w:tcBorders>
              <w:right w:val="single" w:sz="8" w:color="CCCCFF"/>
            </w:tcBorders>
            <w:vMerge w:val="continue"/>
          </w:tcPr>
          <w:p>
            <w:pPr>
              <w:spacing w:after="0"/>
              <w:rPr>
                <w:sz w:val="7"/>
                <w:szCs w:val="7"/>
                <w:color w:val="auto"/>
              </w:rPr>
            </w:pPr>
          </w:p>
        </w:tc>
        <w:tc>
          <w:tcPr>
            <w:tcW w:w="1120" w:type="dxa"/>
            <w:vAlign w:val="bottom"/>
            <w:tcBorders>
              <w:right w:val="single" w:sz="8" w:color="CCCCFF"/>
            </w:tcBorders>
            <w:vMerge w:val="continue"/>
          </w:tcPr>
          <w:p>
            <w:pPr>
              <w:spacing w:after="0"/>
              <w:rPr>
                <w:sz w:val="7"/>
                <w:szCs w:val="7"/>
                <w:color w:val="auto"/>
              </w:rPr>
            </w:pPr>
          </w:p>
        </w:tc>
        <w:tc>
          <w:tcPr>
            <w:tcW w:w="1560" w:type="dxa"/>
            <w:vAlign w:val="bottom"/>
            <w:tcBorders>
              <w:right w:val="single" w:sz="8" w:color="CCCCFF"/>
            </w:tcBorders>
            <w:vMerge w:val="continue"/>
          </w:tcPr>
          <w:p>
            <w:pPr>
              <w:spacing w:after="0"/>
              <w:rPr>
                <w:sz w:val="7"/>
                <w:szCs w:val="7"/>
                <w:color w:val="auto"/>
              </w:rPr>
            </w:pPr>
          </w:p>
        </w:tc>
        <w:tc>
          <w:tcPr>
            <w:tcW w:w="1080" w:type="dxa"/>
            <w:vAlign w:val="bottom"/>
            <w:tcBorders>
              <w:right w:val="single" w:sz="8" w:color="CCCCFF"/>
            </w:tcBorders>
            <w:vMerge w:val="continue"/>
          </w:tcPr>
          <w:p>
            <w:pPr>
              <w:spacing w:after="0"/>
              <w:rPr>
                <w:sz w:val="7"/>
                <w:szCs w:val="7"/>
                <w:color w:val="auto"/>
              </w:rPr>
            </w:pPr>
          </w:p>
        </w:tc>
        <w:tc>
          <w:tcPr>
            <w:tcW w:w="1000" w:type="dxa"/>
            <w:vAlign w:val="bottom"/>
            <w:tcBorders>
              <w:right w:val="single" w:sz="8" w:color="CCCCFF"/>
            </w:tcBorders>
            <w:vMerge w:val="continue"/>
          </w:tcPr>
          <w:p>
            <w:pPr>
              <w:spacing w:after="0"/>
              <w:rPr>
                <w:sz w:val="7"/>
                <w:szCs w:val="7"/>
                <w:color w:val="auto"/>
              </w:rPr>
            </w:pPr>
          </w:p>
        </w:tc>
        <w:tc>
          <w:tcPr>
            <w:tcW w:w="980" w:type="dxa"/>
            <w:vAlign w:val="bottom"/>
            <w:tcBorders>
              <w:right w:val="single" w:sz="8" w:color="CCCCFF"/>
            </w:tcBorders>
            <w:vMerge w:val="continue"/>
          </w:tcPr>
          <w:p>
            <w:pPr>
              <w:spacing w:after="0"/>
              <w:rPr>
                <w:sz w:val="7"/>
                <w:szCs w:val="7"/>
                <w:color w:val="auto"/>
              </w:rPr>
            </w:pPr>
          </w:p>
        </w:tc>
        <w:tc>
          <w:tcPr>
            <w:tcW w:w="900" w:type="dxa"/>
            <w:vAlign w:val="bottom"/>
            <w:tcBorders>
              <w:right w:val="single" w:sz="8" w:color="0066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00" w:type="dxa"/>
            <w:vAlign w:val="bottom"/>
            <w:tcBorders>
              <w:left w:val="single" w:sz="8" w:color="0066CC"/>
              <w:bottom w:val="single" w:sz="8" w:color="CCCCFF"/>
              <w:right w:val="single" w:sz="8" w:color="CCCCFF"/>
            </w:tcBorders>
          </w:tcPr>
          <w:p>
            <w:pPr>
              <w:spacing w:after="0"/>
              <w:rPr>
                <w:sz w:val="6"/>
                <w:szCs w:val="6"/>
                <w:color w:val="auto"/>
              </w:rPr>
            </w:pPr>
          </w:p>
        </w:tc>
        <w:tc>
          <w:tcPr>
            <w:tcW w:w="1120" w:type="dxa"/>
            <w:vAlign w:val="bottom"/>
            <w:tcBorders>
              <w:bottom w:val="single" w:sz="8" w:color="CCCCFF"/>
              <w:right w:val="single" w:sz="8" w:color="CCCCFF"/>
            </w:tcBorders>
          </w:tcPr>
          <w:p>
            <w:pPr>
              <w:spacing w:after="0"/>
              <w:rPr>
                <w:sz w:val="6"/>
                <w:szCs w:val="6"/>
                <w:color w:val="auto"/>
              </w:rPr>
            </w:pPr>
          </w:p>
        </w:tc>
        <w:tc>
          <w:tcPr>
            <w:tcW w:w="1100" w:type="dxa"/>
            <w:vAlign w:val="bottom"/>
            <w:tcBorders>
              <w:bottom w:val="single" w:sz="8" w:color="CCCCFF"/>
              <w:right w:val="single" w:sz="8" w:color="CCCCFF"/>
            </w:tcBorders>
            <w:vMerge w:val="continue"/>
          </w:tcPr>
          <w:p>
            <w:pPr>
              <w:spacing w:after="0"/>
              <w:rPr>
                <w:sz w:val="6"/>
                <w:szCs w:val="6"/>
                <w:color w:val="auto"/>
              </w:rPr>
            </w:pPr>
          </w:p>
        </w:tc>
        <w:tc>
          <w:tcPr>
            <w:tcW w:w="1520" w:type="dxa"/>
            <w:vAlign w:val="bottom"/>
            <w:tcBorders>
              <w:bottom w:val="single" w:sz="8" w:color="CCCCFF"/>
              <w:right w:val="single" w:sz="8" w:color="CCCCFF"/>
            </w:tcBorders>
          </w:tcPr>
          <w:p>
            <w:pPr>
              <w:spacing w:after="0"/>
              <w:rPr>
                <w:sz w:val="6"/>
                <w:szCs w:val="6"/>
                <w:color w:val="auto"/>
              </w:rPr>
            </w:pPr>
          </w:p>
        </w:tc>
        <w:tc>
          <w:tcPr>
            <w:tcW w:w="1120" w:type="dxa"/>
            <w:vAlign w:val="bottom"/>
            <w:tcBorders>
              <w:bottom w:val="single" w:sz="8" w:color="CCCCFF"/>
              <w:right w:val="single" w:sz="8" w:color="CCCCFF"/>
            </w:tcBorders>
          </w:tcPr>
          <w:p>
            <w:pPr>
              <w:spacing w:after="0"/>
              <w:rPr>
                <w:sz w:val="6"/>
                <w:szCs w:val="6"/>
                <w:color w:val="auto"/>
              </w:rPr>
            </w:pPr>
          </w:p>
        </w:tc>
        <w:tc>
          <w:tcPr>
            <w:tcW w:w="1560" w:type="dxa"/>
            <w:vAlign w:val="bottom"/>
            <w:tcBorders>
              <w:bottom w:val="single" w:sz="8" w:color="CCCCFF"/>
              <w:right w:val="single" w:sz="8" w:color="CCCCFF"/>
            </w:tcBorders>
          </w:tcPr>
          <w:p>
            <w:pPr>
              <w:spacing w:after="0"/>
              <w:rPr>
                <w:sz w:val="6"/>
                <w:szCs w:val="6"/>
                <w:color w:val="auto"/>
              </w:rPr>
            </w:pPr>
          </w:p>
        </w:tc>
        <w:tc>
          <w:tcPr>
            <w:tcW w:w="1080" w:type="dxa"/>
            <w:vAlign w:val="bottom"/>
            <w:tcBorders>
              <w:bottom w:val="single" w:sz="8" w:color="CCCCFF"/>
              <w:right w:val="single" w:sz="8" w:color="CCCCFF"/>
            </w:tcBorders>
          </w:tcPr>
          <w:p>
            <w:pPr>
              <w:spacing w:after="0"/>
              <w:rPr>
                <w:sz w:val="6"/>
                <w:szCs w:val="6"/>
                <w:color w:val="auto"/>
              </w:rPr>
            </w:pPr>
          </w:p>
        </w:tc>
        <w:tc>
          <w:tcPr>
            <w:tcW w:w="1000" w:type="dxa"/>
            <w:vAlign w:val="bottom"/>
            <w:tcBorders>
              <w:bottom w:val="single" w:sz="8" w:color="CCCCFF"/>
              <w:right w:val="single" w:sz="8" w:color="CCCCFF"/>
            </w:tcBorders>
          </w:tcPr>
          <w:p>
            <w:pPr>
              <w:spacing w:after="0"/>
              <w:rPr>
                <w:sz w:val="6"/>
                <w:szCs w:val="6"/>
                <w:color w:val="auto"/>
              </w:rPr>
            </w:pPr>
          </w:p>
        </w:tc>
        <w:tc>
          <w:tcPr>
            <w:tcW w:w="980" w:type="dxa"/>
            <w:vAlign w:val="bottom"/>
            <w:tcBorders>
              <w:bottom w:val="single" w:sz="8" w:color="CCCCFF"/>
              <w:right w:val="single" w:sz="8" w:color="CCCCFF"/>
            </w:tcBorders>
          </w:tcPr>
          <w:p>
            <w:pPr>
              <w:spacing w:after="0"/>
              <w:rPr>
                <w:sz w:val="6"/>
                <w:szCs w:val="6"/>
                <w:color w:val="auto"/>
              </w:rPr>
            </w:pPr>
          </w:p>
        </w:tc>
        <w:tc>
          <w:tcPr>
            <w:tcW w:w="900" w:type="dxa"/>
            <w:vAlign w:val="bottom"/>
            <w:tcBorders>
              <w:bottom w:val="single" w:sz="8" w:color="CCCCFF"/>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100" w:type="dxa"/>
            <w:vAlign w:val="bottom"/>
            <w:tcBorders>
              <w:left w:val="single" w:sz="8" w:color="0066CC"/>
              <w:right w:val="single" w:sz="8" w:color="CCCCFF"/>
            </w:tcBorders>
          </w:tcPr>
          <w:p>
            <w:pPr>
              <w:spacing w:after="0"/>
              <w:rPr>
                <w:sz w:val="10"/>
                <w:szCs w:val="10"/>
                <w:color w:val="auto"/>
              </w:rPr>
            </w:pPr>
          </w:p>
        </w:tc>
        <w:tc>
          <w:tcPr>
            <w:tcW w:w="112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4"/>
              </w:rPr>
              <w:t>Matrix North</w:t>
            </w:r>
          </w:p>
        </w:tc>
        <w:tc>
          <w:tcPr>
            <w:tcW w:w="1100" w:type="dxa"/>
            <w:vAlign w:val="bottom"/>
            <w:tcBorders>
              <w:right w:val="single" w:sz="8" w:color="CCCCFF"/>
            </w:tcBorders>
          </w:tcPr>
          <w:p>
            <w:pPr>
              <w:spacing w:after="0"/>
              <w:rPr>
                <w:sz w:val="10"/>
                <w:szCs w:val="10"/>
                <w:color w:val="auto"/>
              </w:rPr>
            </w:pPr>
          </w:p>
        </w:tc>
        <w:tc>
          <w:tcPr>
            <w:tcW w:w="1520" w:type="dxa"/>
            <w:vAlign w:val="bottom"/>
            <w:tcBorders>
              <w:right w:val="single" w:sz="8" w:color="CCCCFF"/>
            </w:tcBorders>
          </w:tcPr>
          <w:p>
            <w:pPr>
              <w:spacing w:after="0"/>
              <w:rPr>
                <w:sz w:val="10"/>
                <w:szCs w:val="10"/>
                <w:color w:val="auto"/>
              </w:rPr>
            </w:pPr>
          </w:p>
        </w:tc>
        <w:tc>
          <w:tcPr>
            <w:tcW w:w="1120" w:type="dxa"/>
            <w:vAlign w:val="bottom"/>
            <w:tcBorders>
              <w:right w:val="single" w:sz="8" w:color="CCCCFF"/>
            </w:tcBorders>
          </w:tcPr>
          <w:p>
            <w:pPr>
              <w:spacing w:after="0"/>
              <w:rPr>
                <w:sz w:val="10"/>
                <w:szCs w:val="10"/>
                <w:color w:val="auto"/>
              </w:rPr>
            </w:pPr>
          </w:p>
        </w:tc>
        <w:tc>
          <w:tcPr>
            <w:tcW w:w="1560" w:type="dxa"/>
            <w:vAlign w:val="bottom"/>
            <w:tcBorders>
              <w:right w:val="single" w:sz="8" w:color="CCCCFF"/>
            </w:tcBorders>
          </w:tcPr>
          <w:p>
            <w:pPr>
              <w:spacing w:after="0"/>
              <w:rPr>
                <w:sz w:val="10"/>
                <w:szCs w:val="10"/>
                <w:color w:val="auto"/>
              </w:rPr>
            </w:pPr>
          </w:p>
        </w:tc>
        <w:tc>
          <w:tcPr>
            <w:tcW w:w="1080" w:type="dxa"/>
            <w:vAlign w:val="bottom"/>
            <w:tcBorders>
              <w:right w:val="single" w:sz="8" w:color="CCCCFF"/>
            </w:tcBorders>
          </w:tcPr>
          <w:p>
            <w:pPr>
              <w:spacing w:after="0"/>
              <w:rPr>
                <w:sz w:val="10"/>
                <w:szCs w:val="10"/>
                <w:color w:val="auto"/>
              </w:rPr>
            </w:pPr>
          </w:p>
        </w:tc>
        <w:tc>
          <w:tcPr>
            <w:tcW w:w="1000" w:type="dxa"/>
            <w:vAlign w:val="bottom"/>
            <w:tcBorders>
              <w:right w:val="single" w:sz="8" w:color="CCCCFF"/>
            </w:tcBorders>
          </w:tcPr>
          <w:p>
            <w:pPr>
              <w:spacing w:after="0"/>
              <w:rPr>
                <w:sz w:val="10"/>
                <w:szCs w:val="10"/>
                <w:color w:val="auto"/>
              </w:rPr>
            </w:pPr>
          </w:p>
        </w:tc>
        <w:tc>
          <w:tcPr>
            <w:tcW w:w="980" w:type="dxa"/>
            <w:vAlign w:val="bottom"/>
            <w:tcBorders>
              <w:right w:val="single" w:sz="8" w:color="CCCCFF"/>
            </w:tcBorders>
          </w:tcPr>
          <w:p>
            <w:pPr>
              <w:spacing w:after="0"/>
              <w:rPr>
                <w:sz w:val="10"/>
                <w:szCs w:val="10"/>
                <w:color w:val="auto"/>
              </w:rPr>
            </w:pPr>
          </w:p>
        </w:tc>
        <w:tc>
          <w:tcPr>
            <w:tcW w:w="90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00" w:type="dxa"/>
            <w:vAlign w:val="bottom"/>
            <w:tcBorders>
              <w:left w:val="single" w:sz="8" w:color="0066CC"/>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08828024</w:t>
            </w:r>
          </w:p>
        </w:tc>
        <w:tc>
          <w:tcPr>
            <w:tcW w:w="112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0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2"/>
              </w:rPr>
              <w:t>State of California</w:t>
            </w:r>
          </w:p>
        </w:tc>
        <w:tc>
          <w:tcPr>
            <w:tcW w:w="152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Contractors License Bond</w:t>
            </w:r>
          </w:p>
        </w:tc>
        <w:tc>
          <w:tcPr>
            <w:tcW w:w="112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Contractors License</w:t>
            </w:r>
          </w:p>
        </w:tc>
        <w:tc>
          <w:tcPr>
            <w:tcW w:w="1560" w:type="dxa"/>
            <w:vAlign w:val="bottom"/>
            <w:tcBorders>
              <w:right w:val="single" w:sz="8" w:color="CCCCFF"/>
            </w:tcBorders>
          </w:tcPr>
          <w:p>
            <w:pPr>
              <w:jc w:val="right"/>
              <w:spacing w:after="0" w:line="121" w:lineRule="exact"/>
              <w:rPr>
                <w:sz w:val="20"/>
                <w:szCs w:val="20"/>
                <w:color w:val="auto"/>
              </w:rPr>
            </w:pPr>
            <w:r>
              <w:rPr>
                <w:rFonts w:ascii="Arial" w:cs="Arial" w:eastAsia="Arial" w:hAnsi="Arial"/>
                <w:sz w:val="12"/>
                <w:szCs w:val="12"/>
                <w:color w:val="auto"/>
              </w:rPr>
              <w:t>$15,000.00</w:t>
            </w:r>
          </w:p>
        </w:tc>
        <w:tc>
          <w:tcPr>
            <w:tcW w:w="108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5"/>
              </w:rPr>
              <w:t>Zurich</w:t>
            </w:r>
          </w:p>
        </w:tc>
        <w:tc>
          <w:tcPr>
            <w:tcW w:w="100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3"/>
              </w:rPr>
              <w:t>18-Apr-06</w:t>
            </w:r>
          </w:p>
        </w:tc>
        <w:tc>
          <w:tcPr>
            <w:tcW w:w="98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3"/>
              </w:rPr>
              <w:t>18-Apr-16</w:t>
            </w:r>
          </w:p>
        </w:tc>
        <w:tc>
          <w:tcPr>
            <w:tcW w:w="900" w:type="dxa"/>
            <w:vAlign w:val="bottom"/>
            <w:tcBorders>
              <w:right w:val="single" w:sz="8" w:color="0066CC"/>
            </w:tcBorders>
          </w:tcPr>
          <w:p>
            <w:pPr>
              <w:jc w:val="center"/>
              <w:spacing w:after="0" w:line="121" w:lineRule="exact"/>
              <w:rPr>
                <w:sz w:val="20"/>
                <w:szCs w:val="20"/>
                <w:color w:val="auto"/>
              </w:rPr>
            </w:pPr>
            <w:r>
              <w:rPr>
                <w:rFonts w:ascii="Arial" w:cs="Arial" w:eastAsia="Arial" w:hAnsi="Arial"/>
                <w:sz w:val="12"/>
                <w:szCs w:val="12"/>
                <w:color w:val="auto"/>
                <w:w w:val="93"/>
              </w:rPr>
              <w:t>18-Apr-17</w:t>
            </w:r>
          </w:p>
        </w:tc>
        <w:tc>
          <w:tcPr>
            <w:tcW w:w="0" w:type="dxa"/>
            <w:vAlign w:val="bottom"/>
          </w:tcPr>
          <w:p>
            <w:pPr>
              <w:spacing w:after="0"/>
              <w:rPr>
                <w:sz w:val="1"/>
                <w:szCs w:val="1"/>
                <w:color w:val="auto"/>
              </w:rPr>
            </w:pPr>
          </w:p>
        </w:tc>
      </w:tr>
      <w:tr>
        <w:trPr>
          <w:trHeight w:val="154"/>
        </w:trPr>
        <w:tc>
          <w:tcPr>
            <w:tcW w:w="1100" w:type="dxa"/>
            <w:vAlign w:val="bottom"/>
            <w:tcBorders>
              <w:left w:val="single" w:sz="8" w:color="0066CC"/>
              <w:bottom w:val="single" w:sz="8" w:color="CCCCFF"/>
              <w:right w:val="single" w:sz="8" w:color="CCCCFF"/>
            </w:tcBorders>
          </w:tcPr>
          <w:p>
            <w:pPr>
              <w:spacing w:after="0"/>
              <w:rPr>
                <w:sz w:val="13"/>
                <w:szCs w:val="13"/>
                <w:color w:val="auto"/>
              </w:rPr>
            </w:pPr>
          </w:p>
        </w:tc>
        <w:tc>
          <w:tcPr>
            <w:tcW w:w="112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2"/>
              </w:rPr>
              <w:t>Construction, Inc.</w:t>
            </w:r>
          </w:p>
        </w:tc>
        <w:tc>
          <w:tcPr>
            <w:tcW w:w="1100" w:type="dxa"/>
            <w:vAlign w:val="bottom"/>
            <w:tcBorders>
              <w:bottom w:val="single" w:sz="8" w:color="CCCCFF"/>
              <w:right w:val="single" w:sz="8" w:color="CCCCFF"/>
            </w:tcBorders>
          </w:tcPr>
          <w:p>
            <w:pPr>
              <w:spacing w:after="0"/>
              <w:rPr>
                <w:sz w:val="13"/>
                <w:szCs w:val="13"/>
                <w:color w:val="auto"/>
              </w:rPr>
            </w:pPr>
          </w:p>
        </w:tc>
        <w:tc>
          <w:tcPr>
            <w:tcW w:w="1520" w:type="dxa"/>
            <w:vAlign w:val="bottom"/>
            <w:tcBorders>
              <w:bottom w:val="single" w:sz="8" w:color="CCCCFF"/>
              <w:right w:val="single" w:sz="8" w:color="CCCCFF"/>
            </w:tcBorders>
          </w:tcPr>
          <w:p>
            <w:pPr>
              <w:spacing w:after="0"/>
              <w:rPr>
                <w:sz w:val="13"/>
                <w:szCs w:val="13"/>
                <w:color w:val="auto"/>
              </w:rPr>
            </w:pPr>
          </w:p>
        </w:tc>
        <w:tc>
          <w:tcPr>
            <w:tcW w:w="1120" w:type="dxa"/>
            <w:vAlign w:val="bottom"/>
            <w:tcBorders>
              <w:bottom w:val="single" w:sz="8" w:color="CCCCFF"/>
              <w:right w:val="single" w:sz="8" w:color="CCCCFF"/>
            </w:tcBorders>
          </w:tcPr>
          <w:p>
            <w:pPr>
              <w:spacing w:after="0"/>
              <w:rPr>
                <w:sz w:val="13"/>
                <w:szCs w:val="13"/>
                <w:color w:val="auto"/>
              </w:rPr>
            </w:pPr>
          </w:p>
        </w:tc>
        <w:tc>
          <w:tcPr>
            <w:tcW w:w="1560" w:type="dxa"/>
            <w:vAlign w:val="bottom"/>
            <w:tcBorders>
              <w:bottom w:val="single" w:sz="8" w:color="CCCCFF"/>
              <w:right w:val="single" w:sz="8" w:color="CCCCFF"/>
            </w:tcBorders>
          </w:tcPr>
          <w:p>
            <w:pPr>
              <w:spacing w:after="0"/>
              <w:rPr>
                <w:sz w:val="13"/>
                <w:szCs w:val="13"/>
                <w:color w:val="auto"/>
              </w:rPr>
            </w:pPr>
          </w:p>
        </w:tc>
        <w:tc>
          <w:tcPr>
            <w:tcW w:w="1080" w:type="dxa"/>
            <w:vAlign w:val="bottom"/>
            <w:tcBorders>
              <w:bottom w:val="single" w:sz="8" w:color="CCCCFF"/>
              <w:right w:val="single" w:sz="8" w:color="CCCCFF"/>
            </w:tcBorders>
          </w:tcPr>
          <w:p>
            <w:pPr>
              <w:spacing w:after="0"/>
              <w:rPr>
                <w:sz w:val="13"/>
                <w:szCs w:val="13"/>
                <w:color w:val="auto"/>
              </w:rPr>
            </w:pPr>
          </w:p>
        </w:tc>
        <w:tc>
          <w:tcPr>
            <w:tcW w:w="1000" w:type="dxa"/>
            <w:vAlign w:val="bottom"/>
            <w:tcBorders>
              <w:bottom w:val="single" w:sz="8" w:color="CCCCFF"/>
              <w:right w:val="single" w:sz="8" w:color="CCCCFF"/>
            </w:tcBorders>
          </w:tcPr>
          <w:p>
            <w:pPr>
              <w:spacing w:after="0"/>
              <w:rPr>
                <w:sz w:val="13"/>
                <w:szCs w:val="13"/>
                <w:color w:val="auto"/>
              </w:rPr>
            </w:pPr>
          </w:p>
        </w:tc>
        <w:tc>
          <w:tcPr>
            <w:tcW w:w="980" w:type="dxa"/>
            <w:vAlign w:val="bottom"/>
            <w:tcBorders>
              <w:bottom w:val="single" w:sz="8" w:color="CCCCFF"/>
              <w:right w:val="single" w:sz="8" w:color="CCCCFF"/>
            </w:tcBorders>
          </w:tcPr>
          <w:p>
            <w:pPr>
              <w:spacing w:after="0"/>
              <w:rPr>
                <w:sz w:val="13"/>
                <w:szCs w:val="13"/>
                <w:color w:val="auto"/>
              </w:rPr>
            </w:pPr>
          </w:p>
        </w:tc>
        <w:tc>
          <w:tcPr>
            <w:tcW w:w="90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tcBorders>
              <w:left w:val="single" w:sz="8" w:color="0066CC"/>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9"/>
              </w:rPr>
              <w:t>08828025</w:t>
            </w:r>
          </w:p>
        </w:tc>
        <w:tc>
          <w:tcPr>
            <w:tcW w:w="112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1"/>
              </w:rPr>
              <w:t>Matrix Service Inc.</w:t>
            </w:r>
          </w:p>
        </w:tc>
        <w:tc>
          <w:tcPr>
            <w:tcW w:w="110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2"/>
              </w:rPr>
              <w:t>State of California</w:t>
            </w:r>
          </w:p>
        </w:tc>
        <w:tc>
          <w:tcPr>
            <w:tcW w:w="152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9"/>
              </w:rPr>
              <w:t>Contractor</w:t>
            </w:r>
          </w:p>
        </w:tc>
        <w:tc>
          <w:tcPr>
            <w:tcW w:w="112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8"/>
              </w:rPr>
              <w:t>Contractors License</w:t>
            </w:r>
          </w:p>
        </w:tc>
        <w:tc>
          <w:tcPr>
            <w:tcW w:w="1560" w:type="dxa"/>
            <w:vAlign w:val="bottom"/>
            <w:tcBorders>
              <w:bottom w:val="single" w:sz="8" w:color="CCCCFF"/>
              <w:right w:val="single" w:sz="8" w:color="CCCCFF"/>
            </w:tcBorders>
          </w:tcPr>
          <w:p>
            <w:pPr>
              <w:jc w:val="right"/>
              <w:spacing w:after="0"/>
              <w:rPr>
                <w:sz w:val="20"/>
                <w:szCs w:val="20"/>
                <w:color w:val="auto"/>
              </w:rPr>
            </w:pPr>
            <w:r>
              <w:rPr>
                <w:rFonts w:ascii="Arial" w:cs="Arial" w:eastAsia="Arial" w:hAnsi="Arial"/>
                <w:sz w:val="12"/>
                <w:szCs w:val="12"/>
                <w:color w:val="auto"/>
              </w:rPr>
              <w:t>$15,000.00</w:t>
            </w:r>
          </w:p>
        </w:tc>
        <w:tc>
          <w:tcPr>
            <w:tcW w:w="108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5"/>
              </w:rPr>
              <w:t>Zurich</w:t>
            </w:r>
          </w:p>
        </w:tc>
        <w:tc>
          <w:tcPr>
            <w:tcW w:w="100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3"/>
              </w:rPr>
              <w:t>18-Apr-08</w:t>
            </w:r>
          </w:p>
        </w:tc>
        <w:tc>
          <w:tcPr>
            <w:tcW w:w="98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3"/>
              </w:rPr>
              <w:t>18-Apr-16</w:t>
            </w:r>
          </w:p>
        </w:tc>
        <w:tc>
          <w:tcPr>
            <w:tcW w:w="900" w:type="dxa"/>
            <w:vAlign w:val="bottom"/>
            <w:tcBorders>
              <w:bottom w:val="single" w:sz="8" w:color="CCCCFF"/>
              <w:right w:val="single" w:sz="8" w:color="0066CC"/>
            </w:tcBorders>
          </w:tcPr>
          <w:p>
            <w:pPr>
              <w:jc w:val="center"/>
              <w:spacing w:after="0"/>
              <w:rPr>
                <w:sz w:val="20"/>
                <w:szCs w:val="20"/>
                <w:color w:val="auto"/>
              </w:rPr>
            </w:pPr>
            <w:r>
              <w:rPr>
                <w:rFonts w:ascii="Arial" w:cs="Arial" w:eastAsia="Arial" w:hAnsi="Arial"/>
                <w:sz w:val="12"/>
                <w:szCs w:val="12"/>
                <w:color w:val="auto"/>
                <w:w w:val="93"/>
              </w:rPr>
              <w:t>18-Apr-17</w:t>
            </w:r>
          </w:p>
        </w:tc>
        <w:tc>
          <w:tcPr>
            <w:tcW w:w="0" w:type="dxa"/>
            <w:vAlign w:val="bottom"/>
          </w:tcPr>
          <w:p>
            <w:pPr>
              <w:spacing w:after="0"/>
              <w:rPr>
                <w:sz w:val="1"/>
                <w:szCs w:val="1"/>
                <w:color w:val="auto"/>
              </w:rPr>
            </w:pPr>
          </w:p>
        </w:tc>
      </w:tr>
      <w:tr>
        <w:trPr>
          <w:trHeight w:val="172"/>
        </w:trPr>
        <w:tc>
          <w:tcPr>
            <w:tcW w:w="1100" w:type="dxa"/>
            <w:vAlign w:val="bottom"/>
            <w:tcBorders>
              <w:left w:val="single" w:sz="8" w:color="0066CC"/>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08983170</w:t>
            </w:r>
          </w:p>
        </w:tc>
        <w:tc>
          <w:tcPr>
            <w:tcW w:w="11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1"/>
              </w:rPr>
              <w:t>Matrix Service Inc.</w:t>
            </w:r>
          </w:p>
        </w:tc>
        <w:tc>
          <w:tcPr>
            <w:tcW w:w="1100" w:type="dxa"/>
            <w:vAlign w:val="bottom"/>
            <w:tcBorders>
              <w:right w:val="single" w:sz="8" w:color="CCCCFF"/>
            </w:tcBorders>
          </w:tcPr>
          <w:p>
            <w:pPr>
              <w:jc w:val="center"/>
              <w:spacing w:after="0"/>
              <w:rPr>
                <w:sz w:val="20"/>
                <w:szCs w:val="20"/>
                <w:color w:val="auto"/>
              </w:rPr>
            </w:pPr>
            <w:r>
              <w:rPr>
                <w:rFonts w:ascii="Arial" w:cs="Arial" w:eastAsia="Arial" w:hAnsi="Arial"/>
                <w:sz w:val="12"/>
                <w:szCs w:val="12"/>
                <w:color w:val="auto"/>
                <w:w w:val="90"/>
              </w:rPr>
              <w:t>Department of Labor</w:t>
            </w:r>
          </w:p>
        </w:tc>
        <w:tc>
          <w:tcPr>
            <w:tcW w:w="1520" w:type="dxa"/>
            <w:vAlign w:val="bottom"/>
            <w:tcBorders>
              <w:right w:val="single" w:sz="8" w:color="CCCCFF"/>
            </w:tcBorders>
          </w:tcPr>
          <w:p>
            <w:pPr>
              <w:jc w:val="center"/>
              <w:spacing w:after="0"/>
              <w:rPr>
                <w:sz w:val="20"/>
                <w:szCs w:val="20"/>
                <w:color w:val="auto"/>
              </w:rPr>
            </w:pPr>
            <w:r>
              <w:rPr>
                <w:rFonts w:ascii="Arial" w:cs="Arial" w:eastAsia="Arial" w:hAnsi="Arial"/>
                <w:sz w:val="12"/>
                <w:szCs w:val="12"/>
                <w:color w:val="auto"/>
                <w:w w:val="90"/>
              </w:rPr>
              <w:t>Electrical/Telecommunications</w:t>
            </w:r>
          </w:p>
        </w:tc>
        <w:tc>
          <w:tcPr>
            <w:tcW w:w="11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Contractors License</w:t>
            </w:r>
          </w:p>
        </w:tc>
        <w:tc>
          <w:tcPr>
            <w:tcW w:w="1560" w:type="dxa"/>
            <w:vAlign w:val="bottom"/>
            <w:tcBorders>
              <w:right w:val="single" w:sz="8" w:color="CCCCFF"/>
            </w:tcBorders>
            <w:vMerge w:val="restart"/>
          </w:tcPr>
          <w:p>
            <w:pPr>
              <w:jc w:val="right"/>
              <w:spacing w:after="0"/>
              <w:rPr>
                <w:sz w:val="20"/>
                <w:szCs w:val="20"/>
                <w:color w:val="auto"/>
              </w:rPr>
            </w:pPr>
            <w:r>
              <w:rPr>
                <w:rFonts w:ascii="Arial" w:cs="Arial" w:eastAsia="Arial" w:hAnsi="Arial"/>
                <w:sz w:val="12"/>
                <w:szCs w:val="12"/>
                <w:color w:val="auto"/>
              </w:rPr>
              <w:t>$6,000.00</w:t>
            </w:r>
          </w:p>
        </w:tc>
        <w:tc>
          <w:tcPr>
            <w:tcW w:w="108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5"/>
              </w:rPr>
              <w:t>Zurich</w:t>
            </w:r>
          </w:p>
        </w:tc>
        <w:tc>
          <w:tcPr>
            <w:tcW w:w="100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10-Mar-10</w:t>
            </w:r>
          </w:p>
        </w:tc>
        <w:tc>
          <w:tcPr>
            <w:tcW w:w="98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3"/>
              </w:rPr>
              <w:t>10-Mar-16</w:t>
            </w:r>
          </w:p>
        </w:tc>
        <w:tc>
          <w:tcPr>
            <w:tcW w:w="900" w:type="dxa"/>
            <w:vAlign w:val="bottom"/>
            <w:tcBorders>
              <w:right w:val="single" w:sz="8" w:color="0066CC"/>
            </w:tcBorders>
            <w:vMerge w:val="restart"/>
          </w:tcPr>
          <w:p>
            <w:pPr>
              <w:jc w:val="center"/>
              <w:spacing w:after="0"/>
              <w:rPr>
                <w:sz w:val="20"/>
                <w:szCs w:val="20"/>
                <w:color w:val="auto"/>
              </w:rPr>
            </w:pPr>
            <w:r>
              <w:rPr>
                <w:rFonts w:ascii="Arial" w:cs="Arial" w:eastAsia="Arial" w:hAnsi="Arial"/>
                <w:sz w:val="12"/>
                <w:szCs w:val="12"/>
                <w:color w:val="auto"/>
                <w:w w:val="90"/>
              </w:rPr>
              <w:t>10-Mar-17</w:t>
            </w:r>
          </w:p>
        </w:tc>
        <w:tc>
          <w:tcPr>
            <w:tcW w:w="0" w:type="dxa"/>
            <w:vAlign w:val="bottom"/>
          </w:tcPr>
          <w:p>
            <w:pPr>
              <w:spacing w:after="0"/>
              <w:rPr>
                <w:sz w:val="1"/>
                <w:szCs w:val="1"/>
                <w:color w:val="auto"/>
              </w:rPr>
            </w:pPr>
          </w:p>
        </w:tc>
      </w:tr>
      <w:tr>
        <w:trPr>
          <w:trHeight w:val="73"/>
        </w:trPr>
        <w:tc>
          <w:tcPr>
            <w:tcW w:w="1100" w:type="dxa"/>
            <w:vAlign w:val="bottom"/>
            <w:tcBorders>
              <w:left w:val="single" w:sz="8" w:color="0066CC"/>
              <w:right w:val="single" w:sz="8" w:color="CCCCFF"/>
            </w:tcBorders>
            <w:vMerge w:val="continue"/>
          </w:tcPr>
          <w:p>
            <w:pPr>
              <w:spacing w:after="0"/>
              <w:rPr>
                <w:sz w:val="6"/>
                <w:szCs w:val="6"/>
                <w:color w:val="auto"/>
              </w:rPr>
            </w:pPr>
          </w:p>
        </w:tc>
        <w:tc>
          <w:tcPr>
            <w:tcW w:w="1120" w:type="dxa"/>
            <w:vAlign w:val="bottom"/>
            <w:tcBorders>
              <w:right w:val="single" w:sz="8" w:color="CCCCFF"/>
            </w:tcBorders>
            <w:vMerge w:val="continue"/>
          </w:tcPr>
          <w:p>
            <w:pPr>
              <w:spacing w:after="0"/>
              <w:rPr>
                <w:sz w:val="6"/>
                <w:szCs w:val="6"/>
                <w:color w:val="auto"/>
              </w:rPr>
            </w:pPr>
          </w:p>
        </w:tc>
        <w:tc>
          <w:tcPr>
            <w:tcW w:w="1100" w:type="dxa"/>
            <w:vAlign w:val="bottom"/>
            <w:tcBorders>
              <w:right w:val="single" w:sz="8" w:color="CCCCFF"/>
            </w:tcBorders>
          </w:tcPr>
          <w:p>
            <w:pPr>
              <w:jc w:val="center"/>
              <w:spacing w:after="0" w:line="73" w:lineRule="exact"/>
              <w:rPr>
                <w:sz w:val="20"/>
                <w:szCs w:val="20"/>
                <w:color w:val="auto"/>
              </w:rPr>
            </w:pPr>
            <w:r>
              <w:rPr>
                <w:rFonts w:ascii="Arial" w:cs="Arial" w:eastAsia="Arial" w:hAnsi="Arial"/>
                <w:sz w:val="8"/>
                <w:szCs w:val="8"/>
                <w:color w:val="auto"/>
              </w:rPr>
              <w:t>and Industries, State</w:t>
            </w:r>
          </w:p>
        </w:tc>
        <w:tc>
          <w:tcPr>
            <w:tcW w:w="15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Contractor's</w:t>
            </w:r>
          </w:p>
        </w:tc>
        <w:tc>
          <w:tcPr>
            <w:tcW w:w="1120" w:type="dxa"/>
            <w:vAlign w:val="bottom"/>
            <w:tcBorders>
              <w:right w:val="single" w:sz="8" w:color="CCCCFF"/>
            </w:tcBorders>
            <w:vMerge w:val="continue"/>
          </w:tcPr>
          <w:p>
            <w:pPr>
              <w:spacing w:after="0"/>
              <w:rPr>
                <w:sz w:val="6"/>
                <w:szCs w:val="6"/>
                <w:color w:val="auto"/>
              </w:rPr>
            </w:pPr>
          </w:p>
        </w:tc>
        <w:tc>
          <w:tcPr>
            <w:tcW w:w="1560" w:type="dxa"/>
            <w:vAlign w:val="bottom"/>
            <w:tcBorders>
              <w:right w:val="single" w:sz="8" w:color="CCCCFF"/>
            </w:tcBorders>
            <w:vMerge w:val="continue"/>
          </w:tcPr>
          <w:p>
            <w:pPr>
              <w:spacing w:after="0"/>
              <w:rPr>
                <w:sz w:val="6"/>
                <w:szCs w:val="6"/>
                <w:color w:val="auto"/>
              </w:rPr>
            </w:pPr>
          </w:p>
        </w:tc>
        <w:tc>
          <w:tcPr>
            <w:tcW w:w="1080" w:type="dxa"/>
            <w:vAlign w:val="bottom"/>
            <w:tcBorders>
              <w:right w:val="single" w:sz="8" w:color="CCCCFF"/>
            </w:tcBorders>
            <w:vMerge w:val="continue"/>
          </w:tcPr>
          <w:p>
            <w:pPr>
              <w:spacing w:after="0"/>
              <w:rPr>
                <w:sz w:val="6"/>
                <w:szCs w:val="6"/>
                <w:color w:val="auto"/>
              </w:rPr>
            </w:pPr>
          </w:p>
        </w:tc>
        <w:tc>
          <w:tcPr>
            <w:tcW w:w="1000" w:type="dxa"/>
            <w:vAlign w:val="bottom"/>
            <w:tcBorders>
              <w:right w:val="single" w:sz="8" w:color="CCCCFF"/>
            </w:tcBorders>
            <w:vMerge w:val="continue"/>
          </w:tcPr>
          <w:p>
            <w:pPr>
              <w:spacing w:after="0"/>
              <w:rPr>
                <w:sz w:val="6"/>
                <w:szCs w:val="6"/>
                <w:color w:val="auto"/>
              </w:rPr>
            </w:pPr>
          </w:p>
        </w:tc>
        <w:tc>
          <w:tcPr>
            <w:tcW w:w="980" w:type="dxa"/>
            <w:vAlign w:val="bottom"/>
            <w:tcBorders>
              <w:right w:val="single" w:sz="8" w:color="CCCCFF"/>
            </w:tcBorders>
            <w:vMerge w:val="continue"/>
          </w:tcPr>
          <w:p>
            <w:pPr>
              <w:spacing w:after="0"/>
              <w:rPr>
                <w:sz w:val="6"/>
                <w:szCs w:val="6"/>
                <w:color w:val="auto"/>
              </w:rPr>
            </w:pPr>
          </w:p>
        </w:tc>
        <w:tc>
          <w:tcPr>
            <w:tcW w:w="900" w:type="dxa"/>
            <w:vAlign w:val="bottom"/>
            <w:tcBorders>
              <w:right w:val="single" w:sz="8" w:color="0066CC"/>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1100" w:type="dxa"/>
            <w:vAlign w:val="bottom"/>
            <w:tcBorders>
              <w:left w:val="single" w:sz="8" w:color="0066CC"/>
              <w:right w:val="single" w:sz="8" w:color="CCCCFF"/>
            </w:tcBorders>
          </w:tcPr>
          <w:p>
            <w:pPr>
              <w:spacing w:after="0"/>
              <w:rPr>
                <w:sz w:val="7"/>
                <w:szCs w:val="7"/>
                <w:color w:val="auto"/>
              </w:rPr>
            </w:pPr>
          </w:p>
        </w:tc>
        <w:tc>
          <w:tcPr>
            <w:tcW w:w="1120" w:type="dxa"/>
            <w:vAlign w:val="bottom"/>
            <w:tcBorders>
              <w:right w:val="single" w:sz="8" w:color="CCCCFF"/>
            </w:tcBorders>
          </w:tcPr>
          <w:p>
            <w:pPr>
              <w:spacing w:after="0"/>
              <w:rPr>
                <w:sz w:val="7"/>
                <w:szCs w:val="7"/>
                <w:color w:val="auto"/>
              </w:rPr>
            </w:pPr>
          </w:p>
        </w:tc>
        <w:tc>
          <w:tcPr>
            <w:tcW w:w="110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of Washington</w:t>
            </w:r>
          </w:p>
        </w:tc>
        <w:tc>
          <w:tcPr>
            <w:tcW w:w="1520" w:type="dxa"/>
            <w:vAlign w:val="bottom"/>
            <w:tcBorders>
              <w:right w:val="single" w:sz="8" w:color="CCCCFF"/>
            </w:tcBorders>
            <w:vMerge w:val="continue"/>
          </w:tcPr>
          <w:p>
            <w:pPr>
              <w:spacing w:after="0"/>
              <w:rPr>
                <w:sz w:val="7"/>
                <w:szCs w:val="7"/>
                <w:color w:val="auto"/>
              </w:rPr>
            </w:pPr>
          </w:p>
        </w:tc>
        <w:tc>
          <w:tcPr>
            <w:tcW w:w="1120" w:type="dxa"/>
            <w:vAlign w:val="bottom"/>
            <w:tcBorders>
              <w:right w:val="single" w:sz="8" w:color="CCCCFF"/>
            </w:tcBorders>
          </w:tcPr>
          <w:p>
            <w:pPr>
              <w:spacing w:after="0"/>
              <w:rPr>
                <w:sz w:val="7"/>
                <w:szCs w:val="7"/>
                <w:color w:val="auto"/>
              </w:rPr>
            </w:pPr>
          </w:p>
        </w:tc>
        <w:tc>
          <w:tcPr>
            <w:tcW w:w="1560" w:type="dxa"/>
            <w:vAlign w:val="bottom"/>
            <w:tcBorders>
              <w:right w:val="single" w:sz="8" w:color="CCCCFF"/>
            </w:tcBorders>
          </w:tcPr>
          <w:p>
            <w:pPr>
              <w:spacing w:after="0"/>
              <w:rPr>
                <w:sz w:val="7"/>
                <w:szCs w:val="7"/>
                <w:color w:val="auto"/>
              </w:rPr>
            </w:pPr>
          </w:p>
        </w:tc>
        <w:tc>
          <w:tcPr>
            <w:tcW w:w="1080" w:type="dxa"/>
            <w:vAlign w:val="bottom"/>
            <w:tcBorders>
              <w:right w:val="single" w:sz="8" w:color="CCCCFF"/>
            </w:tcBorders>
          </w:tcPr>
          <w:p>
            <w:pPr>
              <w:spacing w:after="0"/>
              <w:rPr>
                <w:sz w:val="7"/>
                <w:szCs w:val="7"/>
                <w:color w:val="auto"/>
              </w:rPr>
            </w:pPr>
          </w:p>
        </w:tc>
        <w:tc>
          <w:tcPr>
            <w:tcW w:w="1000" w:type="dxa"/>
            <w:vAlign w:val="bottom"/>
            <w:tcBorders>
              <w:right w:val="single" w:sz="8" w:color="CCCCFF"/>
            </w:tcBorders>
          </w:tcPr>
          <w:p>
            <w:pPr>
              <w:spacing w:after="0"/>
              <w:rPr>
                <w:sz w:val="7"/>
                <w:szCs w:val="7"/>
                <w:color w:val="auto"/>
              </w:rPr>
            </w:pPr>
          </w:p>
        </w:tc>
        <w:tc>
          <w:tcPr>
            <w:tcW w:w="980" w:type="dxa"/>
            <w:vAlign w:val="bottom"/>
            <w:tcBorders>
              <w:right w:val="single" w:sz="8" w:color="CCCCFF"/>
            </w:tcBorders>
          </w:tcPr>
          <w:p>
            <w:pPr>
              <w:spacing w:after="0"/>
              <w:rPr>
                <w:sz w:val="7"/>
                <w:szCs w:val="7"/>
                <w:color w:val="auto"/>
              </w:rPr>
            </w:pPr>
          </w:p>
        </w:tc>
        <w:tc>
          <w:tcPr>
            <w:tcW w:w="90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00" w:type="dxa"/>
            <w:vAlign w:val="bottom"/>
            <w:tcBorders>
              <w:left w:val="single" w:sz="8" w:color="0066CC"/>
              <w:bottom w:val="single" w:sz="8" w:color="CCCCFF"/>
              <w:right w:val="single" w:sz="8" w:color="CCCCFF"/>
            </w:tcBorders>
          </w:tcPr>
          <w:p>
            <w:pPr>
              <w:spacing w:after="0"/>
              <w:rPr>
                <w:sz w:val="6"/>
                <w:szCs w:val="6"/>
                <w:color w:val="auto"/>
              </w:rPr>
            </w:pPr>
          </w:p>
        </w:tc>
        <w:tc>
          <w:tcPr>
            <w:tcW w:w="1120" w:type="dxa"/>
            <w:vAlign w:val="bottom"/>
            <w:tcBorders>
              <w:bottom w:val="single" w:sz="8" w:color="CCCCFF"/>
              <w:right w:val="single" w:sz="8" w:color="CCCCFF"/>
            </w:tcBorders>
          </w:tcPr>
          <w:p>
            <w:pPr>
              <w:spacing w:after="0"/>
              <w:rPr>
                <w:sz w:val="6"/>
                <w:szCs w:val="6"/>
                <w:color w:val="auto"/>
              </w:rPr>
            </w:pPr>
          </w:p>
        </w:tc>
        <w:tc>
          <w:tcPr>
            <w:tcW w:w="1100" w:type="dxa"/>
            <w:vAlign w:val="bottom"/>
            <w:tcBorders>
              <w:bottom w:val="single" w:sz="8" w:color="CCCCFF"/>
              <w:right w:val="single" w:sz="8" w:color="CCCCFF"/>
            </w:tcBorders>
            <w:vMerge w:val="continue"/>
          </w:tcPr>
          <w:p>
            <w:pPr>
              <w:spacing w:after="0"/>
              <w:rPr>
                <w:sz w:val="6"/>
                <w:szCs w:val="6"/>
                <w:color w:val="auto"/>
              </w:rPr>
            </w:pPr>
          </w:p>
        </w:tc>
        <w:tc>
          <w:tcPr>
            <w:tcW w:w="1520" w:type="dxa"/>
            <w:vAlign w:val="bottom"/>
            <w:tcBorders>
              <w:bottom w:val="single" w:sz="8" w:color="CCCCFF"/>
              <w:right w:val="single" w:sz="8" w:color="CCCCFF"/>
            </w:tcBorders>
          </w:tcPr>
          <w:p>
            <w:pPr>
              <w:spacing w:after="0"/>
              <w:rPr>
                <w:sz w:val="6"/>
                <w:szCs w:val="6"/>
                <w:color w:val="auto"/>
              </w:rPr>
            </w:pPr>
          </w:p>
        </w:tc>
        <w:tc>
          <w:tcPr>
            <w:tcW w:w="1120" w:type="dxa"/>
            <w:vAlign w:val="bottom"/>
            <w:tcBorders>
              <w:bottom w:val="single" w:sz="8" w:color="CCCCFF"/>
              <w:right w:val="single" w:sz="8" w:color="CCCCFF"/>
            </w:tcBorders>
          </w:tcPr>
          <w:p>
            <w:pPr>
              <w:spacing w:after="0"/>
              <w:rPr>
                <w:sz w:val="6"/>
                <w:szCs w:val="6"/>
                <w:color w:val="auto"/>
              </w:rPr>
            </w:pPr>
          </w:p>
        </w:tc>
        <w:tc>
          <w:tcPr>
            <w:tcW w:w="1560" w:type="dxa"/>
            <w:vAlign w:val="bottom"/>
            <w:tcBorders>
              <w:bottom w:val="single" w:sz="8" w:color="CCCCFF"/>
              <w:right w:val="single" w:sz="8" w:color="CCCCFF"/>
            </w:tcBorders>
          </w:tcPr>
          <w:p>
            <w:pPr>
              <w:spacing w:after="0"/>
              <w:rPr>
                <w:sz w:val="6"/>
                <w:szCs w:val="6"/>
                <w:color w:val="auto"/>
              </w:rPr>
            </w:pPr>
          </w:p>
        </w:tc>
        <w:tc>
          <w:tcPr>
            <w:tcW w:w="1080" w:type="dxa"/>
            <w:vAlign w:val="bottom"/>
            <w:tcBorders>
              <w:bottom w:val="single" w:sz="8" w:color="CCCCFF"/>
              <w:right w:val="single" w:sz="8" w:color="CCCCFF"/>
            </w:tcBorders>
          </w:tcPr>
          <w:p>
            <w:pPr>
              <w:spacing w:after="0"/>
              <w:rPr>
                <w:sz w:val="6"/>
                <w:szCs w:val="6"/>
                <w:color w:val="auto"/>
              </w:rPr>
            </w:pPr>
          </w:p>
        </w:tc>
        <w:tc>
          <w:tcPr>
            <w:tcW w:w="1000" w:type="dxa"/>
            <w:vAlign w:val="bottom"/>
            <w:tcBorders>
              <w:bottom w:val="single" w:sz="8" w:color="CCCCFF"/>
              <w:right w:val="single" w:sz="8" w:color="CCCCFF"/>
            </w:tcBorders>
          </w:tcPr>
          <w:p>
            <w:pPr>
              <w:spacing w:after="0"/>
              <w:rPr>
                <w:sz w:val="6"/>
                <w:szCs w:val="6"/>
                <w:color w:val="auto"/>
              </w:rPr>
            </w:pPr>
          </w:p>
        </w:tc>
        <w:tc>
          <w:tcPr>
            <w:tcW w:w="980" w:type="dxa"/>
            <w:vAlign w:val="bottom"/>
            <w:tcBorders>
              <w:bottom w:val="single" w:sz="8" w:color="CCCCFF"/>
              <w:right w:val="single" w:sz="8" w:color="CCCCFF"/>
            </w:tcBorders>
          </w:tcPr>
          <w:p>
            <w:pPr>
              <w:spacing w:after="0"/>
              <w:rPr>
                <w:sz w:val="6"/>
                <w:szCs w:val="6"/>
                <w:color w:val="auto"/>
              </w:rPr>
            </w:pPr>
          </w:p>
        </w:tc>
        <w:tc>
          <w:tcPr>
            <w:tcW w:w="900" w:type="dxa"/>
            <w:vAlign w:val="bottom"/>
            <w:tcBorders>
              <w:bottom w:val="single" w:sz="8" w:color="CCCCFF"/>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100" w:type="dxa"/>
            <w:vAlign w:val="bottom"/>
            <w:tcBorders>
              <w:left w:val="single" w:sz="8" w:color="0066CC"/>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09009314</w:t>
            </w:r>
          </w:p>
        </w:tc>
        <w:tc>
          <w:tcPr>
            <w:tcW w:w="11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1"/>
              </w:rPr>
              <w:t>Matrix Service Inc.</w:t>
            </w:r>
          </w:p>
        </w:tc>
        <w:tc>
          <w:tcPr>
            <w:tcW w:w="110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State of Arizona</w:t>
            </w:r>
          </w:p>
        </w:tc>
        <w:tc>
          <w:tcPr>
            <w:tcW w:w="152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9"/>
              </w:rPr>
              <w:t>"A" Class General</w:t>
            </w:r>
          </w:p>
        </w:tc>
        <w:tc>
          <w:tcPr>
            <w:tcW w:w="11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Contractors License</w:t>
            </w:r>
          </w:p>
        </w:tc>
        <w:tc>
          <w:tcPr>
            <w:tcW w:w="1560" w:type="dxa"/>
            <w:vAlign w:val="bottom"/>
            <w:tcBorders>
              <w:right w:val="single" w:sz="8" w:color="CCCCFF"/>
            </w:tcBorders>
            <w:vMerge w:val="restart"/>
          </w:tcPr>
          <w:p>
            <w:pPr>
              <w:jc w:val="right"/>
              <w:spacing w:after="0"/>
              <w:rPr>
                <w:sz w:val="20"/>
                <w:szCs w:val="20"/>
                <w:color w:val="auto"/>
              </w:rPr>
            </w:pPr>
            <w:r>
              <w:rPr>
                <w:rFonts w:ascii="Arial" w:cs="Arial" w:eastAsia="Arial" w:hAnsi="Arial"/>
                <w:sz w:val="12"/>
                <w:szCs w:val="12"/>
                <w:color w:val="auto"/>
              </w:rPr>
              <w:t>$100,000.00</w:t>
            </w:r>
          </w:p>
        </w:tc>
        <w:tc>
          <w:tcPr>
            <w:tcW w:w="108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5"/>
              </w:rPr>
              <w:t>Zurich</w:t>
            </w:r>
          </w:p>
        </w:tc>
        <w:tc>
          <w:tcPr>
            <w:tcW w:w="100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2"/>
              </w:rPr>
              <w:t>15-Aug-10</w:t>
            </w:r>
          </w:p>
        </w:tc>
        <w:tc>
          <w:tcPr>
            <w:tcW w:w="98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2"/>
              </w:rPr>
              <w:t>15-Aug-16</w:t>
            </w:r>
          </w:p>
        </w:tc>
        <w:tc>
          <w:tcPr>
            <w:tcW w:w="900" w:type="dxa"/>
            <w:vAlign w:val="bottom"/>
            <w:tcBorders>
              <w:right w:val="single" w:sz="8" w:color="0066CC"/>
            </w:tcBorders>
            <w:vMerge w:val="restart"/>
          </w:tcPr>
          <w:p>
            <w:pPr>
              <w:jc w:val="center"/>
              <w:spacing w:after="0"/>
              <w:rPr>
                <w:sz w:val="20"/>
                <w:szCs w:val="20"/>
                <w:color w:val="auto"/>
              </w:rPr>
            </w:pPr>
            <w:r>
              <w:rPr>
                <w:rFonts w:ascii="Arial" w:cs="Arial" w:eastAsia="Arial" w:hAnsi="Arial"/>
                <w:sz w:val="12"/>
                <w:szCs w:val="12"/>
                <w:color w:val="auto"/>
                <w:w w:val="92"/>
              </w:rPr>
              <w:t>15-Aug-17</w:t>
            </w:r>
          </w:p>
        </w:tc>
        <w:tc>
          <w:tcPr>
            <w:tcW w:w="0" w:type="dxa"/>
            <w:vAlign w:val="bottom"/>
          </w:tcPr>
          <w:p>
            <w:pPr>
              <w:spacing w:after="0"/>
              <w:rPr>
                <w:sz w:val="1"/>
                <w:szCs w:val="1"/>
                <w:color w:val="auto"/>
              </w:rPr>
            </w:pPr>
          </w:p>
        </w:tc>
      </w:tr>
      <w:tr>
        <w:trPr>
          <w:trHeight w:val="83"/>
        </w:trPr>
        <w:tc>
          <w:tcPr>
            <w:tcW w:w="1100" w:type="dxa"/>
            <w:vAlign w:val="bottom"/>
            <w:tcBorders>
              <w:left w:val="single" w:sz="8" w:color="0066CC"/>
              <w:right w:val="single" w:sz="8" w:color="CCCCFF"/>
            </w:tcBorders>
            <w:vMerge w:val="continue"/>
          </w:tcPr>
          <w:p>
            <w:pPr>
              <w:spacing w:after="0"/>
              <w:rPr>
                <w:sz w:val="7"/>
                <w:szCs w:val="7"/>
                <w:color w:val="auto"/>
              </w:rPr>
            </w:pPr>
          </w:p>
        </w:tc>
        <w:tc>
          <w:tcPr>
            <w:tcW w:w="1120" w:type="dxa"/>
            <w:vAlign w:val="bottom"/>
            <w:tcBorders>
              <w:right w:val="single" w:sz="8" w:color="CCCCFF"/>
            </w:tcBorders>
            <w:vMerge w:val="continue"/>
          </w:tcPr>
          <w:p>
            <w:pPr>
              <w:spacing w:after="0"/>
              <w:rPr>
                <w:sz w:val="7"/>
                <w:szCs w:val="7"/>
                <w:color w:val="auto"/>
              </w:rPr>
            </w:pPr>
          </w:p>
        </w:tc>
        <w:tc>
          <w:tcPr>
            <w:tcW w:w="1100" w:type="dxa"/>
            <w:vAlign w:val="bottom"/>
            <w:tcBorders>
              <w:right w:val="single" w:sz="8" w:color="CCCCFF"/>
            </w:tcBorders>
            <w:vMerge w:val="continue"/>
          </w:tcPr>
          <w:p>
            <w:pPr>
              <w:spacing w:after="0"/>
              <w:rPr>
                <w:sz w:val="7"/>
                <w:szCs w:val="7"/>
                <w:color w:val="auto"/>
              </w:rPr>
            </w:pPr>
          </w:p>
        </w:tc>
        <w:tc>
          <w:tcPr>
            <w:tcW w:w="15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Engineering Contractor</w:t>
            </w:r>
          </w:p>
        </w:tc>
        <w:tc>
          <w:tcPr>
            <w:tcW w:w="1120" w:type="dxa"/>
            <w:vAlign w:val="bottom"/>
            <w:tcBorders>
              <w:right w:val="single" w:sz="8" w:color="CCCCFF"/>
            </w:tcBorders>
            <w:vMerge w:val="continue"/>
          </w:tcPr>
          <w:p>
            <w:pPr>
              <w:spacing w:after="0"/>
              <w:rPr>
                <w:sz w:val="7"/>
                <w:szCs w:val="7"/>
                <w:color w:val="auto"/>
              </w:rPr>
            </w:pPr>
          </w:p>
        </w:tc>
        <w:tc>
          <w:tcPr>
            <w:tcW w:w="1560" w:type="dxa"/>
            <w:vAlign w:val="bottom"/>
            <w:tcBorders>
              <w:right w:val="single" w:sz="8" w:color="CCCCFF"/>
            </w:tcBorders>
            <w:vMerge w:val="continue"/>
          </w:tcPr>
          <w:p>
            <w:pPr>
              <w:spacing w:after="0"/>
              <w:rPr>
                <w:sz w:val="7"/>
                <w:szCs w:val="7"/>
                <w:color w:val="auto"/>
              </w:rPr>
            </w:pPr>
          </w:p>
        </w:tc>
        <w:tc>
          <w:tcPr>
            <w:tcW w:w="1080" w:type="dxa"/>
            <w:vAlign w:val="bottom"/>
            <w:tcBorders>
              <w:right w:val="single" w:sz="8" w:color="CCCCFF"/>
            </w:tcBorders>
            <w:vMerge w:val="continue"/>
          </w:tcPr>
          <w:p>
            <w:pPr>
              <w:spacing w:after="0"/>
              <w:rPr>
                <w:sz w:val="7"/>
                <w:szCs w:val="7"/>
                <w:color w:val="auto"/>
              </w:rPr>
            </w:pPr>
          </w:p>
        </w:tc>
        <w:tc>
          <w:tcPr>
            <w:tcW w:w="1000" w:type="dxa"/>
            <w:vAlign w:val="bottom"/>
            <w:tcBorders>
              <w:right w:val="single" w:sz="8" w:color="CCCCFF"/>
            </w:tcBorders>
            <w:vMerge w:val="continue"/>
          </w:tcPr>
          <w:p>
            <w:pPr>
              <w:spacing w:after="0"/>
              <w:rPr>
                <w:sz w:val="7"/>
                <w:szCs w:val="7"/>
                <w:color w:val="auto"/>
              </w:rPr>
            </w:pPr>
          </w:p>
        </w:tc>
        <w:tc>
          <w:tcPr>
            <w:tcW w:w="980" w:type="dxa"/>
            <w:vAlign w:val="bottom"/>
            <w:tcBorders>
              <w:right w:val="single" w:sz="8" w:color="CCCCFF"/>
            </w:tcBorders>
            <w:vMerge w:val="continue"/>
          </w:tcPr>
          <w:p>
            <w:pPr>
              <w:spacing w:after="0"/>
              <w:rPr>
                <w:sz w:val="7"/>
                <w:szCs w:val="7"/>
                <w:color w:val="auto"/>
              </w:rPr>
            </w:pPr>
          </w:p>
        </w:tc>
        <w:tc>
          <w:tcPr>
            <w:tcW w:w="900" w:type="dxa"/>
            <w:vAlign w:val="bottom"/>
            <w:tcBorders>
              <w:right w:val="single" w:sz="8" w:color="0066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00" w:type="dxa"/>
            <w:vAlign w:val="bottom"/>
            <w:tcBorders>
              <w:left w:val="single" w:sz="8" w:color="0066CC"/>
              <w:bottom w:val="single" w:sz="8" w:color="CCCCFF"/>
              <w:right w:val="single" w:sz="8" w:color="CCCCFF"/>
            </w:tcBorders>
          </w:tcPr>
          <w:p>
            <w:pPr>
              <w:spacing w:after="0"/>
              <w:rPr>
                <w:sz w:val="6"/>
                <w:szCs w:val="6"/>
                <w:color w:val="auto"/>
              </w:rPr>
            </w:pPr>
          </w:p>
        </w:tc>
        <w:tc>
          <w:tcPr>
            <w:tcW w:w="1120" w:type="dxa"/>
            <w:vAlign w:val="bottom"/>
            <w:tcBorders>
              <w:bottom w:val="single" w:sz="8" w:color="CCCCFF"/>
              <w:right w:val="single" w:sz="8" w:color="CCCCFF"/>
            </w:tcBorders>
          </w:tcPr>
          <w:p>
            <w:pPr>
              <w:spacing w:after="0"/>
              <w:rPr>
                <w:sz w:val="6"/>
                <w:szCs w:val="6"/>
                <w:color w:val="auto"/>
              </w:rPr>
            </w:pPr>
          </w:p>
        </w:tc>
        <w:tc>
          <w:tcPr>
            <w:tcW w:w="1100" w:type="dxa"/>
            <w:vAlign w:val="bottom"/>
            <w:tcBorders>
              <w:bottom w:val="single" w:sz="8" w:color="CCCCFF"/>
              <w:right w:val="single" w:sz="8" w:color="CCCCFF"/>
            </w:tcBorders>
          </w:tcPr>
          <w:p>
            <w:pPr>
              <w:spacing w:after="0"/>
              <w:rPr>
                <w:sz w:val="6"/>
                <w:szCs w:val="6"/>
                <w:color w:val="auto"/>
              </w:rPr>
            </w:pPr>
          </w:p>
        </w:tc>
        <w:tc>
          <w:tcPr>
            <w:tcW w:w="1520" w:type="dxa"/>
            <w:vAlign w:val="bottom"/>
            <w:tcBorders>
              <w:bottom w:val="single" w:sz="8" w:color="CCCCFF"/>
              <w:right w:val="single" w:sz="8" w:color="CCCCFF"/>
            </w:tcBorders>
            <w:vMerge w:val="continue"/>
          </w:tcPr>
          <w:p>
            <w:pPr>
              <w:spacing w:after="0"/>
              <w:rPr>
                <w:sz w:val="6"/>
                <w:szCs w:val="6"/>
                <w:color w:val="auto"/>
              </w:rPr>
            </w:pPr>
          </w:p>
        </w:tc>
        <w:tc>
          <w:tcPr>
            <w:tcW w:w="1120" w:type="dxa"/>
            <w:vAlign w:val="bottom"/>
            <w:tcBorders>
              <w:bottom w:val="single" w:sz="8" w:color="CCCCFF"/>
              <w:right w:val="single" w:sz="8" w:color="CCCCFF"/>
            </w:tcBorders>
          </w:tcPr>
          <w:p>
            <w:pPr>
              <w:spacing w:after="0"/>
              <w:rPr>
                <w:sz w:val="6"/>
                <w:szCs w:val="6"/>
                <w:color w:val="auto"/>
              </w:rPr>
            </w:pPr>
          </w:p>
        </w:tc>
        <w:tc>
          <w:tcPr>
            <w:tcW w:w="1560" w:type="dxa"/>
            <w:vAlign w:val="bottom"/>
            <w:tcBorders>
              <w:bottom w:val="single" w:sz="8" w:color="CCCCFF"/>
              <w:right w:val="single" w:sz="8" w:color="CCCCFF"/>
            </w:tcBorders>
          </w:tcPr>
          <w:p>
            <w:pPr>
              <w:spacing w:after="0"/>
              <w:rPr>
                <w:sz w:val="6"/>
                <w:szCs w:val="6"/>
                <w:color w:val="auto"/>
              </w:rPr>
            </w:pPr>
          </w:p>
        </w:tc>
        <w:tc>
          <w:tcPr>
            <w:tcW w:w="1080" w:type="dxa"/>
            <w:vAlign w:val="bottom"/>
            <w:tcBorders>
              <w:bottom w:val="single" w:sz="8" w:color="CCCCFF"/>
              <w:right w:val="single" w:sz="8" w:color="CCCCFF"/>
            </w:tcBorders>
          </w:tcPr>
          <w:p>
            <w:pPr>
              <w:spacing w:after="0"/>
              <w:rPr>
                <w:sz w:val="6"/>
                <w:szCs w:val="6"/>
                <w:color w:val="auto"/>
              </w:rPr>
            </w:pPr>
          </w:p>
        </w:tc>
        <w:tc>
          <w:tcPr>
            <w:tcW w:w="1000" w:type="dxa"/>
            <w:vAlign w:val="bottom"/>
            <w:tcBorders>
              <w:bottom w:val="single" w:sz="8" w:color="CCCCFF"/>
              <w:right w:val="single" w:sz="8" w:color="CCCCFF"/>
            </w:tcBorders>
          </w:tcPr>
          <w:p>
            <w:pPr>
              <w:spacing w:after="0"/>
              <w:rPr>
                <w:sz w:val="6"/>
                <w:szCs w:val="6"/>
                <w:color w:val="auto"/>
              </w:rPr>
            </w:pPr>
          </w:p>
        </w:tc>
        <w:tc>
          <w:tcPr>
            <w:tcW w:w="980" w:type="dxa"/>
            <w:vAlign w:val="bottom"/>
            <w:tcBorders>
              <w:bottom w:val="single" w:sz="8" w:color="CCCCFF"/>
              <w:right w:val="single" w:sz="8" w:color="CCCCFF"/>
            </w:tcBorders>
          </w:tcPr>
          <w:p>
            <w:pPr>
              <w:spacing w:after="0"/>
              <w:rPr>
                <w:sz w:val="6"/>
                <w:szCs w:val="6"/>
                <w:color w:val="auto"/>
              </w:rPr>
            </w:pPr>
          </w:p>
        </w:tc>
        <w:tc>
          <w:tcPr>
            <w:tcW w:w="900" w:type="dxa"/>
            <w:vAlign w:val="bottom"/>
            <w:tcBorders>
              <w:bottom w:val="single" w:sz="8" w:color="CCCCFF"/>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121</w:t>
      </w:r>
    </w:p>
    <w:p>
      <w:pPr>
        <w:sectPr>
          <w:pgSz w:w="11900" w:h="16838" w:orient="portrait"/>
          <w:cols w:equalWidth="0" w:num="1">
            <w:col w:w="11480"/>
          </w:cols>
          <w:pgMar w:left="220" w:top="605" w:right="199" w:bottom="1440" w:gutter="0" w:footer="0" w:header="0"/>
        </w:sectPr>
      </w:pPr>
    </w:p>
    <w:bookmarkStart w:id="182" w:name="page183"/>
    <w:bookmarkEnd w:id="182"/>
    <w:tbl>
      <w:tblPr>
        <w:tblLayout w:type="fixed"/>
        <w:tblInd w:w="10" w:type="dxa"/>
        <w:tblCellMar>
          <w:top w:w="0" w:type="dxa"/>
          <w:left w:w="0" w:type="dxa"/>
          <w:bottom w:w="0" w:type="dxa"/>
          <w:right w:w="0" w:type="dxa"/>
        </w:tblCellMar>
      </w:tblPr>
      <w:tr>
        <w:trPr>
          <w:trHeight w:val="171"/>
        </w:trPr>
        <w:tc>
          <w:tcPr>
            <w:tcW w:w="1180" w:type="dxa"/>
            <w:vAlign w:val="bottom"/>
            <w:tcBorders>
              <w:top w:val="single" w:sz="8" w:color="CCCCFF"/>
              <w:left w:val="single" w:sz="8" w:color="0066CC"/>
              <w:bottom w:val="single" w:sz="8" w:color="CCCCFF"/>
              <w:right w:val="single" w:sz="8" w:color="CCCCFF"/>
            </w:tcBorders>
          </w:tcPr>
          <w:p>
            <w:pPr>
              <w:jc w:val="right"/>
              <w:ind w:right="301"/>
              <w:spacing w:after="0"/>
              <w:rPr>
                <w:sz w:val="20"/>
                <w:szCs w:val="20"/>
                <w:color w:val="auto"/>
              </w:rPr>
            </w:pPr>
            <w:r>
              <w:rPr>
                <w:rFonts w:ascii="Arial" w:cs="Arial" w:eastAsia="Arial" w:hAnsi="Arial"/>
                <w:sz w:val="12"/>
                <w:szCs w:val="12"/>
                <w:color w:val="auto"/>
              </w:rPr>
              <w:t>09009399</w:t>
            </w:r>
          </w:p>
        </w:tc>
        <w:tc>
          <w:tcPr>
            <w:tcW w:w="1140" w:type="dxa"/>
            <w:vAlign w:val="bottom"/>
            <w:tcBorders>
              <w:top w:val="single" w:sz="8" w:color="CCCCFF"/>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1"/>
              </w:rPr>
              <w:t>Matrix Service Inc.</w:t>
            </w:r>
          </w:p>
        </w:tc>
        <w:tc>
          <w:tcPr>
            <w:tcW w:w="1140" w:type="dxa"/>
            <w:vAlign w:val="bottom"/>
            <w:tcBorders>
              <w:top w:val="single" w:sz="8" w:color="CCCCFF"/>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8"/>
              </w:rPr>
              <w:t>State of Washington</w:t>
            </w:r>
          </w:p>
        </w:tc>
        <w:tc>
          <w:tcPr>
            <w:tcW w:w="1160" w:type="dxa"/>
            <w:vAlign w:val="bottom"/>
            <w:tcBorders>
              <w:top w:val="single" w:sz="8" w:color="CCCCFF"/>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9"/>
              </w:rPr>
              <w:t>Contractors Bond</w:t>
            </w:r>
          </w:p>
        </w:tc>
        <w:tc>
          <w:tcPr>
            <w:tcW w:w="1140" w:type="dxa"/>
            <w:vAlign w:val="bottom"/>
            <w:tcBorders>
              <w:top w:val="single" w:sz="8" w:color="CCCCFF"/>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8"/>
              </w:rPr>
              <w:t>Contractors License</w:t>
            </w:r>
          </w:p>
        </w:tc>
        <w:tc>
          <w:tcPr>
            <w:tcW w:w="1600" w:type="dxa"/>
            <w:vAlign w:val="bottom"/>
            <w:tcBorders>
              <w:top w:val="single" w:sz="8" w:color="CCCCFF"/>
              <w:bottom w:val="single" w:sz="8" w:color="CCCCFF"/>
              <w:right w:val="single" w:sz="8" w:color="CCCCFF"/>
            </w:tcBorders>
          </w:tcPr>
          <w:p>
            <w:pPr>
              <w:jc w:val="right"/>
              <w:spacing w:after="0"/>
              <w:rPr>
                <w:sz w:val="20"/>
                <w:szCs w:val="20"/>
                <w:color w:val="auto"/>
              </w:rPr>
            </w:pPr>
            <w:r>
              <w:rPr>
                <w:rFonts w:ascii="Arial" w:cs="Arial" w:eastAsia="Arial" w:hAnsi="Arial"/>
                <w:sz w:val="12"/>
                <w:szCs w:val="12"/>
                <w:color w:val="auto"/>
              </w:rPr>
              <w:t>$12,000.00</w:t>
            </w:r>
          </w:p>
        </w:tc>
        <w:tc>
          <w:tcPr>
            <w:tcW w:w="1160" w:type="dxa"/>
            <w:vAlign w:val="bottom"/>
            <w:tcBorders>
              <w:top w:val="single" w:sz="8" w:color="CCCCFF"/>
              <w:bottom w:val="single" w:sz="8" w:color="CCCCFF"/>
              <w:right w:val="single" w:sz="8" w:color="CCCCFF"/>
            </w:tcBorders>
          </w:tcPr>
          <w:p>
            <w:pPr>
              <w:ind w:left="420"/>
              <w:spacing w:after="0"/>
              <w:rPr>
                <w:sz w:val="20"/>
                <w:szCs w:val="20"/>
                <w:color w:val="auto"/>
              </w:rPr>
            </w:pPr>
            <w:r>
              <w:rPr>
                <w:rFonts w:ascii="Arial" w:cs="Arial" w:eastAsia="Arial" w:hAnsi="Arial"/>
                <w:sz w:val="12"/>
                <w:szCs w:val="12"/>
                <w:color w:val="auto"/>
              </w:rPr>
              <w:t>Zurich</w:t>
            </w:r>
          </w:p>
        </w:tc>
        <w:tc>
          <w:tcPr>
            <w:tcW w:w="1020" w:type="dxa"/>
            <w:vAlign w:val="bottom"/>
            <w:tcBorders>
              <w:top w:val="single" w:sz="8" w:color="CCCCFF"/>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2"/>
              </w:rPr>
              <w:t>16-Aug-10</w:t>
            </w:r>
          </w:p>
        </w:tc>
        <w:tc>
          <w:tcPr>
            <w:tcW w:w="1020" w:type="dxa"/>
            <w:vAlign w:val="bottom"/>
            <w:tcBorders>
              <w:top w:val="single" w:sz="8" w:color="CCCCFF"/>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2"/>
              </w:rPr>
              <w:t>16-Aug-16</w:t>
            </w:r>
          </w:p>
        </w:tc>
        <w:tc>
          <w:tcPr>
            <w:tcW w:w="920" w:type="dxa"/>
            <w:vAlign w:val="bottom"/>
            <w:tcBorders>
              <w:top w:val="single" w:sz="8" w:color="CCCCFF"/>
              <w:bottom w:val="single" w:sz="8" w:color="CCCCFF"/>
              <w:right w:val="single" w:sz="8" w:color="0066CC"/>
            </w:tcBorders>
          </w:tcPr>
          <w:p>
            <w:pPr>
              <w:jc w:val="center"/>
              <w:spacing w:after="0"/>
              <w:rPr>
                <w:sz w:val="20"/>
                <w:szCs w:val="20"/>
                <w:color w:val="auto"/>
              </w:rPr>
            </w:pPr>
            <w:r>
              <w:rPr>
                <w:rFonts w:ascii="Arial" w:cs="Arial" w:eastAsia="Arial" w:hAnsi="Arial"/>
                <w:sz w:val="12"/>
                <w:szCs w:val="12"/>
                <w:color w:val="auto"/>
                <w:w w:val="92"/>
              </w:rPr>
              <w:t>16-Aug-17</w:t>
            </w: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vMerge w:val="restart"/>
          </w:tcPr>
          <w:p>
            <w:pPr>
              <w:jc w:val="right"/>
              <w:ind w:right="301"/>
              <w:spacing w:after="0"/>
              <w:rPr>
                <w:sz w:val="20"/>
                <w:szCs w:val="20"/>
                <w:color w:val="auto"/>
              </w:rPr>
            </w:pPr>
            <w:r>
              <w:rPr>
                <w:rFonts w:ascii="Arial" w:cs="Arial" w:eastAsia="Arial" w:hAnsi="Arial"/>
                <w:sz w:val="12"/>
                <w:szCs w:val="12"/>
                <w:color w:val="auto"/>
              </w:rPr>
              <w:t>09009400</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1"/>
              </w:rPr>
              <w:t>Matrix Service Inc.</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State of Oregon</w:t>
            </w: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0"/>
              </w:rPr>
              <w:t>Commercial</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Contractors License</w:t>
            </w:r>
          </w:p>
        </w:tc>
        <w:tc>
          <w:tcPr>
            <w:tcW w:w="1600" w:type="dxa"/>
            <w:vAlign w:val="bottom"/>
            <w:tcBorders>
              <w:right w:val="single" w:sz="8" w:color="CCCCFF"/>
            </w:tcBorders>
            <w:vMerge w:val="restart"/>
          </w:tcPr>
          <w:p>
            <w:pPr>
              <w:jc w:val="right"/>
              <w:spacing w:after="0"/>
              <w:rPr>
                <w:sz w:val="20"/>
                <w:szCs w:val="20"/>
                <w:color w:val="auto"/>
              </w:rPr>
            </w:pPr>
            <w:r>
              <w:rPr>
                <w:rFonts w:ascii="Arial" w:cs="Arial" w:eastAsia="Arial" w:hAnsi="Arial"/>
                <w:sz w:val="12"/>
                <w:szCs w:val="12"/>
                <w:color w:val="auto"/>
              </w:rPr>
              <w:t>$75,000.00</w:t>
            </w:r>
          </w:p>
        </w:tc>
        <w:tc>
          <w:tcPr>
            <w:tcW w:w="1160" w:type="dxa"/>
            <w:vAlign w:val="bottom"/>
            <w:tcBorders>
              <w:right w:val="single" w:sz="8" w:color="CCCCFF"/>
            </w:tcBorders>
            <w:vMerge w:val="restart"/>
          </w:tcPr>
          <w:p>
            <w:pPr>
              <w:ind w:left="420"/>
              <w:spacing w:after="0"/>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16-Jun-10</w:t>
            </w:r>
          </w:p>
        </w:tc>
        <w:tc>
          <w:tcPr>
            <w:tcW w:w="10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16-Jun-16</w:t>
            </w:r>
          </w:p>
        </w:tc>
        <w:tc>
          <w:tcPr>
            <w:tcW w:w="920" w:type="dxa"/>
            <w:vAlign w:val="bottom"/>
            <w:tcBorders>
              <w:right w:val="single" w:sz="8" w:color="0066CC"/>
            </w:tcBorders>
            <w:vMerge w:val="restart"/>
          </w:tcPr>
          <w:p>
            <w:pPr>
              <w:jc w:val="center"/>
              <w:spacing w:after="0"/>
              <w:rPr>
                <w:sz w:val="20"/>
                <w:szCs w:val="20"/>
                <w:color w:val="auto"/>
              </w:rPr>
            </w:pPr>
            <w:r>
              <w:rPr>
                <w:rFonts w:ascii="Arial" w:cs="Arial" w:eastAsia="Arial" w:hAnsi="Arial"/>
                <w:sz w:val="12"/>
                <w:szCs w:val="12"/>
                <w:color w:val="auto"/>
                <w:w w:val="88"/>
              </w:rPr>
              <w:t>16-Jun-17</w:t>
            </w: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Contractor</w:t>
            </w:r>
          </w:p>
        </w:tc>
        <w:tc>
          <w:tcPr>
            <w:tcW w:w="1140" w:type="dxa"/>
            <w:vAlign w:val="bottom"/>
            <w:tcBorders>
              <w:right w:val="single" w:sz="8" w:color="CCCCFF"/>
            </w:tcBorders>
            <w:vMerge w:val="continue"/>
          </w:tcPr>
          <w:p>
            <w:pPr>
              <w:spacing w:after="0"/>
              <w:rPr>
                <w:sz w:val="7"/>
                <w:szCs w:val="7"/>
                <w:color w:val="auto"/>
              </w:rPr>
            </w:pPr>
          </w:p>
        </w:tc>
        <w:tc>
          <w:tcPr>
            <w:tcW w:w="160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vMerge w:val="continue"/>
          </w:tcPr>
          <w:p>
            <w:pPr>
              <w:spacing w:after="0"/>
              <w:rPr>
                <w:sz w:val="7"/>
                <w:szCs w:val="7"/>
                <w:color w:val="auto"/>
              </w:rPr>
            </w:pPr>
          </w:p>
        </w:tc>
        <w:tc>
          <w:tcPr>
            <w:tcW w:w="920" w:type="dxa"/>
            <w:vAlign w:val="bottom"/>
            <w:tcBorders>
              <w:right w:val="single" w:sz="8" w:color="0066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80" w:type="dxa"/>
            <w:vAlign w:val="bottom"/>
            <w:tcBorders>
              <w:left w:val="single" w:sz="8" w:color="0066CC"/>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vMerge w:val="continue"/>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60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920" w:type="dxa"/>
            <w:vAlign w:val="bottom"/>
            <w:tcBorders>
              <w:bottom w:val="single" w:sz="8" w:color="CCCCFF"/>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2"/>
              </w:rPr>
              <w:t>The Board of</w:t>
            </w:r>
          </w:p>
        </w:tc>
        <w:tc>
          <w:tcPr>
            <w:tcW w:w="116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Commissioners of the</w:t>
            </w:r>
          </w:p>
        </w:tc>
        <w:tc>
          <w:tcPr>
            <w:tcW w:w="116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County of Lake, State</w:t>
            </w:r>
          </w:p>
        </w:tc>
        <w:tc>
          <w:tcPr>
            <w:tcW w:w="1160" w:type="dxa"/>
            <w:vAlign w:val="bottom"/>
            <w:tcBorders>
              <w:right w:val="single" w:sz="8" w:color="CCCCFF"/>
            </w:tcBorders>
          </w:tcPr>
          <w:p>
            <w:pPr>
              <w:spacing w:after="0"/>
              <w:rPr>
                <w:sz w:val="4"/>
                <w:szCs w:val="4"/>
                <w:color w:val="auto"/>
              </w:rPr>
            </w:pP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restart"/>
          </w:tcPr>
          <w:p>
            <w:pPr>
              <w:jc w:val="right"/>
              <w:ind w:right="301"/>
              <w:spacing w:after="0" w:line="121" w:lineRule="exact"/>
              <w:rPr>
                <w:sz w:val="20"/>
                <w:szCs w:val="20"/>
                <w:color w:val="auto"/>
              </w:rPr>
            </w:pPr>
            <w:r>
              <w:rPr>
                <w:rFonts w:ascii="Arial" w:cs="Arial" w:eastAsia="Arial" w:hAnsi="Arial"/>
                <w:sz w:val="12"/>
                <w:szCs w:val="12"/>
                <w:color w:val="auto"/>
              </w:rPr>
              <w:t>09026617</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Contractor</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Contractors License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$5,000.00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22-Sep-06</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5"/>
              </w:rPr>
              <w:t>22-Sep-16</w:t>
            </w:r>
          </w:p>
        </w:tc>
        <w:tc>
          <w:tcPr>
            <w:tcW w:w="920" w:type="dxa"/>
            <w:vAlign w:val="bottom"/>
            <w:tcBorders>
              <w:right w:val="single" w:sz="8" w:color="0066CC"/>
            </w:tcBorders>
            <w:vMerge w:val="restart"/>
          </w:tcPr>
          <w:p>
            <w:pPr>
              <w:jc w:val="center"/>
              <w:spacing w:after="0" w:line="121" w:lineRule="exact"/>
              <w:rPr>
                <w:sz w:val="20"/>
                <w:szCs w:val="20"/>
                <w:color w:val="auto"/>
              </w:rPr>
            </w:pPr>
            <w:r>
              <w:rPr>
                <w:rFonts w:ascii="Arial" w:cs="Arial" w:eastAsia="Arial" w:hAnsi="Arial"/>
                <w:sz w:val="12"/>
                <w:szCs w:val="12"/>
                <w:color w:val="auto"/>
                <w:w w:val="85"/>
              </w:rPr>
              <w:t>22-Sep-17</w:t>
            </w: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of Indiana, and any</w:t>
            </w:r>
          </w:p>
        </w:tc>
        <w:tc>
          <w:tcPr>
            <w:tcW w:w="116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60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920" w:type="dxa"/>
            <w:vAlign w:val="bottom"/>
            <w:tcBorders>
              <w:right w:val="single" w:sz="8" w:color="0066CC"/>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Cities or Towns in</w:t>
            </w:r>
          </w:p>
        </w:tc>
        <w:tc>
          <w:tcPr>
            <w:tcW w:w="1160" w:type="dxa"/>
            <w:vAlign w:val="bottom"/>
            <w:tcBorders>
              <w:right w:val="single" w:sz="8" w:color="CCCCFF"/>
            </w:tcBorders>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vMerge w:val="continue"/>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2"/>
              </w:rPr>
              <w:t>Lake</w:t>
            </w:r>
          </w:p>
        </w:tc>
        <w:tc>
          <w:tcPr>
            <w:tcW w:w="116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7"/>
              </w:rPr>
              <w:t>Nevada State</w:t>
            </w:r>
          </w:p>
        </w:tc>
        <w:tc>
          <w:tcPr>
            <w:tcW w:w="116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restart"/>
          </w:tcPr>
          <w:p>
            <w:pPr>
              <w:jc w:val="right"/>
              <w:ind w:right="301"/>
              <w:spacing w:after="0" w:line="121" w:lineRule="exact"/>
              <w:rPr>
                <w:sz w:val="20"/>
                <w:szCs w:val="20"/>
                <w:color w:val="auto"/>
              </w:rPr>
            </w:pPr>
            <w:r>
              <w:rPr>
                <w:rFonts w:ascii="Arial" w:cs="Arial" w:eastAsia="Arial" w:hAnsi="Arial"/>
                <w:sz w:val="12"/>
                <w:szCs w:val="12"/>
                <w:color w:val="auto"/>
              </w:rPr>
              <w:t>09026629</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Contractor</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Contractors License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$50,000.00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27-Nov-10</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27-Nov-16</w:t>
            </w:r>
          </w:p>
        </w:tc>
        <w:tc>
          <w:tcPr>
            <w:tcW w:w="920" w:type="dxa"/>
            <w:vAlign w:val="bottom"/>
            <w:tcBorders>
              <w:right w:val="single" w:sz="8" w:color="0066CC"/>
            </w:tcBorders>
            <w:vMerge w:val="restart"/>
          </w:tcPr>
          <w:p>
            <w:pPr>
              <w:jc w:val="center"/>
              <w:spacing w:after="0" w:line="121" w:lineRule="exact"/>
              <w:rPr>
                <w:sz w:val="20"/>
                <w:szCs w:val="20"/>
                <w:color w:val="auto"/>
              </w:rPr>
            </w:pPr>
            <w:r>
              <w:rPr>
                <w:rFonts w:ascii="Arial" w:cs="Arial" w:eastAsia="Arial" w:hAnsi="Arial"/>
                <w:sz w:val="12"/>
                <w:szCs w:val="12"/>
                <w:color w:val="auto"/>
                <w:w w:val="92"/>
              </w:rPr>
              <w:t>27-Nov-17</w:t>
            </w: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Contractors Board</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60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920" w:type="dxa"/>
            <w:vAlign w:val="bottom"/>
            <w:tcBorders>
              <w:right w:val="single" w:sz="8" w:color="0066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80" w:type="dxa"/>
            <w:vAlign w:val="bottom"/>
            <w:tcBorders>
              <w:left w:val="single" w:sz="8" w:color="0066CC"/>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vMerge w:val="continue"/>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60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920" w:type="dxa"/>
            <w:vAlign w:val="bottom"/>
            <w:tcBorders>
              <w:bottom w:val="single" w:sz="8" w:color="CCCCFF"/>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vMerge w:val="restart"/>
          </w:tcPr>
          <w:p>
            <w:pPr>
              <w:jc w:val="right"/>
              <w:ind w:right="301"/>
              <w:spacing w:after="0"/>
              <w:rPr>
                <w:sz w:val="20"/>
                <w:szCs w:val="20"/>
                <w:color w:val="auto"/>
              </w:rPr>
            </w:pPr>
            <w:r>
              <w:rPr>
                <w:rFonts w:ascii="Arial" w:cs="Arial" w:eastAsia="Arial" w:hAnsi="Arial"/>
                <w:sz w:val="12"/>
                <w:szCs w:val="12"/>
                <w:color w:val="auto"/>
              </w:rPr>
              <w:t>09026630</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1"/>
              </w:rPr>
              <w:t>Matrix Service Inc.</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7"/>
              </w:rPr>
              <w:t>State of Texas</w:t>
            </w: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7"/>
              </w:rPr>
              <w:t>Superheavy or</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Other License-Permit</w:t>
            </w:r>
          </w:p>
        </w:tc>
        <w:tc>
          <w:tcPr>
            <w:tcW w:w="1600" w:type="dxa"/>
            <w:vAlign w:val="bottom"/>
            <w:tcBorders>
              <w:right w:val="single" w:sz="8" w:color="CCCCFF"/>
            </w:tcBorders>
            <w:vMerge w:val="restart"/>
          </w:tcPr>
          <w:p>
            <w:pPr>
              <w:jc w:val="right"/>
              <w:spacing w:after="0"/>
              <w:rPr>
                <w:sz w:val="20"/>
                <w:szCs w:val="20"/>
                <w:color w:val="auto"/>
              </w:rPr>
            </w:pPr>
            <w:r>
              <w:rPr>
                <w:rFonts w:ascii="Arial" w:cs="Arial" w:eastAsia="Arial" w:hAnsi="Arial"/>
                <w:sz w:val="12"/>
                <w:szCs w:val="12"/>
                <w:color w:val="auto"/>
              </w:rPr>
              <w:t>$10,000.00</w:t>
            </w:r>
          </w:p>
        </w:tc>
        <w:tc>
          <w:tcPr>
            <w:tcW w:w="1160" w:type="dxa"/>
            <w:vAlign w:val="bottom"/>
            <w:tcBorders>
              <w:right w:val="single" w:sz="8" w:color="CCCCFF"/>
            </w:tcBorders>
            <w:vMerge w:val="restart"/>
          </w:tcPr>
          <w:p>
            <w:pPr>
              <w:ind w:left="420"/>
              <w:spacing w:after="0"/>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2"/>
              </w:rPr>
              <w:t>31-Aug-14</w:t>
            </w:r>
          </w:p>
        </w:tc>
        <w:tc>
          <w:tcPr>
            <w:tcW w:w="10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2"/>
              </w:rPr>
              <w:t>31-Aug-16</w:t>
            </w:r>
          </w:p>
        </w:tc>
        <w:tc>
          <w:tcPr>
            <w:tcW w:w="920" w:type="dxa"/>
            <w:vAlign w:val="bottom"/>
            <w:tcBorders>
              <w:right w:val="single" w:sz="8" w:color="0066CC"/>
            </w:tcBorders>
            <w:vMerge w:val="restart"/>
          </w:tcPr>
          <w:p>
            <w:pPr>
              <w:jc w:val="center"/>
              <w:spacing w:after="0"/>
              <w:rPr>
                <w:sz w:val="20"/>
                <w:szCs w:val="20"/>
                <w:color w:val="auto"/>
              </w:rPr>
            </w:pPr>
            <w:r>
              <w:rPr>
                <w:rFonts w:ascii="Arial" w:cs="Arial" w:eastAsia="Arial" w:hAnsi="Arial"/>
                <w:sz w:val="12"/>
                <w:szCs w:val="12"/>
                <w:color w:val="auto"/>
                <w:w w:val="92"/>
              </w:rPr>
              <w:t>31-Aug-17</w:t>
            </w: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vMerge w:val="continue"/>
          </w:tcPr>
          <w:p>
            <w:pPr>
              <w:spacing w:after="0"/>
              <w:rPr>
                <w:sz w:val="13"/>
                <w:szCs w:val="13"/>
                <w:color w:val="auto"/>
              </w:rPr>
            </w:pPr>
          </w:p>
        </w:tc>
        <w:tc>
          <w:tcPr>
            <w:tcW w:w="1140" w:type="dxa"/>
            <w:vAlign w:val="bottom"/>
            <w:tcBorders>
              <w:bottom w:val="single" w:sz="8" w:color="CCCCFF"/>
              <w:right w:val="single" w:sz="8" w:color="CCCCFF"/>
            </w:tcBorders>
            <w:vMerge w:val="continue"/>
          </w:tcPr>
          <w:p>
            <w:pPr>
              <w:spacing w:after="0"/>
              <w:rPr>
                <w:sz w:val="13"/>
                <w:szCs w:val="13"/>
                <w:color w:val="auto"/>
              </w:rPr>
            </w:pPr>
          </w:p>
        </w:tc>
        <w:tc>
          <w:tcPr>
            <w:tcW w:w="1140" w:type="dxa"/>
            <w:vAlign w:val="bottom"/>
            <w:tcBorders>
              <w:bottom w:val="single" w:sz="8" w:color="CCCCFF"/>
              <w:right w:val="single" w:sz="8" w:color="CCCCFF"/>
            </w:tcBorders>
            <w:vMerge w:val="continue"/>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9"/>
              </w:rPr>
              <w:t>Oversize Permit Bond</w:t>
            </w:r>
          </w:p>
        </w:tc>
        <w:tc>
          <w:tcPr>
            <w:tcW w:w="1140" w:type="dxa"/>
            <w:vAlign w:val="bottom"/>
            <w:tcBorders>
              <w:bottom w:val="single" w:sz="8" w:color="CCCCFF"/>
              <w:right w:val="single" w:sz="8" w:color="CCCCFF"/>
            </w:tcBorders>
            <w:vMerge w:val="continue"/>
          </w:tcPr>
          <w:p>
            <w:pPr>
              <w:spacing w:after="0"/>
              <w:rPr>
                <w:sz w:val="13"/>
                <w:szCs w:val="13"/>
                <w:color w:val="auto"/>
              </w:rPr>
            </w:pPr>
          </w:p>
        </w:tc>
        <w:tc>
          <w:tcPr>
            <w:tcW w:w="1600" w:type="dxa"/>
            <w:vAlign w:val="bottom"/>
            <w:tcBorders>
              <w:bottom w:val="single" w:sz="8" w:color="CCCCFF"/>
              <w:right w:val="single" w:sz="8" w:color="CCCCFF"/>
            </w:tcBorders>
            <w:vMerge w:val="continue"/>
          </w:tcPr>
          <w:p>
            <w:pPr>
              <w:spacing w:after="0"/>
              <w:rPr>
                <w:sz w:val="13"/>
                <w:szCs w:val="13"/>
                <w:color w:val="auto"/>
              </w:rPr>
            </w:pPr>
          </w:p>
        </w:tc>
        <w:tc>
          <w:tcPr>
            <w:tcW w:w="1160" w:type="dxa"/>
            <w:vAlign w:val="bottom"/>
            <w:tcBorders>
              <w:bottom w:val="single" w:sz="8" w:color="CCCCFF"/>
              <w:right w:val="single" w:sz="8" w:color="CCCCFF"/>
            </w:tcBorders>
            <w:vMerge w:val="continue"/>
          </w:tcPr>
          <w:p>
            <w:pPr>
              <w:spacing w:after="0"/>
              <w:rPr>
                <w:sz w:val="13"/>
                <w:szCs w:val="13"/>
                <w:color w:val="auto"/>
              </w:rPr>
            </w:pPr>
          </w:p>
        </w:tc>
        <w:tc>
          <w:tcPr>
            <w:tcW w:w="1020" w:type="dxa"/>
            <w:vAlign w:val="bottom"/>
            <w:tcBorders>
              <w:bottom w:val="single" w:sz="8" w:color="CCCCFF"/>
              <w:right w:val="single" w:sz="8" w:color="CCCCFF"/>
            </w:tcBorders>
            <w:vMerge w:val="continue"/>
          </w:tcPr>
          <w:p>
            <w:pPr>
              <w:spacing w:after="0"/>
              <w:rPr>
                <w:sz w:val="13"/>
                <w:szCs w:val="13"/>
                <w:color w:val="auto"/>
              </w:rPr>
            </w:pPr>
          </w:p>
        </w:tc>
        <w:tc>
          <w:tcPr>
            <w:tcW w:w="1020" w:type="dxa"/>
            <w:vAlign w:val="bottom"/>
            <w:tcBorders>
              <w:bottom w:val="single" w:sz="8" w:color="CCCCFF"/>
              <w:right w:val="single" w:sz="8" w:color="CCCCFF"/>
            </w:tcBorders>
            <w:vMerge w:val="continue"/>
          </w:tcPr>
          <w:p>
            <w:pPr>
              <w:spacing w:after="0"/>
              <w:rPr>
                <w:sz w:val="13"/>
                <w:szCs w:val="13"/>
                <w:color w:val="auto"/>
              </w:rPr>
            </w:pPr>
          </w:p>
        </w:tc>
        <w:tc>
          <w:tcPr>
            <w:tcW w:w="920" w:type="dxa"/>
            <w:vAlign w:val="bottom"/>
            <w:tcBorders>
              <w:bottom w:val="single" w:sz="8" w:color="CCCCFF"/>
              <w:right w:val="single" w:sz="8" w:color="0066C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3"/>
              </w:rPr>
              <w:t>AK - Dept of Natural</w:t>
            </w: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Construction</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restart"/>
          </w:tcPr>
          <w:p>
            <w:pPr>
              <w:jc w:val="right"/>
              <w:ind w:right="301"/>
              <w:spacing w:after="0" w:line="121" w:lineRule="exact"/>
              <w:rPr>
                <w:sz w:val="20"/>
                <w:szCs w:val="20"/>
                <w:color w:val="auto"/>
              </w:rPr>
            </w:pPr>
            <w:r>
              <w:rPr>
                <w:rFonts w:ascii="Arial" w:cs="Arial" w:eastAsia="Arial" w:hAnsi="Arial"/>
                <w:sz w:val="12"/>
                <w:szCs w:val="12"/>
                <w:color w:val="auto"/>
              </w:rPr>
              <w:t>09026731</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Matrix Service Inc.</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6"/>
              </w:rPr>
              <w:t>Resources -</w:t>
            </w:r>
          </w:p>
        </w:tc>
        <w:tc>
          <w:tcPr>
            <w:tcW w:w="116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Contractors License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$25,000.00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09-Mar-10</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3"/>
              </w:rPr>
              <w:t>09-Mar-16</w:t>
            </w:r>
          </w:p>
        </w:tc>
        <w:tc>
          <w:tcPr>
            <w:tcW w:w="920" w:type="dxa"/>
            <w:vAlign w:val="bottom"/>
            <w:tcBorders>
              <w:right w:val="single" w:sz="8" w:color="0066CC"/>
            </w:tcBorders>
            <w:vMerge w:val="restart"/>
          </w:tcPr>
          <w:p>
            <w:pPr>
              <w:jc w:val="center"/>
              <w:spacing w:after="0" w:line="121" w:lineRule="exact"/>
              <w:rPr>
                <w:sz w:val="20"/>
                <w:szCs w:val="20"/>
                <w:color w:val="auto"/>
              </w:rPr>
            </w:pPr>
            <w:r>
              <w:rPr>
                <w:rFonts w:ascii="Arial" w:cs="Arial" w:eastAsia="Arial" w:hAnsi="Arial"/>
                <w:sz w:val="12"/>
                <w:szCs w:val="12"/>
                <w:color w:val="auto"/>
                <w:w w:val="93"/>
              </w:rPr>
              <w:t>09-Mar-17</w:t>
            </w: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Contractor</w:t>
            </w:r>
          </w:p>
        </w:tc>
        <w:tc>
          <w:tcPr>
            <w:tcW w:w="1140" w:type="dxa"/>
            <w:vAlign w:val="bottom"/>
            <w:tcBorders>
              <w:right w:val="single" w:sz="8" w:color="CCCCFF"/>
            </w:tcBorders>
            <w:vMerge w:val="continue"/>
          </w:tcPr>
          <w:p>
            <w:pPr>
              <w:spacing w:after="0"/>
              <w:rPr>
                <w:sz w:val="5"/>
                <w:szCs w:val="5"/>
                <w:color w:val="auto"/>
              </w:rPr>
            </w:pPr>
          </w:p>
        </w:tc>
        <w:tc>
          <w:tcPr>
            <w:tcW w:w="160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920" w:type="dxa"/>
            <w:vAlign w:val="bottom"/>
            <w:tcBorders>
              <w:right w:val="single" w:sz="8" w:color="0066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2"/>
              </w:rPr>
              <w:t>Anchorage AK</w:t>
            </w:r>
          </w:p>
        </w:tc>
        <w:tc>
          <w:tcPr>
            <w:tcW w:w="116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80" w:type="dxa"/>
            <w:vAlign w:val="bottom"/>
            <w:tcBorders>
              <w:left w:val="single" w:sz="8" w:color="0066CC"/>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vMerge w:val="continue"/>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60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920" w:type="dxa"/>
            <w:vAlign w:val="bottom"/>
            <w:tcBorders>
              <w:bottom w:val="single" w:sz="8" w:color="CCCCFF"/>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vMerge w:val="restart"/>
          </w:tcPr>
          <w:p>
            <w:pPr>
              <w:jc w:val="right"/>
              <w:ind w:right="301"/>
              <w:spacing w:after="0"/>
              <w:rPr>
                <w:sz w:val="20"/>
                <w:szCs w:val="20"/>
                <w:color w:val="auto"/>
              </w:rPr>
            </w:pPr>
            <w:r>
              <w:rPr>
                <w:rFonts w:ascii="Arial" w:cs="Arial" w:eastAsia="Arial" w:hAnsi="Arial"/>
                <w:sz w:val="12"/>
                <w:szCs w:val="12"/>
                <w:color w:val="auto"/>
              </w:rPr>
              <w:t>09036023</w:t>
            </w:r>
          </w:p>
        </w:tc>
        <w:tc>
          <w:tcPr>
            <w:tcW w:w="114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2"/>
              </w:rPr>
              <w:t>Matrix Service Inc. -</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State of Oklahoma</w:t>
            </w: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Mechanical Contractor</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Contractors License</w:t>
            </w:r>
          </w:p>
        </w:tc>
        <w:tc>
          <w:tcPr>
            <w:tcW w:w="1600" w:type="dxa"/>
            <w:vAlign w:val="bottom"/>
            <w:tcBorders>
              <w:right w:val="single" w:sz="8" w:color="CCCCFF"/>
            </w:tcBorders>
            <w:vMerge w:val="restart"/>
          </w:tcPr>
          <w:p>
            <w:pPr>
              <w:jc w:val="right"/>
              <w:spacing w:after="0"/>
              <w:rPr>
                <w:sz w:val="20"/>
                <w:szCs w:val="20"/>
                <w:color w:val="auto"/>
              </w:rPr>
            </w:pPr>
            <w:r>
              <w:rPr>
                <w:rFonts w:ascii="Arial" w:cs="Arial" w:eastAsia="Arial" w:hAnsi="Arial"/>
                <w:sz w:val="12"/>
                <w:szCs w:val="12"/>
                <w:color w:val="auto"/>
              </w:rPr>
              <w:t>$5,000.00</w:t>
            </w:r>
          </w:p>
        </w:tc>
        <w:tc>
          <w:tcPr>
            <w:tcW w:w="1160" w:type="dxa"/>
            <w:vAlign w:val="bottom"/>
            <w:tcBorders>
              <w:right w:val="single" w:sz="8" w:color="CCCCFF"/>
            </w:tcBorders>
            <w:vMerge w:val="restart"/>
          </w:tcPr>
          <w:p>
            <w:pPr>
              <w:ind w:left="420"/>
              <w:spacing w:after="0"/>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18-Mar-11</w:t>
            </w:r>
          </w:p>
        </w:tc>
        <w:tc>
          <w:tcPr>
            <w:tcW w:w="10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3"/>
              </w:rPr>
              <w:t>18-Mar-16</w:t>
            </w:r>
          </w:p>
        </w:tc>
        <w:tc>
          <w:tcPr>
            <w:tcW w:w="920" w:type="dxa"/>
            <w:vAlign w:val="bottom"/>
            <w:tcBorders>
              <w:right w:val="single" w:sz="8" w:color="0066CC"/>
            </w:tcBorders>
            <w:vMerge w:val="restart"/>
          </w:tcPr>
          <w:p>
            <w:pPr>
              <w:jc w:val="center"/>
              <w:spacing w:after="0"/>
              <w:rPr>
                <w:sz w:val="20"/>
                <w:szCs w:val="20"/>
                <w:color w:val="auto"/>
              </w:rPr>
            </w:pPr>
            <w:r>
              <w:rPr>
                <w:rFonts w:ascii="Arial" w:cs="Arial" w:eastAsia="Arial" w:hAnsi="Arial"/>
                <w:sz w:val="12"/>
                <w:szCs w:val="12"/>
                <w:color w:val="auto"/>
                <w:w w:val="93"/>
              </w:rPr>
              <w:t>18-Mar-17</w:t>
            </w: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5"/>
              </w:rPr>
              <w:t>Mark McBroom</w:t>
            </w: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60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vMerge w:val="continue"/>
          </w:tcPr>
          <w:p>
            <w:pPr>
              <w:spacing w:after="0"/>
              <w:rPr>
                <w:sz w:val="7"/>
                <w:szCs w:val="7"/>
                <w:color w:val="auto"/>
              </w:rPr>
            </w:pPr>
          </w:p>
        </w:tc>
        <w:tc>
          <w:tcPr>
            <w:tcW w:w="920" w:type="dxa"/>
            <w:vAlign w:val="bottom"/>
            <w:tcBorders>
              <w:right w:val="single" w:sz="8" w:color="0066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80" w:type="dxa"/>
            <w:vAlign w:val="bottom"/>
            <w:tcBorders>
              <w:left w:val="single" w:sz="8" w:color="0066CC"/>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vMerge w:val="continue"/>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60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920" w:type="dxa"/>
            <w:vAlign w:val="bottom"/>
            <w:tcBorders>
              <w:bottom w:val="single" w:sz="8" w:color="CCCCFF"/>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vMerge w:val="restart"/>
          </w:tcPr>
          <w:p>
            <w:pPr>
              <w:jc w:val="right"/>
              <w:ind w:right="301"/>
              <w:spacing w:after="0"/>
              <w:rPr>
                <w:sz w:val="20"/>
                <w:szCs w:val="20"/>
                <w:color w:val="auto"/>
              </w:rPr>
            </w:pPr>
            <w:r>
              <w:rPr>
                <w:rFonts w:ascii="Arial" w:cs="Arial" w:eastAsia="Arial" w:hAnsi="Arial"/>
                <w:sz w:val="12"/>
                <w:szCs w:val="12"/>
                <w:color w:val="auto"/>
              </w:rPr>
              <w:t>09036070</w:t>
            </w:r>
          </w:p>
        </w:tc>
        <w:tc>
          <w:tcPr>
            <w:tcW w:w="114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2"/>
              </w:rPr>
              <w:t>Matrix Service Inc. -</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2"/>
              </w:rPr>
              <w:t>State of California</w:t>
            </w: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3"/>
              </w:rPr>
              <w:t>Bond of Qualifying</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Contractors License</w:t>
            </w:r>
          </w:p>
        </w:tc>
        <w:tc>
          <w:tcPr>
            <w:tcW w:w="1600" w:type="dxa"/>
            <w:vAlign w:val="bottom"/>
            <w:tcBorders>
              <w:right w:val="single" w:sz="8" w:color="CCCCFF"/>
            </w:tcBorders>
            <w:vMerge w:val="restart"/>
          </w:tcPr>
          <w:p>
            <w:pPr>
              <w:jc w:val="right"/>
              <w:spacing w:after="0"/>
              <w:rPr>
                <w:sz w:val="20"/>
                <w:szCs w:val="20"/>
                <w:color w:val="auto"/>
              </w:rPr>
            </w:pPr>
            <w:r>
              <w:rPr>
                <w:rFonts w:ascii="Arial" w:cs="Arial" w:eastAsia="Arial" w:hAnsi="Arial"/>
                <w:sz w:val="12"/>
                <w:szCs w:val="12"/>
                <w:color w:val="auto"/>
              </w:rPr>
              <w:t>$15,000.00</w:t>
            </w:r>
          </w:p>
        </w:tc>
        <w:tc>
          <w:tcPr>
            <w:tcW w:w="1160" w:type="dxa"/>
            <w:vAlign w:val="bottom"/>
            <w:tcBorders>
              <w:right w:val="single" w:sz="8" w:color="CCCCFF"/>
            </w:tcBorders>
            <w:vMerge w:val="restart"/>
          </w:tcPr>
          <w:p>
            <w:pPr>
              <w:ind w:left="420"/>
              <w:spacing w:after="0"/>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21-Mar-11</w:t>
            </w:r>
          </w:p>
        </w:tc>
        <w:tc>
          <w:tcPr>
            <w:tcW w:w="10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3"/>
              </w:rPr>
              <w:t>21-Mar-16</w:t>
            </w:r>
          </w:p>
        </w:tc>
        <w:tc>
          <w:tcPr>
            <w:tcW w:w="920" w:type="dxa"/>
            <w:vAlign w:val="bottom"/>
            <w:tcBorders>
              <w:right w:val="single" w:sz="8" w:color="0066CC"/>
            </w:tcBorders>
            <w:vMerge w:val="restart"/>
          </w:tcPr>
          <w:p>
            <w:pPr>
              <w:jc w:val="center"/>
              <w:spacing w:after="0"/>
              <w:rPr>
                <w:sz w:val="20"/>
                <w:szCs w:val="20"/>
                <w:color w:val="auto"/>
              </w:rPr>
            </w:pPr>
            <w:r>
              <w:rPr>
                <w:rFonts w:ascii="Arial" w:cs="Arial" w:eastAsia="Arial" w:hAnsi="Arial"/>
                <w:sz w:val="12"/>
                <w:szCs w:val="12"/>
                <w:color w:val="auto"/>
                <w:w w:val="93"/>
              </w:rPr>
              <w:t>21-Mar-17</w:t>
            </w: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4"/>
              </w:rPr>
              <w:t>Kevin A. Durkin</w:t>
            </w: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4"/>
              </w:rPr>
              <w:t>Individual</w:t>
            </w:r>
          </w:p>
        </w:tc>
        <w:tc>
          <w:tcPr>
            <w:tcW w:w="1140" w:type="dxa"/>
            <w:vAlign w:val="bottom"/>
            <w:tcBorders>
              <w:right w:val="single" w:sz="8" w:color="CCCCFF"/>
            </w:tcBorders>
            <w:vMerge w:val="continue"/>
          </w:tcPr>
          <w:p>
            <w:pPr>
              <w:spacing w:after="0"/>
              <w:rPr>
                <w:sz w:val="7"/>
                <w:szCs w:val="7"/>
                <w:color w:val="auto"/>
              </w:rPr>
            </w:pPr>
          </w:p>
        </w:tc>
        <w:tc>
          <w:tcPr>
            <w:tcW w:w="160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vMerge w:val="continue"/>
          </w:tcPr>
          <w:p>
            <w:pPr>
              <w:spacing w:after="0"/>
              <w:rPr>
                <w:sz w:val="7"/>
                <w:szCs w:val="7"/>
                <w:color w:val="auto"/>
              </w:rPr>
            </w:pPr>
          </w:p>
        </w:tc>
        <w:tc>
          <w:tcPr>
            <w:tcW w:w="920" w:type="dxa"/>
            <w:vAlign w:val="bottom"/>
            <w:tcBorders>
              <w:right w:val="single" w:sz="8" w:color="0066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80" w:type="dxa"/>
            <w:vAlign w:val="bottom"/>
            <w:tcBorders>
              <w:left w:val="single" w:sz="8" w:color="0066CC"/>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vMerge w:val="continue"/>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vMerge w:val="continue"/>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60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920" w:type="dxa"/>
            <w:vAlign w:val="bottom"/>
            <w:tcBorders>
              <w:bottom w:val="single" w:sz="8" w:color="CCCCFF"/>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1"/>
              </w:rPr>
              <w:t>West Virgina Division</w:t>
            </w: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5"/>
              </w:rPr>
              <w:t>Wage Payment</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restart"/>
          </w:tcPr>
          <w:p>
            <w:pPr>
              <w:jc w:val="right"/>
              <w:ind w:right="301"/>
              <w:spacing w:after="0" w:line="121" w:lineRule="exact"/>
              <w:rPr>
                <w:sz w:val="20"/>
                <w:szCs w:val="20"/>
                <w:color w:val="auto"/>
              </w:rPr>
            </w:pPr>
            <w:r>
              <w:rPr>
                <w:rFonts w:ascii="Arial" w:cs="Arial" w:eastAsia="Arial" w:hAnsi="Arial"/>
                <w:sz w:val="12"/>
                <w:szCs w:val="12"/>
                <w:color w:val="auto"/>
              </w:rPr>
              <w:t>09036072</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Matrix Service Inc.</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Collection Surety</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Contractors License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$50,000.00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11-Apr-11</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11-Apr-16</w:t>
            </w:r>
          </w:p>
        </w:tc>
        <w:tc>
          <w:tcPr>
            <w:tcW w:w="920" w:type="dxa"/>
            <w:vAlign w:val="bottom"/>
            <w:tcBorders>
              <w:right w:val="single" w:sz="8" w:color="0066CC"/>
            </w:tcBorders>
            <w:vMerge w:val="restart"/>
          </w:tcPr>
          <w:p>
            <w:pPr>
              <w:jc w:val="center"/>
              <w:spacing w:after="0" w:line="121" w:lineRule="exact"/>
              <w:rPr>
                <w:sz w:val="20"/>
                <w:szCs w:val="20"/>
                <w:color w:val="auto"/>
              </w:rPr>
            </w:pPr>
            <w:r>
              <w:rPr>
                <w:rFonts w:ascii="Arial" w:cs="Arial" w:eastAsia="Arial" w:hAnsi="Arial"/>
                <w:sz w:val="12"/>
                <w:szCs w:val="12"/>
                <w:color w:val="auto"/>
                <w:w w:val="89"/>
              </w:rPr>
              <w:t>11-Apr-17</w:t>
            </w: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of Labor</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60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920" w:type="dxa"/>
            <w:vAlign w:val="bottom"/>
            <w:tcBorders>
              <w:right w:val="single" w:sz="8" w:color="0066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2"/>
              </w:rPr>
              <w:t>Bond</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80" w:type="dxa"/>
            <w:vAlign w:val="bottom"/>
            <w:tcBorders>
              <w:left w:val="single" w:sz="8" w:color="0066CC"/>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vMerge w:val="continue"/>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60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920" w:type="dxa"/>
            <w:vAlign w:val="bottom"/>
            <w:tcBorders>
              <w:bottom w:val="single" w:sz="8" w:color="CCCCFF"/>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vMerge w:val="restart"/>
          </w:tcPr>
          <w:p>
            <w:pPr>
              <w:jc w:val="right"/>
              <w:ind w:right="301"/>
              <w:spacing w:after="0"/>
              <w:rPr>
                <w:sz w:val="20"/>
                <w:szCs w:val="20"/>
                <w:color w:val="auto"/>
              </w:rPr>
            </w:pPr>
            <w:r>
              <w:rPr>
                <w:rFonts w:ascii="Arial" w:cs="Arial" w:eastAsia="Arial" w:hAnsi="Arial"/>
                <w:sz w:val="12"/>
                <w:szCs w:val="12"/>
                <w:color w:val="auto"/>
              </w:rPr>
              <w:t>09057361</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1"/>
              </w:rPr>
              <w:t>Matrix Service Inc.</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State of New Mexico</w:t>
            </w: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9"/>
              </w:rPr>
              <w:t>Contractor License</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Contractors License</w:t>
            </w:r>
          </w:p>
        </w:tc>
        <w:tc>
          <w:tcPr>
            <w:tcW w:w="1600" w:type="dxa"/>
            <w:vAlign w:val="bottom"/>
            <w:tcBorders>
              <w:right w:val="single" w:sz="8" w:color="CCCCFF"/>
            </w:tcBorders>
            <w:vMerge w:val="restart"/>
          </w:tcPr>
          <w:p>
            <w:pPr>
              <w:jc w:val="right"/>
              <w:spacing w:after="0"/>
              <w:rPr>
                <w:sz w:val="20"/>
                <w:szCs w:val="20"/>
                <w:color w:val="auto"/>
              </w:rPr>
            </w:pPr>
            <w:r>
              <w:rPr>
                <w:rFonts w:ascii="Arial" w:cs="Arial" w:eastAsia="Arial" w:hAnsi="Arial"/>
                <w:sz w:val="12"/>
                <w:szCs w:val="12"/>
                <w:color w:val="auto"/>
              </w:rPr>
              <w:t>$10,000.00</w:t>
            </w:r>
          </w:p>
        </w:tc>
        <w:tc>
          <w:tcPr>
            <w:tcW w:w="1160" w:type="dxa"/>
            <w:vAlign w:val="bottom"/>
            <w:tcBorders>
              <w:right w:val="single" w:sz="8" w:color="CCCCFF"/>
            </w:tcBorders>
            <w:vMerge w:val="restart"/>
          </w:tcPr>
          <w:p>
            <w:pPr>
              <w:ind w:left="420"/>
              <w:spacing w:after="0"/>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12-Aug-11</w:t>
            </w:r>
          </w:p>
        </w:tc>
        <w:tc>
          <w:tcPr>
            <w:tcW w:w="10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2"/>
              </w:rPr>
              <w:t>12-Aug-16</w:t>
            </w:r>
          </w:p>
        </w:tc>
        <w:tc>
          <w:tcPr>
            <w:tcW w:w="920" w:type="dxa"/>
            <w:vAlign w:val="bottom"/>
            <w:tcBorders>
              <w:right w:val="single" w:sz="8" w:color="0066CC"/>
            </w:tcBorders>
            <w:vMerge w:val="restart"/>
          </w:tcPr>
          <w:p>
            <w:pPr>
              <w:jc w:val="center"/>
              <w:spacing w:after="0"/>
              <w:rPr>
                <w:sz w:val="20"/>
                <w:szCs w:val="20"/>
                <w:color w:val="auto"/>
              </w:rPr>
            </w:pPr>
            <w:r>
              <w:rPr>
                <w:rFonts w:ascii="Arial" w:cs="Arial" w:eastAsia="Arial" w:hAnsi="Arial"/>
                <w:sz w:val="12"/>
                <w:szCs w:val="12"/>
                <w:color w:val="auto"/>
                <w:w w:val="92"/>
              </w:rPr>
              <w:t>12-Aug-17</w:t>
            </w: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3"/>
              </w:rPr>
              <w:t>Code</w:t>
            </w:r>
          </w:p>
        </w:tc>
        <w:tc>
          <w:tcPr>
            <w:tcW w:w="1140" w:type="dxa"/>
            <w:vAlign w:val="bottom"/>
            <w:tcBorders>
              <w:right w:val="single" w:sz="8" w:color="CCCCFF"/>
            </w:tcBorders>
            <w:vMerge w:val="continue"/>
          </w:tcPr>
          <w:p>
            <w:pPr>
              <w:spacing w:after="0"/>
              <w:rPr>
                <w:sz w:val="7"/>
                <w:szCs w:val="7"/>
                <w:color w:val="auto"/>
              </w:rPr>
            </w:pPr>
          </w:p>
        </w:tc>
        <w:tc>
          <w:tcPr>
            <w:tcW w:w="160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vMerge w:val="continue"/>
          </w:tcPr>
          <w:p>
            <w:pPr>
              <w:spacing w:after="0"/>
              <w:rPr>
                <w:sz w:val="7"/>
                <w:szCs w:val="7"/>
                <w:color w:val="auto"/>
              </w:rPr>
            </w:pPr>
          </w:p>
        </w:tc>
        <w:tc>
          <w:tcPr>
            <w:tcW w:w="920" w:type="dxa"/>
            <w:vAlign w:val="bottom"/>
            <w:tcBorders>
              <w:right w:val="single" w:sz="8" w:color="0066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80" w:type="dxa"/>
            <w:vAlign w:val="bottom"/>
            <w:tcBorders>
              <w:left w:val="single" w:sz="8" w:color="0066CC"/>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vMerge w:val="continue"/>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60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920" w:type="dxa"/>
            <w:vAlign w:val="bottom"/>
            <w:tcBorders>
              <w:bottom w:val="single" w:sz="8" w:color="CCCCFF"/>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8"/>
              </w:rPr>
              <w:t>Out-of-State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jc w:val="right"/>
              <w:ind w:right="301"/>
              <w:spacing w:after="0" w:line="121" w:lineRule="exact"/>
              <w:rPr>
                <w:sz w:val="20"/>
                <w:szCs w:val="20"/>
                <w:color w:val="auto"/>
              </w:rPr>
            </w:pPr>
            <w:r>
              <w:rPr>
                <w:rFonts w:ascii="Arial" w:cs="Arial" w:eastAsia="Arial" w:hAnsi="Arial"/>
                <w:sz w:val="12"/>
                <w:szCs w:val="12"/>
                <w:color w:val="auto"/>
              </w:rPr>
              <w:t>09057550</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Matrix Service Inc.</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State of Iowa</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Contractor - License</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Contractors License</w:t>
            </w:r>
          </w:p>
        </w:tc>
        <w:tc>
          <w:tcPr>
            <w:tcW w:w="1600" w:type="dxa"/>
            <w:vAlign w:val="bottom"/>
            <w:tcBorders>
              <w:right w:val="single" w:sz="8" w:color="CCCCFF"/>
            </w:tcBorders>
          </w:tcPr>
          <w:p>
            <w:pPr>
              <w:jc w:val="right"/>
              <w:spacing w:after="0" w:line="121" w:lineRule="exact"/>
              <w:rPr>
                <w:sz w:val="20"/>
                <w:szCs w:val="20"/>
                <w:color w:val="auto"/>
              </w:rPr>
            </w:pPr>
            <w:r>
              <w:rPr>
                <w:rFonts w:ascii="Arial" w:cs="Arial" w:eastAsia="Arial" w:hAnsi="Arial"/>
                <w:sz w:val="12"/>
                <w:szCs w:val="12"/>
                <w:color w:val="auto"/>
              </w:rPr>
              <w:t>$25,000.00</w:t>
            </w:r>
          </w:p>
        </w:tc>
        <w:tc>
          <w:tcPr>
            <w:tcW w:w="1160" w:type="dxa"/>
            <w:vAlign w:val="bottom"/>
            <w:tcBorders>
              <w:right w:val="single" w:sz="8" w:color="CCCCFF"/>
            </w:tcBorders>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17-Feb-12</w:t>
            </w:r>
          </w:p>
        </w:tc>
        <w:tc>
          <w:tcPr>
            <w:tcW w:w="102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6"/>
              </w:rPr>
              <w:t>17-Feb-16</w:t>
            </w:r>
          </w:p>
        </w:tc>
        <w:tc>
          <w:tcPr>
            <w:tcW w:w="920" w:type="dxa"/>
            <w:vAlign w:val="bottom"/>
            <w:tcBorders>
              <w:right w:val="single" w:sz="8" w:color="0066CC"/>
            </w:tcBorders>
          </w:tcPr>
          <w:p>
            <w:pPr>
              <w:jc w:val="center"/>
              <w:spacing w:after="0" w:line="121" w:lineRule="exact"/>
              <w:rPr>
                <w:sz w:val="20"/>
                <w:szCs w:val="20"/>
                <w:color w:val="auto"/>
              </w:rPr>
            </w:pPr>
            <w:r>
              <w:rPr>
                <w:rFonts w:ascii="Arial" w:cs="Arial" w:eastAsia="Arial" w:hAnsi="Arial"/>
                <w:sz w:val="12"/>
                <w:szCs w:val="12"/>
                <w:color w:val="auto"/>
                <w:w w:val="86"/>
              </w:rPr>
              <w:t>17-Feb-17</w:t>
            </w: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0"/>
              </w:rPr>
              <w:t>No. C095804</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9"/>
              </w:rPr>
              <w:t>B-1 General</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jc w:val="right"/>
              <w:ind w:right="301"/>
              <w:spacing w:after="0" w:line="121" w:lineRule="exact"/>
              <w:rPr>
                <w:sz w:val="20"/>
                <w:szCs w:val="20"/>
                <w:color w:val="auto"/>
              </w:rPr>
            </w:pPr>
            <w:r>
              <w:rPr>
                <w:rFonts w:ascii="Arial" w:cs="Arial" w:eastAsia="Arial" w:hAnsi="Arial"/>
                <w:sz w:val="12"/>
                <w:szCs w:val="12"/>
                <w:color w:val="auto"/>
              </w:rPr>
              <w:t>09066707</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Matrix Service Inc.</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State of Arizona</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Commercial</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Contractors License</w:t>
            </w:r>
          </w:p>
        </w:tc>
        <w:tc>
          <w:tcPr>
            <w:tcW w:w="1600" w:type="dxa"/>
            <w:vAlign w:val="bottom"/>
            <w:tcBorders>
              <w:right w:val="single" w:sz="8" w:color="CCCCFF"/>
            </w:tcBorders>
          </w:tcPr>
          <w:p>
            <w:pPr>
              <w:jc w:val="right"/>
              <w:spacing w:after="0" w:line="121" w:lineRule="exact"/>
              <w:rPr>
                <w:sz w:val="20"/>
                <w:szCs w:val="20"/>
                <w:color w:val="auto"/>
              </w:rPr>
            </w:pPr>
            <w:r>
              <w:rPr>
                <w:rFonts w:ascii="Arial" w:cs="Arial" w:eastAsia="Arial" w:hAnsi="Arial"/>
                <w:sz w:val="12"/>
                <w:szCs w:val="12"/>
                <w:color w:val="auto"/>
              </w:rPr>
              <w:t>$100,000.00</w:t>
            </w:r>
          </w:p>
        </w:tc>
        <w:tc>
          <w:tcPr>
            <w:tcW w:w="1160" w:type="dxa"/>
            <w:vAlign w:val="bottom"/>
            <w:tcBorders>
              <w:right w:val="single" w:sz="8" w:color="CCCCFF"/>
            </w:tcBorders>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3"/>
              </w:rPr>
              <w:t>26-Apr-12</w:t>
            </w:r>
          </w:p>
        </w:tc>
        <w:tc>
          <w:tcPr>
            <w:tcW w:w="102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26-Apr-16</w:t>
            </w:r>
          </w:p>
        </w:tc>
        <w:tc>
          <w:tcPr>
            <w:tcW w:w="920" w:type="dxa"/>
            <w:vAlign w:val="bottom"/>
            <w:tcBorders>
              <w:right w:val="single" w:sz="8" w:color="0066CC"/>
            </w:tcBorders>
          </w:tcPr>
          <w:p>
            <w:pPr>
              <w:jc w:val="center"/>
              <w:spacing w:after="0" w:line="121" w:lineRule="exact"/>
              <w:rPr>
                <w:sz w:val="20"/>
                <w:szCs w:val="20"/>
                <w:color w:val="auto"/>
              </w:rPr>
            </w:pPr>
            <w:r>
              <w:rPr>
                <w:rFonts w:ascii="Arial" w:cs="Arial" w:eastAsia="Arial" w:hAnsi="Arial"/>
                <w:sz w:val="12"/>
                <w:szCs w:val="12"/>
                <w:color w:val="auto"/>
                <w:w w:val="89"/>
              </w:rPr>
              <w:t>26-Apr-17</w:t>
            </w: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9"/>
              </w:rPr>
              <w:t>Contractor</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Borders>
              <w:left w:val="single" w:sz="8" w:color="0066CC"/>
              <w:bottom w:val="single" w:sz="8" w:color="CCCCFF"/>
              <w:right w:val="single" w:sz="8" w:color="CCCCFF"/>
            </w:tcBorders>
          </w:tcPr>
          <w:p>
            <w:pPr>
              <w:jc w:val="right"/>
              <w:ind w:right="301"/>
              <w:spacing w:after="0"/>
              <w:rPr>
                <w:sz w:val="20"/>
                <w:szCs w:val="20"/>
                <w:color w:val="auto"/>
              </w:rPr>
            </w:pPr>
            <w:r>
              <w:rPr>
                <w:rFonts w:ascii="Arial" w:cs="Arial" w:eastAsia="Arial" w:hAnsi="Arial"/>
                <w:sz w:val="12"/>
                <w:szCs w:val="12"/>
                <w:color w:val="auto"/>
              </w:rPr>
              <w:t>09066777</w:t>
            </w:r>
          </w:p>
        </w:tc>
        <w:tc>
          <w:tcPr>
            <w:tcW w:w="114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1"/>
              </w:rPr>
              <w:t>Matrix Service Inc.</w:t>
            </w:r>
          </w:p>
        </w:tc>
        <w:tc>
          <w:tcPr>
            <w:tcW w:w="114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8"/>
              </w:rPr>
              <w:t>State of Florida</w:t>
            </w: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9"/>
              </w:rPr>
              <w:t>Construction License</w:t>
            </w:r>
          </w:p>
        </w:tc>
        <w:tc>
          <w:tcPr>
            <w:tcW w:w="114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8"/>
              </w:rPr>
              <w:t>Contractors License</w:t>
            </w:r>
          </w:p>
        </w:tc>
        <w:tc>
          <w:tcPr>
            <w:tcW w:w="1600" w:type="dxa"/>
            <w:vAlign w:val="bottom"/>
            <w:tcBorders>
              <w:bottom w:val="single" w:sz="8" w:color="CCCCFF"/>
              <w:right w:val="single" w:sz="8" w:color="CCCCFF"/>
            </w:tcBorders>
          </w:tcPr>
          <w:p>
            <w:pPr>
              <w:jc w:val="right"/>
              <w:spacing w:after="0"/>
              <w:rPr>
                <w:sz w:val="20"/>
                <w:szCs w:val="20"/>
                <w:color w:val="auto"/>
              </w:rPr>
            </w:pPr>
            <w:r>
              <w:rPr>
                <w:rFonts w:ascii="Arial" w:cs="Arial" w:eastAsia="Arial" w:hAnsi="Arial"/>
                <w:sz w:val="12"/>
                <w:szCs w:val="12"/>
                <w:color w:val="auto"/>
              </w:rPr>
              <w:t>$100,000.00</w:t>
            </w:r>
          </w:p>
        </w:tc>
        <w:tc>
          <w:tcPr>
            <w:tcW w:w="1160" w:type="dxa"/>
            <w:vAlign w:val="bottom"/>
            <w:tcBorders>
              <w:bottom w:val="single" w:sz="8" w:color="CCCCFF"/>
              <w:right w:val="single" w:sz="8" w:color="CCCCFF"/>
            </w:tcBorders>
          </w:tcPr>
          <w:p>
            <w:pPr>
              <w:ind w:left="420"/>
              <w:spacing w:after="0"/>
              <w:rPr>
                <w:sz w:val="20"/>
                <w:szCs w:val="20"/>
                <w:color w:val="auto"/>
              </w:rPr>
            </w:pPr>
            <w:r>
              <w:rPr>
                <w:rFonts w:ascii="Arial" w:cs="Arial" w:eastAsia="Arial" w:hAnsi="Arial"/>
                <w:sz w:val="12"/>
                <w:szCs w:val="12"/>
                <w:color w:val="auto"/>
              </w:rPr>
              <w:t>Zurich</w:t>
            </w:r>
          </w:p>
        </w:tc>
        <w:tc>
          <w:tcPr>
            <w:tcW w:w="102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8"/>
              </w:rPr>
              <w:t>08-Jun-12</w:t>
            </w:r>
          </w:p>
        </w:tc>
        <w:tc>
          <w:tcPr>
            <w:tcW w:w="102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8"/>
              </w:rPr>
              <w:t>08-Jun-16</w:t>
            </w:r>
          </w:p>
        </w:tc>
        <w:tc>
          <w:tcPr>
            <w:tcW w:w="920" w:type="dxa"/>
            <w:vAlign w:val="bottom"/>
            <w:tcBorders>
              <w:bottom w:val="single" w:sz="8" w:color="CCCCFF"/>
              <w:right w:val="single" w:sz="8" w:color="0066CC"/>
            </w:tcBorders>
          </w:tcPr>
          <w:p>
            <w:pPr>
              <w:jc w:val="center"/>
              <w:spacing w:after="0"/>
              <w:rPr>
                <w:sz w:val="20"/>
                <w:szCs w:val="20"/>
                <w:color w:val="auto"/>
              </w:rPr>
            </w:pPr>
            <w:r>
              <w:rPr>
                <w:rFonts w:ascii="Arial" w:cs="Arial" w:eastAsia="Arial" w:hAnsi="Arial"/>
                <w:sz w:val="12"/>
                <w:szCs w:val="12"/>
                <w:color w:val="auto"/>
                <w:w w:val="88"/>
              </w:rPr>
              <w:t>08-Jun-17</w:t>
            </w: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Board of Examiners of</w:t>
            </w:r>
          </w:p>
        </w:tc>
        <w:tc>
          <w:tcPr>
            <w:tcW w:w="116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restart"/>
          </w:tcPr>
          <w:p>
            <w:pPr>
              <w:jc w:val="right"/>
              <w:ind w:right="301"/>
              <w:spacing w:after="0" w:line="121" w:lineRule="exact"/>
              <w:rPr>
                <w:sz w:val="20"/>
                <w:szCs w:val="20"/>
                <w:color w:val="auto"/>
              </w:rPr>
            </w:pPr>
            <w:r>
              <w:rPr>
                <w:rFonts w:ascii="Arial" w:cs="Arial" w:eastAsia="Arial" w:hAnsi="Arial"/>
                <w:sz w:val="12"/>
                <w:szCs w:val="12"/>
                <w:color w:val="auto"/>
              </w:rPr>
              <w:t>09077549</w:t>
            </w: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Electrical Contractors,</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Electrical Contractor</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Other License-Permit</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$1,000.00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31-Mar-12</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3"/>
              </w:rPr>
              <w:t>31-Mar-15</w:t>
            </w:r>
          </w:p>
        </w:tc>
        <w:tc>
          <w:tcPr>
            <w:tcW w:w="920" w:type="dxa"/>
            <w:vAlign w:val="bottom"/>
            <w:tcBorders>
              <w:right w:val="single" w:sz="8" w:color="0066CC"/>
            </w:tcBorders>
            <w:vMerge w:val="restart"/>
          </w:tcPr>
          <w:p>
            <w:pPr>
              <w:jc w:val="center"/>
              <w:spacing w:after="0" w:line="121" w:lineRule="exact"/>
              <w:rPr>
                <w:sz w:val="20"/>
                <w:szCs w:val="20"/>
                <w:color w:val="auto"/>
              </w:rPr>
            </w:pPr>
            <w:r>
              <w:rPr>
                <w:rFonts w:ascii="Arial" w:cs="Arial" w:eastAsia="Arial" w:hAnsi="Arial"/>
                <w:sz w:val="12"/>
                <w:szCs w:val="12"/>
                <w:color w:val="auto"/>
                <w:w w:val="93"/>
              </w:rPr>
              <w:t>31-Mar-18</w:t>
            </w: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Construction, Inc. &amp;</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60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920" w:type="dxa"/>
            <w:vAlign w:val="bottom"/>
            <w:tcBorders>
              <w:right w:val="single" w:sz="8" w:color="0066CC"/>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5"/>
              </w:rPr>
              <w:t>State of New Jersey</w:t>
            </w:r>
          </w:p>
        </w:tc>
        <w:tc>
          <w:tcPr>
            <w:tcW w:w="1160" w:type="dxa"/>
            <w:vAlign w:val="bottom"/>
            <w:tcBorders>
              <w:right w:val="single" w:sz="8" w:color="CCCCFF"/>
            </w:tcBorders>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7"/>
              </w:rPr>
              <w:t>Charles R. Carter</w:t>
            </w: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80" w:type="dxa"/>
            <w:vAlign w:val="bottom"/>
            <w:tcBorders>
              <w:left w:val="single" w:sz="8" w:color="0066CC"/>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vMerge w:val="continue"/>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60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920" w:type="dxa"/>
            <w:vAlign w:val="bottom"/>
            <w:tcBorders>
              <w:bottom w:val="single" w:sz="8" w:color="CCCCFF"/>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vMerge w:val="restart"/>
          </w:tcPr>
          <w:p>
            <w:pPr>
              <w:jc w:val="right"/>
              <w:ind w:right="301"/>
              <w:spacing w:after="0"/>
              <w:rPr>
                <w:sz w:val="20"/>
                <w:szCs w:val="20"/>
                <w:color w:val="auto"/>
              </w:rPr>
            </w:pPr>
            <w:r>
              <w:rPr>
                <w:rFonts w:ascii="Arial" w:cs="Arial" w:eastAsia="Arial" w:hAnsi="Arial"/>
                <w:sz w:val="12"/>
                <w:szCs w:val="12"/>
                <w:color w:val="auto"/>
              </w:rPr>
              <w:t>09077608</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1"/>
              </w:rPr>
              <w:t>Matrix Service Inc.</w:t>
            </w:r>
          </w:p>
        </w:tc>
        <w:tc>
          <w:tcPr>
            <w:tcW w:w="114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7"/>
              </w:rPr>
              <w:t>Nevada State</w:t>
            </w: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Contractor</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Contractors License</w:t>
            </w:r>
          </w:p>
        </w:tc>
        <w:tc>
          <w:tcPr>
            <w:tcW w:w="1600" w:type="dxa"/>
            <w:vAlign w:val="bottom"/>
            <w:tcBorders>
              <w:right w:val="single" w:sz="8" w:color="CCCCFF"/>
            </w:tcBorders>
            <w:vMerge w:val="restart"/>
          </w:tcPr>
          <w:p>
            <w:pPr>
              <w:jc w:val="right"/>
              <w:spacing w:after="0"/>
              <w:rPr>
                <w:sz w:val="20"/>
                <w:szCs w:val="20"/>
                <w:color w:val="auto"/>
              </w:rPr>
            </w:pPr>
            <w:r>
              <w:rPr>
                <w:rFonts w:ascii="Arial" w:cs="Arial" w:eastAsia="Arial" w:hAnsi="Arial"/>
                <w:sz w:val="12"/>
                <w:szCs w:val="12"/>
                <w:color w:val="auto"/>
              </w:rPr>
              <w:t>$50,000.00</w:t>
            </w:r>
          </w:p>
        </w:tc>
        <w:tc>
          <w:tcPr>
            <w:tcW w:w="1160" w:type="dxa"/>
            <w:vAlign w:val="bottom"/>
            <w:tcBorders>
              <w:right w:val="single" w:sz="8" w:color="CCCCFF"/>
            </w:tcBorders>
            <w:vMerge w:val="restart"/>
          </w:tcPr>
          <w:p>
            <w:pPr>
              <w:ind w:left="420"/>
              <w:spacing w:after="0"/>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22-Mar-12</w:t>
            </w:r>
          </w:p>
        </w:tc>
        <w:tc>
          <w:tcPr>
            <w:tcW w:w="10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3"/>
              </w:rPr>
              <w:t>22-Mar-16</w:t>
            </w:r>
          </w:p>
        </w:tc>
        <w:tc>
          <w:tcPr>
            <w:tcW w:w="920" w:type="dxa"/>
            <w:vAlign w:val="bottom"/>
            <w:tcBorders>
              <w:right w:val="single" w:sz="8" w:color="0066CC"/>
            </w:tcBorders>
            <w:vMerge w:val="restart"/>
          </w:tcPr>
          <w:p>
            <w:pPr>
              <w:jc w:val="center"/>
              <w:spacing w:after="0"/>
              <w:rPr>
                <w:sz w:val="20"/>
                <w:szCs w:val="20"/>
                <w:color w:val="auto"/>
              </w:rPr>
            </w:pPr>
            <w:r>
              <w:rPr>
                <w:rFonts w:ascii="Arial" w:cs="Arial" w:eastAsia="Arial" w:hAnsi="Arial"/>
                <w:sz w:val="12"/>
                <w:szCs w:val="12"/>
                <w:color w:val="auto"/>
                <w:w w:val="93"/>
              </w:rPr>
              <w:t>22-Mar-17</w:t>
            </w: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Contractors Board</w:t>
            </w:r>
          </w:p>
        </w:tc>
        <w:tc>
          <w:tcPr>
            <w:tcW w:w="116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60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vMerge w:val="continue"/>
          </w:tcPr>
          <w:p>
            <w:pPr>
              <w:spacing w:after="0"/>
              <w:rPr>
                <w:sz w:val="7"/>
                <w:szCs w:val="7"/>
                <w:color w:val="auto"/>
              </w:rPr>
            </w:pPr>
          </w:p>
        </w:tc>
        <w:tc>
          <w:tcPr>
            <w:tcW w:w="920" w:type="dxa"/>
            <w:vAlign w:val="bottom"/>
            <w:tcBorders>
              <w:right w:val="single" w:sz="8" w:color="0066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80" w:type="dxa"/>
            <w:vAlign w:val="bottom"/>
            <w:tcBorders>
              <w:left w:val="single" w:sz="8" w:color="0066CC"/>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vMerge w:val="continue"/>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60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920" w:type="dxa"/>
            <w:vAlign w:val="bottom"/>
            <w:tcBorders>
              <w:bottom w:val="single" w:sz="8" w:color="CCCCFF"/>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jc w:val="right"/>
              <w:ind w:right="301"/>
              <w:spacing w:after="0" w:line="121" w:lineRule="exact"/>
              <w:rPr>
                <w:sz w:val="20"/>
                <w:szCs w:val="20"/>
                <w:color w:val="auto"/>
              </w:rPr>
            </w:pPr>
            <w:r>
              <w:rPr>
                <w:rFonts w:ascii="Arial" w:cs="Arial" w:eastAsia="Arial" w:hAnsi="Arial"/>
                <w:sz w:val="12"/>
                <w:szCs w:val="12"/>
                <w:color w:val="auto"/>
              </w:rPr>
              <w:t>09077616</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State of Florida</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Contractors License</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Contractors License</w:t>
            </w:r>
          </w:p>
        </w:tc>
        <w:tc>
          <w:tcPr>
            <w:tcW w:w="1600" w:type="dxa"/>
            <w:vAlign w:val="bottom"/>
            <w:tcBorders>
              <w:right w:val="single" w:sz="8" w:color="CCCCFF"/>
            </w:tcBorders>
          </w:tcPr>
          <w:p>
            <w:pPr>
              <w:jc w:val="right"/>
              <w:spacing w:after="0" w:line="121" w:lineRule="exact"/>
              <w:rPr>
                <w:sz w:val="20"/>
                <w:szCs w:val="20"/>
                <w:color w:val="auto"/>
              </w:rPr>
            </w:pPr>
            <w:r>
              <w:rPr>
                <w:rFonts w:ascii="Arial" w:cs="Arial" w:eastAsia="Arial" w:hAnsi="Arial"/>
                <w:sz w:val="12"/>
                <w:szCs w:val="12"/>
                <w:color w:val="auto"/>
              </w:rPr>
              <w:t>$100,000.00</w:t>
            </w:r>
          </w:p>
        </w:tc>
        <w:tc>
          <w:tcPr>
            <w:tcW w:w="1160" w:type="dxa"/>
            <w:vAlign w:val="bottom"/>
            <w:tcBorders>
              <w:right w:val="single" w:sz="8" w:color="CCCCFF"/>
            </w:tcBorders>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29-Mar-12</w:t>
            </w:r>
          </w:p>
        </w:tc>
        <w:tc>
          <w:tcPr>
            <w:tcW w:w="102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3"/>
              </w:rPr>
              <w:t>29-Mar-16</w:t>
            </w:r>
          </w:p>
        </w:tc>
        <w:tc>
          <w:tcPr>
            <w:tcW w:w="920" w:type="dxa"/>
            <w:vAlign w:val="bottom"/>
            <w:tcBorders>
              <w:right w:val="single" w:sz="8" w:color="0066CC"/>
            </w:tcBorders>
          </w:tcPr>
          <w:p>
            <w:pPr>
              <w:jc w:val="center"/>
              <w:spacing w:after="0" w:line="121" w:lineRule="exact"/>
              <w:rPr>
                <w:sz w:val="20"/>
                <w:szCs w:val="20"/>
                <w:color w:val="auto"/>
              </w:rPr>
            </w:pPr>
            <w:r>
              <w:rPr>
                <w:rFonts w:ascii="Arial" w:cs="Arial" w:eastAsia="Arial" w:hAnsi="Arial"/>
                <w:sz w:val="12"/>
                <w:szCs w:val="12"/>
                <w:color w:val="auto"/>
                <w:w w:val="93"/>
              </w:rPr>
              <w:t>29-Mar-17</w:t>
            </w: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9"/>
              </w:rPr>
              <w:t>Construction, Inc.</w:t>
            </w: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2"/>
              </w:rPr>
              <w:t>Lyndon Cutler (Matrix</w:t>
            </w:r>
          </w:p>
        </w:tc>
        <w:tc>
          <w:tcPr>
            <w:tcW w:w="114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7"/>
              </w:rPr>
              <w:t>Oklahoma</w:t>
            </w:r>
          </w:p>
        </w:tc>
        <w:tc>
          <w:tcPr>
            <w:tcW w:w="116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restart"/>
          </w:tcPr>
          <w:p>
            <w:pPr>
              <w:jc w:val="right"/>
              <w:ind w:right="301"/>
              <w:spacing w:after="0" w:line="121" w:lineRule="exact"/>
              <w:rPr>
                <w:sz w:val="20"/>
                <w:szCs w:val="20"/>
                <w:color w:val="auto"/>
              </w:rPr>
            </w:pPr>
            <w:r>
              <w:rPr>
                <w:rFonts w:ascii="Arial" w:cs="Arial" w:eastAsia="Arial" w:hAnsi="Arial"/>
                <w:sz w:val="12"/>
                <w:szCs w:val="12"/>
                <w:color w:val="auto"/>
              </w:rPr>
              <w:t>09089606</w:t>
            </w: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Construction</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Mechanical Contractor</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Contractors License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$5,000.00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25-Jul-12</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7"/>
              </w:rPr>
              <w:t>25-Jul-16</w:t>
            </w:r>
          </w:p>
        </w:tc>
        <w:tc>
          <w:tcPr>
            <w:tcW w:w="920" w:type="dxa"/>
            <w:vAlign w:val="bottom"/>
            <w:tcBorders>
              <w:right w:val="single" w:sz="8" w:color="0066CC"/>
            </w:tcBorders>
            <w:vMerge w:val="restart"/>
          </w:tcPr>
          <w:p>
            <w:pPr>
              <w:jc w:val="center"/>
              <w:spacing w:after="0" w:line="121" w:lineRule="exact"/>
              <w:rPr>
                <w:sz w:val="20"/>
                <w:szCs w:val="20"/>
                <w:color w:val="auto"/>
              </w:rPr>
            </w:pPr>
            <w:r>
              <w:rPr>
                <w:rFonts w:ascii="Arial" w:cs="Arial" w:eastAsia="Arial" w:hAnsi="Arial"/>
                <w:sz w:val="12"/>
                <w:szCs w:val="12"/>
                <w:color w:val="auto"/>
                <w:w w:val="87"/>
              </w:rPr>
              <w:t>25-Jul-17</w:t>
            </w: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Service Inc.)</w:t>
            </w: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60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920" w:type="dxa"/>
            <w:vAlign w:val="bottom"/>
            <w:tcBorders>
              <w:right w:val="single" w:sz="8" w:color="0066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Industries Board</w:t>
            </w:r>
          </w:p>
        </w:tc>
        <w:tc>
          <w:tcPr>
            <w:tcW w:w="1160" w:type="dxa"/>
            <w:vAlign w:val="bottom"/>
            <w:tcBorders>
              <w:right w:val="single" w:sz="8" w:color="CCCCFF"/>
            </w:tcBorders>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80" w:type="dxa"/>
            <w:vAlign w:val="bottom"/>
            <w:tcBorders>
              <w:left w:val="single" w:sz="8" w:color="0066CC"/>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vMerge w:val="continue"/>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60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920" w:type="dxa"/>
            <w:vAlign w:val="bottom"/>
            <w:tcBorders>
              <w:bottom w:val="single" w:sz="8" w:color="CCCCFF"/>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vMerge w:val="restart"/>
          </w:tcPr>
          <w:p>
            <w:pPr>
              <w:jc w:val="right"/>
              <w:ind w:right="301"/>
              <w:spacing w:after="0"/>
              <w:rPr>
                <w:sz w:val="20"/>
                <w:szCs w:val="20"/>
                <w:color w:val="auto"/>
              </w:rPr>
            </w:pPr>
            <w:r>
              <w:rPr>
                <w:rFonts w:ascii="Arial" w:cs="Arial" w:eastAsia="Arial" w:hAnsi="Arial"/>
                <w:sz w:val="12"/>
                <w:szCs w:val="12"/>
                <w:color w:val="auto"/>
              </w:rPr>
              <w:t>09126884</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1"/>
              </w:rPr>
              <w:t>Matrix Service Inc.</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1"/>
              </w:rPr>
              <w:t>City of Superior</w:t>
            </w: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9"/>
              </w:rPr>
              <w:t>General Contractor -</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Contractors License</w:t>
            </w:r>
          </w:p>
        </w:tc>
        <w:tc>
          <w:tcPr>
            <w:tcW w:w="1600" w:type="dxa"/>
            <w:vAlign w:val="bottom"/>
            <w:tcBorders>
              <w:right w:val="single" w:sz="8" w:color="CCCCFF"/>
            </w:tcBorders>
            <w:vMerge w:val="restart"/>
          </w:tcPr>
          <w:p>
            <w:pPr>
              <w:jc w:val="right"/>
              <w:spacing w:after="0"/>
              <w:rPr>
                <w:sz w:val="20"/>
                <w:szCs w:val="20"/>
                <w:color w:val="auto"/>
              </w:rPr>
            </w:pPr>
            <w:r>
              <w:rPr>
                <w:rFonts w:ascii="Arial" w:cs="Arial" w:eastAsia="Arial" w:hAnsi="Arial"/>
                <w:sz w:val="12"/>
                <w:szCs w:val="12"/>
                <w:color w:val="auto"/>
              </w:rPr>
              <w:t>$25,000.00</w:t>
            </w:r>
          </w:p>
        </w:tc>
        <w:tc>
          <w:tcPr>
            <w:tcW w:w="1160" w:type="dxa"/>
            <w:vAlign w:val="bottom"/>
            <w:tcBorders>
              <w:right w:val="single" w:sz="8" w:color="CCCCFF"/>
            </w:tcBorders>
            <w:vMerge w:val="restart"/>
          </w:tcPr>
          <w:p>
            <w:pPr>
              <w:ind w:left="420"/>
              <w:spacing w:after="0"/>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5"/>
              </w:rPr>
              <w:t>01-Jan-15</w:t>
            </w:r>
          </w:p>
        </w:tc>
        <w:tc>
          <w:tcPr>
            <w:tcW w:w="10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31-Dec-16</w:t>
            </w:r>
          </w:p>
        </w:tc>
        <w:tc>
          <w:tcPr>
            <w:tcW w:w="920" w:type="dxa"/>
            <w:vAlign w:val="bottom"/>
            <w:tcBorders>
              <w:right w:val="single" w:sz="8" w:color="0066CC"/>
            </w:tcBorders>
            <w:vMerge w:val="restart"/>
          </w:tcPr>
          <w:p>
            <w:pPr>
              <w:jc w:val="center"/>
              <w:spacing w:after="0"/>
              <w:rPr>
                <w:sz w:val="20"/>
                <w:szCs w:val="20"/>
                <w:color w:val="auto"/>
              </w:rPr>
            </w:pPr>
            <w:r>
              <w:rPr>
                <w:rFonts w:ascii="Arial" w:cs="Arial" w:eastAsia="Arial" w:hAnsi="Arial"/>
                <w:sz w:val="12"/>
                <w:szCs w:val="12"/>
                <w:color w:val="auto"/>
                <w:w w:val="89"/>
              </w:rPr>
              <w:t>31-Dec-17</w:t>
            </w: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Commercial</w:t>
            </w:r>
          </w:p>
        </w:tc>
        <w:tc>
          <w:tcPr>
            <w:tcW w:w="1140" w:type="dxa"/>
            <w:vAlign w:val="bottom"/>
            <w:tcBorders>
              <w:right w:val="single" w:sz="8" w:color="CCCCFF"/>
            </w:tcBorders>
            <w:vMerge w:val="continue"/>
          </w:tcPr>
          <w:p>
            <w:pPr>
              <w:spacing w:after="0"/>
              <w:rPr>
                <w:sz w:val="7"/>
                <w:szCs w:val="7"/>
                <w:color w:val="auto"/>
              </w:rPr>
            </w:pPr>
          </w:p>
        </w:tc>
        <w:tc>
          <w:tcPr>
            <w:tcW w:w="160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vMerge w:val="continue"/>
          </w:tcPr>
          <w:p>
            <w:pPr>
              <w:spacing w:after="0"/>
              <w:rPr>
                <w:sz w:val="7"/>
                <w:szCs w:val="7"/>
                <w:color w:val="auto"/>
              </w:rPr>
            </w:pPr>
          </w:p>
        </w:tc>
        <w:tc>
          <w:tcPr>
            <w:tcW w:w="920" w:type="dxa"/>
            <w:vAlign w:val="bottom"/>
            <w:tcBorders>
              <w:right w:val="single" w:sz="8" w:color="0066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80" w:type="dxa"/>
            <w:vAlign w:val="bottom"/>
            <w:tcBorders>
              <w:left w:val="single" w:sz="8" w:color="0066CC"/>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vMerge w:val="continue"/>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60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920" w:type="dxa"/>
            <w:vAlign w:val="bottom"/>
            <w:tcBorders>
              <w:bottom w:val="single" w:sz="8" w:color="CCCCFF"/>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9"/>
              </w:rPr>
              <w:t>Construction</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7"/>
              </w:rPr>
              <w:t>Subcontractor -</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jc w:val="right"/>
              <w:ind w:right="301"/>
              <w:spacing w:after="0" w:line="121" w:lineRule="exact"/>
              <w:rPr>
                <w:sz w:val="20"/>
                <w:szCs w:val="20"/>
                <w:color w:val="auto"/>
              </w:rPr>
            </w:pPr>
            <w:r>
              <w:rPr>
                <w:rFonts w:ascii="Arial" w:cs="Arial" w:eastAsia="Arial" w:hAnsi="Arial"/>
                <w:sz w:val="12"/>
                <w:szCs w:val="12"/>
                <w:color w:val="auto"/>
              </w:rPr>
              <w:t>09143825</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Porter County</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Foundation/Steel</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Contractors License</w:t>
            </w:r>
          </w:p>
        </w:tc>
        <w:tc>
          <w:tcPr>
            <w:tcW w:w="1600" w:type="dxa"/>
            <w:vAlign w:val="bottom"/>
            <w:tcBorders>
              <w:right w:val="single" w:sz="8" w:color="CCCCFF"/>
            </w:tcBorders>
          </w:tcPr>
          <w:p>
            <w:pPr>
              <w:jc w:val="right"/>
              <w:spacing w:after="0" w:line="121" w:lineRule="exact"/>
              <w:rPr>
                <w:sz w:val="20"/>
                <w:szCs w:val="20"/>
                <w:color w:val="auto"/>
              </w:rPr>
            </w:pPr>
            <w:r>
              <w:rPr>
                <w:rFonts w:ascii="Arial" w:cs="Arial" w:eastAsia="Arial" w:hAnsi="Arial"/>
                <w:sz w:val="12"/>
                <w:szCs w:val="12"/>
                <w:color w:val="auto"/>
              </w:rPr>
              <w:t>$5,000.00</w:t>
            </w:r>
          </w:p>
        </w:tc>
        <w:tc>
          <w:tcPr>
            <w:tcW w:w="1160" w:type="dxa"/>
            <w:vAlign w:val="bottom"/>
            <w:tcBorders>
              <w:right w:val="single" w:sz="8" w:color="CCCCFF"/>
            </w:tcBorders>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20-Dec-13</w:t>
            </w:r>
          </w:p>
        </w:tc>
        <w:tc>
          <w:tcPr>
            <w:tcW w:w="102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20-Dec-16</w:t>
            </w:r>
          </w:p>
        </w:tc>
        <w:tc>
          <w:tcPr>
            <w:tcW w:w="920" w:type="dxa"/>
            <w:vAlign w:val="bottom"/>
            <w:tcBorders>
              <w:right w:val="single" w:sz="8" w:color="0066CC"/>
            </w:tcBorders>
          </w:tcPr>
          <w:p>
            <w:pPr>
              <w:jc w:val="center"/>
              <w:spacing w:after="0" w:line="121" w:lineRule="exact"/>
              <w:rPr>
                <w:sz w:val="20"/>
                <w:szCs w:val="20"/>
                <w:color w:val="auto"/>
              </w:rPr>
            </w:pPr>
            <w:r>
              <w:rPr>
                <w:rFonts w:ascii="Arial" w:cs="Arial" w:eastAsia="Arial" w:hAnsi="Arial"/>
                <w:sz w:val="12"/>
                <w:szCs w:val="12"/>
                <w:color w:val="auto"/>
                <w:w w:val="89"/>
              </w:rPr>
              <w:t>20-Dec-17</w:t>
            </w: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Erection/Machinery</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8"/>
              </w:rPr>
              <w:t>Erection.</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11480"/>
          </w:cols>
          <w:pgMar w:left="220" w:top="605" w:right="19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139"/>
        </w:trPr>
        <w:tc>
          <w:tcPr>
            <w:tcW w:w="40" w:type="dxa"/>
            <w:vAlign w:val="bottom"/>
          </w:tcPr>
          <w:p>
            <w:pPr>
              <w:spacing w:after="0"/>
              <w:rPr>
                <w:sz w:val="12"/>
                <w:szCs w:val="12"/>
                <w:color w:val="auto"/>
              </w:rPr>
            </w:pPr>
          </w:p>
        </w:tc>
        <w:tc>
          <w:tcPr>
            <w:tcW w:w="1140" w:type="dxa"/>
            <w:vAlign w:val="bottom"/>
            <w:tcBorders>
              <w:top w:val="single" w:sz="8" w:color="CCCCFF"/>
              <w:right w:val="single" w:sz="8" w:color="CCCCFF"/>
            </w:tcBorders>
          </w:tcPr>
          <w:p>
            <w:pPr>
              <w:spacing w:after="0"/>
              <w:rPr>
                <w:sz w:val="12"/>
                <w:szCs w:val="12"/>
                <w:color w:val="auto"/>
              </w:rPr>
            </w:pPr>
          </w:p>
        </w:tc>
        <w:tc>
          <w:tcPr>
            <w:tcW w:w="1140" w:type="dxa"/>
            <w:vAlign w:val="bottom"/>
            <w:tcBorders>
              <w:top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4"/>
              </w:rPr>
              <w:t>Matrix North</w:t>
            </w:r>
          </w:p>
        </w:tc>
        <w:tc>
          <w:tcPr>
            <w:tcW w:w="1140" w:type="dxa"/>
            <w:vAlign w:val="bottom"/>
            <w:tcBorders>
              <w:top w:val="single" w:sz="8" w:color="CCCCFF"/>
              <w:right w:val="single" w:sz="8" w:color="CCCCFF"/>
            </w:tcBorders>
          </w:tcPr>
          <w:p>
            <w:pPr>
              <w:spacing w:after="0"/>
              <w:rPr>
                <w:sz w:val="12"/>
                <w:szCs w:val="12"/>
                <w:color w:val="auto"/>
              </w:rPr>
            </w:pPr>
          </w:p>
        </w:tc>
        <w:tc>
          <w:tcPr>
            <w:tcW w:w="1160" w:type="dxa"/>
            <w:vAlign w:val="bottom"/>
            <w:tcBorders>
              <w:top w:val="single" w:sz="8" w:color="CCCCFF"/>
              <w:right w:val="single" w:sz="8" w:color="CCCCFF"/>
            </w:tcBorders>
          </w:tcPr>
          <w:p>
            <w:pPr>
              <w:spacing w:after="0"/>
              <w:rPr>
                <w:sz w:val="12"/>
                <w:szCs w:val="12"/>
                <w:color w:val="auto"/>
              </w:rPr>
            </w:pPr>
          </w:p>
        </w:tc>
        <w:tc>
          <w:tcPr>
            <w:tcW w:w="1140" w:type="dxa"/>
            <w:vAlign w:val="bottom"/>
            <w:tcBorders>
              <w:top w:val="single" w:sz="8" w:color="CCCCFF"/>
              <w:right w:val="single" w:sz="8" w:color="CCCCFF"/>
            </w:tcBorders>
          </w:tcPr>
          <w:p>
            <w:pPr>
              <w:spacing w:after="0"/>
              <w:rPr>
                <w:sz w:val="12"/>
                <w:szCs w:val="12"/>
                <w:color w:val="auto"/>
              </w:rPr>
            </w:pPr>
          </w:p>
        </w:tc>
        <w:tc>
          <w:tcPr>
            <w:tcW w:w="1600" w:type="dxa"/>
            <w:vAlign w:val="bottom"/>
            <w:tcBorders>
              <w:top w:val="single" w:sz="8" w:color="CCCCFF"/>
              <w:right w:val="single" w:sz="8" w:color="CCCCFF"/>
            </w:tcBorders>
          </w:tcPr>
          <w:p>
            <w:pPr>
              <w:spacing w:after="0"/>
              <w:rPr>
                <w:sz w:val="12"/>
                <w:szCs w:val="12"/>
                <w:color w:val="auto"/>
              </w:rPr>
            </w:pPr>
          </w:p>
        </w:tc>
        <w:tc>
          <w:tcPr>
            <w:tcW w:w="1160" w:type="dxa"/>
            <w:vAlign w:val="bottom"/>
            <w:tcBorders>
              <w:top w:val="single" w:sz="8" w:color="CCCCFF"/>
              <w:right w:val="single" w:sz="8" w:color="CCCCFF"/>
            </w:tcBorders>
          </w:tcPr>
          <w:p>
            <w:pPr>
              <w:spacing w:after="0"/>
              <w:rPr>
                <w:sz w:val="12"/>
                <w:szCs w:val="12"/>
                <w:color w:val="auto"/>
              </w:rPr>
            </w:pPr>
          </w:p>
        </w:tc>
        <w:tc>
          <w:tcPr>
            <w:tcW w:w="1020" w:type="dxa"/>
            <w:vAlign w:val="bottom"/>
            <w:tcBorders>
              <w:top w:val="single" w:sz="8" w:color="CCCCFF"/>
              <w:right w:val="single" w:sz="8" w:color="CCCCFF"/>
            </w:tcBorders>
          </w:tcPr>
          <w:p>
            <w:pPr>
              <w:spacing w:after="0"/>
              <w:rPr>
                <w:sz w:val="12"/>
                <w:szCs w:val="12"/>
                <w:color w:val="auto"/>
              </w:rPr>
            </w:pPr>
          </w:p>
        </w:tc>
        <w:tc>
          <w:tcPr>
            <w:tcW w:w="1020" w:type="dxa"/>
            <w:vAlign w:val="bottom"/>
            <w:tcBorders>
              <w:top w:val="single" w:sz="8" w:color="CCCCFF"/>
              <w:right w:val="single" w:sz="8" w:color="CCCCFF"/>
            </w:tcBorders>
          </w:tcPr>
          <w:p>
            <w:pPr>
              <w:spacing w:after="0"/>
              <w:rPr>
                <w:sz w:val="12"/>
                <w:szCs w:val="12"/>
                <w:color w:val="auto"/>
              </w:rPr>
            </w:pPr>
          </w:p>
        </w:tc>
        <w:tc>
          <w:tcPr>
            <w:tcW w:w="880" w:type="dxa"/>
            <w:vAlign w:val="bottom"/>
            <w:tcBorders>
              <w:top w:val="single" w:sz="8" w:color="CCCC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180" w:type="dxa"/>
            <w:vAlign w:val="bottom"/>
            <w:tcBorders>
              <w:right w:val="single" w:sz="8" w:color="CCCCFF"/>
            </w:tcBorders>
            <w:gridSpan w:val="2"/>
          </w:tcPr>
          <w:p>
            <w:pPr>
              <w:jc w:val="right"/>
              <w:ind w:right="301"/>
              <w:spacing w:after="0" w:line="121" w:lineRule="exact"/>
              <w:rPr>
                <w:sz w:val="20"/>
                <w:szCs w:val="20"/>
                <w:color w:val="auto"/>
              </w:rPr>
            </w:pPr>
            <w:r>
              <w:rPr>
                <w:rFonts w:ascii="Arial" w:cs="Arial" w:eastAsia="Arial" w:hAnsi="Arial"/>
                <w:sz w:val="12"/>
                <w:szCs w:val="12"/>
                <w:color w:val="auto"/>
              </w:rPr>
              <w:t>09143834</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Town of Burns Harbor</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Contractor</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Contractors License</w:t>
            </w:r>
          </w:p>
        </w:tc>
        <w:tc>
          <w:tcPr>
            <w:tcW w:w="1600" w:type="dxa"/>
            <w:vAlign w:val="bottom"/>
            <w:tcBorders>
              <w:right w:val="single" w:sz="8" w:color="CCCCFF"/>
            </w:tcBorders>
          </w:tcPr>
          <w:p>
            <w:pPr>
              <w:jc w:val="right"/>
              <w:spacing w:after="0" w:line="121" w:lineRule="exact"/>
              <w:rPr>
                <w:sz w:val="20"/>
                <w:szCs w:val="20"/>
                <w:color w:val="auto"/>
              </w:rPr>
            </w:pPr>
            <w:r>
              <w:rPr>
                <w:rFonts w:ascii="Arial" w:cs="Arial" w:eastAsia="Arial" w:hAnsi="Arial"/>
                <w:sz w:val="12"/>
                <w:szCs w:val="12"/>
                <w:color w:val="auto"/>
              </w:rPr>
              <w:t>$10,000.00</w:t>
            </w:r>
          </w:p>
        </w:tc>
        <w:tc>
          <w:tcPr>
            <w:tcW w:w="1160" w:type="dxa"/>
            <w:vAlign w:val="bottom"/>
            <w:tcBorders>
              <w:right w:val="single" w:sz="8" w:color="CCCCFF"/>
            </w:tcBorders>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20-Dec-13</w:t>
            </w:r>
          </w:p>
        </w:tc>
        <w:tc>
          <w:tcPr>
            <w:tcW w:w="102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20-Dec-16</w:t>
            </w:r>
          </w:p>
        </w:tc>
        <w:tc>
          <w:tcPr>
            <w:tcW w:w="900" w:type="dxa"/>
            <w:vAlign w:val="bottom"/>
            <w:gridSpan w:val="2"/>
          </w:tcPr>
          <w:p>
            <w:pPr>
              <w:jc w:val="center"/>
              <w:spacing w:after="0" w:line="121" w:lineRule="exact"/>
              <w:rPr>
                <w:sz w:val="20"/>
                <w:szCs w:val="20"/>
                <w:color w:val="auto"/>
              </w:rPr>
            </w:pPr>
            <w:r>
              <w:rPr>
                <w:rFonts w:ascii="Arial" w:cs="Arial" w:eastAsia="Arial" w:hAnsi="Arial"/>
                <w:sz w:val="12"/>
                <w:szCs w:val="12"/>
                <w:color w:val="auto"/>
                <w:w w:val="89"/>
              </w:rPr>
              <w:t>20-Dec-17</w:t>
            </w:r>
          </w:p>
        </w:tc>
        <w:tc>
          <w:tcPr>
            <w:tcW w:w="0" w:type="dxa"/>
            <w:vAlign w:val="bottom"/>
          </w:tcPr>
          <w:p>
            <w:pPr>
              <w:spacing w:after="0"/>
              <w:rPr>
                <w:sz w:val="1"/>
                <w:szCs w:val="1"/>
                <w:color w:val="auto"/>
              </w:rPr>
            </w:pPr>
          </w:p>
        </w:tc>
      </w:tr>
      <w:tr>
        <w:trPr>
          <w:trHeight w:val="154"/>
        </w:trPr>
        <w:tc>
          <w:tcPr>
            <w:tcW w:w="40" w:type="dxa"/>
            <w:vAlign w:val="bottom"/>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9"/>
              </w:rPr>
              <w:t>Construction, Inc.</w:t>
            </w: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880" w:type="dxa"/>
            <w:vAlign w:val="bottom"/>
            <w:tcBorders>
              <w:bottom w:val="single" w:sz="8" w:color="CCCC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right w:val="single" w:sz="8" w:color="CCCCFF"/>
            </w:tcBorders>
            <w:gridSpan w:val="2"/>
          </w:tcPr>
          <w:p>
            <w:pPr>
              <w:jc w:val="right"/>
              <w:ind w:right="301"/>
              <w:spacing w:after="0" w:line="121" w:lineRule="exact"/>
              <w:rPr>
                <w:sz w:val="20"/>
                <w:szCs w:val="20"/>
                <w:color w:val="auto"/>
              </w:rPr>
            </w:pPr>
            <w:r>
              <w:rPr>
                <w:rFonts w:ascii="Arial" w:cs="Arial" w:eastAsia="Arial" w:hAnsi="Arial"/>
                <w:sz w:val="12"/>
                <w:szCs w:val="12"/>
                <w:color w:val="auto"/>
              </w:rPr>
              <w:t>09143835</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Lake County, Indiana</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Contractor</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Contractors License</w:t>
            </w:r>
          </w:p>
        </w:tc>
        <w:tc>
          <w:tcPr>
            <w:tcW w:w="1600" w:type="dxa"/>
            <w:vAlign w:val="bottom"/>
            <w:tcBorders>
              <w:right w:val="single" w:sz="8" w:color="CCCCFF"/>
            </w:tcBorders>
          </w:tcPr>
          <w:p>
            <w:pPr>
              <w:jc w:val="right"/>
              <w:spacing w:after="0" w:line="121" w:lineRule="exact"/>
              <w:rPr>
                <w:sz w:val="20"/>
                <w:szCs w:val="20"/>
                <w:color w:val="auto"/>
              </w:rPr>
            </w:pPr>
            <w:r>
              <w:rPr>
                <w:rFonts w:ascii="Arial" w:cs="Arial" w:eastAsia="Arial" w:hAnsi="Arial"/>
                <w:sz w:val="12"/>
                <w:szCs w:val="12"/>
                <w:color w:val="auto"/>
              </w:rPr>
              <w:t>$5,000.00</w:t>
            </w:r>
          </w:p>
        </w:tc>
        <w:tc>
          <w:tcPr>
            <w:tcW w:w="1160" w:type="dxa"/>
            <w:vAlign w:val="bottom"/>
            <w:tcBorders>
              <w:right w:val="single" w:sz="8" w:color="CCCCFF"/>
            </w:tcBorders>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20-Dec-13</w:t>
            </w:r>
          </w:p>
        </w:tc>
        <w:tc>
          <w:tcPr>
            <w:tcW w:w="102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20-Dec-16</w:t>
            </w:r>
          </w:p>
        </w:tc>
        <w:tc>
          <w:tcPr>
            <w:tcW w:w="900" w:type="dxa"/>
            <w:vAlign w:val="bottom"/>
            <w:gridSpan w:val="2"/>
          </w:tcPr>
          <w:p>
            <w:pPr>
              <w:jc w:val="center"/>
              <w:spacing w:after="0" w:line="121" w:lineRule="exact"/>
              <w:rPr>
                <w:sz w:val="20"/>
                <w:szCs w:val="20"/>
                <w:color w:val="auto"/>
              </w:rPr>
            </w:pPr>
            <w:r>
              <w:rPr>
                <w:rFonts w:ascii="Arial" w:cs="Arial" w:eastAsia="Arial" w:hAnsi="Arial"/>
                <w:sz w:val="12"/>
                <w:szCs w:val="12"/>
                <w:color w:val="auto"/>
                <w:w w:val="89"/>
              </w:rPr>
              <w:t>20-Dec-17</w:t>
            </w:r>
          </w:p>
        </w:tc>
        <w:tc>
          <w:tcPr>
            <w:tcW w:w="0" w:type="dxa"/>
            <w:vAlign w:val="bottom"/>
          </w:tcPr>
          <w:p>
            <w:pPr>
              <w:spacing w:after="0"/>
              <w:rPr>
                <w:sz w:val="1"/>
                <w:szCs w:val="1"/>
                <w:color w:val="auto"/>
              </w:rPr>
            </w:pPr>
          </w:p>
        </w:tc>
      </w:tr>
      <w:tr>
        <w:trPr>
          <w:trHeight w:val="154"/>
        </w:trPr>
        <w:tc>
          <w:tcPr>
            <w:tcW w:w="40" w:type="dxa"/>
            <w:vAlign w:val="bottom"/>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9"/>
              </w:rPr>
              <w:t>Construction, Inc.</w:t>
            </w: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880" w:type="dxa"/>
            <w:vAlign w:val="bottom"/>
            <w:tcBorders>
              <w:bottom w:val="single" w:sz="8" w:color="CCCC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right w:val="single" w:sz="8" w:color="CCCCFF"/>
            </w:tcBorders>
            <w:gridSpan w:val="2"/>
          </w:tcPr>
          <w:p>
            <w:pPr>
              <w:jc w:val="right"/>
              <w:ind w:right="301"/>
              <w:spacing w:after="0" w:line="121" w:lineRule="exact"/>
              <w:rPr>
                <w:sz w:val="20"/>
                <w:szCs w:val="20"/>
                <w:color w:val="auto"/>
              </w:rPr>
            </w:pPr>
            <w:r>
              <w:rPr>
                <w:rFonts w:ascii="Arial" w:cs="Arial" w:eastAsia="Arial" w:hAnsi="Arial"/>
                <w:sz w:val="12"/>
                <w:szCs w:val="12"/>
                <w:color w:val="auto"/>
              </w:rPr>
              <w:t>09143837</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6"/>
              </w:rPr>
              <w:t>Village of Dolton, IL</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Contractor</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Contractors License</w:t>
            </w:r>
          </w:p>
        </w:tc>
        <w:tc>
          <w:tcPr>
            <w:tcW w:w="1600" w:type="dxa"/>
            <w:vAlign w:val="bottom"/>
            <w:tcBorders>
              <w:right w:val="single" w:sz="8" w:color="CCCCFF"/>
            </w:tcBorders>
          </w:tcPr>
          <w:p>
            <w:pPr>
              <w:jc w:val="right"/>
              <w:spacing w:after="0" w:line="121" w:lineRule="exact"/>
              <w:rPr>
                <w:sz w:val="20"/>
                <w:szCs w:val="20"/>
                <w:color w:val="auto"/>
              </w:rPr>
            </w:pPr>
            <w:r>
              <w:rPr>
                <w:rFonts w:ascii="Arial" w:cs="Arial" w:eastAsia="Arial" w:hAnsi="Arial"/>
                <w:sz w:val="12"/>
                <w:szCs w:val="12"/>
                <w:color w:val="auto"/>
              </w:rPr>
              <w:t>$10,000.00</w:t>
            </w:r>
          </w:p>
        </w:tc>
        <w:tc>
          <w:tcPr>
            <w:tcW w:w="1160" w:type="dxa"/>
            <w:vAlign w:val="bottom"/>
            <w:tcBorders>
              <w:right w:val="single" w:sz="8" w:color="CCCCFF"/>
            </w:tcBorders>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20-Dec-13</w:t>
            </w:r>
          </w:p>
        </w:tc>
        <w:tc>
          <w:tcPr>
            <w:tcW w:w="102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20-Dec-16</w:t>
            </w:r>
          </w:p>
        </w:tc>
        <w:tc>
          <w:tcPr>
            <w:tcW w:w="900" w:type="dxa"/>
            <w:vAlign w:val="bottom"/>
            <w:gridSpan w:val="2"/>
          </w:tcPr>
          <w:p>
            <w:pPr>
              <w:jc w:val="center"/>
              <w:spacing w:after="0" w:line="121" w:lineRule="exact"/>
              <w:rPr>
                <w:sz w:val="20"/>
                <w:szCs w:val="20"/>
                <w:color w:val="auto"/>
              </w:rPr>
            </w:pPr>
            <w:r>
              <w:rPr>
                <w:rFonts w:ascii="Arial" w:cs="Arial" w:eastAsia="Arial" w:hAnsi="Arial"/>
                <w:sz w:val="12"/>
                <w:szCs w:val="12"/>
                <w:color w:val="auto"/>
                <w:w w:val="89"/>
              </w:rPr>
              <w:t>20-Dec-17</w:t>
            </w:r>
          </w:p>
        </w:tc>
        <w:tc>
          <w:tcPr>
            <w:tcW w:w="0" w:type="dxa"/>
            <w:vAlign w:val="bottom"/>
          </w:tcPr>
          <w:p>
            <w:pPr>
              <w:spacing w:after="0"/>
              <w:rPr>
                <w:sz w:val="1"/>
                <w:szCs w:val="1"/>
                <w:color w:val="auto"/>
              </w:rPr>
            </w:pPr>
          </w:p>
        </w:tc>
      </w:tr>
      <w:tr>
        <w:trPr>
          <w:trHeight w:val="154"/>
        </w:trPr>
        <w:tc>
          <w:tcPr>
            <w:tcW w:w="40" w:type="dxa"/>
            <w:vAlign w:val="bottom"/>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9"/>
              </w:rPr>
              <w:t>Construction, Inc.</w:t>
            </w: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880" w:type="dxa"/>
            <w:vAlign w:val="bottom"/>
            <w:tcBorders>
              <w:bottom w:val="single" w:sz="8" w:color="CCCC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140" w:type="dxa"/>
            <w:vAlign w:val="bottom"/>
            <w:tcBorders>
              <w:bottom w:val="single" w:sz="8" w:color="CCCCFF"/>
              <w:right w:val="single" w:sz="8" w:color="CCCCFF"/>
            </w:tcBorders>
          </w:tcPr>
          <w:p>
            <w:pPr>
              <w:jc w:val="right"/>
              <w:ind w:right="301"/>
              <w:spacing w:after="0"/>
              <w:rPr>
                <w:sz w:val="20"/>
                <w:szCs w:val="20"/>
                <w:color w:val="auto"/>
              </w:rPr>
            </w:pPr>
            <w:r>
              <w:rPr>
                <w:rFonts w:ascii="Arial" w:cs="Arial" w:eastAsia="Arial" w:hAnsi="Arial"/>
                <w:sz w:val="12"/>
                <w:szCs w:val="12"/>
                <w:color w:val="auto"/>
              </w:rPr>
              <w:t>09143838</w:t>
            </w:r>
          </w:p>
        </w:tc>
        <w:tc>
          <w:tcPr>
            <w:tcW w:w="114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1"/>
              </w:rPr>
              <w:t>Matrix Service Inc.</w:t>
            </w:r>
          </w:p>
        </w:tc>
        <w:tc>
          <w:tcPr>
            <w:tcW w:w="114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8"/>
              </w:rPr>
              <w:t>State of Arizona</w:t>
            </w: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0"/>
              </w:rPr>
              <w:t>Electrical Contractor</w:t>
            </w:r>
          </w:p>
        </w:tc>
        <w:tc>
          <w:tcPr>
            <w:tcW w:w="114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9"/>
              </w:rPr>
              <w:t>Other License-Permit</w:t>
            </w:r>
          </w:p>
        </w:tc>
        <w:tc>
          <w:tcPr>
            <w:tcW w:w="1600" w:type="dxa"/>
            <w:vAlign w:val="bottom"/>
            <w:tcBorders>
              <w:bottom w:val="single" w:sz="8" w:color="CCCCFF"/>
              <w:right w:val="single" w:sz="8" w:color="CCCCFF"/>
            </w:tcBorders>
          </w:tcPr>
          <w:p>
            <w:pPr>
              <w:jc w:val="right"/>
              <w:spacing w:after="0"/>
              <w:rPr>
                <w:sz w:val="20"/>
                <w:szCs w:val="20"/>
                <w:color w:val="auto"/>
              </w:rPr>
            </w:pPr>
            <w:r>
              <w:rPr>
                <w:rFonts w:ascii="Arial" w:cs="Arial" w:eastAsia="Arial" w:hAnsi="Arial"/>
                <w:sz w:val="12"/>
                <w:szCs w:val="12"/>
                <w:color w:val="auto"/>
              </w:rPr>
              <w:t>$50,000.00</w:t>
            </w:r>
          </w:p>
        </w:tc>
        <w:tc>
          <w:tcPr>
            <w:tcW w:w="1160" w:type="dxa"/>
            <w:vAlign w:val="bottom"/>
            <w:tcBorders>
              <w:bottom w:val="single" w:sz="8" w:color="CCCCFF"/>
              <w:right w:val="single" w:sz="8" w:color="CCCCFF"/>
            </w:tcBorders>
          </w:tcPr>
          <w:p>
            <w:pPr>
              <w:ind w:left="420"/>
              <w:spacing w:after="0"/>
              <w:rPr>
                <w:sz w:val="20"/>
                <w:szCs w:val="20"/>
                <w:color w:val="auto"/>
              </w:rPr>
            </w:pPr>
            <w:r>
              <w:rPr>
                <w:rFonts w:ascii="Arial" w:cs="Arial" w:eastAsia="Arial" w:hAnsi="Arial"/>
                <w:sz w:val="12"/>
                <w:szCs w:val="12"/>
                <w:color w:val="auto"/>
              </w:rPr>
              <w:t>Zurich</w:t>
            </w:r>
          </w:p>
        </w:tc>
        <w:tc>
          <w:tcPr>
            <w:tcW w:w="102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9"/>
              </w:rPr>
              <w:t>13-Dec-13</w:t>
            </w:r>
          </w:p>
        </w:tc>
        <w:tc>
          <w:tcPr>
            <w:tcW w:w="102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9"/>
              </w:rPr>
              <w:t>13-Dec-16</w:t>
            </w:r>
          </w:p>
        </w:tc>
        <w:tc>
          <w:tcPr>
            <w:tcW w:w="880" w:type="dxa"/>
            <w:vAlign w:val="bottom"/>
            <w:tcBorders>
              <w:bottom w:val="single" w:sz="8" w:color="CCCCFF"/>
            </w:tcBorders>
          </w:tcPr>
          <w:p>
            <w:pPr>
              <w:jc w:val="center"/>
              <w:spacing w:after="0"/>
              <w:rPr>
                <w:sz w:val="20"/>
                <w:szCs w:val="20"/>
                <w:color w:val="auto"/>
              </w:rPr>
            </w:pPr>
            <w:r>
              <w:rPr>
                <w:rFonts w:ascii="Arial" w:cs="Arial" w:eastAsia="Arial" w:hAnsi="Arial"/>
                <w:sz w:val="12"/>
                <w:szCs w:val="12"/>
                <w:color w:val="auto"/>
                <w:w w:val="89"/>
              </w:rPr>
              <w:t>13-Dec-17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right w:val="single" w:sz="8" w:color="CCCCFF"/>
            </w:tcBorders>
            <w:gridSpan w:val="2"/>
            <w:vMerge w:val="restart"/>
          </w:tcPr>
          <w:p>
            <w:pPr>
              <w:jc w:val="right"/>
              <w:ind w:right="301"/>
              <w:spacing w:after="0"/>
              <w:rPr>
                <w:sz w:val="20"/>
                <w:szCs w:val="20"/>
                <w:color w:val="auto"/>
              </w:rPr>
            </w:pPr>
            <w:r>
              <w:rPr>
                <w:rFonts w:ascii="Arial" w:cs="Arial" w:eastAsia="Arial" w:hAnsi="Arial"/>
                <w:sz w:val="12"/>
                <w:szCs w:val="12"/>
                <w:color w:val="auto"/>
              </w:rPr>
              <w:t>09152459</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1"/>
              </w:rPr>
              <w:t>Matrix Service Inc.</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City of El Paso, Texas</w:t>
            </w: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2"/>
              </w:rPr>
              <w:t>Blanket Building</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Other License-Permit</w:t>
            </w:r>
          </w:p>
        </w:tc>
        <w:tc>
          <w:tcPr>
            <w:tcW w:w="1600" w:type="dxa"/>
            <w:vAlign w:val="bottom"/>
            <w:tcBorders>
              <w:right w:val="single" w:sz="8" w:color="CCCCFF"/>
            </w:tcBorders>
            <w:vMerge w:val="restart"/>
          </w:tcPr>
          <w:p>
            <w:pPr>
              <w:jc w:val="right"/>
              <w:spacing w:after="0"/>
              <w:rPr>
                <w:sz w:val="20"/>
                <w:szCs w:val="20"/>
                <w:color w:val="auto"/>
              </w:rPr>
            </w:pPr>
            <w:r>
              <w:rPr>
                <w:rFonts w:ascii="Arial" w:cs="Arial" w:eastAsia="Arial" w:hAnsi="Arial"/>
                <w:sz w:val="12"/>
                <w:szCs w:val="12"/>
                <w:color w:val="auto"/>
              </w:rPr>
              <w:t>$25,000.00</w:t>
            </w:r>
          </w:p>
        </w:tc>
        <w:tc>
          <w:tcPr>
            <w:tcW w:w="1160" w:type="dxa"/>
            <w:vAlign w:val="bottom"/>
            <w:tcBorders>
              <w:right w:val="single" w:sz="8" w:color="CCCCFF"/>
            </w:tcBorders>
            <w:vMerge w:val="restart"/>
          </w:tcPr>
          <w:p>
            <w:pPr>
              <w:ind w:left="420"/>
              <w:spacing w:after="0"/>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11-Mar-14</w:t>
            </w:r>
          </w:p>
        </w:tc>
        <w:tc>
          <w:tcPr>
            <w:tcW w:w="10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11-Mar-16</w:t>
            </w:r>
          </w:p>
        </w:tc>
        <w:tc>
          <w:tcPr>
            <w:tcW w:w="900" w:type="dxa"/>
            <w:vAlign w:val="bottom"/>
            <w:gridSpan w:val="2"/>
            <w:vMerge w:val="restart"/>
          </w:tcPr>
          <w:p>
            <w:pPr>
              <w:jc w:val="center"/>
              <w:spacing w:after="0"/>
              <w:rPr>
                <w:sz w:val="20"/>
                <w:szCs w:val="20"/>
                <w:color w:val="auto"/>
              </w:rPr>
            </w:pPr>
            <w:r>
              <w:rPr>
                <w:rFonts w:ascii="Arial" w:cs="Arial" w:eastAsia="Arial" w:hAnsi="Arial"/>
                <w:sz w:val="12"/>
                <w:szCs w:val="12"/>
                <w:color w:val="auto"/>
                <w:w w:val="90"/>
              </w:rPr>
              <w:t>11-Mar-17</w:t>
            </w:r>
          </w:p>
        </w:tc>
        <w:tc>
          <w:tcPr>
            <w:tcW w:w="0" w:type="dxa"/>
            <w:vAlign w:val="bottom"/>
          </w:tcPr>
          <w:p>
            <w:pPr>
              <w:spacing w:after="0"/>
              <w:rPr>
                <w:sz w:val="1"/>
                <w:szCs w:val="1"/>
                <w:color w:val="auto"/>
              </w:rPr>
            </w:pPr>
          </w:p>
        </w:tc>
      </w:tr>
      <w:tr>
        <w:trPr>
          <w:trHeight w:val="83"/>
        </w:trPr>
        <w:tc>
          <w:tcPr>
            <w:tcW w:w="1180" w:type="dxa"/>
            <w:vAlign w:val="bottom"/>
            <w:tcBorders>
              <w:right w:val="single" w:sz="8" w:color="CCCCFF"/>
            </w:tcBorders>
            <w:gridSpan w:val="2"/>
            <w:vMerge w:val="continue"/>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1"/>
              </w:rPr>
              <w:t>Construction Bond</w:t>
            </w:r>
          </w:p>
        </w:tc>
        <w:tc>
          <w:tcPr>
            <w:tcW w:w="1140" w:type="dxa"/>
            <w:vAlign w:val="bottom"/>
            <w:tcBorders>
              <w:right w:val="single" w:sz="8" w:color="CCCCFF"/>
            </w:tcBorders>
            <w:vMerge w:val="continue"/>
          </w:tcPr>
          <w:p>
            <w:pPr>
              <w:spacing w:after="0"/>
              <w:rPr>
                <w:sz w:val="7"/>
                <w:szCs w:val="7"/>
                <w:color w:val="auto"/>
              </w:rPr>
            </w:pPr>
          </w:p>
        </w:tc>
        <w:tc>
          <w:tcPr>
            <w:tcW w:w="160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40" w:type="dxa"/>
            <w:vAlign w:val="bottom"/>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vMerge w:val="continue"/>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60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880" w:type="dxa"/>
            <w:vAlign w:val="bottom"/>
            <w:tcBorders>
              <w:bottom w:val="single" w:sz="8" w:color="CCCCFF"/>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right w:val="single" w:sz="8" w:color="CCCCFF"/>
            </w:tcBorders>
            <w:gridSpan w:val="2"/>
          </w:tcPr>
          <w:p>
            <w:pPr>
              <w:jc w:val="right"/>
              <w:ind w:right="301"/>
              <w:spacing w:after="0" w:line="121" w:lineRule="exact"/>
              <w:rPr>
                <w:sz w:val="20"/>
                <w:szCs w:val="20"/>
                <w:color w:val="auto"/>
              </w:rPr>
            </w:pPr>
            <w:r>
              <w:rPr>
                <w:rFonts w:ascii="Arial" w:cs="Arial" w:eastAsia="Arial" w:hAnsi="Arial"/>
                <w:sz w:val="12"/>
                <w:szCs w:val="12"/>
                <w:color w:val="auto"/>
              </w:rPr>
              <w:t>09157267</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City of Jersey City</w:t>
            </w:r>
          </w:p>
        </w:tc>
        <w:tc>
          <w:tcPr>
            <w:tcW w:w="116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Contractors License</w:t>
            </w:r>
          </w:p>
        </w:tc>
        <w:tc>
          <w:tcPr>
            <w:tcW w:w="1600" w:type="dxa"/>
            <w:vAlign w:val="bottom"/>
            <w:tcBorders>
              <w:right w:val="single" w:sz="8" w:color="CCCCFF"/>
            </w:tcBorders>
          </w:tcPr>
          <w:p>
            <w:pPr>
              <w:jc w:val="right"/>
              <w:spacing w:after="0" w:line="121" w:lineRule="exact"/>
              <w:rPr>
                <w:sz w:val="20"/>
                <w:szCs w:val="20"/>
                <w:color w:val="auto"/>
              </w:rPr>
            </w:pPr>
            <w:r>
              <w:rPr>
                <w:rFonts w:ascii="Arial" w:cs="Arial" w:eastAsia="Arial" w:hAnsi="Arial"/>
                <w:sz w:val="12"/>
                <w:szCs w:val="12"/>
                <w:color w:val="auto"/>
              </w:rPr>
              <w:t>$15,000.00</w:t>
            </w:r>
          </w:p>
        </w:tc>
        <w:tc>
          <w:tcPr>
            <w:tcW w:w="1160" w:type="dxa"/>
            <w:vAlign w:val="bottom"/>
            <w:tcBorders>
              <w:right w:val="single" w:sz="8" w:color="CCCCFF"/>
            </w:tcBorders>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4"/>
              </w:rPr>
              <w:t>18-May-15</w:t>
            </w:r>
          </w:p>
        </w:tc>
        <w:tc>
          <w:tcPr>
            <w:tcW w:w="102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18-May-16</w:t>
            </w:r>
          </w:p>
        </w:tc>
        <w:tc>
          <w:tcPr>
            <w:tcW w:w="900" w:type="dxa"/>
            <w:vAlign w:val="bottom"/>
            <w:gridSpan w:val="2"/>
          </w:tcPr>
          <w:p>
            <w:pPr>
              <w:jc w:val="center"/>
              <w:ind w:right="20"/>
              <w:spacing w:after="0" w:line="121" w:lineRule="exact"/>
              <w:rPr>
                <w:sz w:val="20"/>
                <w:szCs w:val="20"/>
                <w:color w:val="auto"/>
              </w:rPr>
            </w:pPr>
            <w:r>
              <w:rPr>
                <w:rFonts w:ascii="Arial" w:cs="Arial" w:eastAsia="Arial" w:hAnsi="Arial"/>
                <w:sz w:val="12"/>
                <w:szCs w:val="12"/>
                <w:color w:val="auto"/>
                <w:w w:val="90"/>
              </w:rPr>
              <w:t>18-May-17</w:t>
            </w:r>
          </w:p>
        </w:tc>
        <w:tc>
          <w:tcPr>
            <w:tcW w:w="0" w:type="dxa"/>
            <w:vAlign w:val="bottom"/>
          </w:tcPr>
          <w:p>
            <w:pPr>
              <w:spacing w:after="0"/>
              <w:rPr>
                <w:sz w:val="1"/>
                <w:szCs w:val="1"/>
                <w:color w:val="auto"/>
              </w:rPr>
            </w:pPr>
          </w:p>
        </w:tc>
      </w:tr>
      <w:tr>
        <w:trPr>
          <w:trHeight w:val="154"/>
        </w:trPr>
        <w:tc>
          <w:tcPr>
            <w:tcW w:w="40" w:type="dxa"/>
            <w:vAlign w:val="bottom"/>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9"/>
              </w:rPr>
              <w:t>Construction, Inc.</w:t>
            </w: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880" w:type="dxa"/>
            <w:vAlign w:val="bottom"/>
            <w:tcBorders>
              <w:bottom w:val="single" w:sz="8" w:color="CCCC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7"/>
              </w:rPr>
              <w:t>Nevada State</w:t>
            </w: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1"/>
              </w:rPr>
              <w:t>A14 - Steel Erection &amp;</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right w:val="single" w:sz="8" w:color="CCCCFF"/>
            </w:tcBorders>
            <w:gridSpan w:val="2"/>
            <w:vMerge w:val="restart"/>
          </w:tcPr>
          <w:p>
            <w:pPr>
              <w:jc w:val="right"/>
              <w:ind w:right="301"/>
              <w:spacing w:after="0" w:line="121" w:lineRule="exact"/>
              <w:rPr>
                <w:sz w:val="20"/>
                <w:szCs w:val="20"/>
                <w:color w:val="auto"/>
              </w:rPr>
            </w:pPr>
            <w:r>
              <w:rPr>
                <w:rFonts w:ascii="Arial" w:cs="Arial" w:eastAsia="Arial" w:hAnsi="Arial"/>
                <w:sz w:val="12"/>
                <w:szCs w:val="12"/>
                <w:color w:val="auto"/>
              </w:rPr>
              <w:t>09157276</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Matrix Service Inc.</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Industrial Machinery /</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Contractors License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$20,000.00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3"/>
              </w:rPr>
              <w:t>19-Apr-91</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19-Apr-16</w:t>
            </w:r>
          </w:p>
        </w:tc>
        <w:tc>
          <w:tcPr>
            <w:tcW w:w="900" w:type="dxa"/>
            <w:vAlign w:val="bottom"/>
            <w:gridSpan w:val="2"/>
            <w:vMerge w:val="restart"/>
          </w:tcPr>
          <w:p>
            <w:pPr>
              <w:jc w:val="center"/>
              <w:ind w:right="20"/>
              <w:spacing w:after="0" w:line="121" w:lineRule="exact"/>
              <w:rPr>
                <w:sz w:val="20"/>
                <w:szCs w:val="20"/>
                <w:color w:val="auto"/>
              </w:rPr>
            </w:pPr>
            <w:r>
              <w:rPr>
                <w:rFonts w:ascii="Arial" w:cs="Arial" w:eastAsia="Arial" w:hAnsi="Arial"/>
                <w:sz w:val="12"/>
                <w:szCs w:val="12"/>
                <w:color w:val="auto"/>
                <w:w w:val="89"/>
              </w:rPr>
              <w:t>19-Apr-17</w:t>
            </w:r>
          </w:p>
        </w:tc>
        <w:tc>
          <w:tcPr>
            <w:tcW w:w="0" w:type="dxa"/>
            <w:vAlign w:val="bottom"/>
          </w:tcPr>
          <w:p>
            <w:pPr>
              <w:spacing w:after="0"/>
              <w:rPr>
                <w:sz w:val="1"/>
                <w:szCs w:val="1"/>
                <w:color w:val="auto"/>
              </w:rPr>
            </w:pPr>
          </w:p>
        </w:tc>
      </w:tr>
      <w:tr>
        <w:trPr>
          <w:trHeight w:val="66"/>
        </w:trPr>
        <w:tc>
          <w:tcPr>
            <w:tcW w:w="1180" w:type="dxa"/>
            <w:vAlign w:val="bottom"/>
            <w:tcBorders>
              <w:right w:val="single" w:sz="8" w:color="CCCCFF"/>
            </w:tcBorders>
            <w:gridSpan w:val="2"/>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Contractors Board</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60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40" w:type="dxa"/>
            <w:vAlign w:val="bottom"/>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1"/>
              </w:rPr>
              <w:t>A20 - Industrial Piping</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40" w:type="dxa"/>
            <w:vAlign w:val="bottom"/>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vMerge w:val="continue"/>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60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880" w:type="dxa"/>
            <w:vAlign w:val="bottom"/>
            <w:tcBorders>
              <w:bottom w:val="single" w:sz="8" w:color="CCCCFF"/>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8"/>
              </w:rPr>
              <w:t>Statutory Compliance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right w:val="single" w:sz="8" w:color="CCCCFF"/>
            </w:tcBorders>
            <w:gridSpan w:val="2"/>
          </w:tcPr>
          <w:p>
            <w:pPr>
              <w:jc w:val="right"/>
              <w:ind w:right="301"/>
              <w:spacing w:after="0" w:line="121" w:lineRule="exact"/>
              <w:rPr>
                <w:sz w:val="20"/>
                <w:szCs w:val="20"/>
                <w:color w:val="auto"/>
              </w:rPr>
            </w:pPr>
            <w:r>
              <w:rPr>
                <w:rFonts w:ascii="Arial" w:cs="Arial" w:eastAsia="Arial" w:hAnsi="Arial"/>
                <w:sz w:val="12"/>
                <w:szCs w:val="12"/>
                <w:color w:val="auto"/>
              </w:rPr>
              <w:t>09164693</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New Castle County</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4"/>
              </w:rPr>
              <w:t>Bond - Outside Utility</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Contractors License</w:t>
            </w:r>
          </w:p>
        </w:tc>
        <w:tc>
          <w:tcPr>
            <w:tcW w:w="1600" w:type="dxa"/>
            <w:vAlign w:val="bottom"/>
            <w:tcBorders>
              <w:right w:val="single" w:sz="8" w:color="CCCCFF"/>
            </w:tcBorders>
          </w:tcPr>
          <w:p>
            <w:pPr>
              <w:jc w:val="right"/>
              <w:spacing w:after="0" w:line="121" w:lineRule="exact"/>
              <w:rPr>
                <w:sz w:val="20"/>
                <w:szCs w:val="20"/>
                <w:color w:val="auto"/>
              </w:rPr>
            </w:pPr>
            <w:r>
              <w:rPr>
                <w:rFonts w:ascii="Arial" w:cs="Arial" w:eastAsia="Arial" w:hAnsi="Arial"/>
                <w:sz w:val="12"/>
                <w:szCs w:val="12"/>
                <w:color w:val="auto"/>
              </w:rPr>
              <w:t>$50,000.00</w:t>
            </w:r>
          </w:p>
        </w:tc>
        <w:tc>
          <w:tcPr>
            <w:tcW w:w="1160" w:type="dxa"/>
            <w:vAlign w:val="bottom"/>
            <w:tcBorders>
              <w:right w:val="single" w:sz="8" w:color="CCCCFF"/>
            </w:tcBorders>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5"/>
              </w:rPr>
              <w:t>01-Jan-15</w:t>
            </w:r>
          </w:p>
        </w:tc>
        <w:tc>
          <w:tcPr>
            <w:tcW w:w="102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01-Jan-17</w:t>
            </w:r>
          </w:p>
        </w:tc>
        <w:tc>
          <w:tcPr>
            <w:tcW w:w="900" w:type="dxa"/>
            <w:vAlign w:val="bottom"/>
            <w:gridSpan w:val="2"/>
          </w:tcPr>
          <w:p>
            <w:pPr>
              <w:jc w:val="center"/>
              <w:ind w:right="20"/>
              <w:spacing w:after="0" w:line="121" w:lineRule="exact"/>
              <w:rPr>
                <w:sz w:val="20"/>
                <w:szCs w:val="20"/>
                <w:color w:val="auto"/>
              </w:rPr>
            </w:pPr>
            <w:r>
              <w:rPr>
                <w:rFonts w:ascii="Arial" w:cs="Arial" w:eastAsia="Arial" w:hAnsi="Arial"/>
                <w:sz w:val="12"/>
                <w:szCs w:val="12"/>
                <w:color w:val="auto"/>
                <w:w w:val="88"/>
              </w:rPr>
              <w:t>01-Jan-18</w:t>
            </w:r>
          </w:p>
        </w:tc>
        <w:tc>
          <w:tcPr>
            <w:tcW w:w="0" w:type="dxa"/>
            <w:vAlign w:val="bottom"/>
          </w:tcPr>
          <w:p>
            <w:pPr>
              <w:spacing w:after="0"/>
              <w:rPr>
                <w:sz w:val="1"/>
                <w:szCs w:val="1"/>
                <w:color w:val="auto"/>
              </w:rPr>
            </w:pPr>
          </w:p>
        </w:tc>
      </w:tr>
      <w:tr>
        <w:trPr>
          <w:trHeight w:val="154"/>
        </w:trPr>
        <w:tc>
          <w:tcPr>
            <w:tcW w:w="40" w:type="dxa"/>
            <w:vAlign w:val="bottom"/>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9"/>
              </w:rPr>
              <w:t>Construction, Inc.</w:t>
            </w: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9"/>
              </w:rPr>
              <w:t>Contractor</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880" w:type="dxa"/>
            <w:vAlign w:val="bottom"/>
            <w:tcBorders>
              <w:bottom w:val="single" w:sz="8" w:color="CCCC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7"/>
              </w:rPr>
              <w:t>Nevada State</w:t>
            </w:r>
          </w:p>
        </w:tc>
        <w:tc>
          <w:tcPr>
            <w:tcW w:w="116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right w:val="single" w:sz="8" w:color="CCCCFF"/>
            </w:tcBorders>
            <w:gridSpan w:val="2"/>
            <w:vMerge w:val="restart"/>
          </w:tcPr>
          <w:p>
            <w:pPr>
              <w:jc w:val="right"/>
              <w:ind w:right="301"/>
              <w:spacing w:after="0" w:line="121" w:lineRule="exact"/>
              <w:rPr>
                <w:sz w:val="20"/>
                <w:szCs w:val="20"/>
                <w:color w:val="auto"/>
              </w:rPr>
            </w:pPr>
            <w:r>
              <w:rPr>
                <w:rFonts w:ascii="Arial" w:cs="Arial" w:eastAsia="Arial" w:hAnsi="Arial"/>
                <w:sz w:val="12"/>
                <w:szCs w:val="12"/>
                <w:color w:val="auto"/>
              </w:rPr>
              <w:t>09164739</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Contractor</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Contractors License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$50,000.00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09-Oct-14</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09-Oct-16</w:t>
            </w:r>
          </w:p>
        </w:tc>
        <w:tc>
          <w:tcPr>
            <w:tcW w:w="900" w:type="dxa"/>
            <w:vAlign w:val="bottom"/>
            <w:gridSpan w:val="2"/>
            <w:vMerge w:val="restart"/>
          </w:tcPr>
          <w:p>
            <w:pPr>
              <w:jc w:val="center"/>
              <w:ind w:right="20"/>
              <w:spacing w:after="0" w:line="121" w:lineRule="exact"/>
              <w:rPr>
                <w:sz w:val="20"/>
                <w:szCs w:val="20"/>
                <w:color w:val="auto"/>
              </w:rPr>
            </w:pPr>
            <w:r>
              <w:rPr>
                <w:rFonts w:ascii="Arial" w:cs="Arial" w:eastAsia="Arial" w:hAnsi="Arial"/>
                <w:sz w:val="12"/>
                <w:szCs w:val="12"/>
                <w:color w:val="auto"/>
                <w:w w:val="89"/>
              </w:rPr>
              <w:t>09-Oct-17</w:t>
            </w:r>
          </w:p>
        </w:tc>
        <w:tc>
          <w:tcPr>
            <w:tcW w:w="0" w:type="dxa"/>
            <w:vAlign w:val="bottom"/>
          </w:tcPr>
          <w:p>
            <w:pPr>
              <w:spacing w:after="0"/>
              <w:rPr>
                <w:sz w:val="1"/>
                <w:szCs w:val="1"/>
                <w:color w:val="auto"/>
              </w:rPr>
            </w:pPr>
          </w:p>
        </w:tc>
      </w:tr>
      <w:tr>
        <w:trPr>
          <w:trHeight w:val="66"/>
        </w:trPr>
        <w:tc>
          <w:tcPr>
            <w:tcW w:w="1180" w:type="dxa"/>
            <w:vAlign w:val="bottom"/>
            <w:tcBorders>
              <w:right w:val="single" w:sz="8" w:color="CCCCFF"/>
            </w:tcBorders>
            <w:gridSpan w:val="2"/>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Contractors Board</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60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40" w:type="dxa"/>
            <w:vAlign w:val="bottom"/>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40" w:type="dxa"/>
            <w:vAlign w:val="bottom"/>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vMerge w:val="continue"/>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60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880" w:type="dxa"/>
            <w:vAlign w:val="bottom"/>
            <w:tcBorders>
              <w:bottom w:val="single" w:sz="8" w:color="CCCCFF"/>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9"/>
              </w:rPr>
              <w:t>Construction</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State of Oregon</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Contractor's</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1140" w:type="dxa"/>
            <w:vAlign w:val="bottom"/>
            <w:tcBorders>
              <w:right w:val="single" w:sz="8" w:color="CCCCFF"/>
            </w:tcBorders>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Commercial Surety</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right w:val="single" w:sz="8" w:color="CCCCFF"/>
            </w:tcBorders>
            <w:gridSpan w:val="2"/>
            <w:vMerge w:val="restart"/>
          </w:tcPr>
          <w:p>
            <w:pPr>
              <w:jc w:val="right"/>
              <w:ind w:right="301"/>
              <w:spacing w:after="0" w:line="121" w:lineRule="exact"/>
              <w:rPr>
                <w:sz w:val="20"/>
                <w:szCs w:val="20"/>
                <w:color w:val="auto"/>
              </w:rPr>
            </w:pPr>
            <w:r>
              <w:rPr>
                <w:rFonts w:ascii="Arial" w:cs="Arial" w:eastAsia="Arial" w:hAnsi="Arial"/>
                <w:sz w:val="12"/>
                <w:szCs w:val="12"/>
                <w:color w:val="auto"/>
              </w:rPr>
              <w:t>09185174</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Construction</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Contractors License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$75,000.00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20-Jul-16</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7"/>
              </w:rPr>
              <w:t>20-Jul-16</w:t>
            </w:r>
          </w:p>
        </w:tc>
        <w:tc>
          <w:tcPr>
            <w:tcW w:w="900" w:type="dxa"/>
            <w:vAlign w:val="bottom"/>
            <w:gridSpan w:val="2"/>
            <w:vMerge w:val="restart"/>
          </w:tcPr>
          <w:p>
            <w:pPr>
              <w:jc w:val="center"/>
              <w:ind w:right="20"/>
              <w:spacing w:after="0" w:line="121" w:lineRule="exact"/>
              <w:rPr>
                <w:sz w:val="20"/>
                <w:szCs w:val="20"/>
                <w:color w:val="auto"/>
              </w:rPr>
            </w:pPr>
            <w:r>
              <w:rPr>
                <w:rFonts w:ascii="Arial" w:cs="Arial" w:eastAsia="Arial" w:hAnsi="Arial"/>
                <w:sz w:val="12"/>
                <w:szCs w:val="12"/>
                <w:color w:val="auto"/>
                <w:w w:val="87"/>
              </w:rPr>
              <w:t>20-Jul-17</w:t>
            </w:r>
          </w:p>
        </w:tc>
        <w:tc>
          <w:tcPr>
            <w:tcW w:w="0" w:type="dxa"/>
            <w:vAlign w:val="bottom"/>
          </w:tcPr>
          <w:p>
            <w:pPr>
              <w:spacing w:after="0"/>
              <w:rPr>
                <w:sz w:val="1"/>
                <w:szCs w:val="1"/>
                <w:color w:val="auto"/>
              </w:rPr>
            </w:pPr>
          </w:p>
        </w:tc>
      </w:tr>
      <w:tr>
        <w:trPr>
          <w:trHeight w:val="55"/>
        </w:trPr>
        <w:tc>
          <w:tcPr>
            <w:tcW w:w="1180" w:type="dxa"/>
            <w:vAlign w:val="bottom"/>
            <w:tcBorders>
              <w:right w:val="single" w:sz="8" w:color="CCCCFF"/>
            </w:tcBorders>
            <w:gridSpan w:val="2"/>
            <w:vMerge w:val="continue"/>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Bond - ORS Chapter</w:t>
            </w:r>
          </w:p>
        </w:tc>
        <w:tc>
          <w:tcPr>
            <w:tcW w:w="1140" w:type="dxa"/>
            <w:vAlign w:val="bottom"/>
            <w:tcBorders>
              <w:right w:val="single" w:sz="8" w:color="CCCCFF"/>
            </w:tcBorders>
            <w:vMerge w:val="continue"/>
          </w:tcPr>
          <w:p>
            <w:pPr>
              <w:spacing w:after="0"/>
              <w:rPr>
                <w:sz w:val="4"/>
                <w:szCs w:val="4"/>
                <w:color w:val="auto"/>
              </w:rPr>
            </w:pPr>
          </w:p>
        </w:tc>
        <w:tc>
          <w:tcPr>
            <w:tcW w:w="160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Contractors Board</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40" w:type="dxa"/>
            <w:vAlign w:val="bottom"/>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701 and OAR Chapter</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40" w:type="dxa"/>
            <w:vAlign w:val="bottom"/>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40" w:type="dxa"/>
            <w:vAlign w:val="bottom"/>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5"/>
              </w:rPr>
              <w:t>812.</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880" w:type="dxa"/>
            <w:vAlign w:val="bottom"/>
            <w:tcBorders>
              <w:bottom w:val="single" w:sz="8" w:color="CCCC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9"/>
              </w:rPr>
              <w:t>Board of Lake County</w:t>
            </w:r>
          </w:p>
        </w:tc>
        <w:tc>
          <w:tcPr>
            <w:tcW w:w="116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Commissioners, all</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Contractor's License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right w:val="single" w:sz="8" w:color="CCCCFF"/>
            </w:tcBorders>
            <w:gridSpan w:val="2"/>
          </w:tcPr>
          <w:p>
            <w:pPr>
              <w:jc w:val="right"/>
              <w:ind w:right="301"/>
              <w:spacing w:after="0" w:line="121" w:lineRule="exact"/>
              <w:rPr>
                <w:sz w:val="20"/>
                <w:szCs w:val="20"/>
                <w:color w:val="auto"/>
              </w:rPr>
            </w:pPr>
            <w:r>
              <w:rPr>
                <w:rFonts w:ascii="Arial" w:cs="Arial" w:eastAsia="Arial" w:hAnsi="Arial"/>
                <w:sz w:val="12"/>
                <w:szCs w:val="12"/>
                <w:color w:val="auto"/>
              </w:rPr>
              <w:t>09185179</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Cities, Towns and</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3"/>
              </w:rPr>
              <w:t>Bond - Bill Uporsky -</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Contractors License</w:t>
            </w:r>
          </w:p>
        </w:tc>
        <w:tc>
          <w:tcPr>
            <w:tcW w:w="1600" w:type="dxa"/>
            <w:vAlign w:val="bottom"/>
            <w:tcBorders>
              <w:right w:val="single" w:sz="8" w:color="CCCCFF"/>
            </w:tcBorders>
          </w:tcPr>
          <w:p>
            <w:pPr>
              <w:jc w:val="right"/>
              <w:spacing w:after="0" w:line="121" w:lineRule="exact"/>
              <w:rPr>
                <w:sz w:val="20"/>
                <w:szCs w:val="20"/>
                <w:color w:val="auto"/>
              </w:rPr>
            </w:pPr>
            <w:r>
              <w:rPr>
                <w:rFonts w:ascii="Arial" w:cs="Arial" w:eastAsia="Arial" w:hAnsi="Arial"/>
                <w:sz w:val="12"/>
                <w:szCs w:val="12"/>
                <w:color w:val="auto"/>
              </w:rPr>
              <w:t>$5,000.00</w:t>
            </w:r>
          </w:p>
        </w:tc>
        <w:tc>
          <w:tcPr>
            <w:tcW w:w="1160" w:type="dxa"/>
            <w:vAlign w:val="bottom"/>
            <w:tcBorders>
              <w:right w:val="single" w:sz="8" w:color="CCCCFF"/>
            </w:tcBorders>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2"/>
              </w:rPr>
              <w:t>05-Aug-16</w:t>
            </w:r>
          </w:p>
        </w:tc>
        <w:tc>
          <w:tcPr>
            <w:tcW w:w="102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2"/>
              </w:rPr>
              <w:t>05-Aug-16</w:t>
            </w:r>
          </w:p>
        </w:tc>
        <w:tc>
          <w:tcPr>
            <w:tcW w:w="900" w:type="dxa"/>
            <w:vAlign w:val="bottom"/>
            <w:gridSpan w:val="2"/>
          </w:tcPr>
          <w:p>
            <w:pPr>
              <w:jc w:val="center"/>
              <w:ind w:right="20"/>
              <w:spacing w:after="0" w:line="121" w:lineRule="exact"/>
              <w:rPr>
                <w:sz w:val="20"/>
                <w:szCs w:val="20"/>
                <w:color w:val="auto"/>
              </w:rPr>
            </w:pPr>
            <w:r>
              <w:rPr>
                <w:rFonts w:ascii="Arial" w:cs="Arial" w:eastAsia="Arial" w:hAnsi="Arial"/>
                <w:sz w:val="12"/>
                <w:szCs w:val="12"/>
                <w:color w:val="auto"/>
                <w:w w:val="92"/>
              </w:rPr>
              <w:t>15-Aug-17</w:t>
            </w: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4"/>
              </w:rPr>
              <w:t>Municipalities of Lake</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5"/>
              </w:rPr>
              <w:t>qualifier</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0" w:type="dxa"/>
            <w:vAlign w:val="bottom"/>
          </w:tcPr>
          <w:p>
            <w:pPr>
              <w:spacing w:after="0"/>
              <w:rPr>
                <w:sz w:val="13"/>
                <w:szCs w:val="13"/>
                <w:color w:val="auto"/>
              </w:rPr>
            </w:pPr>
          </w:p>
        </w:tc>
        <w:tc>
          <w:tcPr>
            <w:tcW w:w="1140" w:type="dxa"/>
            <w:vAlign w:val="bottom"/>
            <w:tcBorders>
              <w:right w:val="single" w:sz="8" w:color="CCCCFF"/>
            </w:tcBorders>
          </w:tcPr>
          <w:p>
            <w:pPr>
              <w:spacing w:after="0"/>
              <w:rPr>
                <w:sz w:val="13"/>
                <w:szCs w:val="13"/>
                <w:color w:val="auto"/>
              </w:rPr>
            </w:pPr>
          </w:p>
        </w:tc>
        <w:tc>
          <w:tcPr>
            <w:tcW w:w="1140" w:type="dxa"/>
            <w:vAlign w:val="bottom"/>
            <w:tcBorders>
              <w:right w:val="single" w:sz="8" w:color="CCCCFF"/>
            </w:tcBorders>
          </w:tcPr>
          <w:p>
            <w:pPr>
              <w:spacing w:after="0"/>
              <w:rPr>
                <w:sz w:val="13"/>
                <w:szCs w:val="13"/>
                <w:color w:val="auto"/>
              </w:rPr>
            </w:pPr>
          </w:p>
        </w:tc>
        <w:tc>
          <w:tcPr>
            <w:tcW w:w="1140" w:type="dxa"/>
            <w:vAlign w:val="bottom"/>
            <w:tcBorders>
              <w:right w:val="single" w:sz="8" w:color="CCCCFF"/>
            </w:tcBorders>
          </w:tcPr>
          <w:p>
            <w:pPr>
              <w:jc w:val="center"/>
              <w:spacing w:after="0"/>
              <w:rPr>
                <w:sz w:val="20"/>
                <w:szCs w:val="20"/>
                <w:color w:val="auto"/>
              </w:rPr>
            </w:pPr>
            <w:r>
              <w:rPr>
                <w:rFonts w:ascii="Arial" w:cs="Arial" w:eastAsia="Arial" w:hAnsi="Arial"/>
                <w:sz w:val="12"/>
                <w:szCs w:val="12"/>
                <w:color w:val="auto"/>
                <w:w w:val="90"/>
              </w:rPr>
              <w:t>County, Indiana</w:t>
            </w:r>
          </w:p>
        </w:tc>
        <w:tc>
          <w:tcPr>
            <w:tcW w:w="1160" w:type="dxa"/>
            <w:vAlign w:val="bottom"/>
            <w:tcBorders>
              <w:right w:val="single" w:sz="8" w:color="CCCCFF"/>
            </w:tcBorders>
          </w:tcPr>
          <w:p>
            <w:pPr>
              <w:spacing w:after="0"/>
              <w:rPr>
                <w:sz w:val="13"/>
                <w:szCs w:val="13"/>
                <w:color w:val="auto"/>
              </w:rPr>
            </w:pPr>
          </w:p>
        </w:tc>
        <w:tc>
          <w:tcPr>
            <w:tcW w:w="1140" w:type="dxa"/>
            <w:vAlign w:val="bottom"/>
            <w:tcBorders>
              <w:right w:val="single" w:sz="8" w:color="CCCCFF"/>
            </w:tcBorders>
          </w:tcPr>
          <w:p>
            <w:pPr>
              <w:spacing w:after="0"/>
              <w:rPr>
                <w:sz w:val="13"/>
                <w:szCs w:val="13"/>
                <w:color w:val="auto"/>
              </w:rPr>
            </w:pPr>
          </w:p>
        </w:tc>
        <w:tc>
          <w:tcPr>
            <w:tcW w:w="1600" w:type="dxa"/>
            <w:vAlign w:val="bottom"/>
            <w:tcBorders>
              <w:right w:val="single" w:sz="8" w:color="CCCCFF"/>
            </w:tcBorders>
          </w:tcPr>
          <w:p>
            <w:pPr>
              <w:spacing w:after="0"/>
              <w:rPr>
                <w:sz w:val="13"/>
                <w:szCs w:val="13"/>
                <w:color w:val="auto"/>
              </w:rPr>
            </w:pPr>
          </w:p>
        </w:tc>
        <w:tc>
          <w:tcPr>
            <w:tcW w:w="1160" w:type="dxa"/>
            <w:vAlign w:val="bottom"/>
            <w:tcBorders>
              <w:right w:val="single" w:sz="8" w:color="CCCCFF"/>
            </w:tcBorders>
          </w:tcPr>
          <w:p>
            <w:pPr>
              <w:spacing w:after="0"/>
              <w:rPr>
                <w:sz w:val="13"/>
                <w:szCs w:val="13"/>
                <w:color w:val="auto"/>
              </w:rPr>
            </w:pPr>
          </w:p>
        </w:tc>
        <w:tc>
          <w:tcPr>
            <w:tcW w:w="1020" w:type="dxa"/>
            <w:vAlign w:val="bottom"/>
            <w:tcBorders>
              <w:right w:val="single" w:sz="8" w:color="CCCCFF"/>
            </w:tcBorders>
          </w:tcPr>
          <w:p>
            <w:pPr>
              <w:spacing w:after="0"/>
              <w:rPr>
                <w:sz w:val="13"/>
                <w:szCs w:val="13"/>
                <w:color w:val="auto"/>
              </w:rPr>
            </w:pPr>
          </w:p>
        </w:tc>
        <w:tc>
          <w:tcPr>
            <w:tcW w:w="1020" w:type="dxa"/>
            <w:vAlign w:val="bottom"/>
            <w:tcBorders>
              <w:right w:val="single" w:sz="8" w:color="CCCCFF"/>
            </w:tcBorders>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0" w:type="dxa"/>
            <w:vAlign w:val="bottom"/>
            <w:shd w:val="clear" w:color="auto" w:fill="969696"/>
          </w:tcPr>
          <w:p>
            <w:pPr>
              <w:spacing w:after="0"/>
              <w:rPr>
                <w:sz w:val="16"/>
                <w:szCs w:val="16"/>
                <w:color w:val="auto"/>
              </w:rPr>
            </w:pPr>
          </w:p>
        </w:tc>
        <w:tc>
          <w:tcPr>
            <w:tcW w:w="2280" w:type="dxa"/>
            <w:vAlign w:val="bottom"/>
            <w:tcBorders>
              <w:right w:val="single" w:sz="8" w:color="969696"/>
            </w:tcBorders>
            <w:gridSpan w:val="2"/>
            <w:shd w:val="clear" w:color="auto" w:fill="969696"/>
          </w:tcPr>
          <w:p>
            <w:pPr>
              <w:ind w:left="20"/>
              <w:spacing w:after="0"/>
              <w:rPr>
                <w:sz w:val="20"/>
                <w:szCs w:val="20"/>
                <w:color w:val="auto"/>
              </w:rPr>
            </w:pPr>
            <w:r>
              <w:rPr>
                <w:rFonts w:ascii="Arial" w:cs="Arial" w:eastAsia="Arial" w:hAnsi="Arial"/>
                <w:sz w:val="12"/>
                <w:szCs w:val="12"/>
                <w:color w:val="auto"/>
              </w:rPr>
              <w:t>TOTAL LICENSE &amp; PERMIT BONDS</w:t>
            </w:r>
          </w:p>
        </w:tc>
        <w:tc>
          <w:tcPr>
            <w:tcW w:w="1140" w:type="dxa"/>
            <w:vAlign w:val="bottom"/>
            <w:tcBorders>
              <w:right w:val="single" w:sz="8" w:color="969696"/>
            </w:tcBorders>
            <w:shd w:val="clear" w:color="auto" w:fill="969696"/>
          </w:tcPr>
          <w:p>
            <w:pPr>
              <w:spacing w:after="0"/>
              <w:rPr>
                <w:sz w:val="16"/>
                <w:szCs w:val="16"/>
                <w:color w:val="auto"/>
              </w:rPr>
            </w:pPr>
          </w:p>
        </w:tc>
        <w:tc>
          <w:tcPr>
            <w:tcW w:w="1160" w:type="dxa"/>
            <w:vAlign w:val="bottom"/>
            <w:tcBorders>
              <w:right w:val="single" w:sz="8" w:color="969696"/>
            </w:tcBorders>
            <w:shd w:val="clear" w:color="auto" w:fill="969696"/>
          </w:tcPr>
          <w:p>
            <w:pPr>
              <w:spacing w:after="0"/>
              <w:rPr>
                <w:sz w:val="16"/>
                <w:szCs w:val="16"/>
                <w:color w:val="auto"/>
              </w:rPr>
            </w:pPr>
          </w:p>
        </w:tc>
        <w:tc>
          <w:tcPr>
            <w:tcW w:w="1140" w:type="dxa"/>
            <w:vAlign w:val="bottom"/>
            <w:tcBorders>
              <w:right w:val="single" w:sz="8" w:color="969696"/>
            </w:tcBorders>
            <w:shd w:val="clear" w:color="auto" w:fill="969696"/>
          </w:tcPr>
          <w:p>
            <w:pPr>
              <w:jc w:val="center"/>
              <w:ind w:right="1"/>
              <w:spacing w:after="0"/>
              <w:rPr>
                <w:sz w:val="20"/>
                <w:szCs w:val="20"/>
                <w:color w:val="auto"/>
              </w:rPr>
            </w:pPr>
            <w:r>
              <w:rPr>
                <w:rFonts w:ascii="Arial" w:cs="Arial" w:eastAsia="Arial" w:hAnsi="Arial"/>
                <w:sz w:val="12"/>
                <w:szCs w:val="12"/>
                <w:color w:val="auto"/>
                <w:w w:val="89"/>
              </w:rPr>
              <w:t>39</w:t>
            </w:r>
          </w:p>
        </w:tc>
        <w:tc>
          <w:tcPr>
            <w:tcW w:w="1600" w:type="dxa"/>
            <w:vAlign w:val="bottom"/>
            <w:tcBorders>
              <w:right w:val="single" w:sz="8" w:color="969696"/>
            </w:tcBorders>
            <w:shd w:val="clear" w:color="auto" w:fill="969696"/>
          </w:tcPr>
          <w:p>
            <w:pPr>
              <w:jc w:val="right"/>
              <w:spacing w:after="0"/>
              <w:rPr>
                <w:sz w:val="20"/>
                <w:szCs w:val="20"/>
                <w:color w:val="auto"/>
              </w:rPr>
            </w:pPr>
            <w:r>
              <w:rPr>
                <w:rFonts w:ascii="Arial" w:cs="Arial" w:eastAsia="Arial" w:hAnsi="Arial"/>
                <w:sz w:val="12"/>
                <w:szCs w:val="12"/>
                <w:color w:val="auto"/>
              </w:rPr>
              <w:t>$3,176,000.00</w:t>
            </w:r>
          </w:p>
        </w:tc>
        <w:tc>
          <w:tcPr>
            <w:tcW w:w="1160" w:type="dxa"/>
            <w:vAlign w:val="bottom"/>
            <w:tcBorders>
              <w:right w:val="single" w:sz="8" w:color="969696"/>
            </w:tcBorders>
            <w:shd w:val="clear" w:color="auto" w:fill="969696"/>
          </w:tcPr>
          <w:p>
            <w:pPr>
              <w:spacing w:after="0"/>
              <w:rPr>
                <w:sz w:val="16"/>
                <w:szCs w:val="16"/>
                <w:color w:val="auto"/>
              </w:rPr>
            </w:pPr>
          </w:p>
        </w:tc>
        <w:tc>
          <w:tcPr>
            <w:tcW w:w="1020" w:type="dxa"/>
            <w:vAlign w:val="bottom"/>
            <w:tcBorders>
              <w:right w:val="single" w:sz="8" w:color="969696"/>
            </w:tcBorders>
            <w:shd w:val="clear" w:color="auto" w:fill="969696"/>
          </w:tcPr>
          <w:p>
            <w:pPr>
              <w:spacing w:after="0"/>
              <w:rPr>
                <w:sz w:val="16"/>
                <w:szCs w:val="16"/>
                <w:color w:val="auto"/>
              </w:rPr>
            </w:pPr>
          </w:p>
        </w:tc>
        <w:tc>
          <w:tcPr>
            <w:tcW w:w="1020" w:type="dxa"/>
            <w:vAlign w:val="bottom"/>
            <w:tcBorders>
              <w:right w:val="single" w:sz="8" w:color="969696"/>
            </w:tcBorders>
            <w:shd w:val="clear" w:color="auto" w:fill="969696"/>
          </w:tcPr>
          <w:p>
            <w:pPr>
              <w:spacing w:after="0"/>
              <w:rPr>
                <w:sz w:val="16"/>
                <w:szCs w:val="16"/>
                <w:color w:val="auto"/>
              </w:rPr>
            </w:pPr>
          </w:p>
        </w:tc>
        <w:tc>
          <w:tcPr>
            <w:tcW w:w="880" w:type="dxa"/>
            <w:vAlign w:val="bottom"/>
            <w:shd w:val="clear" w:color="auto" w:fill="969696"/>
          </w:tcPr>
          <w:p>
            <w:pPr>
              <w:spacing w:after="0"/>
              <w:rPr>
                <w:sz w:val="16"/>
                <w:szCs w:val="16"/>
                <w:color w:val="auto"/>
              </w:rPr>
            </w:pPr>
          </w:p>
        </w:tc>
        <w:tc>
          <w:tcPr>
            <w:tcW w:w="20" w:type="dxa"/>
            <w:vAlign w:val="bottom"/>
            <w:shd w:val="clear" w:color="auto" w:fill="969696"/>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0" w:type="dxa"/>
            <w:vAlign w:val="bottom"/>
            <w:shd w:val="clear" w:color="auto" w:fill="969696"/>
          </w:tcPr>
          <w:p>
            <w:pPr>
              <w:spacing w:after="0"/>
              <w:rPr>
                <w:sz w:val="4"/>
                <w:szCs w:val="4"/>
                <w:color w:val="auto"/>
              </w:rPr>
            </w:pPr>
          </w:p>
        </w:tc>
        <w:tc>
          <w:tcPr>
            <w:tcW w:w="1140" w:type="dxa"/>
            <w:vAlign w:val="bottom"/>
            <w:tcBorders>
              <w:right w:val="single" w:sz="8" w:color="969696"/>
            </w:tcBorders>
            <w:shd w:val="clear" w:color="auto" w:fill="969696"/>
          </w:tcPr>
          <w:p>
            <w:pPr>
              <w:spacing w:after="0"/>
              <w:rPr>
                <w:sz w:val="4"/>
                <w:szCs w:val="4"/>
                <w:color w:val="auto"/>
              </w:rPr>
            </w:pPr>
          </w:p>
        </w:tc>
        <w:tc>
          <w:tcPr>
            <w:tcW w:w="1140" w:type="dxa"/>
            <w:vAlign w:val="bottom"/>
            <w:tcBorders>
              <w:right w:val="single" w:sz="8" w:color="969696"/>
            </w:tcBorders>
            <w:shd w:val="clear" w:color="auto" w:fill="969696"/>
          </w:tcPr>
          <w:p>
            <w:pPr>
              <w:spacing w:after="0"/>
              <w:rPr>
                <w:sz w:val="4"/>
                <w:szCs w:val="4"/>
                <w:color w:val="auto"/>
              </w:rPr>
            </w:pPr>
          </w:p>
        </w:tc>
        <w:tc>
          <w:tcPr>
            <w:tcW w:w="1140" w:type="dxa"/>
            <w:vAlign w:val="bottom"/>
            <w:tcBorders>
              <w:right w:val="single" w:sz="8" w:color="969696"/>
            </w:tcBorders>
            <w:shd w:val="clear" w:color="auto" w:fill="969696"/>
          </w:tcPr>
          <w:p>
            <w:pPr>
              <w:spacing w:after="0"/>
              <w:rPr>
                <w:sz w:val="4"/>
                <w:szCs w:val="4"/>
                <w:color w:val="auto"/>
              </w:rPr>
            </w:pPr>
          </w:p>
        </w:tc>
        <w:tc>
          <w:tcPr>
            <w:tcW w:w="1160" w:type="dxa"/>
            <w:vAlign w:val="bottom"/>
            <w:tcBorders>
              <w:right w:val="single" w:sz="8" w:color="969696"/>
            </w:tcBorders>
            <w:shd w:val="clear" w:color="auto" w:fill="969696"/>
          </w:tcPr>
          <w:p>
            <w:pPr>
              <w:spacing w:after="0"/>
              <w:rPr>
                <w:sz w:val="4"/>
                <w:szCs w:val="4"/>
                <w:color w:val="auto"/>
              </w:rPr>
            </w:pPr>
          </w:p>
        </w:tc>
        <w:tc>
          <w:tcPr>
            <w:tcW w:w="1140" w:type="dxa"/>
            <w:vAlign w:val="bottom"/>
            <w:tcBorders>
              <w:right w:val="single" w:sz="8" w:color="969696"/>
            </w:tcBorders>
            <w:shd w:val="clear" w:color="auto" w:fill="969696"/>
          </w:tcPr>
          <w:p>
            <w:pPr>
              <w:spacing w:after="0"/>
              <w:rPr>
                <w:sz w:val="4"/>
                <w:szCs w:val="4"/>
                <w:color w:val="auto"/>
              </w:rPr>
            </w:pPr>
          </w:p>
        </w:tc>
        <w:tc>
          <w:tcPr>
            <w:tcW w:w="1600" w:type="dxa"/>
            <w:vAlign w:val="bottom"/>
            <w:tcBorders>
              <w:right w:val="single" w:sz="8" w:color="969696"/>
            </w:tcBorders>
            <w:shd w:val="clear" w:color="auto" w:fill="969696"/>
          </w:tcPr>
          <w:p>
            <w:pPr>
              <w:spacing w:after="0"/>
              <w:rPr>
                <w:sz w:val="4"/>
                <w:szCs w:val="4"/>
                <w:color w:val="auto"/>
              </w:rPr>
            </w:pPr>
          </w:p>
        </w:tc>
        <w:tc>
          <w:tcPr>
            <w:tcW w:w="1160" w:type="dxa"/>
            <w:vAlign w:val="bottom"/>
            <w:tcBorders>
              <w:right w:val="single" w:sz="8" w:color="969696"/>
            </w:tcBorders>
            <w:shd w:val="clear" w:color="auto" w:fill="969696"/>
          </w:tcPr>
          <w:p>
            <w:pPr>
              <w:spacing w:after="0"/>
              <w:rPr>
                <w:sz w:val="4"/>
                <w:szCs w:val="4"/>
                <w:color w:val="auto"/>
              </w:rPr>
            </w:pPr>
          </w:p>
        </w:tc>
        <w:tc>
          <w:tcPr>
            <w:tcW w:w="1020" w:type="dxa"/>
            <w:vAlign w:val="bottom"/>
            <w:tcBorders>
              <w:right w:val="single" w:sz="8" w:color="969696"/>
            </w:tcBorders>
            <w:shd w:val="clear" w:color="auto" w:fill="969696"/>
          </w:tcPr>
          <w:p>
            <w:pPr>
              <w:spacing w:after="0"/>
              <w:rPr>
                <w:sz w:val="4"/>
                <w:szCs w:val="4"/>
                <w:color w:val="auto"/>
              </w:rPr>
            </w:pPr>
          </w:p>
        </w:tc>
        <w:tc>
          <w:tcPr>
            <w:tcW w:w="1020" w:type="dxa"/>
            <w:vAlign w:val="bottom"/>
            <w:tcBorders>
              <w:right w:val="single" w:sz="8" w:color="969696"/>
            </w:tcBorders>
            <w:shd w:val="clear" w:color="auto" w:fill="969696"/>
          </w:tcPr>
          <w:p>
            <w:pPr>
              <w:spacing w:after="0"/>
              <w:rPr>
                <w:sz w:val="4"/>
                <w:szCs w:val="4"/>
                <w:color w:val="auto"/>
              </w:rPr>
            </w:pPr>
          </w:p>
        </w:tc>
        <w:tc>
          <w:tcPr>
            <w:tcW w:w="880" w:type="dxa"/>
            <w:vAlign w:val="bottom"/>
            <w:shd w:val="clear" w:color="auto" w:fill="969696"/>
          </w:tcPr>
          <w:p>
            <w:pPr>
              <w:spacing w:after="0"/>
              <w:rPr>
                <w:sz w:val="4"/>
                <w:szCs w:val="4"/>
                <w:color w:val="auto"/>
              </w:rPr>
            </w:pPr>
          </w:p>
        </w:tc>
        <w:tc>
          <w:tcPr>
            <w:tcW w:w="20" w:type="dxa"/>
            <w:vAlign w:val="bottom"/>
            <w:shd w:val="clear" w:color="auto" w:fill="969696"/>
          </w:tcPr>
          <w:p>
            <w:pPr>
              <w:spacing w:after="0"/>
              <w:rPr>
                <w:sz w:val="4"/>
                <w:szCs w:val="4"/>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137795</wp:posOffset>
            </wp:positionH>
            <wp:positionV relativeFrom="page">
              <wp:posOffset>396875</wp:posOffset>
            </wp:positionV>
            <wp:extent cx="7292975" cy="33737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2975" cy="33737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2"/>
          <w:szCs w:val="12"/>
          <w:b w:val="1"/>
          <w:bCs w:val="1"/>
          <w:color w:val="FFFFFF"/>
        </w:rPr>
        <w:t>WAGE &amp; WELFARE BONDS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123</w:t>
      </w:r>
    </w:p>
    <w:p>
      <w:pPr>
        <w:sectPr>
          <w:pgSz w:w="11900" w:h="16838" w:orient="portrait"/>
          <w:cols w:equalWidth="0" w:num="1">
            <w:col w:w="11460"/>
          </w:cols>
          <w:pgMar w:left="220" w:top="604" w:right="219" w:bottom="1440" w:gutter="0" w:footer="0" w:header="0"/>
        </w:sectPr>
      </w:pPr>
    </w:p>
    <w:bookmarkStart w:id="184" w:name="page185"/>
    <w:bookmarkEnd w:id="184"/>
    <w:tbl>
      <w:tblPr>
        <w:tblLayout w:type="fixed"/>
        <w:tblInd w:w="10" w:type="dxa"/>
        <w:tblCellMar>
          <w:top w:w="0" w:type="dxa"/>
          <w:left w:w="0" w:type="dxa"/>
          <w:bottom w:w="0" w:type="dxa"/>
          <w:right w:w="0" w:type="dxa"/>
        </w:tblCellMar>
      </w:tblPr>
      <w:tr>
        <w:trPr>
          <w:trHeight w:val="139"/>
        </w:trPr>
        <w:tc>
          <w:tcPr>
            <w:tcW w:w="1180" w:type="dxa"/>
            <w:vAlign w:val="bottom"/>
            <w:tcBorders>
              <w:top w:val="single" w:sz="8" w:color="CCCCFF"/>
              <w:left w:val="single" w:sz="8" w:color="0066CC"/>
              <w:right w:val="single" w:sz="8" w:color="CCCCFF"/>
            </w:tcBorders>
          </w:tcPr>
          <w:p>
            <w:pPr>
              <w:spacing w:after="0"/>
              <w:rPr>
                <w:sz w:val="12"/>
                <w:szCs w:val="12"/>
                <w:color w:val="auto"/>
              </w:rPr>
            </w:pPr>
          </w:p>
        </w:tc>
        <w:tc>
          <w:tcPr>
            <w:tcW w:w="1140" w:type="dxa"/>
            <w:vAlign w:val="bottom"/>
            <w:tcBorders>
              <w:top w:val="single" w:sz="8" w:color="CCCCFF"/>
              <w:right w:val="single" w:sz="8" w:color="CCCCFF"/>
            </w:tcBorders>
          </w:tcPr>
          <w:p>
            <w:pPr>
              <w:spacing w:after="0"/>
              <w:rPr>
                <w:sz w:val="12"/>
                <w:szCs w:val="12"/>
                <w:color w:val="auto"/>
              </w:rPr>
            </w:pPr>
          </w:p>
        </w:tc>
        <w:tc>
          <w:tcPr>
            <w:tcW w:w="1140" w:type="dxa"/>
            <w:vAlign w:val="bottom"/>
            <w:tcBorders>
              <w:top w:val="single" w:sz="8" w:color="CCCCFF"/>
              <w:right w:val="single" w:sz="8" w:color="CCCCFF"/>
            </w:tcBorders>
          </w:tcPr>
          <w:p>
            <w:pPr>
              <w:spacing w:after="0"/>
              <w:rPr>
                <w:sz w:val="12"/>
                <w:szCs w:val="12"/>
                <w:color w:val="auto"/>
              </w:rPr>
            </w:pPr>
          </w:p>
        </w:tc>
        <w:tc>
          <w:tcPr>
            <w:tcW w:w="1160" w:type="dxa"/>
            <w:vAlign w:val="bottom"/>
            <w:tcBorders>
              <w:top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7"/>
              </w:rPr>
              <w:t>Guarantees payment of</w:t>
            </w:r>
          </w:p>
        </w:tc>
        <w:tc>
          <w:tcPr>
            <w:tcW w:w="1140" w:type="dxa"/>
            <w:vAlign w:val="bottom"/>
            <w:tcBorders>
              <w:top w:val="single" w:sz="8" w:color="CCCCFF"/>
              <w:right w:val="single" w:sz="8" w:color="CCCCFF"/>
            </w:tcBorders>
          </w:tcPr>
          <w:p>
            <w:pPr>
              <w:spacing w:after="0"/>
              <w:rPr>
                <w:sz w:val="12"/>
                <w:szCs w:val="12"/>
                <w:color w:val="auto"/>
              </w:rPr>
            </w:pPr>
          </w:p>
        </w:tc>
        <w:tc>
          <w:tcPr>
            <w:tcW w:w="1600" w:type="dxa"/>
            <w:vAlign w:val="bottom"/>
            <w:tcBorders>
              <w:top w:val="single" w:sz="8" w:color="CCCCFF"/>
              <w:right w:val="single" w:sz="8" w:color="CCCCFF"/>
            </w:tcBorders>
          </w:tcPr>
          <w:p>
            <w:pPr>
              <w:spacing w:after="0"/>
              <w:rPr>
                <w:sz w:val="12"/>
                <w:szCs w:val="12"/>
                <w:color w:val="auto"/>
              </w:rPr>
            </w:pPr>
          </w:p>
        </w:tc>
        <w:tc>
          <w:tcPr>
            <w:tcW w:w="1160" w:type="dxa"/>
            <w:vAlign w:val="bottom"/>
            <w:tcBorders>
              <w:top w:val="single" w:sz="8" w:color="CCCCFF"/>
              <w:right w:val="single" w:sz="8" w:color="CCCCFF"/>
            </w:tcBorders>
          </w:tcPr>
          <w:p>
            <w:pPr>
              <w:spacing w:after="0"/>
              <w:rPr>
                <w:sz w:val="12"/>
                <w:szCs w:val="12"/>
                <w:color w:val="auto"/>
              </w:rPr>
            </w:pPr>
          </w:p>
        </w:tc>
        <w:tc>
          <w:tcPr>
            <w:tcW w:w="1020" w:type="dxa"/>
            <w:vAlign w:val="bottom"/>
            <w:tcBorders>
              <w:top w:val="single" w:sz="8" w:color="CCCCFF"/>
              <w:right w:val="single" w:sz="8" w:color="CCCCFF"/>
            </w:tcBorders>
          </w:tcPr>
          <w:p>
            <w:pPr>
              <w:spacing w:after="0"/>
              <w:rPr>
                <w:sz w:val="12"/>
                <w:szCs w:val="12"/>
                <w:color w:val="auto"/>
              </w:rPr>
            </w:pPr>
          </w:p>
        </w:tc>
        <w:tc>
          <w:tcPr>
            <w:tcW w:w="1020" w:type="dxa"/>
            <w:vAlign w:val="bottom"/>
            <w:tcBorders>
              <w:top w:val="single" w:sz="8" w:color="CCCCFF"/>
              <w:right w:val="single" w:sz="8" w:color="CCCCFF"/>
            </w:tcBorders>
          </w:tcPr>
          <w:p>
            <w:pPr>
              <w:spacing w:after="0"/>
              <w:rPr>
                <w:sz w:val="12"/>
                <w:szCs w:val="12"/>
                <w:color w:val="auto"/>
              </w:rPr>
            </w:pPr>
          </w:p>
        </w:tc>
        <w:tc>
          <w:tcPr>
            <w:tcW w:w="920" w:type="dxa"/>
            <w:vAlign w:val="bottom"/>
            <w:tcBorders>
              <w:top w:val="single" w:sz="8" w:color="CCCCFF"/>
              <w:right w:val="single" w:sz="8" w:color="0066CC"/>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7"/>
              </w:rPr>
              <w:t>the amounts which</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6"/>
              </w:rPr>
              <w:t>under the Agreement</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are to be paid to the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7"/>
              </w:rPr>
              <w:t>Trustees of the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Steamfitters Welfare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4"/>
              </w:rPr>
              <w:t>Trustees of the</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Fund Local Union No.</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475, Steamfitters</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Pension, Welfare,</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Pension Fund Local</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7"/>
              </w:rPr>
              <w:t>Vacation, Education,</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Union No. 475,</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Industry and Surety</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restart"/>
          </w:tcPr>
          <w:p>
            <w:pPr>
              <w:jc w:val="right"/>
              <w:ind w:right="301"/>
              <w:spacing w:after="0"/>
              <w:rPr>
                <w:sz w:val="20"/>
                <w:szCs w:val="20"/>
                <w:color w:val="auto"/>
              </w:rPr>
            </w:pPr>
            <w:r>
              <w:rPr>
                <w:rFonts w:ascii="Arial" w:cs="Arial" w:eastAsia="Arial" w:hAnsi="Arial"/>
                <w:sz w:val="12"/>
                <w:szCs w:val="12"/>
                <w:color w:val="auto"/>
              </w:rPr>
              <w:t>08364718</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Steamfitters Education</w:t>
            </w:r>
          </w:p>
        </w:tc>
        <w:tc>
          <w:tcPr>
            <w:tcW w:w="1140" w:type="dxa"/>
            <w:vAlign w:val="bottom"/>
            <w:tcBorders>
              <w:right w:val="single" w:sz="8" w:color="CCCCFF"/>
            </w:tcBorders>
            <w:vMerge w:val="restart"/>
          </w:tcPr>
          <w:p>
            <w:pPr>
              <w:ind w:left="120"/>
              <w:spacing w:after="0"/>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vMerge w:val="restart"/>
          </w:tcPr>
          <w:p>
            <w:pPr>
              <w:jc w:val="right"/>
              <w:spacing w:after="0"/>
              <w:rPr>
                <w:sz w:val="20"/>
                <w:szCs w:val="20"/>
                <w:color w:val="auto"/>
              </w:rPr>
            </w:pPr>
            <w:r>
              <w:rPr>
                <w:rFonts w:ascii="Arial" w:cs="Arial" w:eastAsia="Arial" w:hAnsi="Arial"/>
                <w:sz w:val="12"/>
                <w:szCs w:val="12"/>
                <w:color w:val="auto"/>
              </w:rPr>
              <w:t>$30,000.00</w:t>
            </w:r>
          </w:p>
        </w:tc>
        <w:tc>
          <w:tcPr>
            <w:tcW w:w="1160" w:type="dxa"/>
            <w:vAlign w:val="bottom"/>
            <w:tcBorders>
              <w:right w:val="single" w:sz="8" w:color="CCCCFF"/>
            </w:tcBorders>
            <w:vMerge w:val="restart"/>
          </w:tcPr>
          <w:p>
            <w:pPr>
              <w:ind w:left="420"/>
              <w:spacing w:after="0"/>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3"/>
              </w:rPr>
              <w:t>30-Apr-10</w:t>
            </w:r>
          </w:p>
        </w:tc>
        <w:tc>
          <w:tcPr>
            <w:tcW w:w="10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30-Apr-16</w:t>
            </w:r>
          </w:p>
        </w:tc>
        <w:tc>
          <w:tcPr>
            <w:tcW w:w="920" w:type="dxa"/>
            <w:vAlign w:val="bottom"/>
            <w:tcBorders>
              <w:right w:val="single" w:sz="8" w:color="0066CC"/>
            </w:tcBorders>
            <w:vMerge w:val="restart"/>
          </w:tcPr>
          <w:p>
            <w:pPr>
              <w:jc w:val="center"/>
              <w:spacing w:after="0"/>
              <w:rPr>
                <w:sz w:val="20"/>
                <w:szCs w:val="20"/>
                <w:color w:val="auto"/>
              </w:rPr>
            </w:pPr>
            <w:r>
              <w:rPr>
                <w:rFonts w:ascii="Arial" w:cs="Arial" w:eastAsia="Arial" w:hAnsi="Arial"/>
                <w:sz w:val="12"/>
                <w:szCs w:val="12"/>
                <w:color w:val="auto"/>
                <w:w w:val="89"/>
              </w:rPr>
              <w:t>30-Apr-17</w:t>
            </w:r>
          </w:p>
        </w:tc>
        <w:tc>
          <w:tcPr>
            <w:tcW w:w="0" w:type="dxa"/>
            <w:vAlign w:val="bottom"/>
          </w:tcPr>
          <w:p>
            <w:pPr>
              <w:spacing w:after="0"/>
              <w:rPr>
                <w:sz w:val="1"/>
                <w:szCs w:val="1"/>
                <w:color w:val="auto"/>
              </w:rPr>
            </w:pPr>
          </w:p>
        </w:tc>
      </w:tr>
      <w:tr>
        <w:trPr>
          <w:trHeight w:val="115"/>
        </w:trPr>
        <w:tc>
          <w:tcPr>
            <w:tcW w:w="1180" w:type="dxa"/>
            <w:vAlign w:val="bottom"/>
            <w:tcBorders>
              <w:left w:val="single" w:sz="8" w:color="0066CC"/>
              <w:right w:val="single" w:sz="8" w:color="CCCCFF"/>
            </w:tcBorders>
            <w:vMerge w:val="continue"/>
          </w:tcPr>
          <w:p>
            <w:pPr>
              <w:spacing w:after="0"/>
              <w:rPr>
                <w:sz w:val="9"/>
                <w:szCs w:val="9"/>
                <w:color w:val="auto"/>
              </w:rPr>
            </w:pPr>
          </w:p>
        </w:tc>
        <w:tc>
          <w:tcPr>
            <w:tcW w:w="1140" w:type="dxa"/>
            <w:vAlign w:val="bottom"/>
            <w:tcBorders>
              <w:right w:val="single" w:sz="8" w:color="CCCCFF"/>
            </w:tcBorders>
            <w:vMerge w:val="continue"/>
          </w:tcPr>
          <w:p>
            <w:pPr>
              <w:spacing w:after="0"/>
              <w:rPr>
                <w:sz w:val="9"/>
                <w:szCs w:val="9"/>
                <w:color w:val="auto"/>
              </w:rPr>
            </w:pPr>
          </w:p>
        </w:tc>
        <w:tc>
          <w:tcPr>
            <w:tcW w:w="1140" w:type="dxa"/>
            <w:vAlign w:val="bottom"/>
            <w:tcBorders>
              <w:right w:val="single" w:sz="8" w:color="CCCCFF"/>
            </w:tcBorders>
          </w:tcPr>
          <w:p>
            <w:pPr>
              <w:jc w:val="center"/>
              <w:spacing w:after="0" w:line="115" w:lineRule="exact"/>
              <w:rPr>
                <w:sz w:val="20"/>
                <w:szCs w:val="20"/>
                <w:color w:val="auto"/>
              </w:rPr>
            </w:pPr>
            <w:r>
              <w:rPr>
                <w:rFonts w:ascii="Arial" w:cs="Arial" w:eastAsia="Arial" w:hAnsi="Arial"/>
                <w:sz w:val="12"/>
                <w:szCs w:val="12"/>
                <w:color w:val="auto"/>
                <w:w w:val="88"/>
              </w:rPr>
              <w:t>Funds of Steamfitters,</w:t>
            </w:r>
          </w:p>
        </w:tc>
        <w:tc>
          <w:tcPr>
            <w:tcW w:w="1160" w:type="dxa"/>
            <w:vAlign w:val="bottom"/>
            <w:tcBorders>
              <w:right w:val="single" w:sz="8" w:color="CCCCFF"/>
            </w:tcBorders>
            <w:vMerge w:val="continue"/>
          </w:tcPr>
          <w:p>
            <w:pPr>
              <w:spacing w:after="0"/>
              <w:rPr>
                <w:sz w:val="9"/>
                <w:szCs w:val="9"/>
                <w:color w:val="auto"/>
              </w:rPr>
            </w:pPr>
          </w:p>
        </w:tc>
        <w:tc>
          <w:tcPr>
            <w:tcW w:w="1140" w:type="dxa"/>
            <w:vAlign w:val="bottom"/>
            <w:tcBorders>
              <w:right w:val="single" w:sz="8" w:color="CCCCFF"/>
            </w:tcBorders>
            <w:vMerge w:val="continue"/>
          </w:tcPr>
          <w:p>
            <w:pPr>
              <w:spacing w:after="0"/>
              <w:rPr>
                <w:sz w:val="9"/>
                <w:szCs w:val="9"/>
                <w:color w:val="auto"/>
              </w:rPr>
            </w:pPr>
          </w:p>
        </w:tc>
        <w:tc>
          <w:tcPr>
            <w:tcW w:w="1600" w:type="dxa"/>
            <w:vAlign w:val="bottom"/>
            <w:tcBorders>
              <w:right w:val="single" w:sz="8" w:color="CCCCFF"/>
            </w:tcBorders>
            <w:vMerge w:val="continue"/>
          </w:tcPr>
          <w:p>
            <w:pPr>
              <w:spacing w:after="0"/>
              <w:rPr>
                <w:sz w:val="9"/>
                <w:szCs w:val="9"/>
                <w:color w:val="auto"/>
              </w:rPr>
            </w:pPr>
          </w:p>
        </w:tc>
        <w:tc>
          <w:tcPr>
            <w:tcW w:w="1160" w:type="dxa"/>
            <w:vAlign w:val="bottom"/>
            <w:tcBorders>
              <w:right w:val="single" w:sz="8" w:color="CCCCFF"/>
            </w:tcBorders>
            <w:vMerge w:val="continue"/>
          </w:tcPr>
          <w:p>
            <w:pPr>
              <w:spacing w:after="0"/>
              <w:rPr>
                <w:sz w:val="9"/>
                <w:szCs w:val="9"/>
                <w:color w:val="auto"/>
              </w:rPr>
            </w:pPr>
          </w:p>
        </w:tc>
        <w:tc>
          <w:tcPr>
            <w:tcW w:w="1020" w:type="dxa"/>
            <w:vAlign w:val="bottom"/>
            <w:tcBorders>
              <w:right w:val="single" w:sz="8" w:color="CCCCFF"/>
            </w:tcBorders>
            <w:vMerge w:val="continue"/>
          </w:tcPr>
          <w:p>
            <w:pPr>
              <w:spacing w:after="0"/>
              <w:rPr>
                <w:sz w:val="9"/>
                <w:szCs w:val="9"/>
                <w:color w:val="auto"/>
              </w:rPr>
            </w:pPr>
          </w:p>
        </w:tc>
        <w:tc>
          <w:tcPr>
            <w:tcW w:w="1020" w:type="dxa"/>
            <w:vAlign w:val="bottom"/>
            <w:tcBorders>
              <w:right w:val="single" w:sz="8" w:color="CCCCFF"/>
            </w:tcBorders>
            <w:vMerge w:val="continue"/>
          </w:tcPr>
          <w:p>
            <w:pPr>
              <w:spacing w:after="0"/>
              <w:rPr>
                <w:sz w:val="9"/>
                <w:szCs w:val="9"/>
                <w:color w:val="auto"/>
              </w:rPr>
            </w:pPr>
          </w:p>
        </w:tc>
        <w:tc>
          <w:tcPr>
            <w:tcW w:w="920" w:type="dxa"/>
            <w:vAlign w:val="bottom"/>
            <w:tcBorders>
              <w:right w:val="single" w:sz="8" w:color="0066C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180" w:type="dxa"/>
            <w:vAlign w:val="bottom"/>
            <w:tcBorders>
              <w:left w:val="single" w:sz="8" w:color="0066CC"/>
              <w:right w:val="single" w:sz="8" w:color="CCCCFF"/>
            </w:tcBorders>
          </w:tcPr>
          <w:p>
            <w:pPr>
              <w:spacing w:after="0"/>
              <w:rPr>
                <w:sz w:val="6"/>
                <w:szCs w:val="6"/>
                <w:color w:val="auto"/>
              </w:rPr>
            </w:pPr>
          </w:p>
        </w:tc>
        <w:tc>
          <w:tcPr>
            <w:tcW w:w="1140" w:type="dxa"/>
            <w:vAlign w:val="bottom"/>
            <w:tcBorders>
              <w:right w:val="single" w:sz="8" w:color="CCCCFF"/>
            </w:tcBorders>
          </w:tcPr>
          <w:p>
            <w:pPr>
              <w:jc w:val="center"/>
              <w:spacing w:after="0" w:line="73" w:lineRule="exact"/>
              <w:rPr>
                <w:sz w:val="20"/>
                <w:szCs w:val="20"/>
                <w:color w:val="auto"/>
              </w:rPr>
            </w:pPr>
            <w:r>
              <w:rPr>
                <w:rFonts w:ascii="Arial" w:cs="Arial" w:eastAsia="Arial" w:hAnsi="Arial"/>
                <w:sz w:val="8"/>
                <w:szCs w:val="8"/>
                <w:color w:val="auto"/>
              </w:rPr>
              <w:t>Construction, Inc.</w:t>
            </w:r>
          </w:p>
        </w:tc>
        <w:tc>
          <w:tcPr>
            <w:tcW w:w="1140" w:type="dxa"/>
            <w:vAlign w:val="bottom"/>
            <w:tcBorders>
              <w:right w:val="single" w:sz="8" w:color="CCCCFF"/>
            </w:tcBorders>
            <w:vMerge w:val="restart"/>
          </w:tcPr>
          <w:p>
            <w:pPr>
              <w:jc w:val="center"/>
              <w:spacing w:after="0" w:line="128" w:lineRule="exact"/>
              <w:rPr>
                <w:sz w:val="20"/>
                <w:szCs w:val="20"/>
                <w:color w:val="auto"/>
              </w:rPr>
            </w:pPr>
            <w:r>
              <w:rPr>
                <w:rFonts w:ascii="Arial" w:cs="Arial" w:eastAsia="Arial" w:hAnsi="Arial"/>
                <w:sz w:val="12"/>
                <w:szCs w:val="12"/>
                <w:color w:val="auto"/>
                <w:w w:val="88"/>
              </w:rPr>
              <w:t>Pipefitters and</w:t>
            </w:r>
          </w:p>
        </w:tc>
        <w:tc>
          <w:tcPr>
            <w:tcW w:w="1160" w:type="dxa"/>
            <w:vAlign w:val="bottom"/>
            <w:tcBorders>
              <w:right w:val="single" w:sz="8" w:color="CCCCFF"/>
            </w:tcBorders>
          </w:tcPr>
          <w:p>
            <w:pPr>
              <w:jc w:val="center"/>
              <w:spacing w:after="0" w:line="73" w:lineRule="exact"/>
              <w:rPr>
                <w:sz w:val="20"/>
                <w:szCs w:val="20"/>
                <w:color w:val="auto"/>
              </w:rPr>
            </w:pPr>
            <w:r>
              <w:rPr>
                <w:rFonts w:ascii="Arial" w:cs="Arial" w:eastAsia="Arial" w:hAnsi="Arial"/>
                <w:sz w:val="8"/>
                <w:szCs w:val="8"/>
                <w:color w:val="auto"/>
              </w:rPr>
              <w:t>Fund Local Union No.</w:t>
            </w:r>
          </w:p>
        </w:tc>
        <w:tc>
          <w:tcPr>
            <w:tcW w:w="1140" w:type="dxa"/>
            <w:vAlign w:val="bottom"/>
            <w:tcBorders>
              <w:right w:val="single" w:sz="8" w:color="CCCCFF"/>
            </w:tcBorders>
          </w:tcPr>
          <w:p>
            <w:pPr>
              <w:spacing w:after="0"/>
              <w:rPr>
                <w:sz w:val="6"/>
                <w:szCs w:val="6"/>
                <w:color w:val="auto"/>
              </w:rPr>
            </w:pPr>
          </w:p>
        </w:tc>
        <w:tc>
          <w:tcPr>
            <w:tcW w:w="1600" w:type="dxa"/>
            <w:vAlign w:val="bottom"/>
            <w:tcBorders>
              <w:right w:val="single" w:sz="8" w:color="CCCCFF"/>
            </w:tcBorders>
          </w:tcPr>
          <w:p>
            <w:pPr>
              <w:spacing w:after="0"/>
              <w:rPr>
                <w:sz w:val="6"/>
                <w:szCs w:val="6"/>
                <w:color w:val="auto"/>
              </w:rPr>
            </w:pPr>
          </w:p>
        </w:tc>
        <w:tc>
          <w:tcPr>
            <w:tcW w:w="1160" w:type="dxa"/>
            <w:vAlign w:val="bottom"/>
            <w:tcBorders>
              <w:right w:val="single" w:sz="8" w:color="CCCCFF"/>
            </w:tcBorders>
          </w:tcPr>
          <w:p>
            <w:pPr>
              <w:spacing w:after="0"/>
              <w:rPr>
                <w:sz w:val="6"/>
                <w:szCs w:val="6"/>
                <w:color w:val="auto"/>
              </w:rPr>
            </w:pPr>
          </w:p>
        </w:tc>
        <w:tc>
          <w:tcPr>
            <w:tcW w:w="1020" w:type="dxa"/>
            <w:vAlign w:val="bottom"/>
            <w:tcBorders>
              <w:right w:val="single" w:sz="8" w:color="CCCCFF"/>
            </w:tcBorders>
          </w:tcPr>
          <w:p>
            <w:pPr>
              <w:spacing w:after="0"/>
              <w:rPr>
                <w:sz w:val="6"/>
                <w:szCs w:val="6"/>
                <w:color w:val="auto"/>
              </w:rPr>
            </w:pPr>
          </w:p>
        </w:tc>
        <w:tc>
          <w:tcPr>
            <w:tcW w:w="1020" w:type="dxa"/>
            <w:vAlign w:val="bottom"/>
            <w:tcBorders>
              <w:right w:val="single" w:sz="8" w:color="CCCCFF"/>
            </w:tcBorders>
          </w:tcPr>
          <w:p>
            <w:pPr>
              <w:spacing w:after="0"/>
              <w:rPr>
                <w:sz w:val="6"/>
                <w:szCs w:val="6"/>
                <w:color w:val="auto"/>
              </w:rPr>
            </w:pPr>
          </w:p>
        </w:tc>
        <w:tc>
          <w:tcPr>
            <w:tcW w:w="920" w:type="dxa"/>
            <w:vAlign w:val="bottom"/>
            <w:tcBorders>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475, Steamfitters</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Apprentices Local</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Surety Fund Local</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3"/>
              </w:rPr>
              <w:t>Union No. 475</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Union No. 475,</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7"/>
              </w:rPr>
              <w:t>Steamfitters Vacation</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Fund Local Union No.</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5"/>
              </w:rPr>
              <w:t>475 and the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Mechanical</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Contracting Industry</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1"/>
              </w:rPr>
              <w:t>Council Fund.</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6"/>
              </w:rPr>
              <w:t>Guarantee payments to</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Local 98, International</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Brotherhood of</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Electrical Workers'</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6"/>
              </w:rPr>
              <w:t>Pension Fund and the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Local 98, I.B.E.W.</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International</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7"/>
              </w:rPr>
              <w:t>Vacation Fund and the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Brotherhood of</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Local 98, I.B.E.W.</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restart"/>
          </w:tcPr>
          <w:p>
            <w:pPr>
              <w:jc w:val="right"/>
              <w:ind w:right="301"/>
              <w:spacing w:after="0" w:line="121" w:lineRule="exact"/>
              <w:rPr>
                <w:sz w:val="20"/>
                <w:szCs w:val="20"/>
                <w:color w:val="auto"/>
              </w:rPr>
            </w:pPr>
            <w:r>
              <w:rPr>
                <w:rFonts w:ascii="Arial" w:cs="Arial" w:eastAsia="Arial" w:hAnsi="Arial"/>
                <w:sz w:val="12"/>
                <w:szCs w:val="12"/>
                <w:color w:val="auto"/>
              </w:rPr>
              <w:t>08719365</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ind w:left="120"/>
              <w:spacing w:after="0" w:line="121" w:lineRule="exact"/>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$1,250,000.00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17-Jun-04</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17-Jun-16</w:t>
            </w:r>
          </w:p>
        </w:tc>
        <w:tc>
          <w:tcPr>
            <w:tcW w:w="920" w:type="dxa"/>
            <w:vAlign w:val="bottom"/>
            <w:tcBorders>
              <w:right w:val="single" w:sz="8" w:color="0066CC"/>
            </w:tcBorders>
            <w:vMerge w:val="restart"/>
          </w:tcPr>
          <w:p>
            <w:pPr>
              <w:jc w:val="center"/>
              <w:spacing w:after="0" w:line="121" w:lineRule="exact"/>
              <w:rPr>
                <w:sz w:val="20"/>
                <w:szCs w:val="20"/>
                <w:color w:val="auto"/>
              </w:rPr>
            </w:pPr>
            <w:r>
              <w:rPr>
                <w:rFonts w:ascii="Arial" w:cs="Arial" w:eastAsia="Arial" w:hAnsi="Arial"/>
                <w:sz w:val="12"/>
                <w:szCs w:val="12"/>
                <w:color w:val="auto"/>
                <w:w w:val="88"/>
              </w:rPr>
              <w:t>17-Jun-17</w:t>
            </w: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Electrical Workers</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7"/>
              </w:rPr>
              <w:t>Health and Welfare</w:t>
            </w:r>
          </w:p>
        </w:tc>
        <w:tc>
          <w:tcPr>
            <w:tcW w:w="1140" w:type="dxa"/>
            <w:vAlign w:val="bottom"/>
            <w:tcBorders>
              <w:right w:val="single" w:sz="8" w:color="CCCCFF"/>
            </w:tcBorders>
            <w:vMerge w:val="continue"/>
          </w:tcPr>
          <w:p>
            <w:pPr>
              <w:spacing w:after="0"/>
              <w:rPr>
                <w:sz w:val="4"/>
                <w:szCs w:val="4"/>
                <w:color w:val="auto"/>
              </w:rPr>
            </w:pPr>
          </w:p>
        </w:tc>
        <w:tc>
          <w:tcPr>
            <w:tcW w:w="160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920" w:type="dxa"/>
            <w:vAlign w:val="bottom"/>
            <w:tcBorders>
              <w:right w:val="single" w:sz="8" w:color="0066CC"/>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Local Union No. 98</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Fund, Local 98,</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vMerge w:val="continue"/>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I.B.E.W. Deferred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Income Plan, the Joint</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Apprentice Committe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7"/>
              </w:rPr>
              <w:t>Fund and the Local</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Employees' Benefit</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7"/>
              </w:rPr>
              <w:t>Board</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4"/>
              </w:rPr>
              <w:t>District Council</w:t>
            </w: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6"/>
              </w:rPr>
              <w:t>Wage and Welfare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restart"/>
          </w:tcPr>
          <w:p>
            <w:pPr>
              <w:jc w:val="right"/>
              <w:ind w:right="301"/>
              <w:spacing w:after="0" w:line="121" w:lineRule="exact"/>
              <w:rPr>
                <w:sz w:val="20"/>
                <w:szCs w:val="20"/>
                <w:color w:val="auto"/>
              </w:rPr>
            </w:pPr>
            <w:r>
              <w:rPr>
                <w:rFonts w:ascii="Arial" w:cs="Arial" w:eastAsia="Arial" w:hAnsi="Arial"/>
                <w:sz w:val="12"/>
                <w:szCs w:val="12"/>
                <w:color w:val="auto"/>
              </w:rPr>
              <w:t>08719371</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Ironworkers Funds of</w:t>
            </w:r>
          </w:p>
        </w:tc>
        <w:tc>
          <w:tcPr>
            <w:tcW w:w="116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restart"/>
          </w:tcPr>
          <w:p>
            <w:pPr>
              <w:ind w:left="120"/>
              <w:spacing w:after="0" w:line="121" w:lineRule="exact"/>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$25,000.00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14-Jul-14</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7"/>
              </w:rPr>
              <w:t>14-Jul-16</w:t>
            </w:r>
          </w:p>
        </w:tc>
        <w:tc>
          <w:tcPr>
            <w:tcW w:w="920" w:type="dxa"/>
            <w:vAlign w:val="bottom"/>
            <w:tcBorders>
              <w:right w:val="single" w:sz="8" w:color="0066CC"/>
            </w:tcBorders>
            <w:vMerge w:val="restart"/>
          </w:tcPr>
          <w:p>
            <w:pPr>
              <w:jc w:val="center"/>
              <w:spacing w:after="0" w:line="121" w:lineRule="exact"/>
              <w:rPr>
                <w:sz w:val="20"/>
                <w:szCs w:val="20"/>
                <w:color w:val="auto"/>
              </w:rPr>
            </w:pPr>
            <w:r>
              <w:rPr>
                <w:rFonts w:ascii="Arial" w:cs="Arial" w:eastAsia="Arial" w:hAnsi="Arial"/>
                <w:sz w:val="12"/>
                <w:szCs w:val="12"/>
                <w:color w:val="auto"/>
                <w:w w:val="87"/>
              </w:rPr>
              <w:t>14-Jul-17</w:t>
            </w: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Funds Bond</w:t>
            </w:r>
          </w:p>
        </w:tc>
        <w:tc>
          <w:tcPr>
            <w:tcW w:w="1140" w:type="dxa"/>
            <w:vAlign w:val="bottom"/>
            <w:tcBorders>
              <w:right w:val="single" w:sz="8" w:color="CCCCFF"/>
            </w:tcBorders>
            <w:vMerge w:val="continue"/>
          </w:tcPr>
          <w:p>
            <w:pPr>
              <w:spacing w:after="0"/>
              <w:rPr>
                <w:sz w:val="5"/>
                <w:szCs w:val="5"/>
                <w:color w:val="auto"/>
              </w:rPr>
            </w:pPr>
          </w:p>
        </w:tc>
        <w:tc>
          <w:tcPr>
            <w:tcW w:w="160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920" w:type="dxa"/>
            <w:vAlign w:val="bottom"/>
            <w:tcBorders>
              <w:right w:val="single" w:sz="8" w:color="0066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Northern New Jersey</w:t>
            </w:r>
          </w:p>
        </w:tc>
        <w:tc>
          <w:tcPr>
            <w:tcW w:w="116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80" w:type="dxa"/>
            <w:vAlign w:val="bottom"/>
            <w:tcBorders>
              <w:left w:val="single" w:sz="8" w:color="0066CC"/>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vMerge w:val="continue"/>
          </w:tcPr>
          <w:p>
            <w:pPr>
              <w:spacing w:after="0"/>
              <w:rPr>
                <w:sz w:val="6"/>
                <w:szCs w:val="6"/>
                <w:color w:val="auto"/>
              </w:rPr>
            </w:pPr>
          </w:p>
        </w:tc>
        <w:tc>
          <w:tcPr>
            <w:tcW w:w="1140" w:type="dxa"/>
            <w:vAlign w:val="bottom"/>
            <w:tcBorders>
              <w:bottom w:val="single" w:sz="8" w:color="CCCCFF"/>
              <w:right w:val="single" w:sz="8" w:color="CCCCFF"/>
            </w:tcBorders>
            <w:vMerge w:val="continue"/>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60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920" w:type="dxa"/>
            <w:vAlign w:val="bottom"/>
            <w:tcBorders>
              <w:bottom w:val="single" w:sz="8" w:color="CCCCFF"/>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1"/>
              </w:rPr>
              <w:t>Laborers' District</w:t>
            </w: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6"/>
              </w:rPr>
              <w:t>Payments made in</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Council of the</w:t>
            </w:r>
          </w:p>
        </w:tc>
        <w:tc>
          <w:tcPr>
            <w:tcW w:w="116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accordance with the</w:t>
            </w: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restart"/>
          </w:tcPr>
          <w:p>
            <w:pPr>
              <w:jc w:val="right"/>
              <w:ind w:right="301"/>
              <w:spacing w:after="0" w:line="121" w:lineRule="exact"/>
              <w:rPr>
                <w:sz w:val="20"/>
                <w:szCs w:val="20"/>
                <w:color w:val="auto"/>
              </w:rPr>
            </w:pPr>
            <w:r>
              <w:rPr>
                <w:rFonts w:ascii="Arial" w:cs="Arial" w:eastAsia="Arial" w:hAnsi="Arial"/>
                <w:sz w:val="12"/>
                <w:szCs w:val="12"/>
                <w:color w:val="auto"/>
              </w:rPr>
              <w:t>08719373</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Metropolitan Area of</w:t>
            </w:r>
          </w:p>
        </w:tc>
        <w:tc>
          <w:tcPr>
            <w:tcW w:w="116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restart"/>
          </w:tcPr>
          <w:p>
            <w:pPr>
              <w:ind w:left="120"/>
              <w:spacing w:after="0" w:line="121" w:lineRule="exact"/>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$10,000.00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14-Jul-04</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7"/>
              </w:rPr>
              <w:t>14-Jul-16</w:t>
            </w:r>
          </w:p>
        </w:tc>
        <w:tc>
          <w:tcPr>
            <w:tcW w:w="920" w:type="dxa"/>
            <w:vAlign w:val="bottom"/>
            <w:tcBorders>
              <w:right w:val="single" w:sz="8" w:color="0066CC"/>
            </w:tcBorders>
            <w:vMerge w:val="restart"/>
          </w:tcPr>
          <w:p>
            <w:pPr>
              <w:jc w:val="center"/>
              <w:spacing w:after="0" w:line="121" w:lineRule="exact"/>
              <w:rPr>
                <w:sz w:val="20"/>
                <w:szCs w:val="20"/>
                <w:color w:val="auto"/>
              </w:rPr>
            </w:pPr>
            <w:r>
              <w:rPr>
                <w:rFonts w:ascii="Arial" w:cs="Arial" w:eastAsia="Arial" w:hAnsi="Arial"/>
                <w:sz w:val="12"/>
                <w:szCs w:val="12"/>
                <w:color w:val="auto"/>
                <w:w w:val="87"/>
              </w:rPr>
              <w:t>14-Jul-17</w:t>
            </w: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Collective Bargaining</w:t>
            </w:r>
          </w:p>
        </w:tc>
        <w:tc>
          <w:tcPr>
            <w:tcW w:w="1140" w:type="dxa"/>
            <w:vAlign w:val="bottom"/>
            <w:tcBorders>
              <w:right w:val="single" w:sz="8" w:color="CCCCFF"/>
            </w:tcBorders>
            <w:vMerge w:val="continue"/>
          </w:tcPr>
          <w:p>
            <w:pPr>
              <w:spacing w:after="0"/>
              <w:rPr>
                <w:sz w:val="5"/>
                <w:szCs w:val="5"/>
                <w:color w:val="auto"/>
              </w:rPr>
            </w:pPr>
          </w:p>
        </w:tc>
        <w:tc>
          <w:tcPr>
            <w:tcW w:w="160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920" w:type="dxa"/>
            <w:vAlign w:val="bottom"/>
            <w:tcBorders>
              <w:right w:val="single" w:sz="8" w:color="0066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Philadelphia and</w:t>
            </w:r>
          </w:p>
        </w:tc>
        <w:tc>
          <w:tcPr>
            <w:tcW w:w="116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Agreement</w:t>
            </w: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4"/>
              </w:rPr>
              <w:t>Vicinity</w:t>
            </w:r>
          </w:p>
        </w:tc>
        <w:tc>
          <w:tcPr>
            <w:tcW w:w="116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80" w:type="dxa"/>
            <w:vAlign w:val="bottom"/>
            <w:tcBorders>
              <w:left w:val="single" w:sz="8" w:color="0066CC"/>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vMerge w:val="continue"/>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60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920" w:type="dxa"/>
            <w:vAlign w:val="bottom"/>
            <w:tcBorders>
              <w:bottom w:val="single" w:sz="8" w:color="CCCCFF"/>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124</w:t>
      </w:r>
    </w:p>
    <w:p>
      <w:pPr>
        <w:sectPr>
          <w:pgSz w:w="11900" w:h="16838" w:orient="portrait"/>
          <w:cols w:equalWidth="0" w:num="1">
            <w:col w:w="11480"/>
          </w:cols>
          <w:pgMar w:left="220" w:top="605" w:right="199" w:bottom="1440" w:gutter="0" w:footer="0" w:header="0"/>
        </w:sectPr>
      </w:pPr>
    </w:p>
    <w:bookmarkStart w:id="185" w:name="page186"/>
    <w:bookmarkEnd w:id="185"/>
    <w:tbl>
      <w:tblPr>
        <w:tblLayout w:type="fixed"/>
        <w:tblInd w:w="10" w:type="dxa"/>
        <w:tblCellMar>
          <w:top w:w="0" w:type="dxa"/>
          <w:left w:w="0" w:type="dxa"/>
          <w:bottom w:w="0" w:type="dxa"/>
          <w:right w:w="0" w:type="dxa"/>
        </w:tblCellMar>
      </w:tblPr>
      <w:tr>
        <w:trPr>
          <w:trHeight w:val="139"/>
        </w:trPr>
        <w:tc>
          <w:tcPr>
            <w:tcW w:w="1180" w:type="dxa"/>
            <w:vAlign w:val="bottom"/>
            <w:tcBorders>
              <w:top w:val="single" w:sz="8" w:color="CCCCFF"/>
              <w:left w:val="single" w:sz="8" w:color="0066CC"/>
              <w:right w:val="single" w:sz="8" w:color="CCCCFF"/>
            </w:tcBorders>
          </w:tcPr>
          <w:p>
            <w:pPr>
              <w:spacing w:after="0"/>
              <w:rPr>
                <w:sz w:val="12"/>
                <w:szCs w:val="12"/>
                <w:color w:val="auto"/>
              </w:rPr>
            </w:pPr>
          </w:p>
        </w:tc>
        <w:tc>
          <w:tcPr>
            <w:tcW w:w="1140" w:type="dxa"/>
            <w:vAlign w:val="bottom"/>
            <w:tcBorders>
              <w:top w:val="single" w:sz="8" w:color="CCCCFF"/>
              <w:right w:val="single" w:sz="8" w:color="CCCCFF"/>
            </w:tcBorders>
          </w:tcPr>
          <w:p>
            <w:pPr>
              <w:spacing w:after="0"/>
              <w:rPr>
                <w:sz w:val="12"/>
                <w:szCs w:val="12"/>
                <w:color w:val="auto"/>
              </w:rPr>
            </w:pPr>
          </w:p>
        </w:tc>
        <w:tc>
          <w:tcPr>
            <w:tcW w:w="1140" w:type="dxa"/>
            <w:vAlign w:val="bottom"/>
            <w:tcBorders>
              <w:top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0"/>
              </w:rPr>
              <w:t>International</w:t>
            </w:r>
          </w:p>
        </w:tc>
        <w:tc>
          <w:tcPr>
            <w:tcW w:w="1160" w:type="dxa"/>
            <w:vAlign w:val="bottom"/>
            <w:tcBorders>
              <w:top w:val="single" w:sz="8" w:color="CCCCFF"/>
              <w:right w:val="single" w:sz="8" w:color="CCCCFF"/>
            </w:tcBorders>
          </w:tcPr>
          <w:p>
            <w:pPr>
              <w:spacing w:after="0"/>
              <w:rPr>
                <w:sz w:val="12"/>
                <w:szCs w:val="12"/>
                <w:color w:val="auto"/>
              </w:rPr>
            </w:pPr>
          </w:p>
        </w:tc>
        <w:tc>
          <w:tcPr>
            <w:tcW w:w="1140" w:type="dxa"/>
            <w:vAlign w:val="bottom"/>
            <w:tcBorders>
              <w:top w:val="single" w:sz="8" w:color="CCCCFF"/>
              <w:right w:val="single" w:sz="8" w:color="CCCCFF"/>
            </w:tcBorders>
          </w:tcPr>
          <w:p>
            <w:pPr>
              <w:spacing w:after="0"/>
              <w:rPr>
                <w:sz w:val="12"/>
                <w:szCs w:val="12"/>
                <w:color w:val="auto"/>
              </w:rPr>
            </w:pPr>
          </w:p>
        </w:tc>
        <w:tc>
          <w:tcPr>
            <w:tcW w:w="1600" w:type="dxa"/>
            <w:vAlign w:val="bottom"/>
            <w:tcBorders>
              <w:top w:val="single" w:sz="8" w:color="CCCCFF"/>
              <w:right w:val="single" w:sz="8" w:color="CCCCFF"/>
            </w:tcBorders>
          </w:tcPr>
          <w:p>
            <w:pPr>
              <w:spacing w:after="0"/>
              <w:rPr>
                <w:sz w:val="12"/>
                <w:szCs w:val="12"/>
                <w:color w:val="auto"/>
              </w:rPr>
            </w:pPr>
          </w:p>
        </w:tc>
        <w:tc>
          <w:tcPr>
            <w:tcW w:w="1160" w:type="dxa"/>
            <w:vAlign w:val="bottom"/>
            <w:tcBorders>
              <w:top w:val="single" w:sz="8" w:color="CCCCFF"/>
              <w:right w:val="single" w:sz="8" w:color="CCCCFF"/>
            </w:tcBorders>
          </w:tcPr>
          <w:p>
            <w:pPr>
              <w:spacing w:after="0"/>
              <w:rPr>
                <w:sz w:val="12"/>
                <w:szCs w:val="12"/>
                <w:color w:val="auto"/>
              </w:rPr>
            </w:pPr>
          </w:p>
        </w:tc>
        <w:tc>
          <w:tcPr>
            <w:tcW w:w="1020" w:type="dxa"/>
            <w:vAlign w:val="bottom"/>
            <w:tcBorders>
              <w:top w:val="single" w:sz="8" w:color="CCCCFF"/>
              <w:right w:val="single" w:sz="8" w:color="CCCCFF"/>
            </w:tcBorders>
          </w:tcPr>
          <w:p>
            <w:pPr>
              <w:spacing w:after="0"/>
              <w:rPr>
                <w:sz w:val="12"/>
                <w:szCs w:val="12"/>
                <w:color w:val="auto"/>
              </w:rPr>
            </w:pPr>
          </w:p>
        </w:tc>
        <w:tc>
          <w:tcPr>
            <w:tcW w:w="1020" w:type="dxa"/>
            <w:vAlign w:val="bottom"/>
            <w:tcBorders>
              <w:top w:val="single" w:sz="8" w:color="CCCCFF"/>
              <w:right w:val="single" w:sz="8" w:color="CCCCFF"/>
            </w:tcBorders>
          </w:tcPr>
          <w:p>
            <w:pPr>
              <w:spacing w:after="0"/>
              <w:rPr>
                <w:sz w:val="12"/>
                <w:szCs w:val="12"/>
                <w:color w:val="auto"/>
              </w:rPr>
            </w:pPr>
          </w:p>
        </w:tc>
        <w:tc>
          <w:tcPr>
            <w:tcW w:w="920" w:type="dxa"/>
            <w:vAlign w:val="bottom"/>
            <w:tcBorders>
              <w:top w:val="single" w:sz="8" w:color="CCCCFF"/>
              <w:right w:val="single" w:sz="8" w:color="0066CC"/>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Brotherhood of</w:t>
            </w: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6"/>
              </w:rPr>
              <w:t>Payment of Wages and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restart"/>
          </w:tcPr>
          <w:p>
            <w:pPr>
              <w:jc w:val="right"/>
              <w:ind w:right="301"/>
              <w:spacing w:after="0" w:line="121" w:lineRule="exact"/>
              <w:rPr>
                <w:sz w:val="20"/>
                <w:szCs w:val="20"/>
                <w:color w:val="auto"/>
              </w:rPr>
            </w:pPr>
            <w:r>
              <w:rPr>
                <w:rFonts w:ascii="Arial" w:cs="Arial" w:eastAsia="Arial" w:hAnsi="Arial"/>
                <w:sz w:val="12"/>
                <w:szCs w:val="12"/>
                <w:color w:val="auto"/>
              </w:rPr>
              <w:t>08719375</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Electrical workers,</w:t>
            </w:r>
          </w:p>
        </w:tc>
        <w:tc>
          <w:tcPr>
            <w:tcW w:w="116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restart"/>
          </w:tcPr>
          <w:p>
            <w:pPr>
              <w:ind w:left="120"/>
              <w:spacing w:after="0" w:line="121" w:lineRule="exact"/>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$25,000.00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14-Jul-04</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7"/>
              </w:rPr>
              <w:t>14-Jul-16</w:t>
            </w:r>
          </w:p>
        </w:tc>
        <w:tc>
          <w:tcPr>
            <w:tcW w:w="920" w:type="dxa"/>
            <w:vAlign w:val="bottom"/>
            <w:tcBorders>
              <w:right w:val="single" w:sz="8" w:color="0066CC"/>
            </w:tcBorders>
            <w:vMerge w:val="restart"/>
          </w:tcPr>
          <w:p>
            <w:pPr>
              <w:jc w:val="center"/>
              <w:spacing w:after="0" w:line="121" w:lineRule="exact"/>
              <w:rPr>
                <w:sz w:val="20"/>
                <w:szCs w:val="20"/>
                <w:color w:val="auto"/>
              </w:rPr>
            </w:pPr>
            <w:r>
              <w:rPr>
                <w:rFonts w:ascii="Arial" w:cs="Arial" w:eastAsia="Arial" w:hAnsi="Arial"/>
                <w:sz w:val="12"/>
                <w:szCs w:val="12"/>
                <w:color w:val="auto"/>
                <w:w w:val="87"/>
              </w:rPr>
              <w:t>14-Jul-17</w:t>
            </w: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5"/>
              </w:rPr>
              <w:t>Dues</w:t>
            </w:r>
          </w:p>
        </w:tc>
        <w:tc>
          <w:tcPr>
            <w:tcW w:w="1140" w:type="dxa"/>
            <w:vAlign w:val="bottom"/>
            <w:tcBorders>
              <w:right w:val="single" w:sz="8" w:color="CCCCFF"/>
            </w:tcBorders>
            <w:vMerge w:val="continue"/>
          </w:tcPr>
          <w:p>
            <w:pPr>
              <w:spacing w:after="0"/>
              <w:rPr>
                <w:sz w:val="5"/>
                <w:szCs w:val="5"/>
                <w:color w:val="auto"/>
              </w:rPr>
            </w:pPr>
          </w:p>
        </w:tc>
        <w:tc>
          <w:tcPr>
            <w:tcW w:w="160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920" w:type="dxa"/>
            <w:vAlign w:val="bottom"/>
            <w:tcBorders>
              <w:right w:val="single" w:sz="8" w:color="0066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4"/>
              </w:rPr>
              <w:t>AFL-CIO Local Union</w:t>
            </w:r>
          </w:p>
        </w:tc>
        <w:tc>
          <w:tcPr>
            <w:tcW w:w="116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vMerge w:val="continue"/>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0"/>
              </w:rPr>
              <w:t>No. 24</w:t>
            </w:r>
          </w:p>
        </w:tc>
        <w:tc>
          <w:tcPr>
            <w:tcW w:w="116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Maryland Electrical</w:t>
            </w: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2"/>
              </w:rPr>
              <w:t>Contributions to fund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restart"/>
          </w:tcPr>
          <w:p>
            <w:pPr>
              <w:jc w:val="right"/>
              <w:ind w:right="301"/>
              <w:spacing w:after="0" w:line="121" w:lineRule="exact"/>
              <w:rPr>
                <w:sz w:val="20"/>
                <w:szCs w:val="20"/>
                <w:color w:val="auto"/>
              </w:rPr>
            </w:pPr>
            <w:r>
              <w:rPr>
                <w:rFonts w:ascii="Arial" w:cs="Arial" w:eastAsia="Arial" w:hAnsi="Arial"/>
                <w:sz w:val="12"/>
                <w:szCs w:val="12"/>
                <w:color w:val="auto"/>
              </w:rPr>
              <w:t>08719376</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in accordance with the</w:t>
            </w:r>
          </w:p>
        </w:tc>
        <w:tc>
          <w:tcPr>
            <w:tcW w:w="1140" w:type="dxa"/>
            <w:vAlign w:val="bottom"/>
            <w:tcBorders>
              <w:right w:val="single" w:sz="8" w:color="CCCCFF"/>
            </w:tcBorders>
            <w:vMerge w:val="restart"/>
          </w:tcPr>
          <w:p>
            <w:pPr>
              <w:ind w:left="120"/>
              <w:spacing w:after="0" w:line="121" w:lineRule="exact"/>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$75,000.00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14-Jul-14</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7"/>
              </w:rPr>
              <w:t>14-Jul-16</w:t>
            </w:r>
          </w:p>
        </w:tc>
        <w:tc>
          <w:tcPr>
            <w:tcW w:w="920" w:type="dxa"/>
            <w:vAlign w:val="bottom"/>
            <w:tcBorders>
              <w:right w:val="single" w:sz="8" w:color="0066CC"/>
            </w:tcBorders>
            <w:vMerge w:val="restart"/>
          </w:tcPr>
          <w:p>
            <w:pPr>
              <w:jc w:val="center"/>
              <w:spacing w:after="0" w:line="121" w:lineRule="exact"/>
              <w:rPr>
                <w:sz w:val="20"/>
                <w:szCs w:val="20"/>
                <w:color w:val="auto"/>
              </w:rPr>
            </w:pPr>
            <w:r>
              <w:rPr>
                <w:rFonts w:ascii="Arial" w:cs="Arial" w:eastAsia="Arial" w:hAnsi="Arial"/>
                <w:sz w:val="12"/>
                <w:szCs w:val="12"/>
                <w:color w:val="auto"/>
                <w:w w:val="87"/>
              </w:rPr>
              <w:t>14-Jul-17</w:t>
            </w: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Industry Funds</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60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920" w:type="dxa"/>
            <w:vAlign w:val="bottom"/>
            <w:tcBorders>
              <w:right w:val="single" w:sz="8" w:color="0066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5"/>
              </w:rPr>
              <w:t>agreement.</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80" w:type="dxa"/>
            <w:vAlign w:val="bottom"/>
            <w:tcBorders>
              <w:left w:val="single" w:sz="8" w:color="0066CC"/>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vMerge w:val="continue"/>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vMerge w:val="continue"/>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60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920" w:type="dxa"/>
            <w:vAlign w:val="bottom"/>
            <w:tcBorders>
              <w:bottom w:val="single" w:sz="8" w:color="CCCCFF"/>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2"/>
              </w:rPr>
              <w:t>United Association of</w:t>
            </w: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6"/>
              </w:rPr>
              <w:t>Guarantees payment to</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jc w:val="right"/>
              <w:ind w:right="301"/>
              <w:spacing w:after="0" w:line="121" w:lineRule="exact"/>
              <w:rPr>
                <w:sz w:val="20"/>
                <w:szCs w:val="20"/>
                <w:color w:val="auto"/>
              </w:rPr>
            </w:pPr>
            <w:r>
              <w:rPr>
                <w:rFonts w:ascii="Arial" w:cs="Arial" w:eastAsia="Arial" w:hAnsi="Arial"/>
                <w:sz w:val="12"/>
                <w:szCs w:val="12"/>
                <w:color w:val="auto"/>
              </w:rPr>
              <w:t>08720283</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Plumbers &amp;</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7"/>
              </w:rPr>
              <w:t>wage and welfare</w:t>
            </w:r>
          </w:p>
        </w:tc>
        <w:tc>
          <w:tcPr>
            <w:tcW w:w="1140" w:type="dxa"/>
            <w:vAlign w:val="bottom"/>
            <w:tcBorders>
              <w:right w:val="single" w:sz="8" w:color="CCCCFF"/>
            </w:tcBorders>
          </w:tcPr>
          <w:p>
            <w:pPr>
              <w:ind w:left="120"/>
              <w:spacing w:after="0" w:line="121" w:lineRule="exact"/>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tcPr>
          <w:p>
            <w:pPr>
              <w:jc w:val="right"/>
              <w:spacing w:after="0" w:line="121" w:lineRule="exact"/>
              <w:rPr>
                <w:sz w:val="20"/>
                <w:szCs w:val="20"/>
                <w:color w:val="auto"/>
              </w:rPr>
            </w:pPr>
            <w:r>
              <w:rPr>
                <w:rFonts w:ascii="Arial" w:cs="Arial" w:eastAsia="Arial" w:hAnsi="Arial"/>
                <w:sz w:val="12"/>
                <w:szCs w:val="12"/>
                <w:color w:val="auto"/>
              </w:rPr>
              <w:t>$110,000.00</w:t>
            </w:r>
          </w:p>
        </w:tc>
        <w:tc>
          <w:tcPr>
            <w:tcW w:w="1160" w:type="dxa"/>
            <w:vAlign w:val="bottom"/>
            <w:tcBorders>
              <w:right w:val="single" w:sz="8" w:color="CCCCFF"/>
            </w:tcBorders>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2"/>
              </w:rPr>
              <w:t>12-Nov-13</w:t>
            </w:r>
          </w:p>
        </w:tc>
        <w:tc>
          <w:tcPr>
            <w:tcW w:w="102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2"/>
              </w:rPr>
              <w:t>12-Nov-16</w:t>
            </w:r>
          </w:p>
        </w:tc>
        <w:tc>
          <w:tcPr>
            <w:tcW w:w="920" w:type="dxa"/>
            <w:vAlign w:val="bottom"/>
            <w:tcBorders>
              <w:right w:val="single" w:sz="8" w:color="0066CC"/>
            </w:tcBorders>
          </w:tcPr>
          <w:p>
            <w:pPr>
              <w:jc w:val="center"/>
              <w:spacing w:after="0" w:line="121" w:lineRule="exact"/>
              <w:rPr>
                <w:sz w:val="20"/>
                <w:szCs w:val="20"/>
                <w:color w:val="auto"/>
              </w:rPr>
            </w:pPr>
            <w:r>
              <w:rPr>
                <w:rFonts w:ascii="Arial" w:cs="Arial" w:eastAsia="Arial" w:hAnsi="Arial"/>
                <w:sz w:val="12"/>
                <w:szCs w:val="12"/>
                <w:color w:val="auto"/>
                <w:w w:val="92"/>
              </w:rPr>
              <w:t>12-Nov-17</w:t>
            </w: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9"/>
              </w:rPr>
              <w:t>Construction, Inc.</w:t>
            </w:r>
          </w:p>
        </w:tc>
        <w:tc>
          <w:tcPr>
            <w:tcW w:w="114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0"/>
              </w:rPr>
              <w:t>Steamfitters Local 322</w:t>
            </w: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1"/>
              </w:rPr>
              <w:t>funds.</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2"/>
              </w:rPr>
              <w:t>Collective Bargaining</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Agreement</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6"/>
              </w:rPr>
              <w:t>guaranteeing the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payment of</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International</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5"/>
              </w:rPr>
              <w:t>Assessments for</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Temporary Disability</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Brotherhood of</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restart"/>
          </w:tcPr>
          <w:p>
            <w:pPr>
              <w:jc w:val="right"/>
              <w:ind w:right="301"/>
              <w:spacing w:after="0" w:line="121" w:lineRule="exact"/>
              <w:rPr>
                <w:sz w:val="20"/>
                <w:szCs w:val="20"/>
                <w:color w:val="auto"/>
              </w:rPr>
            </w:pPr>
            <w:r>
              <w:rPr>
                <w:rFonts w:ascii="Arial" w:cs="Arial" w:eastAsia="Arial" w:hAnsi="Arial"/>
                <w:sz w:val="12"/>
                <w:szCs w:val="12"/>
                <w:color w:val="auto"/>
              </w:rPr>
              <w:t>08748704</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6"/>
              </w:rPr>
              <w:t>Insurance, the</w:t>
            </w:r>
          </w:p>
        </w:tc>
        <w:tc>
          <w:tcPr>
            <w:tcW w:w="1140" w:type="dxa"/>
            <w:vAlign w:val="bottom"/>
            <w:tcBorders>
              <w:right w:val="single" w:sz="8" w:color="CCCCFF"/>
            </w:tcBorders>
            <w:vMerge w:val="restart"/>
          </w:tcPr>
          <w:p>
            <w:pPr>
              <w:ind w:left="120"/>
              <w:spacing w:after="0" w:line="121" w:lineRule="exact"/>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$120,000.00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4"/>
              </w:rPr>
              <w:t>10-May-04</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10-May-16</w:t>
            </w:r>
          </w:p>
        </w:tc>
        <w:tc>
          <w:tcPr>
            <w:tcW w:w="920" w:type="dxa"/>
            <w:vAlign w:val="bottom"/>
            <w:tcBorders>
              <w:right w:val="single" w:sz="8" w:color="0066CC"/>
            </w:tcBorders>
            <w:vMerge w:val="restart"/>
          </w:tcPr>
          <w:p>
            <w:pPr>
              <w:jc w:val="center"/>
              <w:spacing w:after="0" w:line="121" w:lineRule="exact"/>
              <w:rPr>
                <w:sz w:val="20"/>
                <w:szCs w:val="20"/>
                <w:color w:val="auto"/>
              </w:rPr>
            </w:pPr>
            <w:r>
              <w:rPr>
                <w:rFonts w:ascii="Arial" w:cs="Arial" w:eastAsia="Arial" w:hAnsi="Arial"/>
                <w:sz w:val="12"/>
                <w:szCs w:val="12"/>
                <w:color w:val="auto"/>
                <w:w w:val="90"/>
              </w:rPr>
              <w:t>10-May-17</w:t>
            </w: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Electrical Workers,</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60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920" w:type="dxa"/>
            <w:vAlign w:val="bottom"/>
            <w:tcBorders>
              <w:right w:val="single" w:sz="8" w:color="0066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National Electrical</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2"/>
              </w:rPr>
              <w:t>Local Union 400</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Benefit Fund, Vacation</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7"/>
              </w:rPr>
              <w:t>Fund, Pension Fund,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Training Fund,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Annuity Fund, Welfare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6"/>
              </w:rPr>
              <w:t>Fund and Wages.</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1"/>
              </w:rPr>
              <w:t>Iron Workers District</w:t>
            </w:r>
          </w:p>
        </w:tc>
        <w:tc>
          <w:tcPr>
            <w:tcW w:w="116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Council of Southern</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Benefit - Pension -</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restart"/>
          </w:tcPr>
          <w:p>
            <w:pPr>
              <w:jc w:val="right"/>
              <w:ind w:right="301"/>
              <w:spacing w:after="0" w:line="121" w:lineRule="exact"/>
              <w:rPr>
                <w:sz w:val="20"/>
                <w:szCs w:val="20"/>
                <w:color w:val="auto"/>
              </w:rPr>
            </w:pPr>
            <w:r>
              <w:rPr>
                <w:rFonts w:ascii="Arial" w:cs="Arial" w:eastAsia="Arial" w:hAnsi="Arial"/>
                <w:sz w:val="12"/>
                <w:szCs w:val="12"/>
                <w:color w:val="auto"/>
              </w:rPr>
              <w:t>08756488</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ind w:left="120"/>
              <w:spacing w:after="0" w:line="121" w:lineRule="exact"/>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$20,000.00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09-Feb-05</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6"/>
              </w:rPr>
              <w:t>09-Feb-16</w:t>
            </w:r>
          </w:p>
        </w:tc>
        <w:tc>
          <w:tcPr>
            <w:tcW w:w="920" w:type="dxa"/>
            <w:vAlign w:val="bottom"/>
            <w:tcBorders>
              <w:right w:val="single" w:sz="8" w:color="0066CC"/>
            </w:tcBorders>
            <w:vMerge w:val="restart"/>
          </w:tcPr>
          <w:p>
            <w:pPr>
              <w:jc w:val="center"/>
              <w:spacing w:after="0" w:line="121" w:lineRule="exact"/>
              <w:rPr>
                <w:sz w:val="20"/>
                <w:szCs w:val="20"/>
                <w:color w:val="auto"/>
              </w:rPr>
            </w:pPr>
            <w:r>
              <w:rPr>
                <w:rFonts w:ascii="Arial" w:cs="Arial" w:eastAsia="Arial" w:hAnsi="Arial"/>
                <w:sz w:val="12"/>
                <w:szCs w:val="12"/>
                <w:color w:val="auto"/>
                <w:w w:val="86"/>
              </w:rPr>
              <w:t>09-Feb-17</w:t>
            </w: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7"/>
              </w:rPr>
              <w:t>Ohio &amp; Vicinity</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3"/>
              </w:rPr>
              <w:t>Annuity Trust</w:t>
            </w:r>
          </w:p>
        </w:tc>
        <w:tc>
          <w:tcPr>
            <w:tcW w:w="1140" w:type="dxa"/>
            <w:vAlign w:val="bottom"/>
            <w:tcBorders>
              <w:right w:val="single" w:sz="8" w:color="CCCCFF"/>
            </w:tcBorders>
            <w:vMerge w:val="continue"/>
          </w:tcPr>
          <w:p>
            <w:pPr>
              <w:spacing w:after="0"/>
              <w:rPr>
                <w:sz w:val="4"/>
                <w:szCs w:val="4"/>
                <w:color w:val="auto"/>
              </w:rPr>
            </w:pPr>
          </w:p>
        </w:tc>
        <w:tc>
          <w:tcPr>
            <w:tcW w:w="160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920" w:type="dxa"/>
            <w:vAlign w:val="bottom"/>
            <w:tcBorders>
              <w:right w:val="single" w:sz="8" w:color="0066CC"/>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Benefit Trust, etal</w:t>
            </w:r>
          </w:p>
        </w:tc>
        <w:tc>
          <w:tcPr>
            <w:tcW w:w="1160" w:type="dxa"/>
            <w:vAlign w:val="bottom"/>
            <w:tcBorders>
              <w:right w:val="single" w:sz="8" w:color="CCCCFF"/>
            </w:tcBorders>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80" w:type="dxa"/>
            <w:vAlign w:val="bottom"/>
            <w:tcBorders>
              <w:left w:val="single" w:sz="8" w:color="0066CC"/>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vMerge w:val="continue"/>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60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920" w:type="dxa"/>
            <w:vAlign w:val="bottom"/>
            <w:tcBorders>
              <w:bottom w:val="single" w:sz="8" w:color="CCCCFF"/>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4"/>
              </w:rPr>
              <w:t>IBEW Local Union</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7"/>
              </w:rPr>
              <w:t>102 Pension Fund,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7"/>
              </w:rPr>
              <w:t>Welfare Fund,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5"/>
              </w:rPr>
              <w:t>Personal Fund,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International</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National Electrical</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Brotherhood of</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Benefit Fund, Annuity</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restart"/>
          </w:tcPr>
          <w:p>
            <w:pPr>
              <w:jc w:val="right"/>
              <w:ind w:right="301"/>
              <w:spacing w:after="0" w:line="121" w:lineRule="exact"/>
              <w:rPr>
                <w:sz w:val="20"/>
                <w:szCs w:val="20"/>
                <w:color w:val="auto"/>
              </w:rPr>
            </w:pPr>
            <w:r>
              <w:rPr>
                <w:rFonts w:ascii="Arial" w:cs="Arial" w:eastAsia="Arial" w:hAnsi="Arial"/>
                <w:sz w:val="12"/>
                <w:szCs w:val="12"/>
                <w:color w:val="auto"/>
              </w:rPr>
              <w:t>08756502</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ind w:left="120"/>
              <w:spacing w:after="0" w:line="121" w:lineRule="exact"/>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$1,500,000.00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11-Mar-05</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11-Mar-16</w:t>
            </w:r>
          </w:p>
        </w:tc>
        <w:tc>
          <w:tcPr>
            <w:tcW w:w="920" w:type="dxa"/>
            <w:vAlign w:val="bottom"/>
            <w:tcBorders>
              <w:right w:val="single" w:sz="8" w:color="0066CC"/>
            </w:tcBorders>
            <w:vMerge w:val="restart"/>
          </w:tcPr>
          <w:p>
            <w:pPr>
              <w:jc w:val="center"/>
              <w:spacing w:after="0" w:line="121" w:lineRule="exact"/>
              <w:rPr>
                <w:sz w:val="20"/>
                <w:szCs w:val="20"/>
                <w:color w:val="auto"/>
              </w:rPr>
            </w:pPr>
            <w:r>
              <w:rPr>
                <w:rFonts w:ascii="Arial" w:cs="Arial" w:eastAsia="Arial" w:hAnsi="Arial"/>
                <w:sz w:val="12"/>
                <w:szCs w:val="12"/>
                <w:color w:val="auto"/>
                <w:w w:val="90"/>
              </w:rPr>
              <w:t>11-Mar-17</w:t>
            </w: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Electrical Workers</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Fund, Dues Check-Off</w:t>
            </w:r>
          </w:p>
        </w:tc>
        <w:tc>
          <w:tcPr>
            <w:tcW w:w="1140" w:type="dxa"/>
            <w:vAlign w:val="bottom"/>
            <w:tcBorders>
              <w:right w:val="single" w:sz="8" w:color="CCCCFF"/>
            </w:tcBorders>
            <w:vMerge w:val="continue"/>
          </w:tcPr>
          <w:p>
            <w:pPr>
              <w:spacing w:after="0"/>
              <w:rPr>
                <w:sz w:val="4"/>
                <w:szCs w:val="4"/>
                <w:color w:val="auto"/>
              </w:rPr>
            </w:pPr>
          </w:p>
        </w:tc>
        <w:tc>
          <w:tcPr>
            <w:tcW w:w="160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920" w:type="dxa"/>
            <w:vAlign w:val="bottom"/>
            <w:tcBorders>
              <w:right w:val="single" w:sz="8" w:color="0066CC"/>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3"/>
              </w:rPr>
              <w:t>Union No. 102</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Fund, JATC Fund and</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vMerge w:val="continue"/>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Temporary Disability</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7"/>
              </w:rPr>
              <w:t>Fund in accordance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3"/>
              </w:rPr>
              <w:t>with the Collective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8"/>
              </w:rPr>
              <w:t>Bargaining Agreement</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International</w:t>
            </w: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2"/>
              </w:rPr>
              <w:t>Guarantees</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contributions in</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Brotherhood of</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restart"/>
          </w:tcPr>
          <w:p>
            <w:pPr>
              <w:jc w:val="right"/>
              <w:ind w:right="301"/>
              <w:spacing w:after="0" w:line="121" w:lineRule="exact"/>
              <w:rPr>
                <w:sz w:val="20"/>
                <w:szCs w:val="20"/>
                <w:color w:val="auto"/>
              </w:rPr>
            </w:pPr>
            <w:r>
              <w:rPr>
                <w:rFonts w:ascii="Arial" w:cs="Arial" w:eastAsia="Arial" w:hAnsi="Arial"/>
                <w:sz w:val="12"/>
                <w:szCs w:val="12"/>
                <w:color w:val="auto"/>
              </w:rPr>
              <w:t>08756507</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7"/>
              </w:rPr>
              <w:t>accordance with</w:t>
            </w:r>
          </w:p>
        </w:tc>
        <w:tc>
          <w:tcPr>
            <w:tcW w:w="1140" w:type="dxa"/>
            <w:vAlign w:val="bottom"/>
            <w:tcBorders>
              <w:right w:val="single" w:sz="8" w:color="CCCCFF"/>
            </w:tcBorders>
            <w:vMerge w:val="restart"/>
          </w:tcPr>
          <w:p>
            <w:pPr>
              <w:ind w:left="120"/>
              <w:spacing w:after="0" w:line="121" w:lineRule="exact"/>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$50,000.00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3"/>
              </w:rPr>
              <w:t>13-Apr-05</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13-Apr-16</w:t>
            </w:r>
          </w:p>
        </w:tc>
        <w:tc>
          <w:tcPr>
            <w:tcW w:w="920" w:type="dxa"/>
            <w:vAlign w:val="bottom"/>
            <w:tcBorders>
              <w:right w:val="single" w:sz="8" w:color="0066CC"/>
            </w:tcBorders>
            <w:vMerge w:val="restart"/>
          </w:tcPr>
          <w:p>
            <w:pPr>
              <w:jc w:val="center"/>
              <w:spacing w:after="0" w:line="121" w:lineRule="exact"/>
              <w:rPr>
                <w:sz w:val="20"/>
                <w:szCs w:val="20"/>
                <w:color w:val="auto"/>
              </w:rPr>
            </w:pPr>
            <w:r>
              <w:rPr>
                <w:rFonts w:ascii="Arial" w:cs="Arial" w:eastAsia="Arial" w:hAnsi="Arial"/>
                <w:sz w:val="12"/>
                <w:szCs w:val="12"/>
                <w:color w:val="auto"/>
                <w:w w:val="89"/>
              </w:rPr>
              <w:t>13-Apr-17</w:t>
            </w: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Electrical Workers</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60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920" w:type="dxa"/>
            <w:vAlign w:val="bottom"/>
            <w:tcBorders>
              <w:right w:val="single" w:sz="8" w:color="0066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Collective Bargaining</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2"/>
              </w:rPr>
              <w:t>Local Union 380</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6"/>
              </w:rPr>
              <w:t>Agreement.</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80" w:type="dxa"/>
            <w:vAlign w:val="bottom"/>
            <w:tcBorders>
              <w:left w:val="single" w:sz="8" w:color="0066CC"/>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vMerge w:val="continue"/>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60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920" w:type="dxa"/>
            <w:vAlign w:val="bottom"/>
            <w:tcBorders>
              <w:bottom w:val="single" w:sz="8" w:color="CCCCFF"/>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125</w:t>
      </w:r>
    </w:p>
    <w:p>
      <w:pPr>
        <w:sectPr>
          <w:pgSz w:w="11900" w:h="16838" w:orient="portrait"/>
          <w:cols w:equalWidth="0" w:num="1">
            <w:col w:w="11480"/>
          </w:cols>
          <w:pgMar w:left="220" w:top="605" w:right="199" w:bottom="1440" w:gutter="0" w:footer="0" w:header="0"/>
        </w:sectPr>
      </w:pPr>
    </w:p>
    <w:bookmarkStart w:id="186" w:name="page187"/>
    <w:bookmarkEnd w:id="186"/>
    <w:tbl>
      <w:tblPr>
        <w:tblLayout w:type="fixed"/>
        <w:tblInd w:w="10" w:type="dxa"/>
        <w:tblCellMar>
          <w:top w:w="0" w:type="dxa"/>
          <w:left w:w="0" w:type="dxa"/>
          <w:bottom w:w="0" w:type="dxa"/>
          <w:right w:w="0" w:type="dxa"/>
        </w:tblCellMar>
      </w:tblPr>
      <w:tr>
        <w:trPr>
          <w:trHeight w:val="139"/>
        </w:trPr>
        <w:tc>
          <w:tcPr>
            <w:tcW w:w="1180" w:type="dxa"/>
            <w:vAlign w:val="bottom"/>
            <w:tcBorders>
              <w:top w:val="single" w:sz="8" w:color="CCCCFF"/>
              <w:left w:val="single" w:sz="8" w:color="0066CC"/>
              <w:right w:val="single" w:sz="8" w:color="CCCCFF"/>
            </w:tcBorders>
          </w:tcPr>
          <w:p>
            <w:pPr>
              <w:spacing w:after="0"/>
              <w:rPr>
                <w:sz w:val="12"/>
                <w:szCs w:val="12"/>
                <w:color w:val="auto"/>
              </w:rPr>
            </w:pPr>
          </w:p>
        </w:tc>
        <w:tc>
          <w:tcPr>
            <w:tcW w:w="1140" w:type="dxa"/>
            <w:vAlign w:val="bottom"/>
            <w:tcBorders>
              <w:top w:val="single" w:sz="8" w:color="CCCCFF"/>
              <w:right w:val="single" w:sz="8" w:color="CCCCFF"/>
            </w:tcBorders>
          </w:tcPr>
          <w:p>
            <w:pPr>
              <w:spacing w:after="0"/>
              <w:rPr>
                <w:sz w:val="12"/>
                <w:szCs w:val="12"/>
                <w:color w:val="auto"/>
              </w:rPr>
            </w:pPr>
          </w:p>
        </w:tc>
        <w:tc>
          <w:tcPr>
            <w:tcW w:w="1140" w:type="dxa"/>
            <w:vAlign w:val="bottom"/>
            <w:tcBorders>
              <w:top w:val="single" w:sz="8" w:color="CCCCFF"/>
              <w:right w:val="single" w:sz="8" w:color="CCCCFF"/>
            </w:tcBorders>
          </w:tcPr>
          <w:p>
            <w:pPr>
              <w:spacing w:after="0"/>
              <w:rPr>
                <w:sz w:val="12"/>
                <w:szCs w:val="12"/>
                <w:color w:val="auto"/>
              </w:rPr>
            </w:pPr>
          </w:p>
        </w:tc>
        <w:tc>
          <w:tcPr>
            <w:tcW w:w="1160" w:type="dxa"/>
            <w:vAlign w:val="bottom"/>
            <w:tcBorders>
              <w:top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7"/>
              </w:rPr>
              <w:t>Agreement between</w:t>
            </w:r>
          </w:p>
        </w:tc>
        <w:tc>
          <w:tcPr>
            <w:tcW w:w="1140" w:type="dxa"/>
            <w:vAlign w:val="bottom"/>
            <w:tcBorders>
              <w:top w:val="single" w:sz="8" w:color="CCCCFF"/>
              <w:right w:val="single" w:sz="8" w:color="CCCCFF"/>
            </w:tcBorders>
          </w:tcPr>
          <w:p>
            <w:pPr>
              <w:spacing w:after="0"/>
              <w:rPr>
                <w:sz w:val="12"/>
                <w:szCs w:val="12"/>
                <w:color w:val="auto"/>
              </w:rPr>
            </w:pPr>
          </w:p>
        </w:tc>
        <w:tc>
          <w:tcPr>
            <w:tcW w:w="1600" w:type="dxa"/>
            <w:vAlign w:val="bottom"/>
            <w:tcBorders>
              <w:top w:val="single" w:sz="8" w:color="CCCCFF"/>
              <w:right w:val="single" w:sz="8" w:color="CCCCFF"/>
            </w:tcBorders>
          </w:tcPr>
          <w:p>
            <w:pPr>
              <w:spacing w:after="0"/>
              <w:rPr>
                <w:sz w:val="12"/>
                <w:szCs w:val="12"/>
                <w:color w:val="auto"/>
              </w:rPr>
            </w:pPr>
          </w:p>
        </w:tc>
        <w:tc>
          <w:tcPr>
            <w:tcW w:w="1160" w:type="dxa"/>
            <w:vAlign w:val="bottom"/>
            <w:tcBorders>
              <w:top w:val="single" w:sz="8" w:color="CCCCFF"/>
              <w:right w:val="single" w:sz="8" w:color="CCCCFF"/>
            </w:tcBorders>
          </w:tcPr>
          <w:p>
            <w:pPr>
              <w:spacing w:after="0"/>
              <w:rPr>
                <w:sz w:val="12"/>
                <w:szCs w:val="12"/>
                <w:color w:val="auto"/>
              </w:rPr>
            </w:pPr>
          </w:p>
        </w:tc>
        <w:tc>
          <w:tcPr>
            <w:tcW w:w="1020" w:type="dxa"/>
            <w:vAlign w:val="bottom"/>
            <w:tcBorders>
              <w:top w:val="single" w:sz="8" w:color="CCCCFF"/>
              <w:right w:val="single" w:sz="8" w:color="CCCCFF"/>
            </w:tcBorders>
          </w:tcPr>
          <w:p>
            <w:pPr>
              <w:spacing w:after="0"/>
              <w:rPr>
                <w:sz w:val="12"/>
                <w:szCs w:val="12"/>
                <w:color w:val="auto"/>
              </w:rPr>
            </w:pPr>
          </w:p>
        </w:tc>
        <w:tc>
          <w:tcPr>
            <w:tcW w:w="1020" w:type="dxa"/>
            <w:vAlign w:val="bottom"/>
            <w:tcBorders>
              <w:top w:val="single" w:sz="8" w:color="CCCCFF"/>
              <w:right w:val="single" w:sz="8" w:color="CCCCFF"/>
            </w:tcBorders>
          </w:tcPr>
          <w:p>
            <w:pPr>
              <w:spacing w:after="0"/>
              <w:rPr>
                <w:sz w:val="12"/>
                <w:szCs w:val="12"/>
                <w:color w:val="auto"/>
              </w:rPr>
            </w:pPr>
          </w:p>
        </w:tc>
        <w:tc>
          <w:tcPr>
            <w:tcW w:w="920" w:type="dxa"/>
            <w:vAlign w:val="bottom"/>
            <w:tcBorders>
              <w:top w:val="single" w:sz="8" w:color="CCCCFF"/>
              <w:right w:val="single" w:sz="8" w:color="0066CC"/>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the Memphis Chapter,</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National Electrical</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6"/>
              </w:rPr>
              <w:t>Contractors</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Association and Local</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Union No. 474 of the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International</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Brotherhood of</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Electrical Workers -</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National Electrical</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International</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2"/>
              </w:rPr>
              <w:t>Benefit Fund;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Brotherhood of</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Memphis Electrical</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restart"/>
          </w:tcPr>
          <w:p>
            <w:pPr>
              <w:jc w:val="right"/>
              <w:ind w:right="301"/>
              <w:spacing w:after="0" w:line="121" w:lineRule="exact"/>
              <w:rPr>
                <w:sz w:val="20"/>
                <w:szCs w:val="20"/>
                <w:color w:val="auto"/>
              </w:rPr>
            </w:pPr>
            <w:r>
              <w:rPr>
                <w:rFonts w:ascii="Arial" w:cs="Arial" w:eastAsia="Arial" w:hAnsi="Arial"/>
                <w:sz w:val="12"/>
                <w:szCs w:val="12"/>
                <w:color w:val="auto"/>
              </w:rPr>
              <w:t>08756509</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ind w:left="120"/>
              <w:spacing w:after="0" w:line="121" w:lineRule="exact"/>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$25,000.00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3"/>
              </w:rPr>
              <w:t>20-Apr-05</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20-Apr-16</w:t>
            </w:r>
          </w:p>
        </w:tc>
        <w:tc>
          <w:tcPr>
            <w:tcW w:w="920" w:type="dxa"/>
            <w:vAlign w:val="bottom"/>
            <w:tcBorders>
              <w:right w:val="single" w:sz="8" w:color="0066CC"/>
            </w:tcBorders>
            <w:vMerge w:val="restart"/>
          </w:tcPr>
          <w:p>
            <w:pPr>
              <w:jc w:val="center"/>
              <w:spacing w:after="0" w:line="121" w:lineRule="exact"/>
              <w:rPr>
                <w:sz w:val="20"/>
                <w:szCs w:val="20"/>
                <w:color w:val="auto"/>
              </w:rPr>
            </w:pPr>
            <w:r>
              <w:rPr>
                <w:rFonts w:ascii="Arial" w:cs="Arial" w:eastAsia="Arial" w:hAnsi="Arial"/>
                <w:sz w:val="12"/>
                <w:szCs w:val="12"/>
                <w:color w:val="auto"/>
                <w:w w:val="89"/>
              </w:rPr>
              <w:t>20-Apr-17</w:t>
            </w: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Electrical Workers</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7"/>
              </w:rPr>
              <w:t>Health and Welfare</w:t>
            </w:r>
          </w:p>
        </w:tc>
        <w:tc>
          <w:tcPr>
            <w:tcW w:w="1140" w:type="dxa"/>
            <w:vAlign w:val="bottom"/>
            <w:tcBorders>
              <w:right w:val="single" w:sz="8" w:color="CCCCFF"/>
            </w:tcBorders>
            <w:vMerge w:val="continue"/>
          </w:tcPr>
          <w:p>
            <w:pPr>
              <w:spacing w:after="0"/>
              <w:rPr>
                <w:sz w:val="4"/>
                <w:szCs w:val="4"/>
                <w:color w:val="auto"/>
              </w:rPr>
            </w:pPr>
          </w:p>
        </w:tc>
        <w:tc>
          <w:tcPr>
            <w:tcW w:w="160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920" w:type="dxa"/>
            <w:vAlign w:val="bottom"/>
            <w:tcBorders>
              <w:right w:val="single" w:sz="8" w:color="0066CC"/>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Local Union 474</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Plan and Trust;</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vMerge w:val="continue"/>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6"/>
              </w:rPr>
              <w:t>NECA-IBEW</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Memphis Retirement</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Plan and Trust;</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Memphis Electrical</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Apprenticeship and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Training Trust Fund;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National Electrical</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Industry Fund; NECA</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Receiving Trust; and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2"/>
              </w:rPr>
              <w:t>Local 474</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0"/>
              </w:rPr>
              <w:t>Trustees of Iron</w:t>
            </w:r>
          </w:p>
        </w:tc>
        <w:tc>
          <w:tcPr>
            <w:tcW w:w="116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Workers District</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6"/>
              </w:rPr>
              <w:t>Guarantee payments to</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jc w:val="right"/>
              <w:ind w:right="301"/>
              <w:spacing w:after="0" w:line="121" w:lineRule="exact"/>
              <w:rPr>
                <w:sz w:val="20"/>
                <w:szCs w:val="20"/>
                <w:color w:val="auto"/>
              </w:rPr>
            </w:pPr>
            <w:r>
              <w:rPr>
                <w:rFonts w:ascii="Arial" w:cs="Arial" w:eastAsia="Arial" w:hAnsi="Arial"/>
                <w:sz w:val="12"/>
                <w:szCs w:val="12"/>
                <w:color w:val="auto"/>
              </w:rPr>
              <w:t>08756537</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3"/>
              </w:rPr>
              <w:t>Council of</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7"/>
              </w:rPr>
              <w:t>Benefit and Pension</w:t>
            </w:r>
          </w:p>
        </w:tc>
        <w:tc>
          <w:tcPr>
            <w:tcW w:w="1140" w:type="dxa"/>
            <w:vAlign w:val="bottom"/>
            <w:tcBorders>
              <w:right w:val="single" w:sz="8" w:color="CCCCFF"/>
            </w:tcBorders>
          </w:tcPr>
          <w:p>
            <w:pPr>
              <w:ind w:left="120"/>
              <w:spacing w:after="0" w:line="121" w:lineRule="exact"/>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tcPr>
          <w:p>
            <w:pPr>
              <w:jc w:val="right"/>
              <w:spacing w:after="0" w:line="121" w:lineRule="exact"/>
              <w:rPr>
                <w:sz w:val="20"/>
                <w:szCs w:val="20"/>
                <w:color w:val="auto"/>
              </w:rPr>
            </w:pPr>
            <w:r>
              <w:rPr>
                <w:rFonts w:ascii="Arial" w:cs="Arial" w:eastAsia="Arial" w:hAnsi="Arial"/>
                <w:sz w:val="12"/>
                <w:szCs w:val="12"/>
                <w:color w:val="auto"/>
              </w:rPr>
              <w:t>$25,000.00</w:t>
            </w:r>
          </w:p>
        </w:tc>
        <w:tc>
          <w:tcPr>
            <w:tcW w:w="1160" w:type="dxa"/>
            <w:vAlign w:val="bottom"/>
            <w:tcBorders>
              <w:right w:val="single" w:sz="8" w:color="CCCCFF"/>
            </w:tcBorders>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01-Jul-05</w:t>
            </w:r>
          </w:p>
        </w:tc>
        <w:tc>
          <w:tcPr>
            <w:tcW w:w="102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7"/>
              </w:rPr>
              <w:t>01-Jul-16</w:t>
            </w:r>
          </w:p>
        </w:tc>
        <w:tc>
          <w:tcPr>
            <w:tcW w:w="920" w:type="dxa"/>
            <w:vAlign w:val="bottom"/>
            <w:tcBorders>
              <w:right w:val="single" w:sz="8" w:color="0066CC"/>
            </w:tcBorders>
          </w:tcPr>
          <w:p>
            <w:pPr>
              <w:jc w:val="center"/>
              <w:spacing w:after="0" w:line="121" w:lineRule="exact"/>
              <w:rPr>
                <w:sz w:val="20"/>
                <w:szCs w:val="20"/>
                <w:color w:val="auto"/>
              </w:rPr>
            </w:pPr>
            <w:r>
              <w:rPr>
                <w:rFonts w:ascii="Arial" w:cs="Arial" w:eastAsia="Arial" w:hAnsi="Arial"/>
                <w:sz w:val="12"/>
                <w:szCs w:val="12"/>
                <w:color w:val="auto"/>
                <w:w w:val="87"/>
              </w:rPr>
              <w:t>01-Jul-17</w:t>
            </w: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Philadelphia and</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3"/>
              </w:rPr>
              <w:t>Plans.</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4"/>
              </w:rPr>
              <w:t>Vicinity Benefit Plan</w:t>
            </w:r>
          </w:p>
        </w:tc>
        <w:tc>
          <w:tcPr>
            <w:tcW w:w="116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2"/>
              </w:rPr>
              <w:t>IBEW Local No. 607</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7"/>
              </w:rPr>
              <w:t>Health and Welfare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7"/>
              </w:rPr>
              <w:t>Fund, Pension Fund,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Annuity Fund, Joint</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4"/>
              </w:rPr>
              <w:t>Electrical</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International</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Apprenticeship and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Brotherhood of</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Training Committee,</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restart"/>
          </w:tcPr>
          <w:p>
            <w:pPr>
              <w:jc w:val="right"/>
              <w:ind w:right="301"/>
              <w:spacing w:after="0" w:line="121" w:lineRule="exact"/>
              <w:rPr>
                <w:sz w:val="20"/>
                <w:szCs w:val="20"/>
                <w:color w:val="auto"/>
              </w:rPr>
            </w:pPr>
            <w:r>
              <w:rPr>
                <w:rFonts w:ascii="Arial" w:cs="Arial" w:eastAsia="Arial" w:hAnsi="Arial"/>
                <w:sz w:val="12"/>
                <w:szCs w:val="12"/>
                <w:color w:val="auto"/>
              </w:rPr>
              <w:t>08982050</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ind w:left="120"/>
              <w:spacing w:after="0" w:line="121" w:lineRule="exact"/>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$20,000.00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4"/>
              </w:rPr>
              <w:t>03-May-10</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03-May-16</w:t>
            </w:r>
          </w:p>
        </w:tc>
        <w:tc>
          <w:tcPr>
            <w:tcW w:w="920" w:type="dxa"/>
            <w:vAlign w:val="bottom"/>
            <w:tcBorders>
              <w:right w:val="single" w:sz="8" w:color="0066CC"/>
            </w:tcBorders>
            <w:vMerge w:val="restart"/>
          </w:tcPr>
          <w:p>
            <w:pPr>
              <w:jc w:val="center"/>
              <w:spacing w:after="0" w:line="121" w:lineRule="exact"/>
              <w:rPr>
                <w:sz w:val="20"/>
                <w:szCs w:val="20"/>
                <w:color w:val="auto"/>
              </w:rPr>
            </w:pPr>
            <w:r>
              <w:rPr>
                <w:rFonts w:ascii="Arial" w:cs="Arial" w:eastAsia="Arial" w:hAnsi="Arial"/>
                <w:sz w:val="12"/>
                <w:szCs w:val="12"/>
                <w:color w:val="auto"/>
                <w:w w:val="90"/>
              </w:rPr>
              <w:t>03-May-17</w:t>
            </w: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Electrical Workers</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6"/>
              </w:rPr>
              <w:t>Vacation Fund,</w:t>
            </w:r>
          </w:p>
        </w:tc>
        <w:tc>
          <w:tcPr>
            <w:tcW w:w="1140" w:type="dxa"/>
            <w:vAlign w:val="bottom"/>
            <w:tcBorders>
              <w:right w:val="single" w:sz="8" w:color="CCCCFF"/>
            </w:tcBorders>
            <w:vMerge w:val="continue"/>
          </w:tcPr>
          <w:p>
            <w:pPr>
              <w:spacing w:after="0"/>
              <w:rPr>
                <w:sz w:val="4"/>
                <w:szCs w:val="4"/>
                <w:color w:val="auto"/>
              </w:rPr>
            </w:pPr>
          </w:p>
        </w:tc>
        <w:tc>
          <w:tcPr>
            <w:tcW w:w="160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920" w:type="dxa"/>
            <w:vAlign w:val="bottom"/>
            <w:tcBorders>
              <w:right w:val="single" w:sz="8" w:color="0066CC"/>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Local 607</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National Electrical</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vMerge w:val="continue"/>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Benefit Fund and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2"/>
              </w:rPr>
              <w:t>National Labor</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Mangement</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Cooperative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7"/>
              </w:rPr>
              <w:t>Committee.</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126</w:t>
      </w:r>
    </w:p>
    <w:p>
      <w:pPr>
        <w:sectPr>
          <w:pgSz w:w="11900" w:h="16838" w:orient="portrait"/>
          <w:cols w:equalWidth="0" w:num="1">
            <w:col w:w="11480"/>
          </w:cols>
          <w:pgMar w:left="220" w:top="605" w:right="199" w:bottom="1440" w:gutter="0" w:footer="0" w:header="0"/>
        </w:sectPr>
      </w:pPr>
    </w:p>
    <w:bookmarkStart w:id="187" w:name="page188"/>
    <w:bookmarkEnd w:id="187"/>
    <w:tbl>
      <w:tblPr>
        <w:tblLayout w:type="fixed"/>
        <w:tblInd w:w="10" w:type="dxa"/>
        <w:tblCellMar>
          <w:top w:w="0" w:type="dxa"/>
          <w:left w:w="0" w:type="dxa"/>
          <w:bottom w:w="0" w:type="dxa"/>
          <w:right w:w="0" w:type="dxa"/>
        </w:tblCellMar>
      </w:tblPr>
      <w:tr>
        <w:trPr>
          <w:trHeight w:val="139"/>
        </w:trPr>
        <w:tc>
          <w:tcPr>
            <w:tcW w:w="1180" w:type="dxa"/>
            <w:vAlign w:val="bottom"/>
            <w:tcBorders>
              <w:top w:val="single" w:sz="8" w:color="CCCCFF"/>
              <w:left w:val="single" w:sz="8" w:color="0066CC"/>
              <w:right w:val="single" w:sz="8" w:color="CCCCFF"/>
            </w:tcBorders>
          </w:tcPr>
          <w:p>
            <w:pPr>
              <w:spacing w:after="0"/>
              <w:rPr>
                <w:sz w:val="12"/>
                <w:szCs w:val="12"/>
                <w:color w:val="auto"/>
              </w:rPr>
            </w:pPr>
          </w:p>
        </w:tc>
        <w:tc>
          <w:tcPr>
            <w:tcW w:w="1140" w:type="dxa"/>
            <w:vAlign w:val="bottom"/>
            <w:tcBorders>
              <w:top w:val="single" w:sz="8" w:color="CCCCFF"/>
              <w:right w:val="single" w:sz="8" w:color="CCCCFF"/>
            </w:tcBorders>
          </w:tcPr>
          <w:p>
            <w:pPr>
              <w:spacing w:after="0"/>
              <w:rPr>
                <w:sz w:val="12"/>
                <w:szCs w:val="12"/>
                <w:color w:val="auto"/>
              </w:rPr>
            </w:pPr>
          </w:p>
        </w:tc>
        <w:tc>
          <w:tcPr>
            <w:tcW w:w="1140" w:type="dxa"/>
            <w:vAlign w:val="bottom"/>
            <w:tcBorders>
              <w:top w:val="single" w:sz="8" w:color="CCCCFF"/>
              <w:right w:val="single" w:sz="8" w:color="CCCCFF"/>
            </w:tcBorders>
          </w:tcPr>
          <w:p>
            <w:pPr>
              <w:spacing w:after="0"/>
              <w:rPr>
                <w:sz w:val="12"/>
                <w:szCs w:val="12"/>
                <w:color w:val="auto"/>
              </w:rPr>
            </w:pPr>
          </w:p>
        </w:tc>
        <w:tc>
          <w:tcPr>
            <w:tcW w:w="1160" w:type="dxa"/>
            <w:vAlign w:val="bottom"/>
            <w:tcBorders>
              <w:top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2"/>
              </w:rPr>
              <w:t>Collective Bargaining</w:t>
            </w:r>
          </w:p>
        </w:tc>
        <w:tc>
          <w:tcPr>
            <w:tcW w:w="1140" w:type="dxa"/>
            <w:vAlign w:val="bottom"/>
            <w:tcBorders>
              <w:top w:val="single" w:sz="8" w:color="CCCCFF"/>
              <w:right w:val="single" w:sz="8" w:color="CCCCFF"/>
            </w:tcBorders>
          </w:tcPr>
          <w:p>
            <w:pPr>
              <w:spacing w:after="0"/>
              <w:rPr>
                <w:sz w:val="12"/>
                <w:szCs w:val="12"/>
                <w:color w:val="auto"/>
              </w:rPr>
            </w:pPr>
          </w:p>
        </w:tc>
        <w:tc>
          <w:tcPr>
            <w:tcW w:w="1600" w:type="dxa"/>
            <w:vAlign w:val="bottom"/>
            <w:tcBorders>
              <w:top w:val="single" w:sz="8" w:color="CCCCFF"/>
              <w:right w:val="single" w:sz="8" w:color="CCCCFF"/>
            </w:tcBorders>
          </w:tcPr>
          <w:p>
            <w:pPr>
              <w:spacing w:after="0"/>
              <w:rPr>
                <w:sz w:val="12"/>
                <w:szCs w:val="12"/>
                <w:color w:val="auto"/>
              </w:rPr>
            </w:pPr>
          </w:p>
        </w:tc>
        <w:tc>
          <w:tcPr>
            <w:tcW w:w="1160" w:type="dxa"/>
            <w:vAlign w:val="bottom"/>
            <w:tcBorders>
              <w:top w:val="single" w:sz="8" w:color="CCCCFF"/>
              <w:right w:val="single" w:sz="8" w:color="CCCCFF"/>
            </w:tcBorders>
          </w:tcPr>
          <w:p>
            <w:pPr>
              <w:spacing w:after="0"/>
              <w:rPr>
                <w:sz w:val="12"/>
                <w:szCs w:val="12"/>
                <w:color w:val="auto"/>
              </w:rPr>
            </w:pPr>
          </w:p>
        </w:tc>
        <w:tc>
          <w:tcPr>
            <w:tcW w:w="1020" w:type="dxa"/>
            <w:vAlign w:val="bottom"/>
            <w:tcBorders>
              <w:top w:val="single" w:sz="8" w:color="CCCCFF"/>
              <w:right w:val="single" w:sz="8" w:color="CCCCFF"/>
            </w:tcBorders>
          </w:tcPr>
          <w:p>
            <w:pPr>
              <w:spacing w:after="0"/>
              <w:rPr>
                <w:sz w:val="12"/>
                <w:szCs w:val="12"/>
                <w:color w:val="auto"/>
              </w:rPr>
            </w:pPr>
          </w:p>
        </w:tc>
        <w:tc>
          <w:tcPr>
            <w:tcW w:w="1020" w:type="dxa"/>
            <w:vAlign w:val="bottom"/>
            <w:tcBorders>
              <w:top w:val="single" w:sz="8" w:color="CCCCFF"/>
              <w:right w:val="single" w:sz="8" w:color="CCCCFF"/>
            </w:tcBorders>
          </w:tcPr>
          <w:p>
            <w:pPr>
              <w:spacing w:after="0"/>
              <w:rPr>
                <w:sz w:val="12"/>
                <w:szCs w:val="12"/>
                <w:color w:val="auto"/>
              </w:rPr>
            </w:pPr>
          </w:p>
        </w:tc>
        <w:tc>
          <w:tcPr>
            <w:tcW w:w="920" w:type="dxa"/>
            <w:vAlign w:val="bottom"/>
            <w:tcBorders>
              <w:top w:val="single" w:sz="8" w:color="CCCCFF"/>
              <w:right w:val="single" w:sz="8" w:color="0066CC"/>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Agreement</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6"/>
              </w:rPr>
              <w:t>guaranteeing payments</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International</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6"/>
              </w:rPr>
              <w:t>covering wages, dues</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Brotherhood of</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Checkoff, Health and</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restart"/>
          </w:tcPr>
          <w:p>
            <w:pPr>
              <w:jc w:val="right"/>
              <w:ind w:right="301"/>
              <w:spacing w:after="0" w:line="121" w:lineRule="exact"/>
              <w:rPr>
                <w:sz w:val="20"/>
                <w:szCs w:val="20"/>
                <w:color w:val="auto"/>
              </w:rPr>
            </w:pPr>
            <w:r>
              <w:rPr>
                <w:rFonts w:ascii="Arial" w:cs="Arial" w:eastAsia="Arial" w:hAnsi="Arial"/>
                <w:sz w:val="12"/>
                <w:szCs w:val="12"/>
                <w:color w:val="auto"/>
              </w:rPr>
              <w:t>08983161</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ind w:left="120"/>
              <w:spacing w:after="0" w:line="121" w:lineRule="exact"/>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$90,000.00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3"/>
              </w:rPr>
              <w:t>10-Apr-10</w:t>
            </w:r>
          </w:p>
        </w:tc>
        <w:tc>
          <w:tcPr>
            <w:tcW w:w="1020" w:type="dxa"/>
            <w:vAlign w:val="bottom"/>
            <w:tcBorders>
              <w:right w:val="single" w:sz="8" w:color="CCCCFF"/>
            </w:tcBorders>
            <w:vMerge w:val="restart"/>
          </w:tcPr>
          <w:p>
            <w:pPr>
              <w:ind w:left="260"/>
              <w:spacing w:after="0" w:line="121" w:lineRule="exact"/>
              <w:rPr>
                <w:sz w:val="20"/>
                <w:szCs w:val="20"/>
                <w:color w:val="auto"/>
              </w:rPr>
            </w:pPr>
            <w:r>
              <w:rPr>
                <w:rFonts w:ascii="Arial" w:cs="Arial" w:eastAsia="Arial" w:hAnsi="Arial"/>
                <w:sz w:val="12"/>
                <w:szCs w:val="12"/>
                <w:color w:val="auto"/>
              </w:rPr>
              <w:t>10-Apr-16</w:t>
            </w:r>
          </w:p>
        </w:tc>
        <w:tc>
          <w:tcPr>
            <w:tcW w:w="920" w:type="dxa"/>
            <w:vAlign w:val="bottom"/>
            <w:tcBorders>
              <w:right w:val="single" w:sz="8" w:color="0066CC"/>
            </w:tcBorders>
            <w:vMerge w:val="restart"/>
          </w:tcPr>
          <w:p>
            <w:pPr>
              <w:ind w:left="200"/>
              <w:spacing w:after="0" w:line="121" w:lineRule="exact"/>
              <w:rPr>
                <w:sz w:val="20"/>
                <w:szCs w:val="20"/>
                <w:color w:val="auto"/>
              </w:rPr>
            </w:pPr>
            <w:r>
              <w:rPr>
                <w:rFonts w:ascii="Arial" w:cs="Arial" w:eastAsia="Arial" w:hAnsi="Arial"/>
                <w:sz w:val="12"/>
                <w:szCs w:val="12"/>
                <w:color w:val="auto"/>
              </w:rPr>
              <w:t>10-Apr-17</w:t>
            </w: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Electrical Workers</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6"/>
              </w:rPr>
              <w:t>Welfare, Pension,</w:t>
            </w:r>
          </w:p>
        </w:tc>
        <w:tc>
          <w:tcPr>
            <w:tcW w:w="1140" w:type="dxa"/>
            <w:vAlign w:val="bottom"/>
            <w:tcBorders>
              <w:right w:val="single" w:sz="8" w:color="CCCCFF"/>
            </w:tcBorders>
            <w:vMerge w:val="continue"/>
          </w:tcPr>
          <w:p>
            <w:pPr>
              <w:spacing w:after="0"/>
              <w:rPr>
                <w:sz w:val="4"/>
                <w:szCs w:val="4"/>
                <w:color w:val="auto"/>
              </w:rPr>
            </w:pPr>
          </w:p>
        </w:tc>
        <w:tc>
          <w:tcPr>
            <w:tcW w:w="160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920" w:type="dxa"/>
            <w:vAlign w:val="bottom"/>
            <w:tcBorders>
              <w:right w:val="single" w:sz="8" w:color="0066CC"/>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Local Union 488</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Annuity, Joint</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vMerge w:val="continue"/>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Apprenticeship</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Training Committee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9"/>
              </w:rPr>
              <w:t>(JATC)</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2"/>
              </w:rPr>
              <w:t>Collective Bargaining</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Agreement</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6"/>
              </w:rPr>
              <w:t>guaranteeing payments</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7"/>
              </w:rPr>
              <w:t>covering Wages, Dues</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Checkoff, Health and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6"/>
              </w:rPr>
              <w:t>Welfare, Pension,</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annuity, Joint</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International</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Apprenticeship</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Brotherhood of</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Training Committee</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restart"/>
          </w:tcPr>
          <w:p>
            <w:pPr>
              <w:jc w:val="right"/>
              <w:ind w:right="301"/>
              <w:spacing w:after="0" w:line="121" w:lineRule="exact"/>
              <w:rPr>
                <w:sz w:val="20"/>
                <w:szCs w:val="20"/>
                <w:color w:val="auto"/>
              </w:rPr>
            </w:pPr>
            <w:r>
              <w:rPr>
                <w:rFonts w:ascii="Arial" w:cs="Arial" w:eastAsia="Arial" w:hAnsi="Arial"/>
                <w:sz w:val="12"/>
                <w:szCs w:val="12"/>
                <w:color w:val="auto"/>
              </w:rPr>
              <w:t>08983162</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ind w:left="120"/>
              <w:spacing w:after="0" w:line="121" w:lineRule="exact"/>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$50,000.00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3"/>
              </w:rPr>
              <w:t>21-Apr-10</w:t>
            </w:r>
          </w:p>
        </w:tc>
        <w:tc>
          <w:tcPr>
            <w:tcW w:w="1020" w:type="dxa"/>
            <w:vAlign w:val="bottom"/>
            <w:tcBorders>
              <w:right w:val="single" w:sz="8" w:color="CCCCFF"/>
            </w:tcBorders>
            <w:vMerge w:val="restart"/>
          </w:tcPr>
          <w:p>
            <w:pPr>
              <w:ind w:left="260"/>
              <w:spacing w:after="0" w:line="121" w:lineRule="exact"/>
              <w:rPr>
                <w:sz w:val="20"/>
                <w:szCs w:val="20"/>
                <w:color w:val="auto"/>
              </w:rPr>
            </w:pPr>
            <w:r>
              <w:rPr>
                <w:rFonts w:ascii="Arial" w:cs="Arial" w:eastAsia="Arial" w:hAnsi="Arial"/>
                <w:sz w:val="12"/>
                <w:szCs w:val="12"/>
                <w:color w:val="auto"/>
              </w:rPr>
              <w:t>21-Apr-16</w:t>
            </w:r>
          </w:p>
        </w:tc>
        <w:tc>
          <w:tcPr>
            <w:tcW w:w="920" w:type="dxa"/>
            <w:vAlign w:val="bottom"/>
            <w:tcBorders>
              <w:right w:val="single" w:sz="8" w:color="0066CC"/>
            </w:tcBorders>
            <w:vMerge w:val="restart"/>
          </w:tcPr>
          <w:p>
            <w:pPr>
              <w:ind w:left="200"/>
              <w:spacing w:after="0" w:line="121" w:lineRule="exact"/>
              <w:rPr>
                <w:sz w:val="20"/>
                <w:szCs w:val="20"/>
                <w:color w:val="auto"/>
              </w:rPr>
            </w:pPr>
            <w:r>
              <w:rPr>
                <w:rFonts w:ascii="Arial" w:cs="Arial" w:eastAsia="Arial" w:hAnsi="Arial"/>
                <w:sz w:val="12"/>
                <w:szCs w:val="12"/>
                <w:color w:val="auto"/>
              </w:rPr>
              <w:t>21-Apr-17</w:t>
            </w: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Electrical Workers,</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7"/>
              </w:rPr>
              <w:t>(JATC), and the</w:t>
            </w:r>
          </w:p>
        </w:tc>
        <w:tc>
          <w:tcPr>
            <w:tcW w:w="1140" w:type="dxa"/>
            <w:vAlign w:val="bottom"/>
            <w:tcBorders>
              <w:right w:val="single" w:sz="8" w:color="CCCCFF"/>
            </w:tcBorders>
            <w:vMerge w:val="continue"/>
          </w:tcPr>
          <w:p>
            <w:pPr>
              <w:spacing w:after="0"/>
              <w:rPr>
                <w:sz w:val="4"/>
                <w:szCs w:val="4"/>
                <w:color w:val="auto"/>
              </w:rPr>
            </w:pPr>
          </w:p>
        </w:tc>
        <w:tc>
          <w:tcPr>
            <w:tcW w:w="160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920" w:type="dxa"/>
            <w:vAlign w:val="bottom"/>
            <w:tcBorders>
              <w:right w:val="single" w:sz="8" w:color="0066CC"/>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Local No. 90</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Connecticut Labor</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vMerge w:val="continue"/>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Management</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Cooperation</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Committee Trust</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Fund, Administrative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7"/>
              </w:rPr>
              <w:t>Maintenance Fund,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and National Electrical</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1"/>
              </w:rPr>
              <w:t>Benefit Fund</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6"/>
              </w:rPr>
              <w:t>Trustees of</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Steamfitters Local</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Union 420 of</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Philadelphia Welfare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7"/>
              </w:rPr>
              <w:t>Fund, Pension Fund,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2"/>
              </w:rPr>
              <w:t>Mechanical</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Joint Apprenticeship</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Training Fund,</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Contractors</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restart"/>
          </w:tcPr>
          <w:p>
            <w:pPr>
              <w:jc w:val="right"/>
              <w:ind w:right="301"/>
              <w:spacing w:after="0" w:line="121" w:lineRule="exact"/>
              <w:rPr>
                <w:sz w:val="20"/>
                <w:szCs w:val="20"/>
                <w:color w:val="auto"/>
              </w:rPr>
            </w:pPr>
            <w:r>
              <w:rPr>
                <w:rFonts w:ascii="Arial" w:cs="Arial" w:eastAsia="Arial" w:hAnsi="Arial"/>
                <w:sz w:val="12"/>
                <w:szCs w:val="12"/>
                <w:color w:val="auto"/>
              </w:rPr>
              <w:t>09009202</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6"/>
              </w:rPr>
              <w:t>Vacation Fund, and</w:t>
            </w:r>
          </w:p>
        </w:tc>
        <w:tc>
          <w:tcPr>
            <w:tcW w:w="1140" w:type="dxa"/>
            <w:vAlign w:val="bottom"/>
            <w:tcBorders>
              <w:right w:val="single" w:sz="8" w:color="CCCCFF"/>
            </w:tcBorders>
            <w:vMerge w:val="restart"/>
          </w:tcPr>
          <w:p>
            <w:pPr>
              <w:ind w:left="120"/>
              <w:spacing w:after="0" w:line="121" w:lineRule="exact"/>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$500,000.00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4"/>
              </w:rPr>
              <w:t>01-May-10</w:t>
            </w:r>
          </w:p>
        </w:tc>
        <w:tc>
          <w:tcPr>
            <w:tcW w:w="1020" w:type="dxa"/>
            <w:vAlign w:val="bottom"/>
            <w:tcBorders>
              <w:right w:val="single" w:sz="8" w:color="CCCCFF"/>
            </w:tcBorders>
            <w:vMerge w:val="restart"/>
          </w:tcPr>
          <w:p>
            <w:pPr>
              <w:ind w:left="260"/>
              <w:spacing w:after="0" w:line="121" w:lineRule="exact"/>
              <w:rPr>
                <w:sz w:val="20"/>
                <w:szCs w:val="20"/>
                <w:color w:val="auto"/>
              </w:rPr>
            </w:pPr>
            <w:r>
              <w:rPr>
                <w:rFonts w:ascii="Arial" w:cs="Arial" w:eastAsia="Arial" w:hAnsi="Arial"/>
                <w:sz w:val="12"/>
                <w:szCs w:val="12"/>
                <w:color w:val="auto"/>
              </w:rPr>
              <w:t>30-Apr-16</w:t>
            </w:r>
          </w:p>
        </w:tc>
        <w:tc>
          <w:tcPr>
            <w:tcW w:w="920" w:type="dxa"/>
            <w:vAlign w:val="bottom"/>
            <w:tcBorders>
              <w:right w:val="single" w:sz="8" w:color="0066CC"/>
            </w:tcBorders>
            <w:vMerge w:val="restart"/>
          </w:tcPr>
          <w:p>
            <w:pPr>
              <w:ind w:left="200"/>
              <w:spacing w:after="0" w:line="121" w:lineRule="exact"/>
              <w:rPr>
                <w:sz w:val="20"/>
                <w:szCs w:val="20"/>
                <w:color w:val="auto"/>
              </w:rPr>
            </w:pPr>
            <w:r>
              <w:rPr>
                <w:rFonts w:ascii="Arial" w:cs="Arial" w:eastAsia="Arial" w:hAnsi="Arial"/>
                <w:sz w:val="12"/>
                <w:szCs w:val="12"/>
                <w:color w:val="auto"/>
              </w:rPr>
              <w:t>30-Apr-17</w:t>
            </w: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Association of Eastern</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60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920" w:type="dxa"/>
            <w:vAlign w:val="bottom"/>
            <w:tcBorders>
              <w:right w:val="single" w:sz="8" w:color="0066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Mechanical</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Pennsylvania, Inc.</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6"/>
              </w:rPr>
              <w:t>Contractors</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Association of Eastern</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Pennsylvania, Inc.,</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3"/>
              </w:rPr>
              <w:t>Administor of Industry</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7"/>
              </w:rPr>
              <w:t>Fund, and Steamfitters</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2"/>
              </w:rPr>
              <w:t>Local Union 420</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127</w:t>
      </w:r>
    </w:p>
    <w:p>
      <w:pPr>
        <w:sectPr>
          <w:pgSz w:w="11900" w:h="16838" w:orient="portrait"/>
          <w:cols w:equalWidth="0" w:num="1">
            <w:col w:w="11480"/>
          </w:cols>
          <w:pgMar w:left="220" w:top="605" w:right="199" w:bottom="1440" w:gutter="0" w:footer="0" w:header="0"/>
        </w:sectPr>
      </w:pPr>
    </w:p>
    <w:bookmarkStart w:id="188" w:name="page189"/>
    <w:bookmarkEnd w:id="188"/>
    <w:tbl>
      <w:tblPr>
        <w:tblLayout w:type="fixed"/>
        <w:tblInd w:w="10" w:type="dxa"/>
        <w:tblCellMar>
          <w:top w:w="0" w:type="dxa"/>
          <w:left w:w="0" w:type="dxa"/>
          <w:bottom w:w="0" w:type="dxa"/>
          <w:right w:w="0" w:type="dxa"/>
        </w:tblCellMar>
      </w:tblPr>
      <w:tr>
        <w:trPr>
          <w:trHeight w:val="139"/>
        </w:trPr>
        <w:tc>
          <w:tcPr>
            <w:tcW w:w="1180" w:type="dxa"/>
            <w:vAlign w:val="bottom"/>
            <w:tcBorders>
              <w:top w:val="single" w:sz="8" w:color="CCCCFF"/>
              <w:left w:val="single" w:sz="8" w:color="0066CC"/>
              <w:right w:val="single" w:sz="8" w:color="CCCCFF"/>
            </w:tcBorders>
          </w:tcPr>
          <w:p>
            <w:pPr>
              <w:spacing w:after="0"/>
              <w:rPr>
                <w:sz w:val="12"/>
                <w:szCs w:val="12"/>
                <w:color w:val="auto"/>
              </w:rPr>
            </w:pPr>
          </w:p>
        </w:tc>
        <w:tc>
          <w:tcPr>
            <w:tcW w:w="1140" w:type="dxa"/>
            <w:vAlign w:val="bottom"/>
            <w:tcBorders>
              <w:top w:val="single" w:sz="8" w:color="CCCCFF"/>
              <w:right w:val="single" w:sz="8" w:color="CCCCFF"/>
            </w:tcBorders>
          </w:tcPr>
          <w:p>
            <w:pPr>
              <w:spacing w:after="0"/>
              <w:rPr>
                <w:sz w:val="12"/>
                <w:szCs w:val="12"/>
                <w:color w:val="auto"/>
              </w:rPr>
            </w:pPr>
          </w:p>
        </w:tc>
        <w:tc>
          <w:tcPr>
            <w:tcW w:w="1140" w:type="dxa"/>
            <w:vAlign w:val="bottom"/>
            <w:tcBorders>
              <w:top w:val="single" w:sz="8" w:color="CCCCFF"/>
              <w:right w:val="single" w:sz="8" w:color="CCCCFF"/>
            </w:tcBorders>
          </w:tcPr>
          <w:p>
            <w:pPr>
              <w:spacing w:after="0"/>
              <w:rPr>
                <w:sz w:val="12"/>
                <w:szCs w:val="12"/>
                <w:color w:val="auto"/>
              </w:rPr>
            </w:pPr>
          </w:p>
        </w:tc>
        <w:tc>
          <w:tcPr>
            <w:tcW w:w="1160" w:type="dxa"/>
            <w:vAlign w:val="bottom"/>
            <w:tcBorders>
              <w:top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7"/>
              </w:rPr>
              <w:t>Guarantees payment of</w:t>
            </w:r>
          </w:p>
        </w:tc>
        <w:tc>
          <w:tcPr>
            <w:tcW w:w="1140" w:type="dxa"/>
            <w:vAlign w:val="bottom"/>
            <w:tcBorders>
              <w:top w:val="single" w:sz="8" w:color="CCCCFF"/>
              <w:right w:val="single" w:sz="8" w:color="CCCCFF"/>
            </w:tcBorders>
          </w:tcPr>
          <w:p>
            <w:pPr>
              <w:spacing w:after="0"/>
              <w:rPr>
                <w:sz w:val="12"/>
                <w:szCs w:val="12"/>
                <w:color w:val="auto"/>
              </w:rPr>
            </w:pPr>
          </w:p>
        </w:tc>
        <w:tc>
          <w:tcPr>
            <w:tcW w:w="1600" w:type="dxa"/>
            <w:vAlign w:val="bottom"/>
            <w:tcBorders>
              <w:top w:val="single" w:sz="8" w:color="CCCCFF"/>
              <w:right w:val="single" w:sz="8" w:color="CCCCFF"/>
            </w:tcBorders>
          </w:tcPr>
          <w:p>
            <w:pPr>
              <w:spacing w:after="0"/>
              <w:rPr>
                <w:sz w:val="12"/>
                <w:szCs w:val="12"/>
                <w:color w:val="auto"/>
              </w:rPr>
            </w:pPr>
          </w:p>
        </w:tc>
        <w:tc>
          <w:tcPr>
            <w:tcW w:w="1160" w:type="dxa"/>
            <w:vAlign w:val="bottom"/>
            <w:tcBorders>
              <w:top w:val="single" w:sz="8" w:color="CCCCFF"/>
              <w:right w:val="single" w:sz="8" w:color="CCCCFF"/>
            </w:tcBorders>
          </w:tcPr>
          <w:p>
            <w:pPr>
              <w:spacing w:after="0"/>
              <w:rPr>
                <w:sz w:val="12"/>
                <w:szCs w:val="12"/>
                <w:color w:val="auto"/>
              </w:rPr>
            </w:pPr>
          </w:p>
        </w:tc>
        <w:tc>
          <w:tcPr>
            <w:tcW w:w="1020" w:type="dxa"/>
            <w:vAlign w:val="bottom"/>
            <w:tcBorders>
              <w:top w:val="single" w:sz="8" w:color="CCCCFF"/>
              <w:right w:val="single" w:sz="8" w:color="CCCCFF"/>
            </w:tcBorders>
          </w:tcPr>
          <w:p>
            <w:pPr>
              <w:spacing w:after="0"/>
              <w:rPr>
                <w:sz w:val="12"/>
                <w:szCs w:val="12"/>
                <w:color w:val="auto"/>
              </w:rPr>
            </w:pPr>
          </w:p>
        </w:tc>
        <w:tc>
          <w:tcPr>
            <w:tcW w:w="1020" w:type="dxa"/>
            <w:vAlign w:val="bottom"/>
            <w:tcBorders>
              <w:top w:val="single" w:sz="8" w:color="CCCCFF"/>
              <w:right w:val="single" w:sz="8" w:color="CCCCFF"/>
            </w:tcBorders>
          </w:tcPr>
          <w:p>
            <w:pPr>
              <w:spacing w:after="0"/>
              <w:rPr>
                <w:sz w:val="12"/>
                <w:szCs w:val="12"/>
                <w:color w:val="auto"/>
              </w:rPr>
            </w:pPr>
          </w:p>
        </w:tc>
        <w:tc>
          <w:tcPr>
            <w:tcW w:w="920" w:type="dxa"/>
            <w:vAlign w:val="bottom"/>
            <w:tcBorders>
              <w:top w:val="single" w:sz="8" w:color="CCCCFF"/>
              <w:right w:val="single" w:sz="8" w:color="0066CC"/>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4"/>
              </w:rPr>
              <w:t>assessments for</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Temporary Disability</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Insurance, National</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Electrical Benefit</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International</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Fund, Northern New</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Jersey Electrical</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Brotherhood of</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restart"/>
          </w:tcPr>
          <w:p>
            <w:pPr>
              <w:jc w:val="right"/>
              <w:ind w:right="301"/>
              <w:spacing w:after="0" w:line="121" w:lineRule="exact"/>
              <w:rPr>
                <w:sz w:val="20"/>
                <w:szCs w:val="20"/>
                <w:color w:val="auto"/>
              </w:rPr>
            </w:pPr>
            <w:r>
              <w:rPr>
                <w:rFonts w:ascii="Arial" w:cs="Arial" w:eastAsia="Arial" w:hAnsi="Arial"/>
                <w:sz w:val="12"/>
                <w:szCs w:val="12"/>
                <w:color w:val="auto"/>
              </w:rPr>
              <w:t>09009208</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Industry Fund, Health</w:t>
            </w:r>
          </w:p>
        </w:tc>
        <w:tc>
          <w:tcPr>
            <w:tcW w:w="1140" w:type="dxa"/>
            <w:vAlign w:val="bottom"/>
            <w:tcBorders>
              <w:right w:val="single" w:sz="8" w:color="CCCCFF"/>
            </w:tcBorders>
            <w:vMerge w:val="restart"/>
          </w:tcPr>
          <w:p>
            <w:pPr>
              <w:ind w:left="120"/>
              <w:spacing w:after="0" w:line="121" w:lineRule="exact"/>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$500,000.00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4"/>
              </w:rPr>
              <w:t>23-May-10</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23-May-16</w:t>
            </w:r>
          </w:p>
        </w:tc>
        <w:tc>
          <w:tcPr>
            <w:tcW w:w="920" w:type="dxa"/>
            <w:vAlign w:val="bottom"/>
            <w:tcBorders>
              <w:right w:val="single" w:sz="8" w:color="0066CC"/>
            </w:tcBorders>
            <w:vMerge w:val="restart"/>
          </w:tcPr>
          <w:p>
            <w:pPr>
              <w:jc w:val="center"/>
              <w:spacing w:after="0" w:line="121" w:lineRule="exact"/>
              <w:rPr>
                <w:sz w:val="20"/>
                <w:szCs w:val="20"/>
                <w:color w:val="auto"/>
              </w:rPr>
            </w:pPr>
            <w:r>
              <w:rPr>
                <w:rFonts w:ascii="Arial" w:cs="Arial" w:eastAsia="Arial" w:hAnsi="Arial"/>
                <w:sz w:val="12"/>
                <w:szCs w:val="12"/>
                <w:color w:val="auto"/>
                <w:w w:val="90"/>
              </w:rPr>
              <w:t>23-May-17</w:t>
            </w: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Electrical Workers</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60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920" w:type="dxa"/>
            <w:vAlign w:val="bottom"/>
            <w:tcBorders>
              <w:right w:val="single" w:sz="8" w:color="0066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7"/>
              </w:rPr>
              <w:t>and Welfare Fund,</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1"/>
              </w:rPr>
              <w:t>Union #456</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Supplemental Welfare</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Fund, Joint Pension</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Fund, Annuity Fund,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5"/>
              </w:rPr>
              <w:t>Personal Fund,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Working Dues and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3"/>
              </w:rPr>
              <w:t>Wages.</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2"/>
              </w:rPr>
              <w:t>Guarantees</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contributions to the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National Electrical</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Benefit Fund (NEBF)</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7"/>
              </w:rPr>
              <w:t>the New Jersey</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Temporary Disability</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Trust Fund (TDB), the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Joint Welfare Fund,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Local union #164, the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Joint Pension Fudn,</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Local Union #164,</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IBEW, the Joint</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International</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3"/>
              </w:rPr>
              <w:t>AnnuityFund, Local</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union #164, IBEW, the</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Brotherhood of</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restart"/>
          </w:tcPr>
          <w:p>
            <w:pPr>
              <w:jc w:val="right"/>
              <w:ind w:right="301"/>
              <w:spacing w:after="0" w:line="121" w:lineRule="exact"/>
              <w:rPr>
                <w:sz w:val="20"/>
                <w:szCs w:val="20"/>
                <w:color w:val="auto"/>
              </w:rPr>
            </w:pPr>
            <w:r>
              <w:rPr>
                <w:rFonts w:ascii="Arial" w:cs="Arial" w:eastAsia="Arial" w:hAnsi="Arial"/>
                <w:sz w:val="12"/>
                <w:szCs w:val="12"/>
                <w:color w:val="auto"/>
              </w:rPr>
              <w:t>09009245</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Joint Apprenticeship</w:t>
            </w:r>
          </w:p>
        </w:tc>
        <w:tc>
          <w:tcPr>
            <w:tcW w:w="1140" w:type="dxa"/>
            <w:vAlign w:val="bottom"/>
            <w:tcBorders>
              <w:right w:val="single" w:sz="8" w:color="CCCCFF"/>
            </w:tcBorders>
            <w:vMerge w:val="restart"/>
          </w:tcPr>
          <w:p>
            <w:pPr>
              <w:ind w:left="120"/>
              <w:spacing w:after="0" w:line="121" w:lineRule="exact"/>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$1,350,000.00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30-Jun-10</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30-Jun-16</w:t>
            </w:r>
          </w:p>
        </w:tc>
        <w:tc>
          <w:tcPr>
            <w:tcW w:w="920" w:type="dxa"/>
            <w:vAlign w:val="bottom"/>
            <w:tcBorders>
              <w:right w:val="single" w:sz="8" w:color="0066CC"/>
            </w:tcBorders>
            <w:vMerge w:val="restart"/>
          </w:tcPr>
          <w:p>
            <w:pPr>
              <w:jc w:val="center"/>
              <w:spacing w:after="0" w:line="121" w:lineRule="exact"/>
              <w:rPr>
                <w:sz w:val="20"/>
                <w:szCs w:val="20"/>
                <w:color w:val="auto"/>
              </w:rPr>
            </w:pPr>
            <w:r>
              <w:rPr>
                <w:rFonts w:ascii="Arial" w:cs="Arial" w:eastAsia="Arial" w:hAnsi="Arial"/>
                <w:sz w:val="12"/>
                <w:szCs w:val="12"/>
                <w:color w:val="auto"/>
                <w:w w:val="88"/>
              </w:rPr>
              <w:t>30-Jun-17</w:t>
            </w: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Electrical Workers</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60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920" w:type="dxa"/>
            <w:vAlign w:val="bottom"/>
            <w:tcBorders>
              <w:right w:val="single" w:sz="8" w:color="0066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Training Fund, Local</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1"/>
              </w:rPr>
              <w:t>Local Union No. 164</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Union #164, IBEW,</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7"/>
              </w:rPr>
              <w:t>Employee's Personal</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2"/>
              </w:rPr>
              <w:t>Fund, Local Union</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#164, IBEW, current</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working Assessments,</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Local Union #164,</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IBEW and has also</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5"/>
              </w:rPr>
              <w:t>agreed to pay the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wages of the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6"/>
              </w:rPr>
              <w:t>employees represented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by the Obligee, Joint</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Industry Fund 1% of</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9"/>
              </w:rPr>
              <w:t>Gross Labor Payroll.</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128</w:t>
      </w:r>
    </w:p>
    <w:p>
      <w:pPr>
        <w:sectPr>
          <w:pgSz w:w="11900" w:h="16838" w:orient="portrait"/>
          <w:cols w:equalWidth="0" w:num="1">
            <w:col w:w="11480"/>
          </w:cols>
          <w:pgMar w:left="220" w:top="605" w:right="199" w:bottom="1440" w:gutter="0" w:footer="0" w:header="0"/>
        </w:sectPr>
      </w:pPr>
    </w:p>
    <w:bookmarkStart w:id="189" w:name="page190"/>
    <w:bookmarkEnd w:id="189"/>
    <w:tbl>
      <w:tblPr>
        <w:tblLayout w:type="fixed"/>
        <w:tblInd w:w="10" w:type="dxa"/>
        <w:tblCellMar>
          <w:top w:w="0" w:type="dxa"/>
          <w:left w:w="0" w:type="dxa"/>
          <w:bottom w:w="0" w:type="dxa"/>
          <w:right w:w="0" w:type="dxa"/>
        </w:tblCellMar>
      </w:tblPr>
      <w:tr>
        <w:trPr>
          <w:trHeight w:val="139"/>
        </w:trPr>
        <w:tc>
          <w:tcPr>
            <w:tcW w:w="1180" w:type="dxa"/>
            <w:vAlign w:val="bottom"/>
            <w:tcBorders>
              <w:top w:val="single" w:sz="8" w:color="CCCCFF"/>
              <w:left w:val="single" w:sz="8" w:color="0066CC"/>
              <w:right w:val="single" w:sz="8" w:color="CCCCFF"/>
            </w:tcBorders>
          </w:tcPr>
          <w:p>
            <w:pPr>
              <w:spacing w:after="0"/>
              <w:rPr>
                <w:sz w:val="12"/>
                <w:szCs w:val="12"/>
                <w:color w:val="auto"/>
              </w:rPr>
            </w:pPr>
          </w:p>
        </w:tc>
        <w:tc>
          <w:tcPr>
            <w:tcW w:w="1140" w:type="dxa"/>
            <w:vAlign w:val="bottom"/>
            <w:tcBorders>
              <w:top w:val="single" w:sz="8" w:color="CCCCFF"/>
              <w:right w:val="single" w:sz="8" w:color="CCCCFF"/>
            </w:tcBorders>
          </w:tcPr>
          <w:p>
            <w:pPr>
              <w:spacing w:after="0"/>
              <w:rPr>
                <w:sz w:val="12"/>
                <w:szCs w:val="12"/>
                <w:color w:val="auto"/>
              </w:rPr>
            </w:pPr>
          </w:p>
        </w:tc>
        <w:tc>
          <w:tcPr>
            <w:tcW w:w="1140" w:type="dxa"/>
            <w:vAlign w:val="bottom"/>
            <w:tcBorders>
              <w:top w:val="single" w:sz="8" w:color="CCCCFF"/>
              <w:right w:val="single" w:sz="8" w:color="CCCCFF"/>
            </w:tcBorders>
          </w:tcPr>
          <w:p>
            <w:pPr>
              <w:spacing w:after="0"/>
              <w:rPr>
                <w:sz w:val="12"/>
                <w:szCs w:val="12"/>
                <w:color w:val="auto"/>
              </w:rPr>
            </w:pPr>
          </w:p>
        </w:tc>
        <w:tc>
          <w:tcPr>
            <w:tcW w:w="1160" w:type="dxa"/>
            <w:vAlign w:val="bottom"/>
            <w:tcBorders>
              <w:top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5"/>
              </w:rPr>
              <w:t>Gurantees</w:t>
            </w:r>
          </w:p>
        </w:tc>
        <w:tc>
          <w:tcPr>
            <w:tcW w:w="1140" w:type="dxa"/>
            <w:vAlign w:val="bottom"/>
            <w:tcBorders>
              <w:top w:val="single" w:sz="8" w:color="CCCCFF"/>
              <w:right w:val="single" w:sz="8" w:color="CCCCFF"/>
            </w:tcBorders>
          </w:tcPr>
          <w:p>
            <w:pPr>
              <w:spacing w:after="0"/>
              <w:rPr>
                <w:sz w:val="12"/>
                <w:szCs w:val="12"/>
                <w:color w:val="auto"/>
              </w:rPr>
            </w:pPr>
          </w:p>
        </w:tc>
        <w:tc>
          <w:tcPr>
            <w:tcW w:w="1600" w:type="dxa"/>
            <w:vAlign w:val="bottom"/>
            <w:tcBorders>
              <w:top w:val="single" w:sz="8" w:color="CCCCFF"/>
              <w:right w:val="single" w:sz="8" w:color="CCCCFF"/>
            </w:tcBorders>
          </w:tcPr>
          <w:p>
            <w:pPr>
              <w:spacing w:after="0"/>
              <w:rPr>
                <w:sz w:val="12"/>
                <w:szCs w:val="12"/>
                <w:color w:val="auto"/>
              </w:rPr>
            </w:pPr>
          </w:p>
        </w:tc>
        <w:tc>
          <w:tcPr>
            <w:tcW w:w="1160" w:type="dxa"/>
            <w:vAlign w:val="bottom"/>
            <w:tcBorders>
              <w:top w:val="single" w:sz="8" w:color="CCCCFF"/>
              <w:right w:val="single" w:sz="8" w:color="CCCCFF"/>
            </w:tcBorders>
          </w:tcPr>
          <w:p>
            <w:pPr>
              <w:spacing w:after="0"/>
              <w:rPr>
                <w:sz w:val="12"/>
                <w:szCs w:val="12"/>
                <w:color w:val="auto"/>
              </w:rPr>
            </w:pPr>
          </w:p>
        </w:tc>
        <w:tc>
          <w:tcPr>
            <w:tcW w:w="1020" w:type="dxa"/>
            <w:vAlign w:val="bottom"/>
            <w:tcBorders>
              <w:top w:val="single" w:sz="8" w:color="CCCCFF"/>
              <w:right w:val="single" w:sz="8" w:color="CCCCFF"/>
            </w:tcBorders>
          </w:tcPr>
          <w:p>
            <w:pPr>
              <w:spacing w:after="0"/>
              <w:rPr>
                <w:sz w:val="12"/>
                <w:szCs w:val="12"/>
                <w:color w:val="auto"/>
              </w:rPr>
            </w:pPr>
          </w:p>
        </w:tc>
        <w:tc>
          <w:tcPr>
            <w:tcW w:w="1020" w:type="dxa"/>
            <w:vAlign w:val="bottom"/>
            <w:tcBorders>
              <w:top w:val="single" w:sz="8" w:color="CCCCFF"/>
              <w:right w:val="single" w:sz="8" w:color="CCCCFF"/>
            </w:tcBorders>
          </w:tcPr>
          <w:p>
            <w:pPr>
              <w:spacing w:after="0"/>
              <w:rPr>
                <w:sz w:val="12"/>
                <w:szCs w:val="12"/>
                <w:color w:val="auto"/>
              </w:rPr>
            </w:pPr>
          </w:p>
        </w:tc>
        <w:tc>
          <w:tcPr>
            <w:tcW w:w="920" w:type="dxa"/>
            <w:vAlign w:val="bottom"/>
            <w:tcBorders>
              <w:top w:val="single" w:sz="8" w:color="CCCCFF"/>
              <w:right w:val="single" w:sz="8" w:color="0066CC"/>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contributions to</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Electrical Workers</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Pension Fund, IBEW</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103 Electrical Workers</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Deferred Income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Fund, IBEW 103</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Health Benefit Fund,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the Joint</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Apprenticeship and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Training Trust Fund,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2"/>
              </w:rPr>
              <w:t>IBEW 103 Electrical</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Industry Labor-</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Management</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Cooperation Trust</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International</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Fund, the National</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Electrical Benefit</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Brotherhood of</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restart"/>
          </w:tcPr>
          <w:p>
            <w:pPr>
              <w:jc w:val="right"/>
              <w:ind w:right="301"/>
              <w:spacing w:after="0" w:line="121" w:lineRule="exact"/>
              <w:rPr>
                <w:sz w:val="20"/>
                <w:szCs w:val="20"/>
                <w:color w:val="auto"/>
              </w:rPr>
            </w:pPr>
            <w:r>
              <w:rPr>
                <w:rFonts w:ascii="Arial" w:cs="Arial" w:eastAsia="Arial" w:hAnsi="Arial"/>
                <w:sz w:val="12"/>
                <w:szCs w:val="12"/>
                <w:color w:val="auto"/>
              </w:rPr>
              <w:t>09009316</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6"/>
              </w:rPr>
              <w:t>Fund, the</w:t>
            </w:r>
          </w:p>
        </w:tc>
        <w:tc>
          <w:tcPr>
            <w:tcW w:w="1140" w:type="dxa"/>
            <w:vAlign w:val="bottom"/>
            <w:tcBorders>
              <w:right w:val="single" w:sz="8" w:color="CCCCFF"/>
            </w:tcBorders>
            <w:vMerge w:val="restart"/>
          </w:tcPr>
          <w:p>
            <w:pPr>
              <w:ind w:left="120"/>
              <w:spacing w:after="0" w:line="121" w:lineRule="exact"/>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$50,000.00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18-Aug-10</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18-Aug-16</w:t>
            </w:r>
          </w:p>
        </w:tc>
        <w:tc>
          <w:tcPr>
            <w:tcW w:w="920" w:type="dxa"/>
            <w:vAlign w:val="bottom"/>
            <w:tcBorders>
              <w:right w:val="single" w:sz="8" w:color="0066CC"/>
            </w:tcBorders>
            <w:vMerge w:val="restart"/>
          </w:tcPr>
          <w:p>
            <w:pPr>
              <w:jc w:val="center"/>
              <w:spacing w:after="0" w:line="121" w:lineRule="exact"/>
              <w:rPr>
                <w:sz w:val="20"/>
                <w:szCs w:val="20"/>
                <w:color w:val="auto"/>
              </w:rPr>
            </w:pPr>
            <w:r>
              <w:rPr>
                <w:rFonts w:ascii="Arial" w:cs="Arial" w:eastAsia="Arial" w:hAnsi="Arial"/>
                <w:sz w:val="12"/>
                <w:szCs w:val="12"/>
                <w:color w:val="auto"/>
                <w:w w:val="92"/>
              </w:rPr>
              <w:t>18-Aug-17</w:t>
            </w: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Electrical Workers</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60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920" w:type="dxa"/>
            <w:vAlign w:val="bottom"/>
            <w:tcBorders>
              <w:right w:val="single" w:sz="8" w:color="0066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Administrative</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Local Union #103</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7"/>
              </w:rPr>
              <w:t>Maintenance Fund, the</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National Electrical</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Industry Fund, the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National Labor-</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Management</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Cooperation</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Committee, the Local-</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Labor Management</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Cooperation</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Committee, the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Electrical Workers</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Educaitonal and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3"/>
              </w:rPr>
              <w:t>Cultural Fund, IBEW</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103 and the Electrical</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Workers Educational</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0"/>
              </w:rPr>
              <w:t>and Cultural Fund B.</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0"/>
              </w:rPr>
              <w:t>International</w:t>
            </w: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0"/>
              </w:rPr>
              <w:t>Contributions made in</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Brotherhood of</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accordance with the</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restart"/>
          </w:tcPr>
          <w:p>
            <w:pPr>
              <w:jc w:val="right"/>
              <w:ind w:right="301"/>
              <w:spacing w:after="0" w:line="121" w:lineRule="exact"/>
              <w:rPr>
                <w:sz w:val="20"/>
                <w:szCs w:val="20"/>
                <w:color w:val="auto"/>
              </w:rPr>
            </w:pPr>
            <w:r>
              <w:rPr>
                <w:rFonts w:ascii="Arial" w:cs="Arial" w:eastAsia="Arial" w:hAnsi="Arial"/>
                <w:sz w:val="12"/>
                <w:szCs w:val="12"/>
                <w:color w:val="auto"/>
              </w:rPr>
              <w:t>09009317</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ind w:left="120"/>
              <w:spacing w:after="0" w:line="121" w:lineRule="exact"/>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$60,000.00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25-Aug-11</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25-Aug-16</w:t>
            </w:r>
          </w:p>
        </w:tc>
        <w:tc>
          <w:tcPr>
            <w:tcW w:w="920" w:type="dxa"/>
            <w:vAlign w:val="bottom"/>
            <w:tcBorders>
              <w:right w:val="single" w:sz="8" w:color="0066CC"/>
            </w:tcBorders>
            <w:vMerge w:val="restart"/>
          </w:tcPr>
          <w:p>
            <w:pPr>
              <w:jc w:val="center"/>
              <w:spacing w:after="0" w:line="121" w:lineRule="exact"/>
              <w:rPr>
                <w:sz w:val="20"/>
                <w:szCs w:val="20"/>
                <w:color w:val="auto"/>
              </w:rPr>
            </w:pPr>
            <w:r>
              <w:rPr>
                <w:rFonts w:ascii="Arial" w:cs="Arial" w:eastAsia="Arial" w:hAnsi="Arial"/>
                <w:sz w:val="12"/>
                <w:szCs w:val="12"/>
                <w:color w:val="auto"/>
                <w:w w:val="92"/>
              </w:rPr>
              <w:t>25-Aug-17</w:t>
            </w: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Electrical Workers</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Collective Bargaining</w:t>
            </w:r>
          </w:p>
        </w:tc>
        <w:tc>
          <w:tcPr>
            <w:tcW w:w="1140" w:type="dxa"/>
            <w:vAlign w:val="bottom"/>
            <w:tcBorders>
              <w:right w:val="single" w:sz="8" w:color="CCCCFF"/>
            </w:tcBorders>
            <w:vMerge w:val="continue"/>
          </w:tcPr>
          <w:p>
            <w:pPr>
              <w:spacing w:after="0"/>
              <w:rPr>
                <w:sz w:val="4"/>
                <w:szCs w:val="4"/>
                <w:color w:val="auto"/>
              </w:rPr>
            </w:pPr>
          </w:p>
        </w:tc>
        <w:tc>
          <w:tcPr>
            <w:tcW w:w="160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920" w:type="dxa"/>
            <w:vAlign w:val="bottom"/>
            <w:tcBorders>
              <w:right w:val="single" w:sz="8" w:color="0066CC"/>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Local Union #313</w:t>
            </w: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Agreement</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80" w:type="dxa"/>
            <w:vAlign w:val="bottom"/>
            <w:tcBorders>
              <w:left w:val="single" w:sz="8" w:color="0066CC"/>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vMerge w:val="continue"/>
          </w:tcPr>
          <w:p>
            <w:pPr>
              <w:spacing w:after="0"/>
              <w:rPr>
                <w:sz w:val="6"/>
                <w:szCs w:val="6"/>
                <w:color w:val="auto"/>
              </w:rPr>
            </w:pPr>
          </w:p>
        </w:tc>
        <w:tc>
          <w:tcPr>
            <w:tcW w:w="1160" w:type="dxa"/>
            <w:vAlign w:val="bottom"/>
            <w:tcBorders>
              <w:bottom w:val="single" w:sz="8" w:color="CCCCFF"/>
              <w:right w:val="single" w:sz="8" w:color="CCCCFF"/>
            </w:tcBorders>
            <w:vMerge w:val="continue"/>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60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920" w:type="dxa"/>
            <w:vAlign w:val="bottom"/>
            <w:tcBorders>
              <w:bottom w:val="single" w:sz="8" w:color="CCCCFF"/>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7"/>
              </w:rPr>
              <w:t>Guarantee payment of</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International</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wages for all such</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union members and/or</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Brotherhood of</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restart"/>
          </w:tcPr>
          <w:p>
            <w:pPr>
              <w:jc w:val="right"/>
              <w:ind w:right="301"/>
              <w:spacing w:after="0" w:line="121" w:lineRule="exact"/>
              <w:rPr>
                <w:sz w:val="20"/>
                <w:szCs w:val="20"/>
                <w:color w:val="auto"/>
              </w:rPr>
            </w:pPr>
            <w:r>
              <w:rPr>
                <w:rFonts w:ascii="Arial" w:cs="Arial" w:eastAsia="Arial" w:hAnsi="Arial"/>
                <w:sz w:val="12"/>
                <w:szCs w:val="12"/>
                <w:color w:val="auto"/>
              </w:rPr>
              <w:t>09026750</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pay to he obligee such</w:t>
            </w:r>
          </w:p>
        </w:tc>
        <w:tc>
          <w:tcPr>
            <w:tcW w:w="1140" w:type="dxa"/>
            <w:vAlign w:val="bottom"/>
            <w:tcBorders>
              <w:right w:val="single" w:sz="8" w:color="CCCCFF"/>
            </w:tcBorders>
            <w:vMerge w:val="restart"/>
          </w:tcPr>
          <w:p>
            <w:pPr>
              <w:ind w:left="120"/>
              <w:spacing w:after="0" w:line="121" w:lineRule="exact"/>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$60,000.00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5"/>
              </w:rPr>
              <w:t>28-Jan-12</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28-Jan-16</w:t>
            </w:r>
          </w:p>
        </w:tc>
        <w:tc>
          <w:tcPr>
            <w:tcW w:w="920" w:type="dxa"/>
            <w:vAlign w:val="bottom"/>
            <w:tcBorders>
              <w:right w:val="single" w:sz="8" w:color="0066CC"/>
            </w:tcBorders>
            <w:vMerge w:val="restart"/>
          </w:tcPr>
          <w:p>
            <w:pPr>
              <w:jc w:val="center"/>
              <w:spacing w:after="0" w:line="121" w:lineRule="exact"/>
              <w:rPr>
                <w:sz w:val="20"/>
                <w:szCs w:val="20"/>
                <w:color w:val="auto"/>
              </w:rPr>
            </w:pPr>
            <w:r>
              <w:rPr>
                <w:rFonts w:ascii="Arial" w:cs="Arial" w:eastAsia="Arial" w:hAnsi="Arial"/>
                <w:sz w:val="12"/>
                <w:szCs w:val="12"/>
                <w:color w:val="auto"/>
                <w:w w:val="88"/>
              </w:rPr>
              <w:t>28-Jan-17</w:t>
            </w: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Electrical Workers -</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60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920" w:type="dxa"/>
            <w:vAlign w:val="bottom"/>
            <w:tcBorders>
              <w:right w:val="single" w:sz="8" w:color="0066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welfare funds</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2"/>
              </w:rPr>
              <w:t>Local Union 229</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7"/>
              </w:rPr>
              <w:t>collected or deducted</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8"/>
              </w:rPr>
              <w:t>from wages.</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129</w:t>
      </w:r>
    </w:p>
    <w:p>
      <w:pPr>
        <w:sectPr>
          <w:pgSz w:w="11900" w:h="16838" w:orient="portrait"/>
          <w:cols w:equalWidth="0" w:num="1">
            <w:col w:w="11480"/>
          </w:cols>
          <w:pgMar w:left="220" w:top="605" w:right="199" w:bottom="1440" w:gutter="0" w:footer="0" w:header="0"/>
        </w:sectPr>
      </w:pPr>
    </w:p>
    <w:bookmarkStart w:id="190" w:name="page191"/>
    <w:bookmarkEnd w:id="190"/>
    <w:tbl>
      <w:tblPr>
        <w:tblLayout w:type="fixed"/>
        <w:tblInd w:w="10" w:type="dxa"/>
        <w:tblCellMar>
          <w:top w:w="0" w:type="dxa"/>
          <w:left w:w="0" w:type="dxa"/>
          <w:bottom w:w="0" w:type="dxa"/>
          <w:right w:w="0" w:type="dxa"/>
        </w:tblCellMar>
      </w:tblPr>
      <w:tr>
        <w:trPr>
          <w:trHeight w:val="139"/>
        </w:trPr>
        <w:tc>
          <w:tcPr>
            <w:tcW w:w="1180" w:type="dxa"/>
            <w:vAlign w:val="bottom"/>
            <w:tcBorders>
              <w:top w:val="single" w:sz="8" w:color="CCCCFF"/>
              <w:left w:val="single" w:sz="8" w:color="0066CC"/>
              <w:right w:val="single" w:sz="8" w:color="CCCCFF"/>
            </w:tcBorders>
          </w:tcPr>
          <w:p>
            <w:pPr>
              <w:spacing w:after="0"/>
              <w:rPr>
                <w:sz w:val="12"/>
                <w:szCs w:val="12"/>
                <w:color w:val="auto"/>
              </w:rPr>
            </w:pPr>
          </w:p>
        </w:tc>
        <w:tc>
          <w:tcPr>
            <w:tcW w:w="1140" w:type="dxa"/>
            <w:vAlign w:val="bottom"/>
            <w:tcBorders>
              <w:top w:val="single" w:sz="8" w:color="CCCCFF"/>
              <w:right w:val="single" w:sz="8" w:color="CCCCFF"/>
            </w:tcBorders>
          </w:tcPr>
          <w:p>
            <w:pPr>
              <w:spacing w:after="0"/>
              <w:rPr>
                <w:sz w:val="12"/>
                <w:szCs w:val="12"/>
                <w:color w:val="auto"/>
              </w:rPr>
            </w:pPr>
          </w:p>
        </w:tc>
        <w:tc>
          <w:tcPr>
            <w:tcW w:w="1140" w:type="dxa"/>
            <w:vAlign w:val="bottom"/>
            <w:tcBorders>
              <w:top w:val="single" w:sz="8" w:color="CCCCFF"/>
              <w:right w:val="single" w:sz="8" w:color="CCCCFF"/>
            </w:tcBorders>
          </w:tcPr>
          <w:p>
            <w:pPr>
              <w:spacing w:after="0"/>
              <w:rPr>
                <w:sz w:val="12"/>
                <w:szCs w:val="12"/>
                <w:color w:val="auto"/>
              </w:rPr>
            </w:pPr>
          </w:p>
        </w:tc>
        <w:tc>
          <w:tcPr>
            <w:tcW w:w="1160" w:type="dxa"/>
            <w:vAlign w:val="bottom"/>
            <w:tcBorders>
              <w:top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0"/>
              </w:rPr>
              <w:t>Contributions to</w:t>
            </w:r>
          </w:p>
        </w:tc>
        <w:tc>
          <w:tcPr>
            <w:tcW w:w="1140" w:type="dxa"/>
            <w:vAlign w:val="bottom"/>
            <w:tcBorders>
              <w:top w:val="single" w:sz="8" w:color="CCCCFF"/>
              <w:right w:val="single" w:sz="8" w:color="CCCCFF"/>
            </w:tcBorders>
          </w:tcPr>
          <w:p>
            <w:pPr>
              <w:spacing w:after="0"/>
              <w:rPr>
                <w:sz w:val="12"/>
                <w:szCs w:val="12"/>
                <w:color w:val="auto"/>
              </w:rPr>
            </w:pPr>
          </w:p>
        </w:tc>
        <w:tc>
          <w:tcPr>
            <w:tcW w:w="1600" w:type="dxa"/>
            <w:vAlign w:val="bottom"/>
            <w:tcBorders>
              <w:top w:val="single" w:sz="8" w:color="CCCCFF"/>
              <w:right w:val="single" w:sz="8" w:color="CCCCFF"/>
            </w:tcBorders>
          </w:tcPr>
          <w:p>
            <w:pPr>
              <w:spacing w:after="0"/>
              <w:rPr>
                <w:sz w:val="12"/>
                <w:szCs w:val="12"/>
                <w:color w:val="auto"/>
              </w:rPr>
            </w:pPr>
          </w:p>
        </w:tc>
        <w:tc>
          <w:tcPr>
            <w:tcW w:w="1160" w:type="dxa"/>
            <w:vAlign w:val="bottom"/>
            <w:tcBorders>
              <w:top w:val="single" w:sz="8" w:color="CCCCFF"/>
              <w:right w:val="single" w:sz="8" w:color="CCCCFF"/>
            </w:tcBorders>
          </w:tcPr>
          <w:p>
            <w:pPr>
              <w:spacing w:after="0"/>
              <w:rPr>
                <w:sz w:val="12"/>
                <w:szCs w:val="12"/>
                <w:color w:val="auto"/>
              </w:rPr>
            </w:pPr>
          </w:p>
        </w:tc>
        <w:tc>
          <w:tcPr>
            <w:tcW w:w="1020" w:type="dxa"/>
            <w:vAlign w:val="bottom"/>
            <w:tcBorders>
              <w:top w:val="single" w:sz="8" w:color="CCCCFF"/>
              <w:right w:val="single" w:sz="8" w:color="CCCCFF"/>
            </w:tcBorders>
          </w:tcPr>
          <w:p>
            <w:pPr>
              <w:spacing w:after="0"/>
              <w:rPr>
                <w:sz w:val="12"/>
                <w:szCs w:val="12"/>
                <w:color w:val="auto"/>
              </w:rPr>
            </w:pPr>
          </w:p>
        </w:tc>
        <w:tc>
          <w:tcPr>
            <w:tcW w:w="1020" w:type="dxa"/>
            <w:vAlign w:val="bottom"/>
            <w:tcBorders>
              <w:top w:val="single" w:sz="8" w:color="CCCCFF"/>
              <w:right w:val="single" w:sz="8" w:color="CCCCFF"/>
            </w:tcBorders>
          </w:tcPr>
          <w:p>
            <w:pPr>
              <w:spacing w:after="0"/>
              <w:rPr>
                <w:sz w:val="12"/>
                <w:szCs w:val="12"/>
                <w:color w:val="auto"/>
              </w:rPr>
            </w:pPr>
          </w:p>
        </w:tc>
        <w:tc>
          <w:tcPr>
            <w:tcW w:w="920" w:type="dxa"/>
            <w:vAlign w:val="bottom"/>
            <w:tcBorders>
              <w:top w:val="single" w:sz="8" w:color="CCCCFF"/>
              <w:right w:val="single" w:sz="8" w:color="0066CC"/>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4"/>
              </w:rPr>
              <w:t>IBEW #81 Annuity</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Fund, IBEW #81</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Vacation Fund, IBEW</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#81 Health and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Welfare Fund, IBEW</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International</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#81 Educational Fund,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IBEW #81 Pension</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Brotherhood of</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restart"/>
          </w:tcPr>
          <w:p>
            <w:pPr>
              <w:jc w:val="right"/>
              <w:ind w:right="301"/>
              <w:spacing w:after="0" w:line="121" w:lineRule="exact"/>
              <w:rPr>
                <w:sz w:val="20"/>
                <w:szCs w:val="20"/>
                <w:color w:val="auto"/>
              </w:rPr>
            </w:pPr>
            <w:r>
              <w:rPr>
                <w:rFonts w:ascii="Arial" w:cs="Arial" w:eastAsia="Arial" w:hAnsi="Arial"/>
                <w:sz w:val="12"/>
                <w:szCs w:val="12"/>
                <w:color w:val="auto"/>
              </w:rPr>
              <w:t>09089670</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Fund, JATC Building</w:t>
            </w:r>
          </w:p>
        </w:tc>
        <w:tc>
          <w:tcPr>
            <w:tcW w:w="1140" w:type="dxa"/>
            <w:vAlign w:val="bottom"/>
            <w:tcBorders>
              <w:right w:val="single" w:sz="8" w:color="CCCCFF"/>
            </w:tcBorders>
            <w:vMerge w:val="restart"/>
          </w:tcPr>
          <w:p>
            <w:pPr>
              <w:ind w:left="120"/>
              <w:spacing w:after="0" w:line="121" w:lineRule="exact"/>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$50,000.00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ind w:left="240"/>
              <w:spacing w:after="0" w:line="121" w:lineRule="exact"/>
              <w:rPr>
                <w:sz w:val="20"/>
                <w:szCs w:val="20"/>
                <w:color w:val="auto"/>
              </w:rPr>
            </w:pPr>
            <w:r>
              <w:rPr>
                <w:rFonts w:ascii="Arial" w:cs="Arial" w:eastAsia="Arial" w:hAnsi="Arial"/>
                <w:sz w:val="12"/>
                <w:szCs w:val="12"/>
                <w:color w:val="auto"/>
              </w:rPr>
              <w:t>24-Sep-14</w:t>
            </w:r>
          </w:p>
        </w:tc>
        <w:tc>
          <w:tcPr>
            <w:tcW w:w="1020" w:type="dxa"/>
            <w:vAlign w:val="bottom"/>
            <w:tcBorders>
              <w:right w:val="single" w:sz="8" w:color="CCCCFF"/>
            </w:tcBorders>
            <w:vMerge w:val="restart"/>
          </w:tcPr>
          <w:p>
            <w:pPr>
              <w:ind w:left="260"/>
              <w:spacing w:after="0" w:line="121" w:lineRule="exact"/>
              <w:rPr>
                <w:sz w:val="20"/>
                <w:szCs w:val="20"/>
                <w:color w:val="auto"/>
              </w:rPr>
            </w:pPr>
            <w:r>
              <w:rPr>
                <w:rFonts w:ascii="Arial" w:cs="Arial" w:eastAsia="Arial" w:hAnsi="Arial"/>
                <w:sz w:val="12"/>
                <w:szCs w:val="12"/>
                <w:color w:val="auto"/>
              </w:rPr>
              <w:t>24-Sep-16</w:t>
            </w:r>
          </w:p>
        </w:tc>
        <w:tc>
          <w:tcPr>
            <w:tcW w:w="920" w:type="dxa"/>
            <w:vAlign w:val="bottom"/>
            <w:tcBorders>
              <w:right w:val="single" w:sz="8" w:color="0066CC"/>
            </w:tcBorders>
            <w:vMerge w:val="restart"/>
          </w:tcPr>
          <w:p>
            <w:pPr>
              <w:ind w:left="200"/>
              <w:spacing w:after="0" w:line="121" w:lineRule="exact"/>
              <w:rPr>
                <w:sz w:val="20"/>
                <w:szCs w:val="20"/>
                <w:color w:val="auto"/>
              </w:rPr>
            </w:pPr>
            <w:r>
              <w:rPr>
                <w:rFonts w:ascii="Arial" w:cs="Arial" w:eastAsia="Arial" w:hAnsi="Arial"/>
                <w:sz w:val="12"/>
                <w:szCs w:val="12"/>
                <w:color w:val="auto"/>
              </w:rPr>
              <w:t>24-Sep-17</w:t>
            </w: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Electrical Workers</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60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920" w:type="dxa"/>
            <w:vAlign w:val="bottom"/>
            <w:tcBorders>
              <w:right w:val="single" w:sz="8" w:color="0066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Fund, and IBEW #81</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2"/>
              </w:rPr>
              <w:t>Local Union #81</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7"/>
              </w:rPr>
              <w:t>General Fund</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3"/>
              </w:rPr>
              <w:t>(additional working</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7"/>
              </w:rPr>
              <w:t>dues) and the National</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Electrical Benefit</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Fund per the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2"/>
              </w:rPr>
              <w:t>Collective Bargaining</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6"/>
              </w:rPr>
              <w:t>Agreement.</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0"/>
              </w:rPr>
              <w:t>Contributions to the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Trustees of the Health</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3"/>
              </w:rPr>
              <w:t>&amp; Hospitalization</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6"/>
              </w:rPr>
              <w:t>Trust Fund, Pension</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1"/>
              </w:rPr>
              <w:t>Local 537 Pipefitters</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Trust Fund, Annuity</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restart"/>
          </w:tcPr>
          <w:p>
            <w:pPr>
              <w:jc w:val="right"/>
              <w:ind w:right="301"/>
              <w:spacing w:after="0"/>
              <w:rPr>
                <w:sz w:val="20"/>
                <w:szCs w:val="20"/>
                <w:color w:val="auto"/>
              </w:rPr>
            </w:pPr>
            <w:r>
              <w:rPr>
                <w:rFonts w:ascii="Arial" w:cs="Arial" w:eastAsia="Arial" w:hAnsi="Arial"/>
                <w:sz w:val="12"/>
                <w:szCs w:val="12"/>
                <w:color w:val="auto"/>
              </w:rPr>
              <w:t>09105310</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Trust Fund, Education</w:t>
            </w:r>
          </w:p>
        </w:tc>
        <w:tc>
          <w:tcPr>
            <w:tcW w:w="1140" w:type="dxa"/>
            <w:vAlign w:val="bottom"/>
            <w:tcBorders>
              <w:right w:val="single" w:sz="8" w:color="CCCCFF"/>
            </w:tcBorders>
            <w:vMerge w:val="restart"/>
          </w:tcPr>
          <w:p>
            <w:pPr>
              <w:ind w:left="120"/>
              <w:spacing w:after="0"/>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vMerge w:val="restart"/>
          </w:tcPr>
          <w:p>
            <w:pPr>
              <w:jc w:val="right"/>
              <w:spacing w:after="0"/>
              <w:rPr>
                <w:sz w:val="20"/>
                <w:szCs w:val="20"/>
                <w:color w:val="auto"/>
              </w:rPr>
            </w:pPr>
            <w:r>
              <w:rPr>
                <w:rFonts w:ascii="Arial" w:cs="Arial" w:eastAsia="Arial" w:hAnsi="Arial"/>
                <w:sz w:val="12"/>
                <w:szCs w:val="12"/>
                <w:color w:val="auto"/>
              </w:rPr>
              <w:t>$25,000.00</w:t>
            </w:r>
          </w:p>
        </w:tc>
        <w:tc>
          <w:tcPr>
            <w:tcW w:w="1160" w:type="dxa"/>
            <w:vAlign w:val="bottom"/>
            <w:tcBorders>
              <w:right w:val="single" w:sz="8" w:color="CCCCFF"/>
            </w:tcBorders>
            <w:vMerge w:val="restart"/>
          </w:tcPr>
          <w:p>
            <w:pPr>
              <w:ind w:left="420"/>
              <w:spacing w:after="0"/>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ind w:left="260"/>
              <w:spacing w:after="0"/>
              <w:rPr>
                <w:sz w:val="20"/>
                <w:szCs w:val="20"/>
                <w:color w:val="auto"/>
              </w:rPr>
            </w:pPr>
            <w:r>
              <w:rPr>
                <w:rFonts w:ascii="Arial" w:cs="Arial" w:eastAsia="Arial" w:hAnsi="Arial"/>
                <w:sz w:val="12"/>
                <w:szCs w:val="12"/>
                <w:color w:val="auto"/>
              </w:rPr>
              <w:t>16-Oct-12</w:t>
            </w:r>
          </w:p>
        </w:tc>
        <w:tc>
          <w:tcPr>
            <w:tcW w:w="1020" w:type="dxa"/>
            <w:vAlign w:val="bottom"/>
            <w:tcBorders>
              <w:right w:val="single" w:sz="8" w:color="CCCCFF"/>
            </w:tcBorders>
            <w:vMerge w:val="restart"/>
          </w:tcPr>
          <w:p>
            <w:pPr>
              <w:ind w:left="260"/>
              <w:spacing w:after="0"/>
              <w:rPr>
                <w:sz w:val="20"/>
                <w:szCs w:val="20"/>
                <w:color w:val="auto"/>
              </w:rPr>
            </w:pPr>
            <w:r>
              <w:rPr>
                <w:rFonts w:ascii="Arial" w:cs="Arial" w:eastAsia="Arial" w:hAnsi="Arial"/>
                <w:sz w:val="12"/>
                <w:szCs w:val="12"/>
                <w:color w:val="auto"/>
              </w:rPr>
              <w:t>16-Oct-16</w:t>
            </w:r>
          </w:p>
        </w:tc>
        <w:tc>
          <w:tcPr>
            <w:tcW w:w="920" w:type="dxa"/>
            <w:vAlign w:val="bottom"/>
            <w:tcBorders>
              <w:right w:val="single" w:sz="8" w:color="0066CC"/>
            </w:tcBorders>
            <w:vMerge w:val="restart"/>
          </w:tcPr>
          <w:p>
            <w:pPr>
              <w:ind w:left="200"/>
              <w:spacing w:after="0"/>
              <w:rPr>
                <w:sz w:val="20"/>
                <w:szCs w:val="20"/>
                <w:color w:val="auto"/>
              </w:rPr>
            </w:pPr>
            <w:r>
              <w:rPr>
                <w:rFonts w:ascii="Arial" w:cs="Arial" w:eastAsia="Arial" w:hAnsi="Arial"/>
                <w:sz w:val="12"/>
                <w:szCs w:val="12"/>
                <w:color w:val="auto"/>
              </w:rPr>
              <w:t>16-Oct-17</w:t>
            </w:r>
          </w:p>
        </w:tc>
        <w:tc>
          <w:tcPr>
            <w:tcW w:w="0" w:type="dxa"/>
            <w:vAlign w:val="bottom"/>
          </w:tcPr>
          <w:p>
            <w:pPr>
              <w:spacing w:after="0"/>
              <w:rPr>
                <w:sz w:val="1"/>
                <w:szCs w:val="1"/>
                <w:color w:val="auto"/>
              </w:rPr>
            </w:pPr>
          </w:p>
        </w:tc>
      </w:tr>
      <w:tr>
        <w:trPr>
          <w:trHeight w:val="115"/>
        </w:trPr>
        <w:tc>
          <w:tcPr>
            <w:tcW w:w="1180" w:type="dxa"/>
            <w:vAlign w:val="bottom"/>
            <w:tcBorders>
              <w:left w:val="single" w:sz="8" w:color="0066CC"/>
              <w:right w:val="single" w:sz="8" w:color="CCCCFF"/>
            </w:tcBorders>
            <w:vMerge w:val="continue"/>
          </w:tcPr>
          <w:p>
            <w:pPr>
              <w:spacing w:after="0"/>
              <w:rPr>
                <w:sz w:val="9"/>
                <w:szCs w:val="9"/>
                <w:color w:val="auto"/>
              </w:rPr>
            </w:pPr>
          </w:p>
        </w:tc>
        <w:tc>
          <w:tcPr>
            <w:tcW w:w="1140" w:type="dxa"/>
            <w:vAlign w:val="bottom"/>
            <w:tcBorders>
              <w:right w:val="single" w:sz="8" w:color="CCCCFF"/>
            </w:tcBorders>
            <w:vMerge w:val="continue"/>
          </w:tcPr>
          <w:p>
            <w:pPr>
              <w:spacing w:after="0"/>
              <w:rPr>
                <w:sz w:val="9"/>
                <w:szCs w:val="9"/>
                <w:color w:val="auto"/>
              </w:rPr>
            </w:pPr>
          </w:p>
        </w:tc>
        <w:tc>
          <w:tcPr>
            <w:tcW w:w="1140" w:type="dxa"/>
            <w:vAlign w:val="bottom"/>
            <w:tcBorders>
              <w:right w:val="single" w:sz="8" w:color="CCCCFF"/>
            </w:tcBorders>
          </w:tcPr>
          <w:p>
            <w:pPr>
              <w:jc w:val="center"/>
              <w:spacing w:after="0" w:line="115" w:lineRule="exact"/>
              <w:rPr>
                <w:sz w:val="20"/>
                <w:szCs w:val="20"/>
                <w:color w:val="auto"/>
              </w:rPr>
            </w:pPr>
            <w:r>
              <w:rPr>
                <w:rFonts w:ascii="Arial" w:cs="Arial" w:eastAsia="Arial" w:hAnsi="Arial"/>
                <w:sz w:val="12"/>
                <w:szCs w:val="12"/>
                <w:color w:val="auto"/>
                <w:w w:val="90"/>
              </w:rPr>
              <w:t>Association of Boston</w:t>
            </w:r>
          </w:p>
        </w:tc>
        <w:tc>
          <w:tcPr>
            <w:tcW w:w="1160" w:type="dxa"/>
            <w:vAlign w:val="bottom"/>
            <w:tcBorders>
              <w:right w:val="single" w:sz="8" w:color="CCCCFF"/>
            </w:tcBorders>
            <w:vMerge w:val="continue"/>
          </w:tcPr>
          <w:p>
            <w:pPr>
              <w:spacing w:after="0"/>
              <w:rPr>
                <w:sz w:val="9"/>
                <w:szCs w:val="9"/>
                <w:color w:val="auto"/>
              </w:rPr>
            </w:pPr>
          </w:p>
        </w:tc>
        <w:tc>
          <w:tcPr>
            <w:tcW w:w="1140" w:type="dxa"/>
            <w:vAlign w:val="bottom"/>
            <w:tcBorders>
              <w:right w:val="single" w:sz="8" w:color="CCCCFF"/>
            </w:tcBorders>
            <w:vMerge w:val="continue"/>
          </w:tcPr>
          <w:p>
            <w:pPr>
              <w:spacing w:after="0"/>
              <w:rPr>
                <w:sz w:val="9"/>
                <w:szCs w:val="9"/>
                <w:color w:val="auto"/>
              </w:rPr>
            </w:pPr>
          </w:p>
        </w:tc>
        <w:tc>
          <w:tcPr>
            <w:tcW w:w="1600" w:type="dxa"/>
            <w:vAlign w:val="bottom"/>
            <w:tcBorders>
              <w:right w:val="single" w:sz="8" w:color="CCCCFF"/>
            </w:tcBorders>
            <w:vMerge w:val="continue"/>
          </w:tcPr>
          <w:p>
            <w:pPr>
              <w:spacing w:after="0"/>
              <w:rPr>
                <w:sz w:val="9"/>
                <w:szCs w:val="9"/>
                <w:color w:val="auto"/>
              </w:rPr>
            </w:pPr>
          </w:p>
        </w:tc>
        <w:tc>
          <w:tcPr>
            <w:tcW w:w="1160" w:type="dxa"/>
            <w:vAlign w:val="bottom"/>
            <w:tcBorders>
              <w:right w:val="single" w:sz="8" w:color="CCCCFF"/>
            </w:tcBorders>
            <w:vMerge w:val="continue"/>
          </w:tcPr>
          <w:p>
            <w:pPr>
              <w:spacing w:after="0"/>
              <w:rPr>
                <w:sz w:val="9"/>
                <w:szCs w:val="9"/>
                <w:color w:val="auto"/>
              </w:rPr>
            </w:pPr>
          </w:p>
        </w:tc>
        <w:tc>
          <w:tcPr>
            <w:tcW w:w="1020" w:type="dxa"/>
            <w:vAlign w:val="bottom"/>
            <w:tcBorders>
              <w:right w:val="single" w:sz="8" w:color="CCCCFF"/>
            </w:tcBorders>
            <w:vMerge w:val="continue"/>
          </w:tcPr>
          <w:p>
            <w:pPr>
              <w:spacing w:after="0"/>
              <w:rPr>
                <w:sz w:val="9"/>
                <w:szCs w:val="9"/>
                <w:color w:val="auto"/>
              </w:rPr>
            </w:pPr>
          </w:p>
        </w:tc>
        <w:tc>
          <w:tcPr>
            <w:tcW w:w="1020" w:type="dxa"/>
            <w:vAlign w:val="bottom"/>
            <w:tcBorders>
              <w:right w:val="single" w:sz="8" w:color="CCCCFF"/>
            </w:tcBorders>
            <w:vMerge w:val="continue"/>
          </w:tcPr>
          <w:p>
            <w:pPr>
              <w:spacing w:after="0"/>
              <w:rPr>
                <w:sz w:val="9"/>
                <w:szCs w:val="9"/>
                <w:color w:val="auto"/>
              </w:rPr>
            </w:pPr>
          </w:p>
        </w:tc>
        <w:tc>
          <w:tcPr>
            <w:tcW w:w="920" w:type="dxa"/>
            <w:vAlign w:val="bottom"/>
            <w:tcBorders>
              <w:right w:val="single" w:sz="8" w:color="0066C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180" w:type="dxa"/>
            <w:vAlign w:val="bottom"/>
            <w:tcBorders>
              <w:left w:val="single" w:sz="8" w:color="0066CC"/>
              <w:right w:val="single" w:sz="8" w:color="CCCCFF"/>
            </w:tcBorders>
          </w:tcPr>
          <w:p>
            <w:pPr>
              <w:spacing w:after="0"/>
              <w:rPr>
                <w:sz w:val="6"/>
                <w:szCs w:val="6"/>
                <w:color w:val="auto"/>
              </w:rPr>
            </w:pPr>
          </w:p>
        </w:tc>
        <w:tc>
          <w:tcPr>
            <w:tcW w:w="1140" w:type="dxa"/>
            <w:vAlign w:val="bottom"/>
            <w:tcBorders>
              <w:right w:val="single" w:sz="8" w:color="CCCCFF"/>
            </w:tcBorders>
          </w:tcPr>
          <w:p>
            <w:pPr>
              <w:jc w:val="center"/>
              <w:spacing w:after="0" w:line="73" w:lineRule="exact"/>
              <w:rPr>
                <w:sz w:val="20"/>
                <w:szCs w:val="20"/>
                <w:color w:val="auto"/>
              </w:rPr>
            </w:pPr>
            <w:r>
              <w:rPr>
                <w:rFonts w:ascii="Arial" w:cs="Arial" w:eastAsia="Arial" w:hAnsi="Arial"/>
                <w:sz w:val="8"/>
                <w:szCs w:val="8"/>
                <w:color w:val="auto"/>
              </w:rPr>
              <w:t>Construction, Inc.</w:t>
            </w:r>
          </w:p>
        </w:tc>
        <w:tc>
          <w:tcPr>
            <w:tcW w:w="1140" w:type="dxa"/>
            <w:vAlign w:val="bottom"/>
            <w:tcBorders>
              <w:right w:val="single" w:sz="8" w:color="CCCCFF"/>
            </w:tcBorders>
          </w:tcPr>
          <w:p>
            <w:pPr>
              <w:spacing w:after="0"/>
              <w:rPr>
                <w:sz w:val="6"/>
                <w:szCs w:val="6"/>
                <w:color w:val="auto"/>
              </w:rPr>
            </w:pPr>
          </w:p>
        </w:tc>
        <w:tc>
          <w:tcPr>
            <w:tcW w:w="1160" w:type="dxa"/>
            <w:vAlign w:val="bottom"/>
            <w:tcBorders>
              <w:right w:val="single" w:sz="8" w:color="CCCCFF"/>
            </w:tcBorders>
          </w:tcPr>
          <w:p>
            <w:pPr>
              <w:jc w:val="center"/>
              <w:spacing w:after="0" w:line="73" w:lineRule="exact"/>
              <w:rPr>
                <w:sz w:val="20"/>
                <w:szCs w:val="20"/>
                <w:color w:val="auto"/>
              </w:rPr>
            </w:pPr>
            <w:r>
              <w:rPr>
                <w:rFonts w:ascii="Arial" w:cs="Arial" w:eastAsia="Arial" w:hAnsi="Arial"/>
                <w:sz w:val="8"/>
                <w:szCs w:val="8"/>
                <w:color w:val="auto"/>
              </w:rPr>
              <w:t>Trust Fund, Vacation</w:t>
            </w:r>
          </w:p>
        </w:tc>
        <w:tc>
          <w:tcPr>
            <w:tcW w:w="1140" w:type="dxa"/>
            <w:vAlign w:val="bottom"/>
            <w:tcBorders>
              <w:right w:val="single" w:sz="8" w:color="CCCCFF"/>
            </w:tcBorders>
          </w:tcPr>
          <w:p>
            <w:pPr>
              <w:spacing w:after="0"/>
              <w:rPr>
                <w:sz w:val="6"/>
                <w:szCs w:val="6"/>
                <w:color w:val="auto"/>
              </w:rPr>
            </w:pPr>
          </w:p>
        </w:tc>
        <w:tc>
          <w:tcPr>
            <w:tcW w:w="1600" w:type="dxa"/>
            <w:vAlign w:val="bottom"/>
            <w:tcBorders>
              <w:right w:val="single" w:sz="8" w:color="CCCCFF"/>
            </w:tcBorders>
          </w:tcPr>
          <w:p>
            <w:pPr>
              <w:spacing w:after="0"/>
              <w:rPr>
                <w:sz w:val="6"/>
                <w:szCs w:val="6"/>
                <w:color w:val="auto"/>
              </w:rPr>
            </w:pPr>
          </w:p>
        </w:tc>
        <w:tc>
          <w:tcPr>
            <w:tcW w:w="1160" w:type="dxa"/>
            <w:vAlign w:val="bottom"/>
            <w:tcBorders>
              <w:right w:val="single" w:sz="8" w:color="CCCCFF"/>
            </w:tcBorders>
          </w:tcPr>
          <w:p>
            <w:pPr>
              <w:spacing w:after="0"/>
              <w:rPr>
                <w:sz w:val="6"/>
                <w:szCs w:val="6"/>
                <w:color w:val="auto"/>
              </w:rPr>
            </w:pPr>
          </w:p>
        </w:tc>
        <w:tc>
          <w:tcPr>
            <w:tcW w:w="1020" w:type="dxa"/>
            <w:vAlign w:val="bottom"/>
            <w:tcBorders>
              <w:right w:val="single" w:sz="8" w:color="CCCCFF"/>
            </w:tcBorders>
          </w:tcPr>
          <w:p>
            <w:pPr>
              <w:spacing w:after="0"/>
              <w:rPr>
                <w:sz w:val="6"/>
                <w:szCs w:val="6"/>
                <w:color w:val="auto"/>
              </w:rPr>
            </w:pPr>
          </w:p>
        </w:tc>
        <w:tc>
          <w:tcPr>
            <w:tcW w:w="1020" w:type="dxa"/>
            <w:vAlign w:val="bottom"/>
            <w:tcBorders>
              <w:right w:val="single" w:sz="8" w:color="CCCCFF"/>
            </w:tcBorders>
          </w:tcPr>
          <w:p>
            <w:pPr>
              <w:spacing w:after="0"/>
              <w:rPr>
                <w:sz w:val="6"/>
                <w:szCs w:val="6"/>
                <w:color w:val="auto"/>
              </w:rPr>
            </w:pPr>
          </w:p>
        </w:tc>
        <w:tc>
          <w:tcPr>
            <w:tcW w:w="920" w:type="dxa"/>
            <w:vAlign w:val="bottom"/>
            <w:tcBorders>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Trust Fund, Industry</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Improvement Trust</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Fund, and Labor</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7"/>
              </w:rPr>
              <w:t>Management Funds.</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IBEW Local 96 Trust</w:t>
            </w: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2"/>
              </w:rPr>
              <w:t>IBEW Local 96 Trust</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Funds, IVEW Local</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6"/>
              </w:rPr>
              <w:t>Funds and their</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Union No. 96, and</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5"/>
              </w:rPr>
              <w:t>respective Trustees,</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restart"/>
          </w:tcPr>
          <w:p>
            <w:pPr>
              <w:jc w:val="right"/>
              <w:ind w:right="301"/>
              <w:spacing w:after="0" w:line="121" w:lineRule="exact"/>
              <w:rPr>
                <w:sz w:val="20"/>
                <w:szCs w:val="20"/>
                <w:color w:val="auto"/>
              </w:rPr>
            </w:pPr>
            <w:r>
              <w:rPr>
                <w:rFonts w:ascii="Arial" w:cs="Arial" w:eastAsia="Arial" w:hAnsi="Arial"/>
                <w:sz w:val="12"/>
                <w:szCs w:val="12"/>
                <w:color w:val="auto"/>
              </w:rPr>
              <w:t>09120997</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Associated Entities</w:t>
            </w:r>
          </w:p>
        </w:tc>
        <w:tc>
          <w:tcPr>
            <w:tcW w:w="1140" w:type="dxa"/>
            <w:vAlign w:val="bottom"/>
            <w:tcBorders>
              <w:right w:val="single" w:sz="8" w:color="CCCCFF"/>
            </w:tcBorders>
            <w:vMerge w:val="restart"/>
          </w:tcPr>
          <w:p>
            <w:pPr>
              <w:ind w:left="120"/>
              <w:spacing w:after="0" w:line="121" w:lineRule="exact"/>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$270,899.00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ind w:left="240"/>
              <w:spacing w:after="0" w:line="121" w:lineRule="exact"/>
              <w:rPr>
                <w:sz w:val="20"/>
                <w:szCs w:val="20"/>
                <w:color w:val="auto"/>
              </w:rPr>
            </w:pPr>
            <w:r>
              <w:rPr>
                <w:rFonts w:ascii="Arial" w:cs="Arial" w:eastAsia="Arial" w:hAnsi="Arial"/>
                <w:sz w:val="12"/>
                <w:szCs w:val="12"/>
                <w:color w:val="auto"/>
              </w:rPr>
              <w:t>16-Sep-16</w:t>
            </w:r>
          </w:p>
        </w:tc>
        <w:tc>
          <w:tcPr>
            <w:tcW w:w="1020" w:type="dxa"/>
            <w:vAlign w:val="bottom"/>
            <w:tcBorders>
              <w:right w:val="single" w:sz="8" w:color="CCCCFF"/>
            </w:tcBorders>
            <w:vMerge w:val="restart"/>
          </w:tcPr>
          <w:p>
            <w:pPr>
              <w:ind w:left="260"/>
              <w:spacing w:after="0" w:line="121" w:lineRule="exact"/>
              <w:rPr>
                <w:sz w:val="20"/>
                <w:szCs w:val="20"/>
                <w:color w:val="auto"/>
              </w:rPr>
            </w:pPr>
            <w:r>
              <w:rPr>
                <w:rFonts w:ascii="Arial" w:cs="Arial" w:eastAsia="Arial" w:hAnsi="Arial"/>
                <w:sz w:val="12"/>
                <w:szCs w:val="12"/>
                <w:color w:val="auto"/>
              </w:rPr>
              <w:t>16-Sep-16</w:t>
            </w:r>
          </w:p>
        </w:tc>
        <w:tc>
          <w:tcPr>
            <w:tcW w:w="920" w:type="dxa"/>
            <w:vAlign w:val="bottom"/>
            <w:tcBorders>
              <w:right w:val="single" w:sz="8" w:color="0066CC"/>
            </w:tcBorders>
            <w:vMerge w:val="restart"/>
          </w:tcPr>
          <w:p>
            <w:pPr>
              <w:ind w:left="200"/>
              <w:spacing w:after="0" w:line="121" w:lineRule="exact"/>
              <w:rPr>
                <w:sz w:val="20"/>
                <w:szCs w:val="20"/>
                <w:color w:val="auto"/>
              </w:rPr>
            </w:pPr>
            <w:r>
              <w:rPr>
                <w:rFonts w:ascii="Arial" w:cs="Arial" w:eastAsia="Arial" w:hAnsi="Arial"/>
                <w:sz w:val="12"/>
                <w:szCs w:val="12"/>
                <w:color w:val="auto"/>
              </w:rPr>
              <w:t>16-Sep-17</w:t>
            </w: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4"/>
              </w:rPr>
              <w:t>IBEW Local Union</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60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920" w:type="dxa"/>
            <w:vAlign w:val="bottom"/>
            <w:tcBorders>
              <w:right w:val="single" w:sz="8" w:color="0066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Benefit Contribution</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No. 96, and</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&amp; Wage payment</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Associated Entities</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2"/>
              </w:rPr>
              <w:t>Bond</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80" w:type="dxa"/>
            <w:vAlign w:val="bottom"/>
            <w:tcBorders>
              <w:left w:val="single" w:sz="8" w:color="0066CC"/>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vMerge w:val="continue"/>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60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920" w:type="dxa"/>
            <w:vAlign w:val="bottom"/>
            <w:tcBorders>
              <w:bottom w:val="single" w:sz="8" w:color="CCCCFF"/>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130</w:t>
      </w:r>
    </w:p>
    <w:p>
      <w:pPr>
        <w:sectPr>
          <w:pgSz w:w="11900" w:h="16838" w:orient="portrait"/>
          <w:cols w:equalWidth="0" w:num="1">
            <w:col w:w="11480"/>
          </w:cols>
          <w:pgMar w:left="220" w:top="605" w:right="199" w:bottom="1440" w:gutter="0" w:footer="0" w:header="0"/>
        </w:sectPr>
      </w:pPr>
    </w:p>
    <w:bookmarkStart w:id="191" w:name="page192"/>
    <w:bookmarkEnd w:id="191"/>
    <w:tbl>
      <w:tblPr>
        <w:tblLayout w:type="fixed"/>
        <w:tblInd w:w="10" w:type="dxa"/>
        <w:tblCellMar>
          <w:top w:w="0" w:type="dxa"/>
          <w:left w:w="0" w:type="dxa"/>
          <w:bottom w:w="0" w:type="dxa"/>
          <w:right w:w="0" w:type="dxa"/>
        </w:tblCellMar>
      </w:tblPr>
      <w:tr>
        <w:trPr>
          <w:trHeight w:val="139"/>
        </w:trPr>
        <w:tc>
          <w:tcPr>
            <w:tcW w:w="1180" w:type="dxa"/>
            <w:vAlign w:val="bottom"/>
            <w:tcBorders>
              <w:top w:val="single" w:sz="8" w:color="CCCCFF"/>
              <w:left w:val="single" w:sz="8" w:color="0066CC"/>
              <w:right w:val="single" w:sz="8" w:color="CCCCFF"/>
            </w:tcBorders>
          </w:tcPr>
          <w:p>
            <w:pPr>
              <w:spacing w:after="0"/>
              <w:rPr>
                <w:sz w:val="12"/>
                <w:szCs w:val="12"/>
                <w:color w:val="auto"/>
              </w:rPr>
            </w:pPr>
          </w:p>
        </w:tc>
        <w:tc>
          <w:tcPr>
            <w:tcW w:w="1140" w:type="dxa"/>
            <w:vAlign w:val="bottom"/>
            <w:tcBorders>
              <w:top w:val="single" w:sz="8" w:color="CCCCFF"/>
              <w:right w:val="single" w:sz="8" w:color="CCCCFF"/>
            </w:tcBorders>
          </w:tcPr>
          <w:p>
            <w:pPr>
              <w:spacing w:after="0"/>
              <w:rPr>
                <w:sz w:val="12"/>
                <w:szCs w:val="12"/>
                <w:color w:val="auto"/>
              </w:rPr>
            </w:pPr>
          </w:p>
        </w:tc>
        <w:tc>
          <w:tcPr>
            <w:tcW w:w="1140" w:type="dxa"/>
            <w:vAlign w:val="bottom"/>
            <w:tcBorders>
              <w:top w:val="single" w:sz="8" w:color="CCCCFF"/>
              <w:right w:val="single" w:sz="8" w:color="CCCCFF"/>
            </w:tcBorders>
          </w:tcPr>
          <w:p>
            <w:pPr>
              <w:spacing w:after="0"/>
              <w:rPr>
                <w:sz w:val="12"/>
                <w:szCs w:val="12"/>
                <w:color w:val="auto"/>
              </w:rPr>
            </w:pPr>
          </w:p>
        </w:tc>
        <w:tc>
          <w:tcPr>
            <w:tcW w:w="1160" w:type="dxa"/>
            <w:vAlign w:val="bottom"/>
            <w:tcBorders>
              <w:top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1"/>
              </w:rPr>
              <w:t>Payment of IBEW 363</w:t>
            </w:r>
          </w:p>
        </w:tc>
        <w:tc>
          <w:tcPr>
            <w:tcW w:w="1140" w:type="dxa"/>
            <w:vAlign w:val="bottom"/>
            <w:tcBorders>
              <w:top w:val="single" w:sz="8" w:color="CCCCFF"/>
              <w:right w:val="single" w:sz="8" w:color="CCCCFF"/>
            </w:tcBorders>
          </w:tcPr>
          <w:p>
            <w:pPr>
              <w:spacing w:after="0"/>
              <w:rPr>
                <w:sz w:val="12"/>
                <w:szCs w:val="12"/>
                <w:color w:val="auto"/>
              </w:rPr>
            </w:pPr>
          </w:p>
        </w:tc>
        <w:tc>
          <w:tcPr>
            <w:tcW w:w="1600" w:type="dxa"/>
            <w:vAlign w:val="bottom"/>
            <w:tcBorders>
              <w:top w:val="single" w:sz="8" w:color="CCCCFF"/>
              <w:right w:val="single" w:sz="8" w:color="CCCCFF"/>
            </w:tcBorders>
          </w:tcPr>
          <w:p>
            <w:pPr>
              <w:spacing w:after="0"/>
              <w:rPr>
                <w:sz w:val="12"/>
                <w:szCs w:val="12"/>
                <w:color w:val="auto"/>
              </w:rPr>
            </w:pPr>
          </w:p>
        </w:tc>
        <w:tc>
          <w:tcPr>
            <w:tcW w:w="1160" w:type="dxa"/>
            <w:vAlign w:val="bottom"/>
            <w:tcBorders>
              <w:top w:val="single" w:sz="8" w:color="CCCCFF"/>
              <w:right w:val="single" w:sz="8" w:color="CCCCFF"/>
            </w:tcBorders>
          </w:tcPr>
          <w:p>
            <w:pPr>
              <w:spacing w:after="0"/>
              <w:rPr>
                <w:sz w:val="12"/>
                <w:szCs w:val="12"/>
                <w:color w:val="auto"/>
              </w:rPr>
            </w:pPr>
          </w:p>
        </w:tc>
        <w:tc>
          <w:tcPr>
            <w:tcW w:w="1020" w:type="dxa"/>
            <w:vAlign w:val="bottom"/>
            <w:tcBorders>
              <w:top w:val="single" w:sz="8" w:color="CCCCFF"/>
              <w:right w:val="single" w:sz="8" w:color="CCCCFF"/>
            </w:tcBorders>
          </w:tcPr>
          <w:p>
            <w:pPr>
              <w:spacing w:after="0"/>
              <w:rPr>
                <w:sz w:val="12"/>
                <w:szCs w:val="12"/>
                <w:color w:val="auto"/>
              </w:rPr>
            </w:pPr>
          </w:p>
        </w:tc>
        <w:tc>
          <w:tcPr>
            <w:tcW w:w="1020" w:type="dxa"/>
            <w:vAlign w:val="bottom"/>
            <w:tcBorders>
              <w:top w:val="single" w:sz="8" w:color="CCCCFF"/>
              <w:right w:val="single" w:sz="8" w:color="CCCCFF"/>
            </w:tcBorders>
          </w:tcPr>
          <w:p>
            <w:pPr>
              <w:spacing w:after="0"/>
              <w:rPr>
                <w:sz w:val="12"/>
                <w:szCs w:val="12"/>
                <w:color w:val="auto"/>
              </w:rPr>
            </w:pPr>
          </w:p>
        </w:tc>
        <w:tc>
          <w:tcPr>
            <w:tcW w:w="920" w:type="dxa"/>
            <w:vAlign w:val="bottom"/>
            <w:tcBorders>
              <w:top w:val="single" w:sz="8" w:color="CCCCFF"/>
              <w:right w:val="single" w:sz="8" w:color="0066CC"/>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Welfare Fund, IBEW</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7"/>
              </w:rPr>
              <w:t>363 Pension Fund,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4"/>
              </w:rPr>
              <w:t>IBEW 363 Annuity</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Fund, IBEW 363 Joint</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Apprenticeship</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Training Fund,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IBEW363 Vacation</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International</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and Paid Holiday</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Brotherhood of</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Fund, IBEW 363</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restart"/>
          </w:tcPr>
          <w:p>
            <w:pPr>
              <w:jc w:val="right"/>
              <w:ind w:right="301"/>
              <w:spacing w:after="0" w:line="121" w:lineRule="exact"/>
              <w:rPr>
                <w:sz w:val="20"/>
                <w:szCs w:val="20"/>
                <w:color w:val="auto"/>
              </w:rPr>
            </w:pPr>
            <w:r>
              <w:rPr>
                <w:rFonts w:ascii="Arial" w:cs="Arial" w:eastAsia="Arial" w:hAnsi="Arial"/>
                <w:sz w:val="12"/>
                <w:szCs w:val="12"/>
                <w:color w:val="auto"/>
              </w:rPr>
              <w:t>09137106</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ind w:left="120"/>
              <w:spacing w:after="0" w:line="121" w:lineRule="exact"/>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$65,000.00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ind w:left="240"/>
              <w:spacing w:after="0" w:line="121" w:lineRule="exact"/>
              <w:rPr>
                <w:sz w:val="20"/>
                <w:szCs w:val="20"/>
                <w:color w:val="auto"/>
              </w:rPr>
            </w:pPr>
            <w:r>
              <w:rPr>
                <w:rFonts w:ascii="Arial" w:cs="Arial" w:eastAsia="Arial" w:hAnsi="Arial"/>
                <w:sz w:val="12"/>
                <w:szCs w:val="12"/>
                <w:color w:val="auto"/>
              </w:rPr>
              <w:t>18-Sep-14</w:t>
            </w:r>
          </w:p>
        </w:tc>
        <w:tc>
          <w:tcPr>
            <w:tcW w:w="1020" w:type="dxa"/>
            <w:vAlign w:val="bottom"/>
            <w:tcBorders>
              <w:right w:val="single" w:sz="8" w:color="CCCCFF"/>
            </w:tcBorders>
            <w:vMerge w:val="restart"/>
          </w:tcPr>
          <w:p>
            <w:pPr>
              <w:ind w:left="260"/>
              <w:spacing w:after="0" w:line="121" w:lineRule="exact"/>
              <w:rPr>
                <w:sz w:val="20"/>
                <w:szCs w:val="20"/>
                <w:color w:val="auto"/>
              </w:rPr>
            </w:pPr>
            <w:r>
              <w:rPr>
                <w:rFonts w:ascii="Arial" w:cs="Arial" w:eastAsia="Arial" w:hAnsi="Arial"/>
                <w:sz w:val="12"/>
                <w:szCs w:val="12"/>
                <w:color w:val="auto"/>
              </w:rPr>
              <w:t>18-Sep-16</w:t>
            </w:r>
          </w:p>
        </w:tc>
        <w:tc>
          <w:tcPr>
            <w:tcW w:w="920" w:type="dxa"/>
            <w:vAlign w:val="bottom"/>
            <w:tcBorders>
              <w:right w:val="single" w:sz="8" w:color="0066CC"/>
            </w:tcBorders>
            <w:vMerge w:val="restart"/>
          </w:tcPr>
          <w:p>
            <w:pPr>
              <w:ind w:left="200"/>
              <w:spacing w:after="0" w:line="121" w:lineRule="exact"/>
              <w:rPr>
                <w:sz w:val="20"/>
                <w:szCs w:val="20"/>
                <w:color w:val="auto"/>
              </w:rPr>
            </w:pPr>
            <w:r>
              <w:rPr>
                <w:rFonts w:ascii="Arial" w:cs="Arial" w:eastAsia="Arial" w:hAnsi="Arial"/>
                <w:sz w:val="12"/>
                <w:szCs w:val="12"/>
                <w:color w:val="auto"/>
              </w:rPr>
              <w:t>18-Sep-17</w:t>
            </w: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Electrical Workers</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Labor Management</w:t>
            </w:r>
          </w:p>
        </w:tc>
        <w:tc>
          <w:tcPr>
            <w:tcW w:w="1140" w:type="dxa"/>
            <w:vAlign w:val="bottom"/>
            <w:tcBorders>
              <w:right w:val="single" w:sz="8" w:color="CCCCFF"/>
            </w:tcBorders>
            <w:vMerge w:val="continue"/>
          </w:tcPr>
          <w:p>
            <w:pPr>
              <w:spacing w:after="0"/>
              <w:rPr>
                <w:sz w:val="4"/>
                <w:szCs w:val="4"/>
                <w:color w:val="auto"/>
              </w:rPr>
            </w:pPr>
          </w:p>
        </w:tc>
        <w:tc>
          <w:tcPr>
            <w:tcW w:w="160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920" w:type="dxa"/>
            <w:vAlign w:val="bottom"/>
            <w:tcBorders>
              <w:right w:val="single" w:sz="8" w:color="0066CC"/>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Local Union #363</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Cooperative</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vMerge w:val="continue"/>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Committee, IBEW 363</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7"/>
              </w:rPr>
              <w:t>Supplemental</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Unemployment</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Benefit Fund, the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National Electrical</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Benefit Funds, and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IBEW 363 Scholarship</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7"/>
              </w:rPr>
              <w:t>Fund</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0"/>
              </w:rPr>
              <w:t>International</w:t>
            </w:r>
          </w:p>
        </w:tc>
        <w:tc>
          <w:tcPr>
            <w:tcW w:w="116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Brotherhood of</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Collective Bargaining</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restart"/>
          </w:tcPr>
          <w:p>
            <w:pPr>
              <w:jc w:val="right"/>
              <w:ind w:right="301"/>
              <w:spacing w:after="0" w:line="121" w:lineRule="exact"/>
              <w:rPr>
                <w:sz w:val="20"/>
                <w:szCs w:val="20"/>
                <w:color w:val="auto"/>
              </w:rPr>
            </w:pPr>
            <w:r>
              <w:rPr>
                <w:rFonts w:ascii="Arial" w:cs="Arial" w:eastAsia="Arial" w:hAnsi="Arial"/>
                <w:sz w:val="12"/>
                <w:szCs w:val="12"/>
                <w:color w:val="auto"/>
              </w:rPr>
              <w:t>09143819</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ind w:left="120"/>
              <w:spacing w:after="0" w:line="121" w:lineRule="exact"/>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$50,000.00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ind w:left="240"/>
              <w:spacing w:after="0" w:line="121" w:lineRule="exact"/>
              <w:rPr>
                <w:sz w:val="20"/>
                <w:szCs w:val="20"/>
                <w:color w:val="auto"/>
              </w:rPr>
            </w:pPr>
            <w:r>
              <w:rPr>
                <w:rFonts w:ascii="Arial" w:cs="Arial" w:eastAsia="Arial" w:hAnsi="Arial"/>
                <w:sz w:val="12"/>
                <w:szCs w:val="12"/>
                <w:color w:val="auto"/>
              </w:rPr>
              <w:t>20-Dec-13</w:t>
            </w:r>
          </w:p>
        </w:tc>
        <w:tc>
          <w:tcPr>
            <w:tcW w:w="1020" w:type="dxa"/>
            <w:vAlign w:val="bottom"/>
            <w:tcBorders>
              <w:right w:val="single" w:sz="8" w:color="CCCCFF"/>
            </w:tcBorders>
            <w:vMerge w:val="restart"/>
          </w:tcPr>
          <w:p>
            <w:pPr>
              <w:ind w:left="240"/>
              <w:spacing w:after="0" w:line="121" w:lineRule="exact"/>
              <w:rPr>
                <w:sz w:val="20"/>
                <w:szCs w:val="20"/>
                <w:color w:val="auto"/>
              </w:rPr>
            </w:pPr>
            <w:r>
              <w:rPr>
                <w:rFonts w:ascii="Arial" w:cs="Arial" w:eastAsia="Arial" w:hAnsi="Arial"/>
                <w:sz w:val="12"/>
                <w:szCs w:val="12"/>
                <w:color w:val="auto"/>
              </w:rPr>
              <w:t>20-Dec-16</w:t>
            </w:r>
          </w:p>
        </w:tc>
        <w:tc>
          <w:tcPr>
            <w:tcW w:w="920" w:type="dxa"/>
            <w:vAlign w:val="bottom"/>
            <w:tcBorders>
              <w:right w:val="single" w:sz="8" w:color="0066CC"/>
            </w:tcBorders>
            <w:vMerge w:val="restart"/>
          </w:tcPr>
          <w:p>
            <w:pPr>
              <w:ind w:left="200"/>
              <w:spacing w:after="0" w:line="121" w:lineRule="exact"/>
              <w:rPr>
                <w:sz w:val="20"/>
                <w:szCs w:val="20"/>
                <w:color w:val="auto"/>
              </w:rPr>
            </w:pPr>
            <w:r>
              <w:rPr>
                <w:rFonts w:ascii="Arial" w:cs="Arial" w:eastAsia="Arial" w:hAnsi="Arial"/>
                <w:sz w:val="12"/>
                <w:szCs w:val="12"/>
                <w:color w:val="auto"/>
              </w:rPr>
              <w:t>20-Dec-17</w:t>
            </w: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Electrical Workers</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Agreement</w:t>
            </w:r>
          </w:p>
        </w:tc>
        <w:tc>
          <w:tcPr>
            <w:tcW w:w="1140" w:type="dxa"/>
            <w:vAlign w:val="bottom"/>
            <w:tcBorders>
              <w:right w:val="single" w:sz="8" w:color="CCCCFF"/>
            </w:tcBorders>
            <w:vMerge w:val="continue"/>
          </w:tcPr>
          <w:p>
            <w:pPr>
              <w:spacing w:after="0"/>
              <w:rPr>
                <w:sz w:val="4"/>
                <w:szCs w:val="4"/>
                <w:color w:val="auto"/>
              </w:rPr>
            </w:pPr>
          </w:p>
        </w:tc>
        <w:tc>
          <w:tcPr>
            <w:tcW w:w="160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920" w:type="dxa"/>
            <w:vAlign w:val="bottom"/>
            <w:tcBorders>
              <w:right w:val="single" w:sz="8" w:color="0066CC"/>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2"/>
              </w:rPr>
              <w:t>Local Union No. 5</w:t>
            </w:r>
          </w:p>
        </w:tc>
        <w:tc>
          <w:tcPr>
            <w:tcW w:w="1160" w:type="dxa"/>
            <w:vAlign w:val="bottom"/>
            <w:tcBorders>
              <w:right w:val="single" w:sz="8" w:color="CCCCFF"/>
            </w:tcBorders>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80" w:type="dxa"/>
            <w:vAlign w:val="bottom"/>
            <w:tcBorders>
              <w:left w:val="single" w:sz="8" w:color="0066CC"/>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vMerge w:val="continue"/>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60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920" w:type="dxa"/>
            <w:vAlign w:val="bottom"/>
            <w:tcBorders>
              <w:bottom w:val="single" w:sz="8" w:color="CCCCFF"/>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International</w:t>
            </w: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6"/>
              </w:rPr>
              <w:t>Payment of wages and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contributions to certain</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Brotherhood of</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restart"/>
          </w:tcPr>
          <w:p>
            <w:pPr>
              <w:jc w:val="right"/>
              <w:ind w:right="301"/>
              <w:spacing w:after="0" w:line="121" w:lineRule="exact"/>
              <w:rPr>
                <w:sz w:val="20"/>
                <w:szCs w:val="20"/>
                <w:color w:val="auto"/>
              </w:rPr>
            </w:pPr>
            <w:r>
              <w:rPr>
                <w:rFonts w:ascii="Arial" w:cs="Arial" w:eastAsia="Arial" w:hAnsi="Arial"/>
                <w:sz w:val="12"/>
                <w:szCs w:val="12"/>
                <w:color w:val="auto"/>
              </w:rPr>
              <w:t>09143820</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welfare funds and/or</w:t>
            </w:r>
          </w:p>
        </w:tc>
        <w:tc>
          <w:tcPr>
            <w:tcW w:w="1140" w:type="dxa"/>
            <w:vAlign w:val="bottom"/>
            <w:tcBorders>
              <w:right w:val="single" w:sz="8" w:color="CCCCFF"/>
            </w:tcBorders>
            <w:vMerge w:val="restart"/>
          </w:tcPr>
          <w:p>
            <w:pPr>
              <w:ind w:left="120"/>
              <w:spacing w:after="0" w:line="121" w:lineRule="exact"/>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$20,000.00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ind w:left="240"/>
              <w:spacing w:after="0" w:line="121" w:lineRule="exact"/>
              <w:rPr>
                <w:sz w:val="20"/>
                <w:szCs w:val="20"/>
                <w:color w:val="auto"/>
              </w:rPr>
            </w:pPr>
            <w:r>
              <w:rPr>
                <w:rFonts w:ascii="Arial" w:cs="Arial" w:eastAsia="Arial" w:hAnsi="Arial"/>
                <w:sz w:val="12"/>
                <w:szCs w:val="12"/>
                <w:color w:val="auto"/>
              </w:rPr>
              <w:t>20-Dec-13</w:t>
            </w:r>
          </w:p>
        </w:tc>
        <w:tc>
          <w:tcPr>
            <w:tcW w:w="1020" w:type="dxa"/>
            <w:vAlign w:val="bottom"/>
            <w:tcBorders>
              <w:right w:val="single" w:sz="8" w:color="CCCCFF"/>
            </w:tcBorders>
            <w:vMerge w:val="restart"/>
          </w:tcPr>
          <w:p>
            <w:pPr>
              <w:ind w:left="240"/>
              <w:spacing w:after="0" w:line="121" w:lineRule="exact"/>
              <w:rPr>
                <w:sz w:val="20"/>
                <w:szCs w:val="20"/>
                <w:color w:val="auto"/>
              </w:rPr>
            </w:pPr>
            <w:r>
              <w:rPr>
                <w:rFonts w:ascii="Arial" w:cs="Arial" w:eastAsia="Arial" w:hAnsi="Arial"/>
                <w:sz w:val="12"/>
                <w:szCs w:val="12"/>
                <w:color w:val="auto"/>
              </w:rPr>
              <w:t>20-Dec-16</w:t>
            </w:r>
          </w:p>
        </w:tc>
        <w:tc>
          <w:tcPr>
            <w:tcW w:w="920" w:type="dxa"/>
            <w:vAlign w:val="bottom"/>
            <w:tcBorders>
              <w:right w:val="single" w:sz="8" w:color="0066CC"/>
            </w:tcBorders>
            <w:vMerge w:val="restart"/>
          </w:tcPr>
          <w:p>
            <w:pPr>
              <w:ind w:left="200"/>
              <w:spacing w:after="0" w:line="121" w:lineRule="exact"/>
              <w:rPr>
                <w:sz w:val="20"/>
                <w:szCs w:val="20"/>
                <w:color w:val="auto"/>
              </w:rPr>
            </w:pPr>
            <w:r>
              <w:rPr>
                <w:rFonts w:ascii="Arial" w:cs="Arial" w:eastAsia="Arial" w:hAnsi="Arial"/>
                <w:sz w:val="12"/>
                <w:szCs w:val="12"/>
                <w:color w:val="auto"/>
              </w:rPr>
              <w:t>20-Dec-17</w:t>
            </w: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Electrical Workers,</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60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920" w:type="dxa"/>
            <w:vAlign w:val="bottom"/>
            <w:tcBorders>
              <w:right w:val="single" w:sz="8" w:color="0066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7"/>
              </w:rPr>
              <w:t>vacations funds and/or</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2"/>
              </w:rPr>
              <w:t>Local Union 897</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similar trust funds.</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80" w:type="dxa"/>
            <w:vAlign w:val="bottom"/>
            <w:tcBorders>
              <w:left w:val="single" w:sz="8" w:color="0066CC"/>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vMerge w:val="continue"/>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60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920" w:type="dxa"/>
            <w:vAlign w:val="bottom"/>
            <w:tcBorders>
              <w:bottom w:val="single" w:sz="8" w:color="CCCCFF"/>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180" w:type="dxa"/>
            <w:vAlign w:val="bottom"/>
            <w:tcBorders>
              <w:left w:val="single" w:sz="8" w:color="0066CC"/>
              <w:right w:val="single" w:sz="8" w:color="CCCCFF"/>
            </w:tcBorders>
          </w:tcPr>
          <w:p>
            <w:pPr>
              <w:spacing w:after="0"/>
              <w:rPr>
                <w:sz w:val="14"/>
                <w:szCs w:val="14"/>
                <w:color w:val="auto"/>
              </w:rPr>
            </w:pPr>
          </w:p>
        </w:tc>
        <w:tc>
          <w:tcPr>
            <w:tcW w:w="1140" w:type="dxa"/>
            <w:vAlign w:val="bottom"/>
            <w:tcBorders>
              <w:right w:val="single" w:sz="8" w:color="CCCCFF"/>
            </w:tcBorders>
          </w:tcPr>
          <w:p>
            <w:pPr>
              <w:jc w:val="center"/>
              <w:spacing w:after="0"/>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tcPr>
          <w:p>
            <w:pPr>
              <w:jc w:val="center"/>
              <w:spacing w:after="0"/>
              <w:rPr>
                <w:sz w:val="20"/>
                <w:szCs w:val="20"/>
                <w:color w:val="auto"/>
              </w:rPr>
            </w:pPr>
            <w:r>
              <w:rPr>
                <w:rFonts w:ascii="Arial" w:cs="Arial" w:eastAsia="Arial" w:hAnsi="Arial"/>
                <w:sz w:val="12"/>
                <w:szCs w:val="12"/>
                <w:color w:val="auto"/>
                <w:w w:val="90"/>
              </w:rPr>
              <w:t>Construction Workers</w:t>
            </w:r>
          </w:p>
        </w:tc>
        <w:tc>
          <w:tcPr>
            <w:tcW w:w="1160" w:type="dxa"/>
            <w:vAlign w:val="bottom"/>
            <w:tcBorders>
              <w:right w:val="single" w:sz="8" w:color="CCCCFF"/>
            </w:tcBorders>
          </w:tcPr>
          <w:p>
            <w:pPr>
              <w:jc w:val="center"/>
              <w:spacing w:after="0"/>
              <w:rPr>
                <w:sz w:val="20"/>
                <w:szCs w:val="20"/>
                <w:color w:val="auto"/>
              </w:rPr>
            </w:pPr>
            <w:r>
              <w:rPr>
                <w:rFonts w:ascii="Arial" w:cs="Arial" w:eastAsia="Arial" w:hAnsi="Arial"/>
                <w:sz w:val="12"/>
                <w:szCs w:val="12"/>
                <w:color w:val="auto"/>
                <w:w w:val="92"/>
              </w:rPr>
              <w:t>Collective Bargaining</w:t>
            </w:r>
          </w:p>
        </w:tc>
        <w:tc>
          <w:tcPr>
            <w:tcW w:w="1140" w:type="dxa"/>
            <w:vAlign w:val="bottom"/>
            <w:tcBorders>
              <w:right w:val="single" w:sz="8" w:color="CCCCFF"/>
            </w:tcBorders>
          </w:tcPr>
          <w:p>
            <w:pPr>
              <w:spacing w:after="0"/>
              <w:rPr>
                <w:sz w:val="14"/>
                <w:szCs w:val="14"/>
                <w:color w:val="auto"/>
              </w:rPr>
            </w:pPr>
          </w:p>
        </w:tc>
        <w:tc>
          <w:tcPr>
            <w:tcW w:w="1600" w:type="dxa"/>
            <w:vAlign w:val="bottom"/>
            <w:tcBorders>
              <w:right w:val="single" w:sz="8" w:color="CCCCFF"/>
            </w:tcBorders>
          </w:tcPr>
          <w:p>
            <w:pPr>
              <w:spacing w:after="0"/>
              <w:rPr>
                <w:sz w:val="14"/>
                <w:szCs w:val="14"/>
                <w:color w:val="auto"/>
              </w:rPr>
            </w:pPr>
          </w:p>
        </w:tc>
        <w:tc>
          <w:tcPr>
            <w:tcW w:w="1160" w:type="dxa"/>
            <w:vAlign w:val="bottom"/>
            <w:tcBorders>
              <w:right w:val="single" w:sz="8" w:color="CCCCFF"/>
            </w:tcBorders>
          </w:tcPr>
          <w:p>
            <w:pPr>
              <w:spacing w:after="0"/>
              <w:rPr>
                <w:sz w:val="14"/>
                <w:szCs w:val="14"/>
                <w:color w:val="auto"/>
              </w:rPr>
            </w:pPr>
          </w:p>
        </w:tc>
        <w:tc>
          <w:tcPr>
            <w:tcW w:w="1020" w:type="dxa"/>
            <w:vAlign w:val="bottom"/>
            <w:tcBorders>
              <w:right w:val="single" w:sz="8" w:color="CCCCFF"/>
            </w:tcBorders>
          </w:tcPr>
          <w:p>
            <w:pPr>
              <w:spacing w:after="0"/>
              <w:rPr>
                <w:sz w:val="14"/>
                <w:szCs w:val="14"/>
                <w:color w:val="auto"/>
              </w:rPr>
            </w:pPr>
          </w:p>
        </w:tc>
        <w:tc>
          <w:tcPr>
            <w:tcW w:w="1020" w:type="dxa"/>
            <w:vAlign w:val="bottom"/>
            <w:tcBorders>
              <w:right w:val="single" w:sz="8" w:color="CCCCFF"/>
            </w:tcBorders>
          </w:tcPr>
          <w:p>
            <w:pPr>
              <w:spacing w:after="0"/>
              <w:rPr>
                <w:sz w:val="14"/>
                <w:szCs w:val="14"/>
                <w:color w:val="auto"/>
              </w:rPr>
            </w:pPr>
          </w:p>
        </w:tc>
        <w:tc>
          <w:tcPr>
            <w:tcW w:w="920" w:type="dxa"/>
            <w:vAlign w:val="bottom"/>
            <w:tcBorders>
              <w:right w:val="single" w:sz="8" w:color="0066CC"/>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1180" w:type="dxa"/>
            <w:vAlign w:val="bottom"/>
            <w:tcBorders>
              <w:left w:val="single" w:sz="8" w:color="0066CC"/>
              <w:right w:val="single" w:sz="8" w:color="CCCCFF"/>
            </w:tcBorders>
            <w:vMerge w:val="restart"/>
          </w:tcPr>
          <w:p>
            <w:pPr>
              <w:jc w:val="right"/>
              <w:ind w:right="301"/>
              <w:spacing w:after="0" w:line="128" w:lineRule="exact"/>
              <w:rPr>
                <w:sz w:val="20"/>
                <w:szCs w:val="20"/>
                <w:color w:val="auto"/>
              </w:rPr>
            </w:pPr>
            <w:r>
              <w:rPr>
                <w:rFonts w:ascii="Arial" w:cs="Arial" w:eastAsia="Arial" w:hAnsi="Arial"/>
                <w:sz w:val="12"/>
                <w:szCs w:val="12"/>
                <w:color w:val="auto"/>
              </w:rPr>
              <w:t>09143823</w:t>
            </w:r>
          </w:p>
        </w:tc>
        <w:tc>
          <w:tcPr>
            <w:tcW w:w="1140" w:type="dxa"/>
            <w:vAlign w:val="bottom"/>
            <w:tcBorders>
              <w:right w:val="single" w:sz="8" w:color="CCCCFF"/>
            </w:tcBorders>
            <w:vMerge w:val="restart"/>
          </w:tcPr>
          <w:p>
            <w:pPr>
              <w:jc w:val="center"/>
              <w:spacing w:after="0" w:line="128"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restart"/>
          </w:tcPr>
          <w:p>
            <w:pPr>
              <w:jc w:val="center"/>
              <w:spacing w:after="0" w:line="128" w:lineRule="exact"/>
              <w:rPr>
                <w:sz w:val="20"/>
                <w:szCs w:val="20"/>
                <w:color w:val="auto"/>
              </w:rPr>
            </w:pPr>
            <w:r>
              <w:rPr>
                <w:rFonts w:ascii="Arial" w:cs="Arial" w:eastAsia="Arial" w:hAnsi="Arial"/>
                <w:sz w:val="12"/>
                <w:szCs w:val="12"/>
                <w:color w:val="auto"/>
                <w:w w:val="88"/>
              </w:rPr>
              <w:t>Pension Trust-Lake</w:t>
            </w:r>
          </w:p>
        </w:tc>
        <w:tc>
          <w:tcPr>
            <w:tcW w:w="1160" w:type="dxa"/>
            <w:vAlign w:val="bottom"/>
            <w:tcBorders>
              <w:right w:val="single" w:sz="8" w:color="CCCCFF"/>
            </w:tcBorders>
          </w:tcPr>
          <w:p>
            <w:pPr>
              <w:jc w:val="center"/>
              <w:spacing w:after="0" w:line="73" w:lineRule="exact"/>
              <w:rPr>
                <w:sz w:val="20"/>
                <w:szCs w:val="20"/>
                <w:color w:val="auto"/>
              </w:rPr>
            </w:pPr>
            <w:r>
              <w:rPr>
                <w:rFonts w:ascii="Arial" w:cs="Arial" w:eastAsia="Arial" w:hAnsi="Arial"/>
                <w:sz w:val="8"/>
                <w:szCs w:val="8"/>
                <w:color w:val="auto"/>
              </w:rPr>
              <w:t>Agreement to pay all</w:t>
            </w:r>
          </w:p>
        </w:tc>
        <w:tc>
          <w:tcPr>
            <w:tcW w:w="1140" w:type="dxa"/>
            <w:vAlign w:val="bottom"/>
            <w:tcBorders>
              <w:right w:val="single" w:sz="8" w:color="CCCCFF"/>
            </w:tcBorders>
            <w:vMerge w:val="restart"/>
          </w:tcPr>
          <w:p>
            <w:pPr>
              <w:ind w:left="120"/>
              <w:spacing w:after="0" w:line="128" w:lineRule="exact"/>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vMerge w:val="restart"/>
          </w:tcPr>
          <w:p>
            <w:pPr>
              <w:jc w:val="right"/>
              <w:spacing w:after="0" w:line="128" w:lineRule="exact"/>
              <w:rPr>
                <w:sz w:val="20"/>
                <w:szCs w:val="20"/>
                <w:color w:val="auto"/>
              </w:rPr>
            </w:pPr>
            <w:r>
              <w:rPr>
                <w:rFonts w:ascii="Arial" w:cs="Arial" w:eastAsia="Arial" w:hAnsi="Arial"/>
                <w:sz w:val="12"/>
                <w:szCs w:val="12"/>
                <w:color w:val="auto"/>
              </w:rPr>
              <w:t>$100,000.00</w:t>
            </w:r>
          </w:p>
        </w:tc>
        <w:tc>
          <w:tcPr>
            <w:tcW w:w="1160" w:type="dxa"/>
            <w:vAlign w:val="bottom"/>
            <w:tcBorders>
              <w:right w:val="single" w:sz="8" w:color="CCCCFF"/>
            </w:tcBorders>
            <w:vMerge w:val="restart"/>
          </w:tcPr>
          <w:p>
            <w:pPr>
              <w:ind w:left="420"/>
              <w:spacing w:after="0" w:line="128"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ind w:left="240"/>
              <w:spacing w:after="0" w:line="128" w:lineRule="exact"/>
              <w:rPr>
                <w:sz w:val="20"/>
                <w:szCs w:val="20"/>
                <w:color w:val="auto"/>
              </w:rPr>
            </w:pPr>
            <w:r>
              <w:rPr>
                <w:rFonts w:ascii="Arial" w:cs="Arial" w:eastAsia="Arial" w:hAnsi="Arial"/>
                <w:sz w:val="12"/>
                <w:szCs w:val="12"/>
                <w:color w:val="auto"/>
              </w:rPr>
              <w:t>20-Dec-13</w:t>
            </w:r>
          </w:p>
        </w:tc>
        <w:tc>
          <w:tcPr>
            <w:tcW w:w="1020" w:type="dxa"/>
            <w:vAlign w:val="bottom"/>
            <w:tcBorders>
              <w:right w:val="single" w:sz="8" w:color="CCCCFF"/>
            </w:tcBorders>
            <w:vMerge w:val="restart"/>
          </w:tcPr>
          <w:p>
            <w:pPr>
              <w:ind w:left="240"/>
              <w:spacing w:after="0" w:line="128" w:lineRule="exact"/>
              <w:rPr>
                <w:sz w:val="20"/>
                <w:szCs w:val="20"/>
                <w:color w:val="auto"/>
              </w:rPr>
            </w:pPr>
            <w:r>
              <w:rPr>
                <w:rFonts w:ascii="Arial" w:cs="Arial" w:eastAsia="Arial" w:hAnsi="Arial"/>
                <w:sz w:val="12"/>
                <w:szCs w:val="12"/>
                <w:color w:val="auto"/>
              </w:rPr>
              <w:t>20-Dec-16</w:t>
            </w:r>
          </w:p>
        </w:tc>
        <w:tc>
          <w:tcPr>
            <w:tcW w:w="920" w:type="dxa"/>
            <w:vAlign w:val="bottom"/>
            <w:tcBorders>
              <w:right w:val="single" w:sz="8" w:color="0066CC"/>
            </w:tcBorders>
            <w:vMerge w:val="restart"/>
          </w:tcPr>
          <w:p>
            <w:pPr>
              <w:ind w:left="200"/>
              <w:spacing w:after="0" w:line="128" w:lineRule="exact"/>
              <w:rPr>
                <w:sz w:val="20"/>
                <w:szCs w:val="20"/>
                <w:color w:val="auto"/>
              </w:rPr>
            </w:pPr>
            <w:r>
              <w:rPr>
                <w:rFonts w:ascii="Arial" w:cs="Arial" w:eastAsia="Arial" w:hAnsi="Arial"/>
                <w:sz w:val="12"/>
                <w:szCs w:val="12"/>
                <w:color w:val="auto"/>
              </w:rPr>
              <w:t>20-Dec-17</w:t>
            </w: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6"/>
              </w:rPr>
              <w:t>wages, deductions and</w:t>
            </w:r>
          </w:p>
        </w:tc>
        <w:tc>
          <w:tcPr>
            <w:tcW w:w="1140" w:type="dxa"/>
            <w:vAlign w:val="bottom"/>
            <w:tcBorders>
              <w:right w:val="single" w:sz="8" w:color="CCCCFF"/>
            </w:tcBorders>
            <w:vMerge w:val="continue"/>
          </w:tcPr>
          <w:p>
            <w:pPr>
              <w:spacing w:after="0"/>
              <w:rPr>
                <w:sz w:val="4"/>
                <w:szCs w:val="4"/>
                <w:color w:val="auto"/>
              </w:rPr>
            </w:pPr>
          </w:p>
        </w:tc>
        <w:tc>
          <w:tcPr>
            <w:tcW w:w="160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920" w:type="dxa"/>
            <w:vAlign w:val="bottom"/>
            <w:tcBorders>
              <w:right w:val="single" w:sz="8" w:color="0066CC"/>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3"/>
              </w:rPr>
              <w:t>County and Vicinity</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2"/>
              </w:rPr>
              <w:t>contributions.</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80" w:type="dxa"/>
            <w:vAlign w:val="bottom"/>
            <w:tcBorders>
              <w:left w:val="single" w:sz="8" w:color="0066CC"/>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vMerge w:val="continue"/>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60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920" w:type="dxa"/>
            <w:vAlign w:val="bottom"/>
            <w:tcBorders>
              <w:bottom w:val="single" w:sz="8" w:color="CCCCFF"/>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8"/>
              </w:rPr>
              <w:t>Pay the wages, fringe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2"/>
              </w:rPr>
              <w:t>benefit contribution</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and payroll deductions</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2"/>
              </w:rPr>
              <w:t>Ironworkers Local</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of any and all Union</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restart"/>
          </w:tcPr>
          <w:p>
            <w:pPr>
              <w:jc w:val="right"/>
              <w:ind w:right="301"/>
              <w:spacing w:after="0" w:line="121" w:lineRule="exact"/>
              <w:rPr>
                <w:sz w:val="20"/>
                <w:szCs w:val="20"/>
                <w:color w:val="auto"/>
              </w:rPr>
            </w:pPr>
            <w:r>
              <w:rPr>
                <w:rFonts w:ascii="Arial" w:cs="Arial" w:eastAsia="Arial" w:hAnsi="Arial"/>
                <w:sz w:val="12"/>
                <w:szCs w:val="12"/>
                <w:color w:val="auto"/>
              </w:rPr>
              <w:t>09143824</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6"/>
              </w:rPr>
              <w:t>members or other</w:t>
            </w:r>
          </w:p>
        </w:tc>
        <w:tc>
          <w:tcPr>
            <w:tcW w:w="1140" w:type="dxa"/>
            <w:vAlign w:val="bottom"/>
            <w:tcBorders>
              <w:right w:val="single" w:sz="8" w:color="CCCCFF"/>
            </w:tcBorders>
            <w:vMerge w:val="restart"/>
          </w:tcPr>
          <w:p>
            <w:pPr>
              <w:ind w:left="120"/>
              <w:spacing w:after="0" w:line="121" w:lineRule="exact"/>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$75,000.00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ind w:left="240"/>
              <w:spacing w:after="0" w:line="121" w:lineRule="exact"/>
              <w:rPr>
                <w:sz w:val="20"/>
                <w:szCs w:val="20"/>
                <w:color w:val="auto"/>
              </w:rPr>
            </w:pPr>
            <w:r>
              <w:rPr>
                <w:rFonts w:ascii="Arial" w:cs="Arial" w:eastAsia="Arial" w:hAnsi="Arial"/>
                <w:sz w:val="12"/>
                <w:szCs w:val="12"/>
                <w:color w:val="auto"/>
              </w:rPr>
              <w:t>20-Dec-13</w:t>
            </w:r>
          </w:p>
        </w:tc>
        <w:tc>
          <w:tcPr>
            <w:tcW w:w="1020" w:type="dxa"/>
            <w:vAlign w:val="bottom"/>
            <w:tcBorders>
              <w:right w:val="single" w:sz="8" w:color="CCCCFF"/>
            </w:tcBorders>
            <w:vMerge w:val="restart"/>
          </w:tcPr>
          <w:p>
            <w:pPr>
              <w:ind w:left="240"/>
              <w:spacing w:after="0" w:line="121" w:lineRule="exact"/>
              <w:rPr>
                <w:sz w:val="20"/>
                <w:szCs w:val="20"/>
                <w:color w:val="auto"/>
              </w:rPr>
            </w:pPr>
            <w:r>
              <w:rPr>
                <w:rFonts w:ascii="Arial" w:cs="Arial" w:eastAsia="Arial" w:hAnsi="Arial"/>
                <w:sz w:val="12"/>
                <w:szCs w:val="12"/>
                <w:color w:val="auto"/>
              </w:rPr>
              <w:t>20-Dec-16</w:t>
            </w:r>
          </w:p>
        </w:tc>
        <w:tc>
          <w:tcPr>
            <w:tcW w:w="920" w:type="dxa"/>
            <w:vAlign w:val="bottom"/>
            <w:tcBorders>
              <w:right w:val="single" w:sz="8" w:color="0066CC"/>
            </w:tcBorders>
            <w:vMerge w:val="restart"/>
          </w:tcPr>
          <w:p>
            <w:pPr>
              <w:ind w:left="200"/>
              <w:spacing w:after="0" w:line="121" w:lineRule="exact"/>
              <w:rPr>
                <w:sz w:val="20"/>
                <w:szCs w:val="20"/>
                <w:color w:val="auto"/>
              </w:rPr>
            </w:pPr>
            <w:r>
              <w:rPr>
                <w:rFonts w:ascii="Arial" w:cs="Arial" w:eastAsia="Arial" w:hAnsi="Arial"/>
                <w:sz w:val="12"/>
                <w:szCs w:val="12"/>
                <w:color w:val="auto"/>
              </w:rPr>
              <w:t>20-Dec-17</w:t>
            </w: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1"/>
              </w:rPr>
              <w:t>Union #395</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60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920" w:type="dxa"/>
            <w:vAlign w:val="bottom"/>
            <w:tcBorders>
              <w:right w:val="single" w:sz="8" w:color="0066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employees working</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7"/>
              </w:rPr>
              <w:t>pursuant to the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provisions of the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6"/>
              </w:rPr>
              <w:t>aforesaid agreement.</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131</w:t>
      </w:r>
    </w:p>
    <w:p>
      <w:pPr>
        <w:sectPr>
          <w:pgSz w:w="11900" w:h="16838" w:orient="portrait"/>
          <w:cols w:equalWidth="0" w:num="1">
            <w:col w:w="11480"/>
          </w:cols>
          <w:pgMar w:left="220" w:top="605" w:right="199" w:bottom="1440" w:gutter="0" w:footer="0" w:header="0"/>
        </w:sectPr>
      </w:pPr>
    </w:p>
    <w:bookmarkStart w:id="192" w:name="page193"/>
    <w:bookmarkEnd w:id="192"/>
    <w:tbl>
      <w:tblPr>
        <w:tblLayout w:type="fixed"/>
        <w:tblInd w:w="10" w:type="dxa"/>
        <w:tblCellMar>
          <w:top w:w="0" w:type="dxa"/>
          <w:left w:w="0" w:type="dxa"/>
          <w:bottom w:w="0" w:type="dxa"/>
          <w:right w:w="0" w:type="dxa"/>
        </w:tblCellMar>
      </w:tblPr>
      <w:tr>
        <w:trPr>
          <w:trHeight w:val="139"/>
        </w:trPr>
        <w:tc>
          <w:tcPr>
            <w:tcW w:w="1180" w:type="dxa"/>
            <w:vAlign w:val="bottom"/>
            <w:tcBorders>
              <w:top w:val="single" w:sz="8" w:color="CCCCFF"/>
              <w:left w:val="single" w:sz="8" w:color="0066CC"/>
              <w:right w:val="single" w:sz="8" w:color="CCCCFF"/>
            </w:tcBorders>
          </w:tcPr>
          <w:p>
            <w:pPr>
              <w:spacing w:after="0"/>
              <w:rPr>
                <w:sz w:val="12"/>
                <w:szCs w:val="12"/>
                <w:color w:val="auto"/>
              </w:rPr>
            </w:pPr>
          </w:p>
        </w:tc>
        <w:tc>
          <w:tcPr>
            <w:tcW w:w="1140" w:type="dxa"/>
            <w:vAlign w:val="bottom"/>
            <w:tcBorders>
              <w:top w:val="single" w:sz="8" w:color="CCCCFF"/>
              <w:right w:val="single" w:sz="8" w:color="CCCCFF"/>
            </w:tcBorders>
          </w:tcPr>
          <w:p>
            <w:pPr>
              <w:spacing w:after="0"/>
              <w:rPr>
                <w:sz w:val="12"/>
                <w:szCs w:val="12"/>
                <w:color w:val="auto"/>
              </w:rPr>
            </w:pPr>
          </w:p>
        </w:tc>
        <w:tc>
          <w:tcPr>
            <w:tcW w:w="1140" w:type="dxa"/>
            <w:vAlign w:val="bottom"/>
            <w:tcBorders>
              <w:top w:val="single" w:sz="8" w:color="CCCCFF"/>
              <w:right w:val="single" w:sz="8" w:color="CCCCFF"/>
            </w:tcBorders>
          </w:tcPr>
          <w:p>
            <w:pPr>
              <w:spacing w:after="0"/>
              <w:rPr>
                <w:sz w:val="12"/>
                <w:szCs w:val="12"/>
                <w:color w:val="auto"/>
              </w:rPr>
            </w:pPr>
          </w:p>
        </w:tc>
        <w:tc>
          <w:tcPr>
            <w:tcW w:w="1160" w:type="dxa"/>
            <w:vAlign w:val="bottom"/>
            <w:tcBorders>
              <w:top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6"/>
              </w:rPr>
              <w:t>Guarantee remittance</w:t>
            </w:r>
          </w:p>
        </w:tc>
        <w:tc>
          <w:tcPr>
            <w:tcW w:w="1140" w:type="dxa"/>
            <w:vAlign w:val="bottom"/>
            <w:tcBorders>
              <w:top w:val="single" w:sz="8" w:color="CCCCFF"/>
              <w:right w:val="single" w:sz="8" w:color="CCCCFF"/>
            </w:tcBorders>
          </w:tcPr>
          <w:p>
            <w:pPr>
              <w:spacing w:after="0"/>
              <w:rPr>
                <w:sz w:val="12"/>
                <w:szCs w:val="12"/>
                <w:color w:val="auto"/>
              </w:rPr>
            </w:pPr>
          </w:p>
        </w:tc>
        <w:tc>
          <w:tcPr>
            <w:tcW w:w="1600" w:type="dxa"/>
            <w:vAlign w:val="bottom"/>
            <w:tcBorders>
              <w:top w:val="single" w:sz="8" w:color="CCCCFF"/>
              <w:right w:val="single" w:sz="8" w:color="CCCCFF"/>
            </w:tcBorders>
          </w:tcPr>
          <w:p>
            <w:pPr>
              <w:spacing w:after="0"/>
              <w:rPr>
                <w:sz w:val="12"/>
                <w:szCs w:val="12"/>
                <w:color w:val="auto"/>
              </w:rPr>
            </w:pPr>
          </w:p>
        </w:tc>
        <w:tc>
          <w:tcPr>
            <w:tcW w:w="1160" w:type="dxa"/>
            <w:vAlign w:val="bottom"/>
            <w:tcBorders>
              <w:top w:val="single" w:sz="8" w:color="CCCCFF"/>
              <w:right w:val="single" w:sz="8" w:color="CCCCFF"/>
            </w:tcBorders>
          </w:tcPr>
          <w:p>
            <w:pPr>
              <w:spacing w:after="0"/>
              <w:rPr>
                <w:sz w:val="12"/>
                <w:szCs w:val="12"/>
                <w:color w:val="auto"/>
              </w:rPr>
            </w:pPr>
          </w:p>
        </w:tc>
        <w:tc>
          <w:tcPr>
            <w:tcW w:w="1020" w:type="dxa"/>
            <w:vAlign w:val="bottom"/>
            <w:tcBorders>
              <w:top w:val="single" w:sz="8" w:color="CCCCFF"/>
              <w:right w:val="single" w:sz="8" w:color="CCCCFF"/>
            </w:tcBorders>
          </w:tcPr>
          <w:p>
            <w:pPr>
              <w:spacing w:after="0"/>
              <w:rPr>
                <w:sz w:val="12"/>
                <w:szCs w:val="12"/>
                <w:color w:val="auto"/>
              </w:rPr>
            </w:pPr>
          </w:p>
        </w:tc>
        <w:tc>
          <w:tcPr>
            <w:tcW w:w="1020" w:type="dxa"/>
            <w:vAlign w:val="bottom"/>
            <w:tcBorders>
              <w:top w:val="single" w:sz="8" w:color="CCCCFF"/>
              <w:right w:val="single" w:sz="8" w:color="CCCCFF"/>
            </w:tcBorders>
          </w:tcPr>
          <w:p>
            <w:pPr>
              <w:spacing w:after="0"/>
              <w:rPr>
                <w:sz w:val="12"/>
                <w:szCs w:val="12"/>
                <w:color w:val="auto"/>
              </w:rPr>
            </w:pPr>
          </w:p>
        </w:tc>
        <w:tc>
          <w:tcPr>
            <w:tcW w:w="920" w:type="dxa"/>
            <w:vAlign w:val="bottom"/>
            <w:tcBorders>
              <w:top w:val="single" w:sz="8" w:color="CCCCFF"/>
              <w:right w:val="single" w:sz="8" w:color="0066CC"/>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of wages, dues, fringe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benefit contributions,</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7"/>
              </w:rPr>
              <w:t>liquidated damages,</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6"/>
              </w:rPr>
              <w:t>interest and attorneys'</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5"/>
              </w:rPr>
              <w:t>fees and costs</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6"/>
              </w:rPr>
              <w:t>associated wth the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2"/>
              </w:rPr>
              <w:t>Collective Bargaining</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Agreement - Plumbers</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and Pipefitters Local</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3"/>
              </w:rPr>
              <w:t>Union No. 74 Annuity</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Plumbers &amp; Pipefitters</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6"/>
              </w:rPr>
              <w:t>Fund, Plumbers and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restart"/>
          </w:tcPr>
          <w:p>
            <w:pPr>
              <w:jc w:val="right"/>
              <w:ind w:right="301"/>
              <w:spacing w:after="0" w:line="121" w:lineRule="exact"/>
              <w:rPr>
                <w:sz w:val="20"/>
                <w:szCs w:val="20"/>
                <w:color w:val="auto"/>
              </w:rPr>
            </w:pPr>
            <w:r>
              <w:rPr>
                <w:rFonts w:ascii="Arial" w:cs="Arial" w:eastAsia="Arial" w:hAnsi="Arial"/>
                <w:sz w:val="12"/>
                <w:szCs w:val="12"/>
                <w:color w:val="auto"/>
              </w:rPr>
              <w:t>09143827</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Pipefitters Local</w:t>
            </w:r>
          </w:p>
        </w:tc>
        <w:tc>
          <w:tcPr>
            <w:tcW w:w="1140" w:type="dxa"/>
            <w:vAlign w:val="bottom"/>
            <w:tcBorders>
              <w:right w:val="single" w:sz="8" w:color="CCCCFF"/>
            </w:tcBorders>
            <w:vMerge w:val="restart"/>
          </w:tcPr>
          <w:p>
            <w:pPr>
              <w:ind w:left="120"/>
              <w:spacing w:after="0" w:line="121" w:lineRule="exact"/>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$250,000.00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ind w:left="240"/>
              <w:spacing w:after="0" w:line="121" w:lineRule="exact"/>
              <w:rPr>
                <w:sz w:val="20"/>
                <w:szCs w:val="20"/>
                <w:color w:val="auto"/>
              </w:rPr>
            </w:pPr>
            <w:r>
              <w:rPr>
                <w:rFonts w:ascii="Arial" w:cs="Arial" w:eastAsia="Arial" w:hAnsi="Arial"/>
                <w:sz w:val="12"/>
                <w:szCs w:val="12"/>
                <w:color w:val="auto"/>
              </w:rPr>
              <w:t>20-Dec-13</w:t>
            </w:r>
          </w:p>
        </w:tc>
        <w:tc>
          <w:tcPr>
            <w:tcW w:w="1020" w:type="dxa"/>
            <w:vAlign w:val="bottom"/>
            <w:tcBorders>
              <w:right w:val="single" w:sz="8" w:color="CCCCFF"/>
            </w:tcBorders>
            <w:vMerge w:val="restart"/>
          </w:tcPr>
          <w:p>
            <w:pPr>
              <w:ind w:left="240"/>
              <w:spacing w:after="0" w:line="121" w:lineRule="exact"/>
              <w:rPr>
                <w:sz w:val="20"/>
                <w:szCs w:val="20"/>
                <w:color w:val="auto"/>
              </w:rPr>
            </w:pPr>
            <w:r>
              <w:rPr>
                <w:rFonts w:ascii="Arial" w:cs="Arial" w:eastAsia="Arial" w:hAnsi="Arial"/>
                <w:sz w:val="12"/>
                <w:szCs w:val="12"/>
                <w:color w:val="auto"/>
              </w:rPr>
              <w:t>20-Dec-16</w:t>
            </w:r>
          </w:p>
        </w:tc>
        <w:tc>
          <w:tcPr>
            <w:tcW w:w="920" w:type="dxa"/>
            <w:vAlign w:val="bottom"/>
            <w:tcBorders>
              <w:right w:val="single" w:sz="8" w:color="0066CC"/>
            </w:tcBorders>
            <w:vMerge w:val="restart"/>
          </w:tcPr>
          <w:p>
            <w:pPr>
              <w:ind w:left="200"/>
              <w:spacing w:after="0" w:line="121" w:lineRule="exact"/>
              <w:rPr>
                <w:sz w:val="20"/>
                <w:szCs w:val="20"/>
                <w:color w:val="auto"/>
              </w:rPr>
            </w:pPr>
            <w:r>
              <w:rPr>
                <w:rFonts w:ascii="Arial" w:cs="Arial" w:eastAsia="Arial" w:hAnsi="Arial"/>
                <w:sz w:val="12"/>
                <w:szCs w:val="12"/>
                <w:color w:val="auto"/>
              </w:rPr>
              <w:t>20-Dec-17</w:t>
            </w: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1"/>
              </w:rPr>
              <w:t>UA Local 74</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60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920" w:type="dxa"/>
            <w:vAlign w:val="bottom"/>
            <w:tcBorders>
              <w:right w:val="single" w:sz="8" w:color="0066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Union No. 74 Pension</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Trust Fund, Plumbers</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and Pipefitters Local</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No. 74 Apprenticeship</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7"/>
              </w:rPr>
              <w:t>Fund, Delaware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Mechnical Contractors</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Association Industry</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Advancement Fund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and Pipefitters Local</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Union 74</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Educational/PAC</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4"/>
              </w:rPr>
              <w:t>Fund.</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4"/>
              </w:rPr>
              <w:t>Guarantee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contributions to</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180" w:type="dxa"/>
            <w:vAlign w:val="bottom"/>
            <w:tcBorders>
              <w:left w:val="single" w:sz="8" w:color="0066CC"/>
              <w:right w:val="single" w:sz="8" w:color="CCCCFF"/>
            </w:tcBorders>
          </w:tcPr>
          <w:p>
            <w:pPr>
              <w:spacing w:after="0"/>
              <w:rPr>
                <w:sz w:val="14"/>
                <w:szCs w:val="14"/>
                <w:color w:val="auto"/>
              </w:rPr>
            </w:pPr>
          </w:p>
        </w:tc>
        <w:tc>
          <w:tcPr>
            <w:tcW w:w="1140" w:type="dxa"/>
            <w:vAlign w:val="bottom"/>
            <w:tcBorders>
              <w:right w:val="single" w:sz="8" w:color="CCCCFF"/>
            </w:tcBorders>
          </w:tcPr>
          <w:p>
            <w:pPr>
              <w:spacing w:after="0"/>
              <w:rPr>
                <w:sz w:val="14"/>
                <w:szCs w:val="14"/>
                <w:color w:val="auto"/>
              </w:rPr>
            </w:pPr>
          </w:p>
        </w:tc>
        <w:tc>
          <w:tcPr>
            <w:tcW w:w="1140" w:type="dxa"/>
            <w:vAlign w:val="bottom"/>
            <w:tcBorders>
              <w:right w:val="single" w:sz="8" w:color="CCCCFF"/>
            </w:tcBorders>
          </w:tcPr>
          <w:p>
            <w:pPr>
              <w:jc w:val="center"/>
              <w:spacing w:after="0"/>
              <w:rPr>
                <w:sz w:val="20"/>
                <w:szCs w:val="20"/>
                <w:color w:val="auto"/>
              </w:rPr>
            </w:pPr>
            <w:r>
              <w:rPr>
                <w:rFonts w:ascii="Arial" w:cs="Arial" w:eastAsia="Arial" w:hAnsi="Arial"/>
                <w:sz w:val="12"/>
                <w:szCs w:val="12"/>
                <w:color w:val="auto"/>
                <w:w w:val="92"/>
              </w:rPr>
              <w:t>Metropolitan Regional</w:t>
            </w:r>
          </w:p>
        </w:tc>
        <w:tc>
          <w:tcPr>
            <w:tcW w:w="1160" w:type="dxa"/>
            <w:vAlign w:val="bottom"/>
            <w:tcBorders>
              <w:right w:val="single" w:sz="8" w:color="CCCCFF"/>
            </w:tcBorders>
          </w:tcPr>
          <w:p>
            <w:pPr>
              <w:jc w:val="center"/>
              <w:spacing w:after="0"/>
              <w:rPr>
                <w:sz w:val="20"/>
                <w:szCs w:val="20"/>
                <w:color w:val="auto"/>
              </w:rPr>
            </w:pPr>
            <w:r>
              <w:rPr>
                <w:rFonts w:ascii="Arial" w:cs="Arial" w:eastAsia="Arial" w:hAnsi="Arial"/>
                <w:sz w:val="12"/>
                <w:szCs w:val="12"/>
                <w:color w:val="auto"/>
                <w:w w:val="87"/>
              </w:rPr>
              <w:t>various pension, health</w:t>
            </w:r>
          </w:p>
        </w:tc>
        <w:tc>
          <w:tcPr>
            <w:tcW w:w="1140" w:type="dxa"/>
            <w:vAlign w:val="bottom"/>
            <w:tcBorders>
              <w:right w:val="single" w:sz="8" w:color="CCCCFF"/>
            </w:tcBorders>
          </w:tcPr>
          <w:p>
            <w:pPr>
              <w:spacing w:after="0"/>
              <w:rPr>
                <w:sz w:val="14"/>
                <w:szCs w:val="14"/>
                <w:color w:val="auto"/>
              </w:rPr>
            </w:pPr>
          </w:p>
        </w:tc>
        <w:tc>
          <w:tcPr>
            <w:tcW w:w="1600" w:type="dxa"/>
            <w:vAlign w:val="bottom"/>
            <w:tcBorders>
              <w:right w:val="single" w:sz="8" w:color="CCCCFF"/>
            </w:tcBorders>
          </w:tcPr>
          <w:p>
            <w:pPr>
              <w:spacing w:after="0"/>
              <w:rPr>
                <w:sz w:val="14"/>
                <w:szCs w:val="14"/>
                <w:color w:val="auto"/>
              </w:rPr>
            </w:pPr>
          </w:p>
        </w:tc>
        <w:tc>
          <w:tcPr>
            <w:tcW w:w="1160" w:type="dxa"/>
            <w:vAlign w:val="bottom"/>
            <w:tcBorders>
              <w:right w:val="single" w:sz="8" w:color="CCCCFF"/>
            </w:tcBorders>
          </w:tcPr>
          <w:p>
            <w:pPr>
              <w:spacing w:after="0"/>
              <w:rPr>
                <w:sz w:val="14"/>
                <w:szCs w:val="14"/>
                <w:color w:val="auto"/>
              </w:rPr>
            </w:pPr>
          </w:p>
        </w:tc>
        <w:tc>
          <w:tcPr>
            <w:tcW w:w="1020" w:type="dxa"/>
            <w:vAlign w:val="bottom"/>
            <w:tcBorders>
              <w:right w:val="single" w:sz="8" w:color="CCCCFF"/>
            </w:tcBorders>
          </w:tcPr>
          <w:p>
            <w:pPr>
              <w:spacing w:after="0"/>
              <w:rPr>
                <w:sz w:val="14"/>
                <w:szCs w:val="14"/>
                <w:color w:val="auto"/>
              </w:rPr>
            </w:pPr>
          </w:p>
        </w:tc>
        <w:tc>
          <w:tcPr>
            <w:tcW w:w="1020" w:type="dxa"/>
            <w:vAlign w:val="bottom"/>
            <w:tcBorders>
              <w:right w:val="single" w:sz="8" w:color="CCCCFF"/>
            </w:tcBorders>
          </w:tcPr>
          <w:p>
            <w:pPr>
              <w:spacing w:after="0"/>
              <w:rPr>
                <w:sz w:val="14"/>
                <w:szCs w:val="14"/>
                <w:color w:val="auto"/>
              </w:rPr>
            </w:pPr>
          </w:p>
        </w:tc>
        <w:tc>
          <w:tcPr>
            <w:tcW w:w="920" w:type="dxa"/>
            <w:vAlign w:val="bottom"/>
            <w:tcBorders>
              <w:right w:val="single" w:sz="8" w:color="0066CC"/>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1180" w:type="dxa"/>
            <w:vAlign w:val="bottom"/>
            <w:tcBorders>
              <w:left w:val="single" w:sz="8" w:color="0066CC"/>
              <w:right w:val="single" w:sz="8" w:color="CCCCFF"/>
            </w:tcBorders>
          </w:tcPr>
          <w:p>
            <w:pPr>
              <w:spacing w:after="0"/>
              <w:rPr>
                <w:sz w:val="6"/>
                <w:szCs w:val="6"/>
                <w:color w:val="auto"/>
              </w:rPr>
            </w:pPr>
          </w:p>
        </w:tc>
        <w:tc>
          <w:tcPr>
            <w:tcW w:w="1140" w:type="dxa"/>
            <w:vAlign w:val="bottom"/>
            <w:tcBorders>
              <w:right w:val="single" w:sz="8" w:color="CCCCFF"/>
            </w:tcBorders>
          </w:tcPr>
          <w:p>
            <w:pPr>
              <w:spacing w:after="0"/>
              <w:rPr>
                <w:sz w:val="6"/>
                <w:szCs w:val="6"/>
                <w:color w:val="auto"/>
              </w:rPr>
            </w:pPr>
          </w:p>
        </w:tc>
        <w:tc>
          <w:tcPr>
            <w:tcW w:w="1140" w:type="dxa"/>
            <w:vAlign w:val="bottom"/>
            <w:tcBorders>
              <w:right w:val="single" w:sz="8" w:color="CCCCFF"/>
            </w:tcBorders>
            <w:vMerge w:val="restart"/>
          </w:tcPr>
          <w:p>
            <w:pPr>
              <w:jc w:val="center"/>
              <w:spacing w:after="0" w:line="128" w:lineRule="exact"/>
              <w:rPr>
                <w:sz w:val="20"/>
                <w:szCs w:val="20"/>
                <w:color w:val="auto"/>
              </w:rPr>
            </w:pPr>
            <w:r>
              <w:rPr>
                <w:rFonts w:ascii="Arial" w:cs="Arial" w:eastAsia="Arial" w:hAnsi="Arial"/>
                <w:sz w:val="12"/>
                <w:szCs w:val="12"/>
                <w:color w:val="auto"/>
                <w:w w:val="93"/>
              </w:rPr>
              <w:t>Council of</w:t>
            </w:r>
          </w:p>
        </w:tc>
        <w:tc>
          <w:tcPr>
            <w:tcW w:w="1160" w:type="dxa"/>
            <w:vAlign w:val="bottom"/>
            <w:tcBorders>
              <w:right w:val="single" w:sz="8" w:color="CCCCFF"/>
            </w:tcBorders>
          </w:tcPr>
          <w:p>
            <w:pPr>
              <w:jc w:val="center"/>
              <w:spacing w:after="0" w:line="73" w:lineRule="exact"/>
              <w:rPr>
                <w:sz w:val="20"/>
                <w:szCs w:val="20"/>
                <w:color w:val="auto"/>
              </w:rPr>
            </w:pPr>
            <w:r>
              <w:rPr>
                <w:rFonts w:ascii="Arial" w:cs="Arial" w:eastAsia="Arial" w:hAnsi="Arial"/>
                <w:sz w:val="8"/>
                <w:szCs w:val="8"/>
                <w:color w:val="auto"/>
              </w:rPr>
              <w:t>&amp; welfare funds,</w:t>
            </w:r>
          </w:p>
        </w:tc>
        <w:tc>
          <w:tcPr>
            <w:tcW w:w="1140" w:type="dxa"/>
            <w:vAlign w:val="bottom"/>
            <w:tcBorders>
              <w:right w:val="single" w:sz="8" w:color="CCCCFF"/>
            </w:tcBorders>
          </w:tcPr>
          <w:p>
            <w:pPr>
              <w:spacing w:after="0"/>
              <w:rPr>
                <w:sz w:val="6"/>
                <w:szCs w:val="6"/>
                <w:color w:val="auto"/>
              </w:rPr>
            </w:pPr>
          </w:p>
        </w:tc>
        <w:tc>
          <w:tcPr>
            <w:tcW w:w="1600" w:type="dxa"/>
            <w:vAlign w:val="bottom"/>
            <w:tcBorders>
              <w:right w:val="single" w:sz="8" w:color="CCCCFF"/>
            </w:tcBorders>
          </w:tcPr>
          <w:p>
            <w:pPr>
              <w:spacing w:after="0"/>
              <w:rPr>
                <w:sz w:val="6"/>
                <w:szCs w:val="6"/>
                <w:color w:val="auto"/>
              </w:rPr>
            </w:pPr>
          </w:p>
        </w:tc>
        <w:tc>
          <w:tcPr>
            <w:tcW w:w="1160" w:type="dxa"/>
            <w:vAlign w:val="bottom"/>
            <w:tcBorders>
              <w:right w:val="single" w:sz="8" w:color="CCCCFF"/>
            </w:tcBorders>
          </w:tcPr>
          <w:p>
            <w:pPr>
              <w:spacing w:after="0"/>
              <w:rPr>
                <w:sz w:val="6"/>
                <w:szCs w:val="6"/>
                <w:color w:val="auto"/>
              </w:rPr>
            </w:pPr>
          </w:p>
        </w:tc>
        <w:tc>
          <w:tcPr>
            <w:tcW w:w="1020" w:type="dxa"/>
            <w:vAlign w:val="bottom"/>
            <w:tcBorders>
              <w:right w:val="single" w:sz="8" w:color="CCCCFF"/>
            </w:tcBorders>
          </w:tcPr>
          <w:p>
            <w:pPr>
              <w:spacing w:after="0"/>
              <w:rPr>
                <w:sz w:val="6"/>
                <w:szCs w:val="6"/>
                <w:color w:val="auto"/>
              </w:rPr>
            </w:pPr>
          </w:p>
        </w:tc>
        <w:tc>
          <w:tcPr>
            <w:tcW w:w="1020" w:type="dxa"/>
            <w:vAlign w:val="bottom"/>
            <w:tcBorders>
              <w:right w:val="single" w:sz="8" w:color="CCCCFF"/>
            </w:tcBorders>
          </w:tcPr>
          <w:p>
            <w:pPr>
              <w:spacing w:after="0"/>
              <w:rPr>
                <w:sz w:val="6"/>
                <w:szCs w:val="6"/>
                <w:color w:val="auto"/>
              </w:rPr>
            </w:pPr>
          </w:p>
        </w:tc>
        <w:tc>
          <w:tcPr>
            <w:tcW w:w="920" w:type="dxa"/>
            <w:vAlign w:val="bottom"/>
            <w:tcBorders>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savings funds,</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Philadelphia and</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5"/>
              </w:rPr>
              <w:t>advancement</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restart"/>
          </w:tcPr>
          <w:p>
            <w:pPr>
              <w:jc w:val="right"/>
              <w:ind w:right="301"/>
              <w:spacing w:after="0" w:line="121" w:lineRule="exact"/>
              <w:rPr>
                <w:sz w:val="20"/>
                <w:szCs w:val="20"/>
                <w:color w:val="auto"/>
              </w:rPr>
            </w:pPr>
            <w:r>
              <w:rPr>
                <w:rFonts w:ascii="Arial" w:cs="Arial" w:eastAsia="Arial" w:hAnsi="Arial"/>
                <w:sz w:val="12"/>
                <w:szCs w:val="12"/>
                <w:color w:val="auto"/>
              </w:rPr>
              <w:t>09143828</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5"/>
              </w:rPr>
              <w:t>Vicinity of the United</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ind w:left="120"/>
              <w:spacing w:after="0" w:line="121" w:lineRule="exact"/>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$125,000.00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ind w:left="240"/>
              <w:spacing w:after="0" w:line="121" w:lineRule="exact"/>
              <w:rPr>
                <w:sz w:val="20"/>
                <w:szCs w:val="20"/>
                <w:color w:val="auto"/>
              </w:rPr>
            </w:pPr>
            <w:r>
              <w:rPr>
                <w:rFonts w:ascii="Arial" w:cs="Arial" w:eastAsia="Arial" w:hAnsi="Arial"/>
                <w:sz w:val="12"/>
                <w:szCs w:val="12"/>
                <w:color w:val="auto"/>
              </w:rPr>
              <w:t>20-Dec-13</w:t>
            </w:r>
          </w:p>
        </w:tc>
        <w:tc>
          <w:tcPr>
            <w:tcW w:w="1020" w:type="dxa"/>
            <w:vAlign w:val="bottom"/>
            <w:tcBorders>
              <w:right w:val="single" w:sz="8" w:color="CCCCFF"/>
            </w:tcBorders>
            <w:vMerge w:val="restart"/>
          </w:tcPr>
          <w:p>
            <w:pPr>
              <w:ind w:left="240"/>
              <w:spacing w:after="0" w:line="121" w:lineRule="exact"/>
              <w:rPr>
                <w:sz w:val="20"/>
                <w:szCs w:val="20"/>
                <w:color w:val="auto"/>
              </w:rPr>
            </w:pPr>
            <w:r>
              <w:rPr>
                <w:rFonts w:ascii="Arial" w:cs="Arial" w:eastAsia="Arial" w:hAnsi="Arial"/>
                <w:sz w:val="12"/>
                <w:szCs w:val="12"/>
                <w:color w:val="auto"/>
              </w:rPr>
              <w:t>20-Dec-16</w:t>
            </w:r>
          </w:p>
        </w:tc>
        <w:tc>
          <w:tcPr>
            <w:tcW w:w="920" w:type="dxa"/>
            <w:vAlign w:val="bottom"/>
            <w:tcBorders>
              <w:right w:val="single" w:sz="8" w:color="0066CC"/>
            </w:tcBorders>
            <w:vMerge w:val="restart"/>
          </w:tcPr>
          <w:p>
            <w:pPr>
              <w:ind w:left="200"/>
              <w:spacing w:after="0" w:line="121" w:lineRule="exact"/>
              <w:rPr>
                <w:sz w:val="20"/>
                <w:szCs w:val="20"/>
                <w:color w:val="auto"/>
              </w:rPr>
            </w:pPr>
            <w:r>
              <w:rPr>
                <w:rFonts w:ascii="Arial" w:cs="Arial" w:eastAsia="Arial" w:hAnsi="Arial"/>
                <w:sz w:val="12"/>
                <w:szCs w:val="12"/>
                <w:color w:val="auto"/>
              </w:rPr>
              <w:t>20-Dec-17</w:t>
            </w: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programs, legal</w:t>
            </w:r>
          </w:p>
        </w:tc>
        <w:tc>
          <w:tcPr>
            <w:tcW w:w="1140" w:type="dxa"/>
            <w:vAlign w:val="bottom"/>
            <w:tcBorders>
              <w:right w:val="single" w:sz="8" w:color="CCCCFF"/>
            </w:tcBorders>
            <w:vMerge w:val="continue"/>
          </w:tcPr>
          <w:p>
            <w:pPr>
              <w:spacing w:after="0"/>
              <w:rPr>
                <w:sz w:val="4"/>
                <w:szCs w:val="4"/>
                <w:color w:val="auto"/>
              </w:rPr>
            </w:pPr>
          </w:p>
        </w:tc>
        <w:tc>
          <w:tcPr>
            <w:tcW w:w="160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920" w:type="dxa"/>
            <w:vAlign w:val="bottom"/>
            <w:tcBorders>
              <w:right w:val="single" w:sz="8" w:color="0066CC"/>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Brotherhood of</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7"/>
              </w:rPr>
              <w:t>services, scholarship</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6"/>
              </w:rPr>
              <w:t>Carpenters and Joiners</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funds, etc. in</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of America</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accordance with the</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collective bargaining</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3"/>
              </w:rPr>
              <w:t>agreements.</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7"/>
              </w:rPr>
              <w:t>Guarantees payment of</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1"/>
              </w:rPr>
              <w:t>International Union of</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employer's wage,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7"/>
              </w:rPr>
              <w:t>expense, welfare,</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restart"/>
          </w:tcPr>
          <w:p>
            <w:pPr>
              <w:jc w:val="right"/>
              <w:ind w:right="301"/>
              <w:spacing w:after="0" w:line="121" w:lineRule="exact"/>
              <w:rPr>
                <w:sz w:val="20"/>
                <w:szCs w:val="20"/>
                <w:color w:val="auto"/>
              </w:rPr>
            </w:pPr>
            <w:r>
              <w:rPr>
                <w:rFonts w:ascii="Arial" w:cs="Arial" w:eastAsia="Arial" w:hAnsi="Arial"/>
                <w:sz w:val="12"/>
                <w:szCs w:val="12"/>
                <w:color w:val="auto"/>
              </w:rPr>
              <w:t>09143829</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4"/>
              </w:rPr>
              <w:t>Bricklayers and Allied</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ind w:left="120"/>
              <w:spacing w:after="0" w:line="121" w:lineRule="exact"/>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$100,000.00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ind w:left="240"/>
              <w:spacing w:after="0" w:line="121" w:lineRule="exact"/>
              <w:rPr>
                <w:sz w:val="20"/>
                <w:szCs w:val="20"/>
                <w:color w:val="auto"/>
              </w:rPr>
            </w:pPr>
            <w:r>
              <w:rPr>
                <w:rFonts w:ascii="Arial" w:cs="Arial" w:eastAsia="Arial" w:hAnsi="Arial"/>
                <w:sz w:val="12"/>
                <w:szCs w:val="12"/>
                <w:color w:val="auto"/>
              </w:rPr>
              <w:t>20-Dec-13</w:t>
            </w:r>
          </w:p>
        </w:tc>
        <w:tc>
          <w:tcPr>
            <w:tcW w:w="1020" w:type="dxa"/>
            <w:vAlign w:val="bottom"/>
            <w:tcBorders>
              <w:right w:val="single" w:sz="8" w:color="CCCCFF"/>
            </w:tcBorders>
            <w:vMerge w:val="restart"/>
          </w:tcPr>
          <w:p>
            <w:pPr>
              <w:ind w:left="240"/>
              <w:spacing w:after="0" w:line="121" w:lineRule="exact"/>
              <w:rPr>
                <w:sz w:val="20"/>
                <w:szCs w:val="20"/>
                <w:color w:val="auto"/>
              </w:rPr>
            </w:pPr>
            <w:r>
              <w:rPr>
                <w:rFonts w:ascii="Arial" w:cs="Arial" w:eastAsia="Arial" w:hAnsi="Arial"/>
                <w:sz w:val="12"/>
                <w:szCs w:val="12"/>
                <w:color w:val="auto"/>
              </w:rPr>
              <w:t>20-Dec-16</w:t>
            </w:r>
          </w:p>
        </w:tc>
        <w:tc>
          <w:tcPr>
            <w:tcW w:w="920" w:type="dxa"/>
            <w:vAlign w:val="bottom"/>
            <w:tcBorders>
              <w:right w:val="single" w:sz="8" w:color="0066CC"/>
            </w:tcBorders>
            <w:vMerge w:val="restart"/>
          </w:tcPr>
          <w:p>
            <w:pPr>
              <w:ind w:left="200"/>
              <w:spacing w:after="0" w:line="121" w:lineRule="exact"/>
              <w:rPr>
                <w:sz w:val="20"/>
                <w:szCs w:val="20"/>
                <w:color w:val="auto"/>
              </w:rPr>
            </w:pPr>
            <w:r>
              <w:rPr>
                <w:rFonts w:ascii="Arial" w:cs="Arial" w:eastAsia="Arial" w:hAnsi="Arial"/>
                <w:sz w:val="12"/>
                <w:szCs w:val="12"/>
                <w:color w:val="auto"/>
              </w:rPr>
              <w:t>20-Dec-17</w:t>
            </w: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pension, annuity,</w:t>
            </w:r>
          </w:p>
        </w:tc>
        <w:tc>
          <w:tcPr>
            <w:tcW w:w="1140" w:type="dxa"/>
            <w:vAlign w:val="bottom"/>
            <w:tcBorders>
              <w:right w:val="single" w:sz="8" w:color="CCCCFF"/>
            </w:tcBorders>
            <w:vMerge w:val="continue"/>
          </w:tcPr>
          <w:p>
            <w:pPr>
              <w:spacing w:after="0"/>
              <w:rPr>
                <w:sz w:val="4"/>
                <w:szCs w:val="4"/>
                <w:color w:val="auto"/>
              </w:rPr>
            </w:pPr>
          </w:p>
        </w:tc>
        <w:tc>
          <w:tcPr>
            <w:tcW w:w="160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920" w:type="dxa"/>
            <w:vAlign w:val="bottom"/>
            <w:tcBorders>
              <w:right w:val="single" w:sz="8" w:color="0066CC"/>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1"/>
              </w:rPr>
              <w:t>Craftworkers</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vacation and industry</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1"/>
              </w:rPr>
              <w:t>fund contributions.</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132</w:t>
      </w:r>
    </w:p>
    <w:p>
      <w:pPr>
        <w:sectPr>
          <w:pgSz w:w="11900" w:h="16838" w:orient="portrait"/>
          <w:cols w:equalWidth="0" w:num="1">
            <w:col w:w="11480"/>
          </w:cols>
          <w:pgMar w:left="220" w:top="605" w:right="199" w:bottom="1440" w:gutter="0" w:footer="0" w:header="0"/>
        </w:sectPr>
      </w:pPr>
    </w:p>
    <w:bookmarkStart w:id="193" w:name="page194"/>
    <w:bookmarkEnd w:id="193"/>
    <w:tbl>
      <w:tblPr>
        <w:tblLayout w:type="fixed"/>
        <w:tblInd w:w="10" w:type="dxa"/>
        <w:tblCellMar>
          <w:top w:w="0" w:type="dxa"/>
          <w:left w:w="0" w:type="dxa"/>
          <w:bottom w:w="0" w:type="dxa"/>
          <w:right w:w="0" w:type="dxa"/>
        </w:tblCellMar>
      </w:tblPr>
      <w:tr>
        <w:trPr>
          <w:trHeight w:val="139"/>
        </w:trPr>
        <w:tc>
          <w:tcPr>
            <w:tcW w:w="1180" w:type="dxa"/>
            <w:vAlign w:val="bottom"/>
            <w:tcBorders>
              <w:top w:val="single" w:sz="8" w:color="CCCCFF"/>
              <w:left w:val="single" w:sz="8" w:color="0066CC"/>
              <w:right w:val="single" w:sz="8" w:color="CCCCFF"/>
            </w:tcBorders>
          </w:tcPr>
          <w:p>
            <w:pPr>
              <w:spacing w:after="0"/>
              <w:rPr>
                <w:sz w:val="12"/>
                <w:szCs w:val="12"/>
                <w:color w:val="auto"/>
              </w:rPr>
            </w:pPr>
          </w:p>
        </w:tc>
        <w:tc>
          <w:tcPr>
            <w:tcW w:w="1140" w:type="dxa"/>
            <w:vAlign w:val="bottom"/>
            <w:tcBorders>
              <w:top w:val="single" w:sz="8" w:color="CCCCFF"/>
              <w:right w:val="single" w:sz="8" w:color="CCCCFF"/>
            </w:tcBorders>
          </w:tcPr>
          <w:p>
            <w:pPr>
              <w:spacing w:after="0"/>
              <w:rPr>
                <w:sz w:val="12"/>
                <w:szCs w:val="12"/>
                <w:color w:val="auto"/>
              </w:rPr>
            </w:pPr>
          </w:p>
        </w:tc>
        <w:tc>
          <w:tcPr>
            <w:tcW w:w="1140" w:type="dxa"/>
            <w:vAlign w:val="bottom"/>
            <w:tcBorders>
              <w:top w:val="single" w:sz="8" w:color="CCCCFF"/>
              <w:right w:val="single" w:sz="8" w:color="CCCCFF"/>
            </w:tcBorders>
          </w:tcPr>
          <w:p>
            <w:pPr>
              <w:spacing w:after="0"/>
              <w:rPr>
                <w:sz w:val="12"/>
                <w:szCs w:val="12"/>
                <w:color w:val="auto"/>
              </w:rPr>
            </w:pPr>
          </w:p>
        </w:tc>
        <w:tc>
          <w:tcPr>
            <w:tcW w:w="1160" w:type="dxa"/>
            <w:vAlign w:val="bottom"/>
            <w:tcBorders>
              <w:top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7"/>
              </w:rPr>
              <w:t>Payment of the scale</w:t>
            </w:r>
          </w:p>
        </w:tc>
        <w:tc>
          <w:tcPr>
            <w:tcW w:w="1140" w:type="dxa"/>
            <w:vAlign w:val="bottom"/>
            <w:tcBorders>
              <w:top w:val="single" w:sz="8" w:color="CCCCFF"/>
              <w:right w:val="single" w:sz="8" w:color="CCCCFF"/>
            </w:tcBorders>
          </w:tcPr>
          <w:p>
            <w:pPr>
              <w:spacing w:after="0"/>
              <w:rPr>
                <w:sz w:val="12"/>
                <w:szCs w:val="12"/>
                <w:color w:val="auto"/>
              </w:rPr>
            </w:pPr>
          </w:p>
        </w:tc>
        <w:tc>
          <w:tcPr>
            <w:tcW w:w="1600" w:type="dxa"/>
            <w:vAlign w:val="bottom"/>
            <w:tcBorders>
              <w:top w:val="single" w:sz="8" w:color="CCCCFF"/>
              <w:right w:val="single" w:sz="8" w:color="CCCCFF"/>
            </w:tcBorders>
          </w:tcPr>
          <w:p>
            <w:pPr>
              <w:spacing w:after="0"/>
              <w:rPr>
                <w:sz w:val="12"/>
                <w:szCs w:val="12"/>
                <w:color w:val="auto"/>
              </w:rPr>
            </w:pPr>
          </w:p>
        </w:tc>
        <w:tc>
          <w:tcPr>
            <w:tcW w:w="1160" w:type="dxa"/>
            <w:vAlign w:val="bottom"/>
            <w:tcBorders>
              <w:top w:val="single" w:sz="8" w:color="CCCCFF"/>
              <w:right w:val="single" w:sz="8" w:color="CCCCFF"/>
            </w:tcBorders>
          </w:tcPr>
          <w:p>
            <w:pPr>
              <w:spacing w:after="0"/>
              <w:rPr>
                <w:sz w:val="12"/>
                <w:szCs w:val="12"/>
                <w:color w:val="auto"/>
              </w:rPr>
            </w:pPr>
          </w:p>
        </w:tc>
        <w:tc>
          <w:tcPr>
            <w:tcW w:w="1020" w:type="dxa"/>
            <w:vAlign w:val="bottom"/>
            <w:tcBorders>
              <w:top w:val="single" w:sz="8" w:color="CCCCFF"/>
              <w:right w:val="single" w:sz="8" w:color="CCCCFF"/>
            </w:tcBorders>
          </w:tcPr>
          <w:p>
            <w:pPr>
              <w:spacing w:after="0"/>
              <w:rPr>
                <w:sz w:val="12"/>
                <w:szCs w:val="12"/>
                <w:color w:val="auto"/>
              </w:rPr>
            </w:pPr>
          </w:p>
        </w:tc>
        <w:tc>
          <w:tcPr>
            <w:tcW w:w="1020" w:type="dxa"/>
            <w:vAlign w:val="bottom"/>
            <w:tcBorders>
              <w:top w:val="single" w:sz="8" w:color="CCCCFF"/>
              <w:right w:val="single" w:sz="8" w:color="CCCCFF"/>
            </w:tcBorders>
          </w:tcPr>
          <w:p>
            <w:pPr>
              <w:spacing w:after="0"/>
              <w:rPr>
                <w:sz w:val="12"/>
                <w:szCs w:val="12"/>
                <w:color w:val="auto"/>
              </w:rPr>
            </w:pPr>
          </w:p>
        </w:tc>
        <w:tc>
          <w:tcPr>
            <w:tcW w:w="920" w:type="dxa"/>
            <w:vAlign w:val="bottom"/>
            <w:tcBorders>
              <w:top w:val="single" w:sz="8" w:color="CCCCFF"/>
              <w:right w:val="single" w:sz="8" w:color="0066CC"/>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International</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of wages and benefits,</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work the schedule of</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Association of Bridge,</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hours and conform to</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1180" w:type="dxa"/>
            <w:vAlign w:val="bottom"/>
            <w:tcBorders>
              <w:left w:val="single" w:sz="8" w:color="0066CC"/>
              <w:right w:val="single" w:sz="8" w:color="CCCCFF"/>
            </w:tcBorders>
          </w:tcPr>
          <w:p>
            <w:pPr>
              <w:jc w:val="right"/>
              <w:ind w:right="301"/>
              <w:spacing w:after="0" w:line="115" w:lineRule="exact"/>
              <w:rPr>
                <w:sz w:val="20"/>
                <w:szCs w:val="20"/>
                <w:color w:val="auto"/>
              </w:rPr>
            </w:pPr>
            <w:r>
              <w:rPr>
                <w:rFonts w:ascii="Arial" w:cs="Arial" w:eastAsia="Arial" w:hAnsi="Arial"/>
                <w:sz w:val="12"/>
                <w:szCs w:val="12"/>
                <w:color w:val="auto"/>
              </w:rPr>
              <w:t>09143830</w:t>
            </w:r>
          </w:p>
        </w:tc>
        <w:tc>
          <w:tcPr>
            <w:tcW w:w="1140" w:type="dxa"/>
            <w:vAlign w:val="bottom"/>
            <w:tcBorders>
              <w:right w:val="single" w:sz="8" w:color="CCCCFF"/>
            </w:tcBorders>
          </w:tcPr>
          <w:p>
            <w:pPr>
              <w:jc w:val="center"/>
              <w:spacing w:after="0" w:line="115"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tcPr>
          <w:p>
            <w:pPr>
              <w:jc w:val="center"/>
              <w:spacing w:after="0" w:line="115" w:lineRule="exact"/>
              <w:rPr>
                <w:sz w:val="20"/>
                <w:szCs w:val="20"/>
                <w:color w:val="auto"/>
              </w:rPr>
            </w:pPr>
            <w:r>
              <w:rPr>
                <w:rFonts w:ascii="Arial" w:cs="Arial" w:eastAsia="Arial" w:hAnsi="Arial"/>
                <w:sz w:val="12"/>
                <w:szCs w:val="12"/>
                <w:color w:val="auto"/>
                <w:w w:val="89"/>
              </w:rPr>
              <w:t>Structural, Ornamental</w:t>
            </w:r>
          </w:p>
        </w:tc>
        <w:tc>
          <w:tcPr>
            <w:tcW w:w="1160" w:type="dxa"/>
            <w:vAlign w:val="bottom"/>
            <w:tcBorders>
              <w:right w:val="single" w:sz="8" w:color="CCCCFF"/>
            </w:tcBorders>
            <w:vMerge w:val="continue"/>
          </w:tcPr>
          <w:p>
            <w:pPr>
              <w:spacing w:after="0"/>
              <w:rPr>
                <w:sz w:val="9"/>
                <w:szCs w:val="9"/>
                <w:color w:val="auto"/>
              </w:rPr>
            </w:pPr>
          </w:p>
        </w:tc>
        <w:tc>
          <w:tcPr>
            <w:tcW w:w="1140" w:type="dxa"/>
            <w:vAlign w:val="bottom"/>
            <w:tcBorders>
              <w:right w:val="single" w:sz="8" w:color="CCCCFF"/>
            </w:tcBorders>
          </w:tcPr>
          <w:p>
            <w:pPr>
              <w:ind w:left="120"/>
              <w:spacing w:after="0" w:line="115" w:lineRule="exact"/>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tcPr>
          <w:p>
            <w:pPr>
              <w:jc w:val="right"/>
              <w:spacing w:after="0" w:line="115" w:lineRule="exact"/>
              <w:rPr>
                <w:sz w:val="20"/>
                <w:szCs w:val="20"/>
                <w:color w:val="auto"/>
              </w:rPr>
            </w:pPr>
            <w:r>
              <w:rPr>
                <w:rFonts w:ascii="Arial" w:cs="Arial" w:eastAsia="Arial" w:hAnsi="Arial"/>
                <w:sz w:val="12"/>
                <w:szCs w:val="12"/>
                <w:color w:val="auto"/>
              </w:rPr>
              <w:t>$100,000.00</w:t>
            </w:r>
          </w:p>
        </w:tc>
        <w:tc>
          <w:tcPr>
            <w:tcW w:w="1160" w:type="dxa"/>
            <w:vAlign w:val="bottom"/>
            <w:tcBorders>
              <w:right w:val="single" w:sz="8" w:color="CCCCFF"/>
            </w:tcBorders>
          </w:tcPr>
          <w:p>
            <w:pPr>
              <w:ind w:left="420"/>
              <w:spacing w:after="0" w:line="115"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tcPr>
          <w:p>
            <w:pPr>
              <w:ind w:left="240"/>
              <w:spacing w:after="0" w:line="115" w:lineRule="exact"/>
              <w:rPr>
                <w:sz w:val="20"/>
                <w:szCs w:val="20"/>
                <w:color w:val="auto"/>
              </w:rPr>
            </w:pPr>
            <w:r>
              <w:rPr>
                <w:rFonts w:ascii="Arial" w:cs="Arial" w:eastAsia="Arial" w:hAnsi="Arial"/>
                <w:sz w:val="12"/>
                <w:szCs w:val="12"/>
                <w:color w:val="auto"/>
              </w:rPr>
              <w:t>20-Dec-13</w:t>
            </w:r>
          </w:p>
        </w:tc>
        <w:tc>
          <w:tcPr>
            <w:tcW w:w="1020" w:type="dxa"/>
            <w:vAlign w:val="bottom"/>
            <w:tcBorders>
              <w:right w:val="single" w:sz="8" w:color="CCCCFF"/>
            </w:tcBorders>
          </w:tcPr>
          <w:p>
            <w:pPr>
              <w:jc w:val="center"/>
              <w:spacing w:after="0" w:line="115" w:lineRule="exact"/>
              <w:rPr>
                <w:sz w:val="20"/>
                <w:szCs w:val="20"/>
                <w:color w:val="auto"/>
              </w:rPr>
            </w:pPr>
            <w:r>
              <w:rPr>
                <w:rFonts w:ascii="Arial" w:cs="Arial" w:eastAsia="Arial" w:hAnsi="Arial"/>
                <w:sz w:val="12"/>
                <w:szCs w:val="12"/>
                <w:color w:val="auto"/>
                <w:w w:val="89"/>
              </w:rPr>
              <w:t>20-Dec-16</w:t>
            </w:r>
          </w:p>
        </w:tc>
        <w:tc>
          <w:tcPr>
            <w:tcW w:w="920" w:type="dxa"/>
            <w:vAlign w:val="bottom"/>
            <w:tcBorders>
              <w:right w:val="single" w:sz="8" w:color="0066CC"/>
            </w:tcBorders>
          </w:tcPr>
          <w:p>
            <w:pPr>
              <w:ind w:left="200"/>
              <w:spacing w:after="0" w:line="115" w:lineRule="exact"/>
              <w:rPr>
                <w:sz w:val="20"/>
                <w:szCs w:val="20"/>
                <w:color w:val="auto"/>
              </w:rPr>
            </w:pPr>
            <w:r>
              <w:rPr>
                <w:rFonts w:ascii="Arial" w:cs="Arial" w:eastAsia="Arial" w:hAnsi="Arial"/>
                <w:sz w:val="12"/>
                <w:szCs w:val="12"/>
                <w:color w:val="auto"/>
              </w:rPr>
              <w:t>20-Dec-17</w:t>
            </w:r>
          </w:p>
        </w:tc>
        <w:tc>
          <w:tcPr>
            <w:tcW w:w="0" w:type="dxa"/>
            <w:vAlign w:val="bottom"/>
          </w:tcPr>
          <w:p>
            <w:pPr>
              <w:spacing w:after="0"/>
              <w:rPr>
                <w:sz w:val="1"/>
                <w:szCs w:val="1"/>
                <w:color w:val="auto"/>
              </w:rPr>
            </w:pPr>
          </w:p>
        </w:tc>
      </w:tr>
      <w:tr>
        <w:trPr>
          <w:trHeight w:val="73"/>
        </w:trPr>
        <w:tc>
          <w:tcPr>
            <w:tcW w:w="1180" w:type="dxa"/>
            <w:vAlign w:val="bottom"/>
            <w:tcBorders>
              <w:left w:val="single" w:sz="8" w:color="0066CC"/>
              <w:right w:val="single" w:sz="8" w:color="CCCCFF"/>
            </w:tcBorders>
          </w:tcPr>
          <w:p>
            <w:pPr>
              <w:spacing w:after="0"/>
              <w:rPr>
                <w:sz w:val="6"/>
                <w:szCs w:val="6"/>
                <w:color w:val="auto"/>
              </w:rPr>
            </w:pPr>
          </w:p>
        </w:tc>
        <w:tc>
          <w:tcPr>
            <w:tcW w:w="1140" w:type="dxa"/>
            <w:vAlign w:val="bottom"/>
            <w:tcBorders>
              <w:right w:val="single" w:sz="8" w:color="CCCCFF"/>
            </w:tcBorders>
            <w:vMerge w:val="restart"/>
          </w:tcPr>
          <w:p>
            <w:pPr>
              <w:jc w:val="center"/>
              <w:spacing w:after="0" w:line="128" w:lineRule="exact"/>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restart"/>
          </w:tcPr>
          <w:p>
            <w:pPr>
              <w:jc w:val="center"/>
              <w:spacing w:after="0" w:line="128" w:lineRule="exact"/>
              <w:rPr>
                <w:sz w:val="20"/>
                <w:szCs w:val="20"/>
                <w:color w:val="auto"/>
              </w:rPr>
            </w:pPr>
            <w:r>
              <w:rPr>
                <w:rFonts w:ascii="Arial" w:cs="Arial" w:eastAsia="Arial" w:hAnsi="Arial"/>
                <w:sz w:val="12"/>
                <w:szCs w:val="12"/>
                <w:color w:val="auto"/>
                <w:w w:val="92"/>
              </w:rPr>
              <w:t>and Reinforcing Iron</w:t>
            </w:r>
          </w:p>
        </w:tc>
        <w:tc>
          <w:tcPr>
            <w:tcW w:w="1160" w:type="dxa"/>
            <w:vAlign w:val="bottom"/>
            <w:tcBorders>
              <w:right w:val="single" w:sz="8" w:color="CCCCFF"/>
            </w:tcBorders>
          </w:tcPr>
          <w:p>
            <w:pPr>
              <w:jc w:val="center"/>
              <w:spacing w:after="0" w:line="73" w:lineRule="exact"/>
              <w:rPr>
                <w:sz w:val="20"/>
                <w:szCs w:val="20"/>
                <w:color w:val="auto"/>
              </w:rPr>
            </w:pPr>
            <w:r>
              <w:rPr>
                <w:rFonts w:ascii="Arial" w:cs="Arial" w:eastAsia="Arial" w:hAnsi="Arial"/>
                <w:sz w:val="8"/>
                <w:szCs w:val="8"/>
                <w:color w:val="auto"/>
              </w:rPr>
              <w:t>the conditions of</w:t>
            </w:r>
          </w:p>
        </w:tc>
        <w:tc>
          <w:tcPr>
            <w:tcW w:w="1140" w:type="dxa"/>
            <w:vAlign w:val="bottom"/>
            <w:tcBorders>
              <w:right w:val="single" w:sz="8" w:color="CCCCFF"/>
            </w:tcBorders>
          </w:tcPr>
          <w:p>
            <w:pPr>
              <w:spacing w:after="0"/>
              <w:rPr>
                <w:sz w:val="6"/>
                <w:szCs w:val="6"/>
                <w:color w:val="auto"/>
              </w:rPr>
            </w:pPr>
          </w:p>
        </w:tc>
        <w:tc>
          <w:tcPr>
            <w:tcW w:w="1600" w:type="dxa"/>
            <w:vAlign w:val="bottom"/>
            <w:tcBorders>
              <w:right w:val="single" w:sz="8" w:color="CCCCFF"/>
            </w:tcBorders>
          </w:tcPr>
          <w:p>
            <w:pPr>
              <w:spacing w:after="0"/>
              <w:rPr>
                <w:sz w:val="6"/>
                <w:szCs w:val="6"/>
                <w:color w:val="auto"/>
              </w:rPr>
            </w:pPr>
          </w:p>
        </w:tc>
        <w:tc>
          <w:tcPr>
            <w:tcW w:w="1160" w:type="dxa"/>
            <w:vAlign w:val="bottom"/>
            <w:tcBorders>
              <w:right w:val="single" w:sz="8" w:color="CCCCFF"/>
            </w:tcBorders>
          </w:tcPr>
          <w:p>
            <w:pPr>
              <w:spacing w:after="0"/>
              <w:rPr>
                <w:sz w:val="6"/>
                <w:szCs w:val="6"/>
                <w:color w:val="auto"/>
              </w:rPr>
            </w:pPr>
          </w:p>
        </w:tc>
        <w:tc>
          <w:tcPr>
            <w:tcW w:w="1020" w:type="dxa"/>
            <w:vAlign w:val="bottom"/>
            <w:tcBorders>
              <w:right w:val="single" w:sz="8" w:color="CCCCFF"/>
            </w:tcBorders>
          </w:tcPr>
          <w:p>
            <w:pPr>
              <w:spacing w:after="0"/>
              <w:rPr>
                <w:sz w:val="6"/>
                <w:szCs w:val="6"/>
                <w:color w:val="auto"/>
              </w:rPr>
            </w:pPr>
          </w:p>
        </w:tc>
        <w:tc>
          <w:tcPr>
            <w:tcW w:w="1020" w:type="dxa"/>
            <w:vAlign w:val="bottom"/>
            <w:tcBorders>
              <w:right w:val="single" w:sz="8" w:color="CCCCFF"/>
            </w:tcBorders>
          </w:tcPr>
          <w:p>
            <w:pPr>
              <w:spacing w:after="0"/>
              <w:rPr>
                <w:sz w:val="6"/>
                <w:szCs w:val="6"/>
                <w:color w:val="auto"/>
              </w:rPr>
            </w:pPr>
          </w:p>
        </w:tc>
        <w:tc>
          <w:tcPr>
            <w:tcW w:w="920" w:type="dxa"/>
            <w:vAlign w:val="bottom"/>
            <w:tcBorders>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employment in force</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3"/>
              </w:rPr>
              <w:t>Workers, AFL-CIO</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and effect in the Local</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2"/>
              </w:rPr>
              <w:t>Union.</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0"/>
              </w:rPr>
              <w:t>Collection of the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Laborers' District</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6"/>
              </w:rPr>
              <w:t>Funds in accordance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jc w:val="right"/>
              <w:ind w:right="301"/>
              <w:spacing w:after="0" w:line="121" w:lineRule="exact"/>
              <w:rPr>
                <w:sz w:val="20"/>
                <w:szCs w:val="20"/>
                <w:color w:val="auto"/>
              </w:rPr>
            </w:pPr>
            <w:r>
              <w:rPr>
                <w:rFonts w:ascii="Arial" w:cs="Arial" w:eastAsia="Arial" w:hAnsi="Arial"/>
                <w:sz w:val="12"/>
                <w:szCs w:val="12"/>
                <w:color w:val="auto"/>
              </w:rPr>
              <w:t>09143833</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2"/>
              </w:rPr>
              <w:t>Council of Chicago &amp;</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with the collective</w:t>
            </w:r>
          </w:p>
        </w:tc>
        <w:tc>
          <w:tcPr>
            <w:tcW w:w="1140" w:type="dxa"/>
            <w:vAlign w:val="bottom"/>
            <w:tcBorders>
              <w:right w:val="single" w:sz="8" w:color="CCCCFF"/>
            </w:tcBorders>
          </w:tcPr>
          <w:p>
            <w:pPr>
              <w:ind w:left="120"/>
              <w:spacing w:after="0" w:line="121" w:lineRule="exact"/>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tcPr>
          <w:p>
            <w:pPr>
              <w:jc w:val="right"/>
              <w:spacing w:after="0" w:line="121" w:lineRule="exact"/>
              <w:rPr>
                <w:sz w:val="20"/>
                <w:szCs w:val="20"/>
                <w:color w:val="auto"/>
              </w:rPr>
            </w:pPr>
            <w:r>
              <w:rPr>
                <w:rFonts w:ascii="Arial" w:cs="Arial" w:eastAsia="Arial" w:hAnsi="Arial"/>
                <w:sz w:val="12"/>
                <w:szCs w:val="12"/>
                <w:color w:val="auto"/>
              </w:rPr>
              <w:t>$5,000.00</w:t>
            </w:r>
          </w:p>
        </w:tc>
        <w:tc>
          <w:tcPr>
            <w:tcW w:w="1160" w:type="dxa"/>
            <w:vAlign w:val="bottom"/>
            <w:tcBorders>
              <w:right w:val="single" w:sz="8" w:color="CCCCFF"/>
            </w:tcBorders>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tcPr>
          <w:p>
            <w:pPr>
              <w:ind w:left="240"/>
              <w:spacing w:after="0" w:line="121" w:lineRule="exact"/>
              <w:rPr>
                <w:sz w:val="20"/>
                <w:szCs w:val="20"/>
                <w:color w:val="auto"/>
              </w:rPr>
            </w:pPr>
            <w:r>
              <w:rPr>
                <w:rFonts w:ascii="Arial" w:cs="Arial" w:eastAsia="Arial" w:hAnsi="Arial"/>
                <w:sz w:val="12"/>
                <w:szCs w:val="12"/>
                <w:color w:val="auto"/>
              </w:rPr>
              <w:t>20-Dec-13</w:t>
            </w:r>
          </w:p>
        </w:tc>
        <w:tc>
          <w:tcPr>
            <w:tcW w:w="102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20-Dec-16</w:t>
            </w:r>
          </w:p>
        </w:tc>
        <w:tc>
          <w:tcPr>
            <w:tcW w:w="920" w:type="dxa"/>
            <w:vAlign w:val="bottom"/>
            <w:tcBorders>
              <w:right w:val="single" w:sz="8" w:color="0066CC"/>
            </w:tcBorders>
          </w:tcPr>
          <w:p>
            <w:pPr>
              <w:ind w:left="200"/>
              <w:spacing w:after="0" w:line="121" w:lineRule="exact"/>
              <w:rPr>
                <w:sz w:val="20"/>
                <w:szCs w:val="20"/>
                <w:color w:val="auto"/>
              </w:rPr>
            </w:pPr>
            <w:r>
              <w:rPr>
                <w:rFonts w:ascii="Arial" w:cs="Arial" w:eastAsia="Arial" w:hAnsi="Arial"/>
                <w:sz w:val="12"/>
                <w:szCs w:val="12"/>
                <w:color w:val="auto"/>
              </w:rPr>
              <w:t>20-Dec-17</w:t>
            </w: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4"/>
              </w:rPr>
              <w:t>Vicinity</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bargaining</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3"/>
              </w:rPr>
              <w:t>agreements.</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9"/>
              </w:rPr>
              <w:t>Pay contributions to</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wage-work</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1"/>
              </w:rPr>
              <w:t>assessments,</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individual account and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401(k) plan payments,</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Pipefitters Association</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and welfare,</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restart"/>
          </w:tcPr>
          <w:p>
            <w:pPr>
              <w:jc w:val="right"/>
              <w:ind w:right="301"/>
              <w:spacing w:after="0" w:line="121" w:lineRule="exact"/>
              <w:rPr>
                <w:sz w:val="20"/>
                <w:szCs w:val="20"/>
                <w:color w:val="auto"/>
              </w:rPr>
            </w:pPr>
            <w:r>
              <w:rPr>
                <w:rFonts w:ascii="Arial" w:cs="Arial" w:eastAsia="Arial" w:hAnsi="Arial"/>
                <w:sz w:val="12"/>
                <w:szCs w:val="12"/>
                <w:color w:val="auto"/>
              </w:rPr>
              <w:t>09143836</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ind w:left="120"/>
              <w:spacing w:after="0" w:line="121" w:lineRule="exact"/>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$1,000,000.00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ind w:left="240"/>
              <w:spacing w:after="0" w:line="121" w:lineRule="exact"/>
              <w:rPr>
                <w:sz w:val="20"/>
                <w:szCs w:val="20"/>
                <w:color w:val="auto"/>
              </w:rPr>
            </w:pPr>
            <w:r>
              <w:rPr>
                <w:rFonts w:ascii="Arial" w:cs="Arial" w:eastAsia="Arial" w:hAnsi="Arial"/>
                <w:sz w:val="12"/>
                <w:szCs w:val="12"/>
                <w:color w:val="auto"/>
              </w:rPr>
              <w:t>20-Dec-13</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20-Dec-16</w:t>
            </w:r>
          </w:p>
        </w:tc>
        <w:tc>
          <w:tcPr>
            <w:tcW w:w="920" w:type="dxa"/>
            <w:vAlign w:val="bottom"/>
            <w:tcBorders>
              <w:right w:val="single" w:sz="8" w:color="0066CC"/>
            </w:tcBorders>
            <w:vMerge w:val="restart"/>
          </w:tcPr>
          <w:p>
            <w:pPr>
              <w:ind w:left="200"/>
              <w:spacing w:after="0" w:line="121" w:lineRule="exact"/>
              <w:rPr>
                <w:sz w:val="20"/>
                <w:szCs w:val="20"/>
                <w:color w:val="auto"/>
              </w:rPr>
            </w:pPr>
            <w:r>
              <w:rPr>
                <w:rFonts w:ascii="Arial" w:cs="Arial" w:eastAsia="Arial" w:hAnsi="Arial"/>
                <w:sz w:val="12"/>
                <w:szCs w:val="12"/>
                <w:color w:val="auto"/>
              </w:rPr>
              <w:t>20-Dec-17</w:t>
            </w: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Local Union 597</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retirement, trianing</w:t>
            </w:r>
          </w:p>
        </w:tc>
        <w:tc>
          <w:tcPr>
            <w:tcW w:w="1140" w:type="dxa"/>
            <w:vAlign w:val="bottom"/>
            <w:tcBorders>
              <w:right w:val="single" w:sz="8" w:color="CCCCFF"/>
            </w:tcBorders>
            <w:vMerge w:val="continue"/>
          </w:tcPr>
          <w:p>
            <w:pPr>
              <w:spacing w:after="0"/>
              <w:rPr>
                <w:sz w:val="4"/>
                <w:szCs w:val="4"/>
                <w:color w:val="auto"/>
              </w:rPr>
            </w:pPr>
          </w:p>
        </w:tc>
        <w:tc>
          <w:tcPr>
            <w:tcW w:w="160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920" w:type="dxa"/>
            <w:vAlign w:val="bottom"/>
            <w:tcBorders>
              <w:right w:val="single" w:sz="8" w:color="0066CC"/>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and education fund</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contributions in</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accordance with the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collective bargaining</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5"/>
              </w:rPr>
              <w:t>agreement.</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7"/>
              </w:rPr>
              <w:t>Guranteeing</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contributions to</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5"/>
              </w:rPr>
              <w:t>Pension Fund -</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Teamsers Local Union</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Kvaerner North</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restart"/>
          </w:tcPr>
          <w:p>
            <w:pPr>
              <w:jc w:val="right"/>
              <w:ind w:right="301"/>
              <w:spacing w:after="0" w:line="121" w:lineRule="exact"/>
              <w:rPr>
                <w:sz w:val="20"/>
                <w:szCs w:val="20"/>
                <w:color w:val="auto"/>
              </w:rPr>
            </w:pPr>
            <w:r>
              <w:rPr>
                <w:rFonts w:ascii="Arial" w:cs="Arial" w:eastAsia="Arial" w:hAnsi="Arial"/>
                <w:sz w:val="12"/>
                <w:szCs w:val="12"/>
                <w:color w:val="auto"/>
              </w:rPr>
              <w:t>09143845</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ind w:left="120"/>
              <w:spacing w:after="0" w:line="121" w:lineRule="exact"/>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$291,076.43</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ind w:left="240"/>
              <w:spacing w:after="0" w:line="121" w:lineRule="exact"/>
              <w:rPr>
                <w:sz w:val="20"/>
                <w:szCs w:val="20"/>
                <w:color w:val="auto"/>
              </w:rPr>
            </w:pPr>
            <w:r>
              <w:rPr>
                <w:rFonts w:ascii="Arial" w:cs="Arial" w:eastAsia="Arial" w:hAnsi="Arial"/>
                <w:sz w:val="12"/>
                <w:szCs w:val="12"/>
                <w:color w:val="auto"/>
              </w:rPr>
              <w:t>19-Dec-13</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7"/>
              </w:rPr>
              <w:t>01-Jul-16</w:t>
            </w:r>
          </w:p>
        </w:tc>
        <w:tc>
          <w:tcPr>
            <w:tcW w:w="920" w:type="dxa"/>
            <w:vAlign w:val="bottom"/>
            <w:tcBorders>
              <w:right w:val="single" w:sz="8" w:color="0066CC"/>
            </w:tcBorders>
            <w:vMerge w:val="restart"/>
          </w:tcPr>
          <w:p>
            <w:pPr>
              <w:ind w:left="200"/>
              <w:spacing w:after="0" w:line="121" w:lineRule="exact"/>
              <w:rPr>
                <w:sz w:val="20"/>
                <w:szCs w:val="20"/>
                <w:color w:val="auto"/>
              </w:rPr>
            </w:pPr>
            <w:r>
              <w:rPr>
                <w:rFonts w:ascii="Arial" w:cs="Arial" w:eastAsia="Arial" w:hAnsi="Arial"/>
                <w:sz w:val="12"/>
                <w:szCs w:val="12"/>
                <w:color w:val="auto"/>
              </w:rPr>
              <w:t>30-Jun-17</w:t>
            </w: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7"/>
              </w:rPr>
              <w:t>No. 142 Pension Fund</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America Construction,</w:t>
            </w:r>
          </w:p>
        </w:tc>
        <w:tc>
          <w:tcPr>
            <w:tcW w:w="1140" w:type="dxa"/>
            <w:vAlign w:val="bottom"/>
            <w:tcBorders>
              <w:right w:val="single" w:sz="8" w:color="CCCCFF"/>
            </w:tcBorders>
            <w:vMerge w:val="continue"/>
          </w:tcPr>
          <w:p>
            <w:pPr>
              <w:spacing w:after="0"/>
              <w:rPr>
                <w:sz w:val="4"/>
                <w:szCs w:val="4"/>
                <w:color w:val="auto"/>
              </w:rPr>
            </w:pPr>
          </w:p>
        </w:tc>
        <w:tc>
          <w:tcPr>
            <w:tcW w:w="160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920" w:type="dxa"/>
            <w:vAlign w:val="bottom"/>
            <w:tcBorders>
              <w:right w:val="single" w:sz="8" w:color="0066CC"/>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5"/>
              </w:rPr>
              <w:t>Inc. Sale and Purchase</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6"/>
              </w:rPr>
              <w:t>Agreement dated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8"/>
              </w:rPr>
              <w:t>December 8, 2013.</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133</w:t>
      </w:r>
    </w:p>
    <w:p>
      <w:pPr>
        <w:sectPr>
          <w:pgSz w:w="11900" w:h="16838" w:orient="portrait"/>
          <w:cols w:equalWidth="0" w:num="1">
            <w:col w:w="11480"/>
          </w:cols>
          <w:pgMar w:left="220" w:top="605" w:right="199" w:bottom="1440" w:gutter="0" w:footer="0" w:header="0"/>
        </w:sectPr>
      </w:pPr>
    </w:p>
    <w:bookmarkStart w:id="194" w:name="page195"/>
    <w:bookmarkEnd w:id="194"/>
    <w:tbl>
      <w:tblPr>
        <w:tblLayout w:type="fixed"/>
        <w:tblInd w:w="10" w:type="dxa"/>
        <w:tblCellMar>
          <w:top w:w="0" w:type="dxa"/>
          <w:left w:w="0" w:type="dxa"/>
          <w:bottom w:w="0" w:type="dxa"/>
          <w:right w:w="0" w:type="dxa"/>
        </w:tblCellMar>
      </w:tblPr>
      <w:tr>
        <w:trPr>
          <w:trHeight w:val="139"/>
        </w:trPr>
        <w:tc>
          <w:tcPr>
            <w:tcW w:w="1180" w:type="dxa"/>
            <w:vAlign w:val="bottom"/>
            <w:tcBorders>
              <w:top w:val="single" w:sz="8" w:color="CCCCFF"/>
              <w:left w:val="single" w:sz="8" w:color="0066CC"/>
              <w:right w:val="single" w:sz="8" w:color="CCCCFF"/>
            </w:tcBorders>
          </w:tcPr>
          <w:p>
            <w:pPr>
              <w:spacing w:after="0"/>
              <w:rPr>
                <w:sz w:val="12"/>
                <w:szCs w:val="12"/>
                <w:color w:val="auto"/>
              </w:rPr>
            </w:pPr>
          </w:p>
        </w:tc>
        <w:tc>
          <w:tcPr>
            <w:tcW w:w="1140" w:type="dxa"/>
            <w:vAlign w:val="bottom"/>
            <w:tcBorders>
              <w:top w:val="single" w:sz="8" w:color="CCCCFF"/>
              <w:right w:val="single" w:sz="8" w:color="CCCCFF"/>
            </w:tcBorders>
          </w:tcPr>
          <w:p>
            <w:pPr>
              <w:spacing w:after="0"/>
              <w:rPr>
                <w:sz w:val="12"/>
                <w:szCs w:val="12"/>
                <w:color w:val="auto"/>
              </w:rPr>
            </w:pPr>
          </w:p>
        </w:tc>
        <w:tc>
          <w:tcPr>
            <w:tcW w:w="1140" w:type="dxa"/>
            <w:vAlign w:val="bottom"/>
            <w:tcBorders>
              <w:top w:val="single" w:sz="8" w:color="CCCCFF"/>
              <w:right w:val="single" w:sz="8" w:color="CCCCFF"/>
            </w:tcBorders>
          </w:tcPr>
          <w:p>
            <w:pPr>
              <w:spacing w:after="0"/>
              <w:rPr>
                <w:sz w:val="12"/>
                <w:szCs w:val="12"/>
                <w:color w:val="auto"/>
              </w:rPr>
            </w:pPr>
          </w:p>
        </w:tc>
        <w:tc>
          <w:tcPr>
            <w:tcW w:w="1160" w:type="dxa"/>
            <w:vAlign w:val="bottom"/>
            <w:tcBorders>
              <w:top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2"/>
              </w:rPr>
              <w:t>Guarantees</w:t>
            </w:r>
          </w:p>
        </w:tc>
        <w:tc>
          <w:tcPr>
            <w:tcW w:w="1140" w:type="dxa"/>
            <w:vAlign w:val="bottom"/>
            <w:tcBorders>
              <w:top w:val="single" w:sz="8" w:color="CCCCFF"/>
              <w:right w:val="single" w:sz="8" w:color="CCCCFF"/>
            </w:tcBorders>
          </w:tcPr>
          <w:p>
            <w:pPr>
              <w:spacing w:after="0"/>
              <w:rPr>
                <w:sz w:val="12"/>
                <w:szCs w:val="12"/>
                <w:color w:val="auto"/>
              </w:rPr>
            </w:pPr>
          </w:p>
        </w:tc>
        <w:tc>
          <w:tcPr>
            <w:tcW w:w="1600" w:type="dxa"/>
            <w:vAlign w:val="bottom"/>
            <w:tcBorders>
              <w:top w:val="single" w:sz="8" w:color="CCCCFF"/>
              <w:right w:val="single" w:sz="8" w:color="CCCCFF"/>
            </w:tcBorders>
          </w:tcPr>
          <w:p>
            <w:pPr>
              <w:spacing w:after="0"/>
              <w:rPr>
                <w:sz w:val="12"/>
                <w:szCs w:val="12"/>
                <w:color w:val="auto"/>
              </w:rPr>
            </w:pPr>
          </w:p>
        </w:tc>
        <w:tc>
          <w:tcPr>
            <w:tcW w:w="1160" w:type="dxa"/>
            <w:vAlign w:val="bottom"/>
            <w:tcBorders>
              <w:top w:val="single" w:sz="8" w:color="CCCCFF"/>
              <w:right w:val="single" w:sz="8" w:color="CCCCFF"/>
            </w:tcBorders>
          </w:tcPr>
          <w:p>
            <w:pPr>
              <w:spacing w:after="0"/>
              <w:rPr>
                <w:sz w:val="12"/>
                <w:szCs w:val="12"/>
                <w:color w:val="auto"/>
              </w:rPr>
            </w:pPr>
          </w:p>
        </w:tc>
        <w:tc>
          <w:tcPr>
            <w:tcW w:w="1020" w:type="dxa"/>
            <w:vAlign w:val="bottom"/>
            <w:tcBorders>
              <w:top w:val="single" w:sz="8" w:color="CCCCFF"/>
              <w:right w:val="single" w:sz="8" w:color="CCCCFF"/>
            </w:tcBorders>
          </w:tcPr>
          <w:p>
            <w:pPr>
              <w:spacing w:after="0"/>
              <w:rPr>
                <w:sz w:val="12"/>
                <w:szCs w:val="12"/>
                <w:color w:val="auto"/>
              </w:rPr>
            </w:pPr>
          </w:p>
        </w:tc>
        <w:tc>
          <w:tcPr>
            <w:tcW w:w="1020" w:type="dxa"/>
            <w:vAlign w:val="bottom"/>
            <w:tcBorders>
              <w:top w:val="single" w:sz="8" w:color="CCCCFF"/>
              <w:right w:val="single" w:sz="8" w:color="CCCCFF"/>
            </w:tcBorders>
          </w:tcPr>
          <w:p>
            <w:pPr>
              <w:spacing w:after="0"/>
              <w:rPr>
                <w:sz w:val="12"/>
                <w:szCs w:val="12"/>
                <w:color w:val="auto"/>
              </w:rPr>
            </w:pPr>
          </w:p>
        </w:tc>
        <w:tc>
          <w:tcPr>
            <w:tcW w:w="920" w:type="dxa"/>
            <w:vAlign w:val="bottom"/>
            <w:tcBorders>
              <w:top w:val="single" w:sz="8" w:color="CCCCFF"/>
              <w:right w:val="single" w:sz="8" w:color="0066CC"/>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contributions to the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National Electrical</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7"/>
              </w:rPr>
              <w:t>Benefit Fund, Trustees</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for electricians'</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Welfare Fund, IBEW,</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LU #375, Trustees for</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Electricians' Vacation</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International</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2"/>
              </w:rPr>
              <w:t>Fund, IBEW, LU</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#375, Trustees for</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Brotherhood of</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restart"/>
          </w:tcPr>
          <w:p>
            <w:pPr>
              <w:jc w:val="right"/>
              <w:ind w:right="301"/>
              <w:spacing w:after="0" w:line="121" w:lineRule="exact"/>
              <w:rPr>
                <w:sz w:val="20"/>
                <w:szCs w:val="20"/>
                <w:color w:val="auto"/>
              </w:rPr>
            </w:pPr>
            <w:r>
              <w:rPr>
                <w:rFonts w:ascii="Arial" w:cs="Arial" w:eastAsia="Arial" w:hAnsi="Arial"/>
                <w:sz w:val="12"/>
                <w:szCs w:val="12"/>
                <w:color w:val="auto"/>
              </w:rPr>
              <w:t>09143869</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Electricians' Annuity</w:t>
            </w:r>
          </w:p>
        </w:tc>
        <w:tc>
          <w:tcPr>
            <w:tcW w:w="1140" w:type="dxa"/>
            <w:vAlign w:val="bottom"/>
            <w:tcBorders>
              <w:right w:val="single" w:sz="8" w:color="CCCCFF"/>
            </w:tcBorders>
            <w:vMerge w:val="restart"/>
          </w:tcPr>
          <w:p>
            <w:pPr>
              <w:ind w:left="120"/>
              <w:spacing w:after="0" w:line="121" w:lineRule="exact"/>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$50,000.00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ind w:left="260"/>
              <w:spacing w:after="0" w:line="121" w:lineRule="exact"/>
              <w:rPr>
                <w:sz w:val="20"/>
                <w:szCs w:val="20"/>
                <w:color w:val="auto"/>
              </w:rPr>
            </w:pPr>
            <w:r>
              <w:rPr>
                <w:rFonts w:ascii="Arial" w:cs="Arial" w:eastAsia="Arial" w:hAnsi="Arial"/>
                <w:sz w:val="12"/>
                <w:szCs w:val="12"/>
                <w:color w:val="auto"/>
              </w:rPr>
              <w:t>01-Jun-12</w:t>
            </w:r>
          </w:p>
        </w:tc>
        <w:tc>
          <w:tcPr>
            <w:tcW w:w="1020" w:type="dxa"/>
            <w:vAlign w:val="bottom"/>
            <w:tcBorders>
              <w:right w:val="single" w:sz="8" w:color="CCCCFF"/>
            </w:tcBorders>
            <w:vMerge w:val="restart"/>
          </w:tcPr>
          <w:p>
            <w:pPr>
              <w:ind w:left="260"/>
              <w:spacing w:after="0" w:line="121" w:lineRule="exact"/>
              <w:rPr>
                <w:sz w:val="20"/>
                <w:szCs w:val="20"/>
                <w:color w:val="auto"/>
              </w:rPr>
            </w:pPr>
            <w:r>
              <w:rPr>
                <w:rFonts w:ascii="Arial" w:cs="Arial" w:eastAsia="Arial" w:hAnsi="Arial"/>
                <w:sz w:val="12"/>
                <w:szCs w:val="12"/>
                <w:color w:val="auto"/>
              </w:rPr>
              <w:t>03-Feb-16</w:t>
            </w:r>
          </w:p>
        </w:tc>
        <w:tc>
          <w:tcPr>
            <w:tcW w:w="920" w:type="dxa"/>
            <w:vAlign w:val="bottom"/>
            <w:tcBorders>
              <w:right w:val="single" w:sz="8" w:color="0066CC"/>
            </w:tcBorders>
            <w:vMerge w:val="restart"/>
          </w:tcPr>
          <w:p>
            <w:pPr>
              <w:ind w:left="200"/>
              <w:spacing w:after="0" w:line="121" w:lineRule="exact"/>
              <w:rPr>
                <w:sz w:val="20"/>
                <w:szCs w:val="20"/>
                <w:color w:val="auto"/>
              </w:rPr>
            </w:pPr>
            <w:r>
              <w:rPr>
                <w:rFonts w:ascii="Arial" w:cs="Arial" w:eastAsia="Arial" w:hAnsi="Arial"/>
                <w:sz w:val="12"/>
                <w:szCs w:val="12"/>
                <w:color w:val="auto"/>
              </w:rPr>
              <w:t>03-Feb-17</w:t>
            </w: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Electrical Workers</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60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920" w:type="dxa"/>
            <w:vAlign w:val="bottom"/>
            <w:tcBorders>
              <w:right w:val="single" w:sz="8" w:color="0066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Fund, IBEW, LU</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1"/>
              </w:rPr>
              <w:t>Local Union No. 375</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#375, Trustees for</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Joint Apprenticeship</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Training Fund, IBEW</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LU #375, Working</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2"/>
              </w:rPr>
              <w:t>Dues, IBEW LU #375</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 in accordance with</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the Collective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Bargaining</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6"/>
              </w:rPr>
              <w:t>Agreement.</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6"/>
              </w:rPr>
              <w:t>Guaranteeing payment</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of the National</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Electrical Benefit</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Fund; Temporary</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2"/>
              </w:rPr>
              <w:t>Disability Fund;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2"/>
              </w:rPr>
              <w:t>IBEW Local 269 -</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International</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Welfare Fund; Pension</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Fund; Annuity Fund;</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Brotherhood of</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restart"/>
          </w:tcPr>
          <w:p>
            <w:pPr>
              <w:jc w:val="right"/>
              <w:ind w:right="301"/>
              <w:spacing w:after="0" w:line="121" w:lineRule="exact"/>
              <w:rPr>
                <w:sz w:val="20"/>
                <w:szCs w:val="20"/>
                <w:color w:val="auto"/>
              </w:rPr>
            </w:pPr>
            <w:r>
              <w:rPr>
                <w:rFonts w:ascii="Arial" w:cs="Arial" w:eastAsia="Arial" w:hAnsi="Arial"/>
                <w:sz w:val="12"/>
                <w:szCs w:val="12"/>
                <w:color w:val="auto"/>
              </w:rPr>
              <w:t>09146846</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Supplemental Benefit</w:t>
            </w:r>
          </w:p>
        </w:tc>
        <w:tc>
          <w:tcPr>
            <w:tcW w:w="1140" w:type="dxa"/>
            <w:vAlign w:val="bottom"/>
            <w:tcBorders>
              <w:right w:val="single" w:sz="8" w:color="CCCCFF"/>
            </w:tcBorders>
            <w:vMerge w:val="restart"/>
          </w:tcPr>
          <w:p>
            <w:pPr>
              <w:ind w:left="120"/>
              <w:spacing w:after="0" w:line="121" w:lineRule="exact"/>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$165,500.00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ind w:left="260"/>
              <w:spacing w:after="0" w:line="121" w:lineRule="exact"/>
              <w:rPr>
                <w:sz w:val="20"/>
                <w:szCs w:val="20"/>
                <w:color w:val="auto"/>
              </w:rPr>
            </w:pPr>
            <w:r>
              <w:rPr>
                <w:rFonts w:ascii="Arial" w:cs="Arial" w:eastAsia="Arial" w:hAnsi="Arial"/>
                <w:sz w:val="12"/>
                <w:szCs w:val="12"/>
                <w:color w:val="auto"/>
              </w:rPr>
              <w:t>23-Jan-15</w:t>
            </w:r>
          </w:p>
        </w:tc>
        <w:tc>
          <w:tcPr>
            <w:tcW w:w="1020" w:type="dxa"/>
            <w:vAlign w:val="bottom"/>
            <w:tcBorders>
              <w:right w:val="single" w:sz="8" w:color="CCCCFF"/>
            </w:tcBorders>
            <w:vMerge w:val="restart"/>
          </w:tcPr>
          <w:p>
            <w:pPr>
              <w:ind w:left="260"/>
              <w:spacing w:after="0" w:line="121" w:lineRule="exact"/>
              <w:rPr>
                <w:sz w:val="20"/>
                <w:szCs w:val="20"/>
                <w:color w:val="auto"/>
              </w:rPr>
            </w:pPr>
            <w:r>
              <w:rPr>
                <w:rFonts w:ascii="Arial" w:cs="Arial" w:eastAsia="Arial" w:hAnsi="Arial"/>
                <w:sz w:val="12"/>
                <w:szCs w:val="12"/>
                <w:color w:val="auto"/>
              </w:rPr>
              <w:t>23-Jan-16</w:t>
            </w:r>
          </w:p>
        </w:tc>
        <w:tc>
          <w:tcPr>
            <w:tcW w:w="920" w:type="dxa"/>
            <w:vAlign w:val="bottom"/>
            <w:tcBorders>
              <w:right w:val="single" w:sz="8" w:color="0066CC"/>
            </w:tcBorders>
            <w:vMerge w:val="restart"/>
          </w:tcPr>
          <w:p>
            <w:pPr>
              <w:ind w:left="200"/>
              <w:spacing w:after="0" w:line="121" w:lineRule="exact"/>
              <w:rPr>
                <w:sz w:val="20"/>
                <w:szCs w:val="20"/>
                <w:color w:val="auto"/>
              </w:rPr>
            </w:pPr>
            <w:r>
              <w:rPr>
                <w:rFonts w:ascii="Arial" w:cs="Arial" w:eastAsia="Arial" w:hAnsi="Arial"/>
                <w:sz w:val="12"/>
                <w:szCs w:val="12"/>
                <w:color w:val="auto"/>
              </w:rPr>
              <w:t>23-Jan-17</w:t>
            </w: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Electrical Workers</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60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920" w:type="dxa"/>
            <w:vAlign w:val="bottom"/>
            <w:tcBorders>
              <w:right w:val="single" w:sz="8" w:color="0066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Fund, Joint</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2"/>
              </w:rPr>
              <w:t>Local Union 269</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Apprenticeship</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Training Fund; and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any other contributions</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7"/>
              </w:rPr>
              <w:t>and/or payments listed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in the current</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2"/>
              </w:rPr>
              <w:t>Collective Bargaining</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6"/>
              </w:rPr>
              <w:t>Agreement.</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134</w:t>
      </w:r>
    </w:p>
    <w:p>
      <w:pPr>
        <w:sectPr>
          <w:pgSz w:w="11900" w:h="16838" w:orient="portrait"/>
          <w:cols w:equalWidth="0" w:num="1">
            <w:col w:w="11480"/>
          </w:cols>
          <w:pgMar w:left="220" w:top="605" w:right="199" w:bottom="1440" w:gutter="0" w:footer="0" w:header="0"/>
        </w:sectPr>
      </w:pPr>
    </w:p>
    <w:bookmarkStart w:id="195" w:name="page196"/>
    <w:bookmarkEnd w:id="195"/>
    <w:tbl>
      <w:tblPr>
        <w:tblLayout w:type="fixed"/>
        <w:tblInd w:w="10" w:type="dxa"/>
        <w:tblCellMar>
          <w:top w:w="0" w:type="dxa"/>
          <w:left w:w="0" w:type="dxa"/>
          <w:bottom w:w="0" w:type="dxa"/>
          <w:right w:w="0" w:type="dxa"/>
        </w:tblCellMar>
      </w:tblPr>
      <w:tr>
        <w:trPr>
          <w:trHeight w:val="139"/>
        </w:trPr>
        <w:tc>
          <w:tcPr>
            <w:tcW w:w="1180" w:type="dxa"/>
            <w:vAlign w:val="bottom"/>
            <w:tcBorders>
              <w:top w:val="single" w:sz="8" w:color="CCCCFF"/>
              <w:left w:val="single" w:sz="8" w:color="0066CC"/>
              <w:right w:val="single" w:sz="8" w:color="CCCCFF"/>
            </w:tcBorders>
          </w:tcPr>
          <w:p>
            <w:pPr>
              <w:spacing w:after="0"/>
              <w:rPr>
                <w:sz w:val="12"/>
                <w:szCs w:val="12"/>
                <w:color w:val="auto"/>
              </w:rPr>
            </w:pPr>
          </w:p>
        </w:tc>
        <w:tc>
          <w:tcPr>
            <w:tcW w:w="1140" w:type="dxa"/>
            <w:vAlign w:val="bottom"/>
            <w:tcBorders>
              <w:top w:val="single" w:sz="8" w:color="CCCCFF"/>
              <w:right w:val="single" w:sz="8" w:color="CCCCFF"/>
            </w:tcBorders>
          </w:tcPr>
          <w:p>
            <w:pPr>
              <w:spacing w:after="0"/>
              <w:rPr>
                <w:sz w:val="12"/>
                <w:szCs w:val="12"/>
                <w:color w:val="auto"/>
              </w:rPr>
            </w:pPr>
          </w:p>
        </w:tc>
        <w:tc>
          <w:tcPr>
            <w:tcW w:w="1140" w:type="dxa"/>
            <w:vAlign w:val="bottom"/>
            <w:tcBorders>
              <w:top w:val="single" w:sz="8" w:color="CCCCFF"/>
              <w:right w:val="single" w:sz="8" w:color="CCCCFF"/>
            </w:tcBorders>
          </w:tcPr>
          <w:p>
            <w:pPr>
              <w:spacing w:after="0"/>
              <w:rPr>
                <w:sz w:val="12"/>
                <w:szCs w:val="12"/>
                <w:color w:val="auto"/>
              </w:rPr>
            </w:pPr>
          </w:p>
        </w:tc>
        <w:tc>
          <w:tcPr>
            <w:tcW w:w="1160" w:type="dxa"/>
            <w:vAlign w:val="bottom"/>
            <w:tcBorders>
              <w:top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6"/>
              </w:rPr>
              <w:t>Guaranteeing payment</w:t>
            </w:r>
          </w:p>
        </w:tc>
        <w:tc>
          <w:tcPr>
            <w:tcW w:w="1140" w:type="dxa"/>
            <w:vAlign w:val="bottom"/>
            <w:tcBorders>
              <w:top w:val="single" w:sz="8" w:color="CCCCFF"/>
              <w:right w:val="single" w:sz="8" w:color="CCCCFF"/>
            </w:tcBorders>
          </w:tcPr>
          <w:p>
            <w:pPr>
              <w:spacing w:after="0"/>
              <w:rPr>
                <w:sz w:val="12"/>
                <w:szCs w:val="12"/>
                <w:color w:val="auto"/>
              </w:rPr>
            </w:pPr>
          </w:p>
        </w:tc>
        <w:tc>
          <w:tcPr>
            <w:tcW w:w="1600" w:type="dxa"/>
            <w:vAlign w:val="bottom"/>
            <w:tcBorders>
              <w:top w:val="single" w:sz="8" w:color="CCCCFF"/>
              <w:right w:val="single" w:sz="8" w:color="CCCCFF"/>
            </w:tcBorders>
          </w:tcPr>
          <w:p>
            <w:pPr>
              <w:spacing w:after="0"/>
              <w:rPr>
                <w:sz w:val="12"/>
                <w:szCs w:val="12"/>
                <w:color w:val="auto"/>
              </w:rPr>
            </w:pPr>
          </w:p>
        </w:tc>
        <w:tc>
          <w:tcPr>
            <w:tcW w:w="1160" w:type="dxa"/>
            <w:vAlign w:val="bottom"/>
            <w:tcBorders>
              <w:top w:val="single" w:sz="8" w:color="CCCCFF"/>
              <w:right w:val="single" w:sz="8" w:color="CCCCFF"/>
            </w:tcBorders>
          </w:tcPr>
          <w:p>
            <w:pPr>
              <w:spacing w:after="0"/>
              <w:rPr>
                <w:sz w:val="12"/>
                <w:szCs w:val="12"/>
                <w:color w:val="auto"/>
              </w:rPr>
            </w:pPr>
          </w:p>
        </w:tc>
        <w:tc>
          <w:tcPr>
            <w:tcW w:w="1020" w:type="dxa"/>
            <w:vAlign w:val="bottom"/>
            <w:tcBorders>
              <w:top w:val="single" w:sz="8" w:color="CCCCFF"/>
              <w:right w:val="single" w:sz="8" w:color="CCCCFF"/>
            </w:tcBorders>
          </w:tcPr>
          <w:p>
            <w:pPr>
              <w:spacing w:after="0"/>
              <w:rPr>
                <w:sz w:val="12"/>
                <w:szCs w:val="12"/>
                <w:color w:val="auto"/>
              </w:rPr>
            </w:pPr>
          </w:p>
        </w:tc>
        <w:tc>
          <w:tcPr>
            <w:tcW w:w="1020" w:type="dxa"/>
            <w:vAlign w:val="bottom"/>
            <w:tcBorders>
              <w:top w:val="single" w:sz="8" w:color="CCCCFF"/>
              <w:right w:val="single" w:sz="8" w:color="CCCCFF"/>
            </w:tcBorders>
          </w:tcPr>
          <w:p>
            <w:pPr>
              <w:spacing w:after="0"/>
              <w:rPr>
                <w:sz w:val="12"/>
                <w:szCs w:val="12"/>
                <w:color w:val="auto"/>
              </w:rPr>
            </w:pPr>
          </w:p>
        </w:tc>
        <w:tc>
          <w:tcPr>
            <w:tcW w:w="920" w:type="dxa"/>
            <w:vAlign w:val="bottom"/>
            <w:tcBorders>
              <w:top w:val="single" w:sz="8" w:color="CCCCFF"/>
              <w:right w:val="single" w:sz="8" w:color="0066CC"/>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under the collective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7"/>
              </w:rPr>
              <w:t>bargaining agreement</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to National Electrical</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International</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2"/>
              </w:rPr>
              <w:t>Benefit Fund, IBEW</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Brotherhood of</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Local 654 -</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restart"/>
          </w:tcPr>
          <w:p>
            <w:pPr>
              <w:jc w:val="right"/>
              <w:ind w:right="301"/>
              <w:spacing w:after="0" w:line="121" w:lineRule="exact"/>
              <w:rPr>
                <w:sz w:val="20"/>
                <w:szCs w:val="20"/>
                <w:color w:val="auto"/>
              </w:rPr>
            </w:pPr>
            <w:r>
              <w:rPr>
                <w:rFonts w:ascii="Arial" w:cs="Arial" w:eastAsia="Arial" w:hAnsi="Arial"/>
                <w:sz w:val="12"/>
                <w:szCs w:val="12"/>
                <w:color w:val="auto"/>
              </w:rPr>
              <w:t>09146847</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ind w:left="120"/>
              <w:spacing w:after="0" w:line="121" w:lineRule="exact"/>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$50,000.00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ind w:left="260"/>
              <w:spacing w:after="0" w:line="121" w:lineRule="exact"/>
              <w:rPr>
                <w:sz w:val="20"/>
                <w:szCs w:val="20"/>
                <w:color w:val="auto"/>
              </w:rPr>
            </w:pPr>
            <w:r>
              <w:rPr>
                <w:rFonts w:ascii="Arial" w:cs="Arial" w:eastAsia="Arial" w:hAnsi="Arial"/>
                <w:sz w:val="12"/>
                <w:szCs w:val="12"/>
                <w:color w:val="auto"/>
              </w:rPr>
              <w:t>23-Jan-15</w:t>
            </w:r>
          </w:p>
        </w:tc>
        <w:tc>
          <w:tcPr>
            <w:tcW w:w="1020" w:type="dxa"/>
            <w:vAlign w:val="bottom"/>
            <w:tcBorders>
              <w:right w:val="single" w:sz="8" w:color="CCCCFF"/>
            </w:tcBorders>
            <w:vMerge w:val="restart"/>
          </w:tcPr>
          <w:p>
            <w:pPr>
              <w:ind w:left="260"/>
              <w:spacing w:after="0" w:line="121" w:lineRule="exact"/>
              <w:rPr>
                <w:sz w:val="20"/>
                <w:szCs w:val="20"/>
                <w:color w:val="auto"/>
              </w:rPr>
            </w:pPr>
            <w:r>
              <w:rPr>
                <w:rFonts w:ascii="Arial" w:cs="Arial" w:eastAsia="Arial" w:hAnsi="Arial"/>
                <w:sz w:val="12"/>
                <w:szCs w:val="12"/>
                <w:color w:val="auto"/>
              </w:rPr>
              <w:t>23-Jan-16</w:t>
            </w:r>
          </w:p>
        </w:tc>
        <w:tc>
          <w:tcPr>
            <w:tcW w:w="920" w:type="dxa"/>
            <w:vAlign w:val="bottom"/>
            <w:tcBorders>
              <w:right w:val="single" w:sz="8" w:color="0066CC"/>
            </w:tcBorders>
            <w:vMerge w:val="restart"/>
          </w:tcPr>
          <w:p>
            <w:pPr>
              <w:ind w:left="200"/>
              <w:spacing w:after="0" w:line="121" w:lineRule="exact"/>
              <w:rPr>
                <w:sz w:val="20"/>
                <w:szCs w:val="20"/>
                <w:color w:val="auto"/>
              </w:rPr>
            </w:pPr>
            <w:r>
              <w:rPr>
                <w:rFonts w:ascii="Arial" w:cs="Arial" w:eastAsia="Arial" w:hAnsi="Arial"/>
                <w:sz w:val="12"/>
                <w:szCs w:val="12"/>
                <w:color w:val="auto"/>
              </w:rPr>
              <w:t>23-Jan-17</w:t>
            </w: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Electrical Workers</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Apprentice Training</w:t>
            </w:r>
          </w:p>
        </w:tc>
        <w:tc>
          <w:tcPr>
            <w:tcW w:w="1140" w:type="dxa"/>
            <w:vAlign w:val="bottom"/>
            <w:tcBorders>
              <w:right w:val="single" w:sz="8" w:color="CCCCFF"/>
            </w:tcBorders>
            <w:vMerge w:val="continue"/>
          </w:tcPr>
          <w:p>
            <w:pPr>
              <w:spacing w:after="0"/>
              <w:rPr>
                <w:sz w:val="4"/>
                <w:szCs w:val="4"/>
                <w:color w:val="auto"/>
              </w:rPr>
            </w:pPr>
          </w:p>
        </w:tc>
        <w:tc>
          <w:tcPr>
            <w:tcW w:w="160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920" w:type="dxa"/>
            <w:vAlign w:val="bottom"/>
            <w:tcBorders>
              <w:right w:val="single" w:sz="8" w:color="0066CC"/>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Local Union 654</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Fund; Health &amp;</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vMerge w:val="continue"/>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Welfare Fund; Pension</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Fund; Credit Union</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7"/>
              </w:rPr>
              <w:t>Deduction and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8"/>
              </w:rPr>
              <w:t>C.O.P.E. Deduction.</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7"/>
              </w:rPr>
              <w:t>Guaranteeing</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payments for</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Temporary Disability</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International</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6"/>
              </w:rPr>
              <w:t>Insurance, the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National Electrical</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Brotherhood of</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restart"/>
          </w:tcPr>
          <w:p>
            <w:pPr>
              <w:jc w:val="right"/>
              <w:ind w:right="301"/>
              <w:spacing w:after="0" w:line="121" w:lineRule="exact"/>
              <w:rPr>
                <w:sz w:val="20"/>
                <w:szCs w:val="20"/>
                <w:color w:val="auto"/>
              </w:rPr>
            </w:pPr>
            <w:r>
              <w:rPr>
                <w:rFonts w:ascii="Arial" w:cs="Arial" w:eastAsia="Arial" w:hAnsi="Arial"/>
                <w:sz w:val="12"/>
                <w:szCs w:val="12"/>
                <w:color w:val="auto"/>
              </w:rPr>
              <w:t>09146848</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Benefit Fund; Training</w:t>
            </w:r>
          </w:p>
        </w:tc>
        <w:tc>
          <w:tcPr>
            <w:tcW w:w="1140" w:type="dxa"/>
            <w:vAlign w:val="bottom"/>
            <w:tcBorders>
              <w:right w:val="single" w:sz="8" w:color="CCCCFF"/>
            </w:tcBorders>
            <w:vMerge w:val="restart"/>
          </w:tcPr>
          <w:p>
            <w:pPr>
              <w:ind w:left="120"/>
              <w:spacing w:after="0" w:line="121" w:lineRule="exact"/>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$355,000.00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ind w:left="260"/>
              <w:spacing w:after="0" w:line="121" w:lineRule="exact"/>
              <w:rPr>
                <w:sz w:val="20"/>
                <w:szCs w:val="20"/>
                <w:color w:val="auto"/>
              </w:rPr>
            </w:pPr>
            <w:r>
              <w:rPr>
                <w:rFonts w:ascii="Arial" w:cs="Arial" w:eastAsia="Arial" w:hAnsi="Arial"/>
                <w:sz w:val="12"/>
                <w:szCs w:val="12"/>
                <w:color w:val="auto"/>
              </w:rPr>
              <w:t>26-Jan-15</w:t>
            </w:r>
          </w:p>
        </w:tc>
        <w:tc>
          <w:tcPr>
            <w:tcW w:w="1020" w:type="dxa"/>
            <w:vAlign w:val="bottom"/>
            <w:tcBorders>
              <w:right w:val="single" w:sz="8" w:color="CCCCFF"/>
            </w:tcBorders>
            <w:vMerge w:val="restart"/>
          </w:tcPr>
          <w:p>
            <w:pPr>
              <w:ind w:left="260"/>
              <w:spacing w:after="0" w:line="121" w:lineRule="exact"/>
              <w:rPr>
                <w:sz w:val="20"/>
                <w:szCs w:val="20"/>
                <w:color w:val="auto"/>
              </w:rPr>
            </w:pPr>
            <w:r>
              <w:rPr>
                <w:rFonts w:ascii="Arial" w:cs="Arial" w:eastAsia="Arial" w:hAnsi="Arial"/>
                <w:sz w:val="12"/>
                <w:szCs w:val="12"/>
                <w:color w:val="auto"/>
              </w:rPr>
              <w:t>26-Jan-16</w:t>
            </w:r>
          </w:p>
        </w:tc>
        <w:tc>
          <w:tcPr>
            <w:tcW w:w="920" w:type="dxa"/>
            <w:vAlign w:val="bottom"/>
            <w:tcBorders>
              <w:right w:val="single" w:sz="8" w:color="0066CC"/>
            </w:tcBorders>
            <w:vMerge w:val="restart"/>
          </w:tcPr>
          <w:p>
            <w:pPr>
              <w:ind w:left="200"/>
              <w:spacing w:after="0" w:line="121" w:lineRule="exact"/>
              <w:rPr>
                <w:sz w:val="20"/>
                <w:szCs w:val="20"/>
                <w:color w:val="auto"/>
              </w:rPr>
            </w:pPr>
            <w:r>
              <w:rPr>
                <w:rFonts w:ascii="Arial" w:cs="Arial" w:eastAsia="Arial" w:hAnsi="Arial"/>
                <w:sz w:val="12"/>
                <w:szCs w:val="12"/>
                <w:color w:val="auto"/>
              </w:rPr>
              <w:t>26-Jan-17</w:t>
            </w: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Electrical Workers</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60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920" w:type="dxa"/>
            <w:vAlign w:val="bottom"/>
            <w:tcBorders>
              <w:right w:val="single" w:sz="8" w:color="0066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7"/>
              </w:rPr>
              <w:t>Funds; New Jersey</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2"/>
              </w:rPr>
              <w:t>Local Union 351</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IBEW Welfare Fund;</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Joint Pension; Annuity</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&amp; Vacation; Working</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5"/>
              </w:rPr>
              <w:t>Dues and Wages.</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2"/>
              </w:rPr>
              <w:t>Guarantees</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contributions to the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2"/>
              </w:rPr>
              <w:t>Local Union 126</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IBEW - Retirement</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International</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Plan; Health &amp;</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Welfare Fund;</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Brotherhood of</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restart"/>
          </w:tcPr>
          <w:p>
            <w:pPr>
              <w:jc w:val="right"/>
              <w:ind w:right="301"/>
              <w:spacing w:after="0" w:line="121" w:lineRule="exact"/>
              <w:rPr>
                <w:sz w:val="20"/>
                <w:szCs w:val="20"/>
                <w:color w:val="auto"/>
              </w:rPr>
            </w:pPr>
            <w:r>
              <w:rPr>
                <w:rFonts w:ascii="Arial" w:cs="Arial" w:eastAsia="Arial" w:hAnsi="Arial"/>
                <w:sz w:val="12"/>
                <w:szCs w:val="12"/>
                <w:color w:val="auto"/>
              </w:rPr>
              <w:t>09146849</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Occupational Safety</w:t>
            </w:r>
          </w:p>
        </w:tc>
        <w:tc>
          <w:tcPr>
            <w:tcW w:w="1140" w:type="dxa"/>
            <w:vAlign w:val="bottom"/>
            <w:tcBorders>
              <w:right w:val="single" w:sz="8" w:color="CCCCFF"/>
            </w:tcBorders>
            <w:vMerge w:val="restart"/>
          </w:tcPr>
          <w:p>
            <w:pPr>
              <w:ind w:left="120"/>
              <w:spacing w:after="0" w:line="121" w:lineRule="exact"/>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$350,000.00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ind w:left="260"/>
              <w:spacing w:after="0" w:line="121" w:lineRule="exact"/>
              <w:rPr>
                <w:sz w:val="20"/>
                <w:szCs w:val="20"/>
                <w:color w:val="auto"/>
              </w:rPr>
            </w:pPr>
            <w:r>
              <w:rPr>
                <w:rFonts w:ascii="Arial" w:cs="Arial" w:eastAsia="Arial" w:hAnsi="Arial"/>
                <w:sz w:val="12"/>
                <w:szCs w:val="12"/>
                <w:color w:val="auto"/>
              </w:rPr>
              <w:t>26-Jan-15</w:t>
            </w:r>
          </w:p>
        </w:tc>
        <w:tc>
          <w:tcPr>
            <w:tcW w:w="1020" w:type="dxa"/>
            <w:vAlign w:val="bottom"/>
            <w:tcBorders>
              <w:right w:val="single" w:sz="8" w:color="CCCCFF"/>
            </w:tcBorders>
            <w:vMerge w:val="restart"/>
          </w:tcPr>
          <w:p>
            <w:pPr>
              <w:ind w:left="260"/>
              <w:spacing w:after="0" w:line="121" w:lineRule="exact"/>
              <w:rPr>
                <w:sz w:val="20"/>
                <w:szCs w:val="20"/>
                <w:color w:val="auto"/>
              </w:rPr>
            </w:pPr>
            <w:r>
              <w:rPr>
                <w:rFonts w:ascii="Arial" w:cs="Arial" w:eastAsia="Arial" w:hAnsi="Arial"/>
                <w:sz w:val="12"/>
                <w:szCs w:val="12"/>
                <w:color w:val="auto"/>
              </w:rPr>
              <w:t>26-Jan-16</w:t>
            </w:r>
          </w:p>
        </w:tc>
        <w:tc>
          <w:tcPr>
            <w:tcW w:w="920" w:type="dxa"/>
            <w:vAlign w:val="bottom"/>
            <w:tcBorders>
              <w:right w:val="single" w:sz="8" w:color="0066CC"/>
            </w:tcBorders>
            <w:vMerge w:val="restart"/>
          </w:tcPr>
          <w:p>
            <w:pPr>
              <w:ind w:left="200"/>
              <w:spacing w:after="0" w:line="121" w:lineRule="exact"/>
              <w:rPr>
                <w:sz w:val="20"/>
                <w:szCs w:val="20"/>
                <w:color w:val="auto"/>
              </w:rPr>
            </w:pPr>
            <w:r>
              <w:rPr>
                <w:rFonts w:ascii="Arial" w:cs="Arial" w:eastAsia="Arial" w:hAnsi="Arial"/>
                <w:sz w:val="12"/>
                <w:szCs w:val="12"/>
                <w:color w:val="auto"/>
              </w:rPr>
              <w:t>26-Jan-17</w:t>
            </w: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Electrical Workers</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60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920" w:type="dxa"/>
            <w:vAlign w:val="bottom"/>
            <w:tcBorders>
              <w:right w:val="single" w:sz="8" w:color="0066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Health &amp; Education</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2"/>
              </w:rPr>
              <w:t>Local Union 126</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Fund; Northeast Joint</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Apprentice and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Training Committee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for the Outside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1"/>
              </w:rPr>
              <w:t>Electrical Industry; the</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135</w:t>
      </w:r>
    </w:p>
    <w:p>
      <w:pPr>
        <w:sectPr>
          <w:pgSz w:w="11900" w:h="16838" w:orient="portrait"/>
          <w:cols w:equalWidth="0" w:num="1">
            <w:col w:w="11480"/>
          </w:cols>
          <w:pgMar w:left="220" w:top="605" w:right="199" w:bottom="1440" w:gutter="0" w:footer="0" w:header="0"/>
        </w:sectPr>
      </w:pPr>
    </w:p>
    <w:bookmarkStart w:id="196" w:name="page197"/>
    <w:bookmarkEnd w:id="196"/>
    <w:tbl>
      <w:tblPr>
        <w:tblLayout w:type="fixed"/>
        <w:tblInd w:w="10" w:type="dxa"/>
        <w:tblCellMar>
          <w:top w:w="0" w:type="dxa"/>
          <w:left w:w="0" w:type="dxa"/>
          <w:bottom w:w="0" w:type="dxa"/>
          <w:right w:w="0" w:type="dxa"/>
        </w:tblCellMar>
      </w:tblPr>
      <w:tr>
        <w:trPr>
          <w:trHeight w:val="139"/>
        </w:trPr>
        <w:tc>
          <w:tcPr>
            <w:tcW w:w="1180" w:type="dxa"/>
            <w:vAlign w:val="bottom"/>
            <w:tcBorders>
              <w:top w:val="single" w:sz="8" w:color="CCCCFF"/>
              <w:left w:val="single" w:sz="8" w:color="0066CC"/>
              <w:right w:val="single" w:sz="8" w:color="CCCCFF"/>
            </w:tcBorders>
          </w:tcPr>
          <w:p>
            <w:pPr>
              <w:spacing w:after="0"/>
              <w:rPr>
                <w:sz w:val="12"/>
                <w:szCs w:val="12"/>
                <w:color w:val="auto"/>
              </w:rPr>
            </w:pPr>
          </w:p>
        </w:tc>
        <w:tc>
          <w:tcPr>
            <w:tcW w:w="1140" w:type="dxa"/>
            <w:vAlign w:val="bottom"/>
            <w:tcBorders>
              <w:top w:val="single" w:sz="8" w:color="CCCCFF"/>
              <w:right w:val="single" w:sz="8" w:color="CCCCFF"/>
            </w:tcBorders>
          </w:tcPr>
          <w:p>
            <w:pPr>
              <w:spacing w:after="0"/>
              <w:rPr>
                <w:sz w:val="12"/>
                <w:szCs w:val="12"/>
                <w:color w:val="auto"/>
              </w:rPr>
            </w:pPr>
          </w:p>
        </w:tc>
        <w:tc>
          <w:tcPr>
            <w:tcW w:w="1140" w:type="dxa"/>
            <w:vAlign w:val="bottom"/>
            <w:tcBorders>
              <w:top w:val="single" w:sz="8" w:color="CCCCFF"/>
              <w:right w:val="single" w:sz="8" w:color="CCCCFF"/>
            </w:tcBorders>
          </w:tcPr>
          <w:p>
            <w:pPr>
              <w:spacing w:after="0"/>
              <w:rPr>
                <w:sz w:val="12"/>
                <w:szCs w:val="12"/>
                <w:color w:val="auto"/>
              </w:rPr>
            </w:pPr>
          </w:p>
        </w:tc>
        <w:tc>
          <w:tcPr>
            <w:tcW w:w="1160" w:type="dxa"/>
            <w:vAlign w:val="bottom"/>
            <w:tcBorders>
              <w:top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2"/>
              </w:rPr>
              <w:t>Collective Bargaining</w:t>
            </w:r>
          </w:p>
        </w:tc>
        <w:tc>
          <w:tcPr>
            <w:tcW w:w="1140" w:type="dxa"/>
            <w:vAlign w:val="bottom"/>
            <w:tcBorders>
              <w:top w:val="single" w:sz="8" w:color="CCCCFF"/>
              <w:right w:val="single" w:sz="8" w:color="CCCCFF"/>
            </w:tcBorders>
          </w:tcPr>
          <w:p>
            <w:pPr>
              <w:spacing w:after="0"/>
              <w:rPr>
                <w:sz w:val="12"/>
                <w:szCs w:val="12"/>
                <w:color w:val="auto"/>
              </w:rPr>
            </w:pPr>
          </w:p>
        </w:tc>
        <w:tc>
          <w:tcPr>
            <w:tcW w:w="1600" w:type="dxa"/>
            <w:vAlign w:val="bottom"/>
            <w:tcBorders>
              <w:top w:val="single" w:sz="8" w:color="CCCCFF"/>
              <w:right w:val="single" w:sz="8" w:color="CCCCFF"/>
            </w:tcBorders>
          </w:tcPr>
          <w:p>
            <w:pPr>
              <w:spacing w:after="0"/>
              <w:rPr>
                <w:sz w:val="12"/>
                <w:szCs w:val="12"/>
                <w:color w:val="auto"/>
              </w:rPr>
            </w:pPr>
          </w:p>
        </w:tc>
        <w:tc>
          <w:tcPr>
            <w:tcW w:w="1160" w:type="dxa"/>
            <w:vAlign w:val="bottom"/>
            <w:tcBorders>
              <w:top w:val="single" w:sz="8" w:color="CCCCFF"/>
              <w:right w:val="single" w:sz="8" w:color="CCCCFF"/>
            </w:tcBorders>
          </w:tcPr>
          <w:p>
            <w:pPr>
              <w:spacing w:after="0"/>
              <w:rPr>
                <w:sz w:val="12"/>
                <w:szCs w:val="12"/>
                <w:color w:val="auto"/>
              </w:rPr>
            </w:pPr>
          </w:p>
        </w:tc>
        <w:tc>
          <w:tcPr>
            <w:tcW w:w="1020" w:type="dxa"/>
            <w:vAlign w:val="bottom"/>
            <w:tcBorders>
              <w:top w:val="single" w:sz="8" w:color="CCCCFF"/>
              <w:right w:val="single" w:sz="8" w:color="CCCCFF"/>
            </w:tcBorders>
          </w:tcPr>
          <w:p>
            <w:pPr>
              <w:spacing w:after="0"/>
              <w:rPr>
                <w:sz w:val="12"/>
                <w:szCs w:val="12"/>
                <w:color w:val="auto"/>
              </w:rPr>
            </w:pPr>
          </w:p>
        </w:tc>
        <w:tc>
          <w:tcPr>
            <w:tcW w:w="1020" w:type="dxa"/>
            <w:vAlign w:val="bottom"/>
            <w:tcBorders>
              <w:top w:val="single" w:sz="8" w:color="CCCCFF"/>
              <w:right w:val="single" w:sz="8" w:color="CCCCFF"/>
            </w:tcBorders>
          </w:tcPr>
          <w:p>
            <w:pPr>
              <w:spacing w:after="0"/>
              <w:rPr>
                <w:sz w:val="12"/>
                <w:szCs w:val="12"/>
                <w:color w:val="auto"/>
              </w:rPr>
            </w:pPr>
          </w:p>
        </w:tc>
        <w:tc>
          <w:tcPr>
            <w:tcW w:w="920" w:type="dxa"/>
            <w:vAlign w:val="bottom"/>
            <w:tcBorders>
              <w:top w:val="single" w:sz="8" w:color="CCCCFF"/>
              <w:right w:val="single" w:sz="8" w:color="0066CC"/>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Agreement</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6"/>
              </w:rPr>
              <w:t>guaranteeing payments</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7"/>
              </w:rPr>
              <w:t>covering wages,</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working dues</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7"/>
              </w:rPr>
              <w:t>deductions, Health and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Welfare Fund, Annuity</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Fund, Occupational</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International</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Safety and Health</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Brotherhood of</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Fund, Industry Fund,</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restart"/>
          </w:tcPr>
          <w:p>
            <w:pPr>
              <w:jc w:val="right"/>
              <w:ind w:right="301"/>
              <w:spacing w:after="0" w:line="121" w:lineRule="exact"/>
              <w:rPr>
                <w:sz w:val="20"/>
                <w:szCs w:val="20"/>
                <w:color w:val="auto"/>
              </w:rPr>
            </w:pPr>
            <w:r>
              <w:rPr>
                <w:rFonts w:ascii="Arial" w:cs="Arial" w:eastAsia="Arial" w:hAnsi="Arial"/>
                <w:sz w:val="12"/>
                <w:szCs w:val="12"/>
                <w:color w:val="auto"/>
              </w:rPr>
              <w:t>09164691</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ind w:left="120"/>
              <w:spacing w:after="0" w:line="121" w:lineRule="exact"/>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$5,000.00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06-Aug-14</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06-Aug-16</w:t>
            </w:r>
          </w:p>
        </w:tc>
        <w:tc>
          <w:tcPr>
            <w:tcW w:w="920" w:type="dxa"/>
            <w:vAlign w:val="bottom"/>
            <w:tcBorders>
              <w:right w:val="single" w:sz="8" w:color="0066CC"/>
            </w:tcBorders>
            <w:vMerge w:val="restart"/>
          </w:tcPr>
          <w:p>
            <w:pPr>
              <w:jc w:val="center"/>
              <w:spacing w:after="0" w:line="121" w:lineRule="exact"/>
              <w:rPr>
                <w:sz w:val="20"/>
                <w:szCs w:val="20"/>
                <w:color w:val="auto"/>
              </w:rPr>
            </w:pPr>
            <w:r>
              <w:rPr>
                <w:rFonts w:ascii="Arial" w:cs="Arial" w:eastAsia="Arial" w:hAnsi="Arial"/>
                <w:sz w:val="12"/>
                <w:szCs w:val="12"/>
                <w:color w:val="auto"/>
                <w:w w:val="92"/>
              </w:rPr>
              <w:t>06-Aug-17</w:t>
            </w: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Electrical Workers</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Apprentice Training</w:t>
            </w:r>
          </w:p>
        </w:tc>
        <w:tc>
          <w:tcPr>
            <w:tcW w:w="1140" w:type="dxa"/>
            <w:vAlign w:val="bottom"/>
            <w:tcBorders>
              <w:right w:val="single" w:sz="8" w:color="CCCCFF"/>
            </w:tcBorders>
            <w:vMerge w:val="continue"/>
          </w:tcPr>
          <w:p>
            <w:pPr>
              <w:spacing w:after="0"/>
              <w:rPr>
                <w:sz w:val="4"/>
                <w:szCs w:val="4"/>
                <w:color w:val="auto"/>
              </w:rPr>
            </w:pPr>
          </w:p>
        </w:tc>
        <w:tc>
          <w:tcPr>
            <w:tcW w:w="160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920" w:type="dxa"/>
            <w:vAlign w:val="bottom"/>
            <w:tcBorders>
              <w:right w:val="single" w:sz="8" w:color="0066CC"/>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Local Union #42</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7"/>
              </w:rPr>
              <w:t>Fund, Northeastern</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vMerge w:val="continue"/>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Line Contractors</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2"/>
              </w:rPr>
              <w:t>Administration Fund,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2"/>
              </w:rPr>
              <w:t>National Labor</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Management</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Cooperation</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Committee Fund and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the National Electrical</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9"/>
              </w:rPr>
              <w:t>Benefit Fund.</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0"/>
              </w:rPr>
              <w:t>Contributions to</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Electrical Welfare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Trust Fund, Electrical</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Workers Local No. 26</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6"/>
              </w:rPr>
              <w:t>Pension Trust Fund,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International</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Electrical Workers</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Local 26 Joint</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Brotherhood of</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restart"/>
          </w:tcPr>
          <w:p>
            <w:pPr>
              <w:jc w:val="right"/>
              <w:ind w:right="301"/>
              <w:spacing w:after="0" w:line="121" w:lineRule="exact"/>
              <w:rPr>
                <w:sz w:val="20"/>
                <w:szCs w:val="20"/>
                <w:color w:val="auto"/>
              </w:rPr>
            </w:pPr>
            <w:r>
              <w:rPr>
                <w:rFonts w:ascii="Arial" w:cs="Arial" w:eastAsia="Arial" w:hAnsi="Arial"/>
                <w:sz w:val="12"/>
                <w:szCs w:val="12"/>
                <w:color w:val="auto"/>
              </w:rPr>
              <w:t>09164737</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Apprenticeship and</w:t>
            </w:r>
          </w:p>
        </w:tc>
        <w:tc>
          <w:tcPr>
            <w:tcW w:w="1140" w:type="dxa"/>
            <w:vAlign w:val="bottom"/>
            <w:tcBorders>
              <w:right w:val="single" w:sz="8" w:color="CCCCFF"/>
            </w:tcBorders>
            <w:vMerge w:val="restart"/>
          </w:tcPr>
          <w:p>
            <w:pPr>
              <w:ind w:left="120"/>
              <w:spacing w:after="0" w:line="121" w:lineRule="exact"/>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$50,000.00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09-Oct-14</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09-Oct-16</w:t>
            </w:r>
          </w:p>
        </w:tc>
        <w:tc>
          <w:tcPr>
            <w:tcW w:w="920" w:type="dxa"/>
            <w:vAlign w:val="bottom"/>
            <w:tcBorders>
              <w:right w:val="single" w:sz="8" w:color="0066CC"/>
            </w:tcBorders>
            <w:vMerge w:val="restart"/>
          </w:tcPr>
          <w:p>
            <w:pPr>
              <w:jc w:val="center"/>
              <w:spacing w:after="0" w:line="121" w:lineRule="exact"/>
              <w:rPr>
                <w:sz w:val="20"/>
                <w:szCs w:val="20"/>
                <w:color w:val="auto"/>
              </w:rPr>
            </w:pPr>
            <w:r>
              <w:rPr>
                <w:rFonts w:ascii="Arial" w:cs="Arial" w:eastAsia="Arial" w:hAnsi="Arial"/>
                <w:sz w:val="12"/>
                <w:szCs w:val="12"/>
                <w:color w:val="auto"/>
                <w:w w:val="89"/>
              </w:rPr>
              <w:t>09-Oct-17</w:t>
            </w: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Electrical Workers</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60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920" w:type="dxa"/>
            <w:vAlign w:val="bottom"/>
            <w:tcBorders>
              <w:right w:val="single" w:sz="8" w:color="0066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Training Fund,</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2"/>
              </w:rPr>
              <w:t>Local Union #26</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Electrical Workers</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Local No. 26</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2"/>
              </w:rPr>
              <w:t>Individual Account</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Fund, National</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Electrical Benefit</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4"/>
              </w:rPr>
              <w:t>Fund.</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8"/>
              </w:rPr>
              <w:t>Guarantees the faithful</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International</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and timely payment of</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Brotherhood of</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direct wages required</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restart"/>
          </w:tcPr>
          <w:p>
            <w:pPr>
              <w:jc w:val="right"/>
              <w:ind w:right="301"/>
              <w:spacing w:after="0" w:line="121" w:lineRule="exact"/>
              <w:rPr>
                <w:sz w:val="20"/>
                <w:szCs w:val="20"/>
                <w:color w:val="auto"/>
              </w:rPr>
            </w:pPr>
            <w:r>
              <w:rPr>
                <w:rFonts w:ascii="Arial" w:cs="Arial" w:eastAsia="Arial" w:hAnsi="Arial"/>
                <w:sz w:val="12"/>
                <w:szCs w:val="12"/>
                <w:color w:val="auto"/>
              </w:rPr>
              <w:t>09164738</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ind w:left="120"/>
              <w:spacing w:after="0" w:line="121" w:lineRule="exact"/>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$50,000.00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09-Oct-14</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09-Oct-16</w:t>
            </w:r>
          </w:p>
        </w:tc>
        <w:tc>
          <w:tcPr>
            <w:tcW w:w="920" w:type="dxa"/>
            <w:vAlign w:val="bottom"/>
            <w:tcBorders>
              <w:right w:val="single" w:sz="8" w:color="0066CC"/>
            </w:tcBorders>
            <w:vMerge w:val="restart"/>
          </w:tcPr>
          <w:p>
            <w:pPr>
              <w:jc w:val="center"/>
              <w:spacing w:after="0" w:line="121" w:lineRule="exact"/>
              <w:rPr>
                <w:sz w:val="20"/>
                <w:szCs w:val="20"/>
                <w:color w:val="auto"/>
              </w:rPr>
            </w:pPr>
            <w:r>
              <w:rPr>
                <w:rFonts w:ascii="Arial" w:cs="Arial" w:eastAsia="Arial" w:hAnsi="Arial"/>
                <w:sz w:val="12"/>
                <w:szCs w:val="12"/>
                <w:color w:val="auto"/>
                <w:w w:val="89"/>
              </w:rPr>
              <w:t>09-Oct-17</w:t>
            </w: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Electrical Workers</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by the Collective</w:t>
            </w:r>
          </w:p>
        </w:tc>
        <w:tc>
          <w:tcPr>
            <w:tcW w:w="1140" w:type="dxa"/>
            <w:vAlign w:val="bottom"/>
            <w:tcBorders>
              <w:right w:val="single" w:sz="8" w:color="CCCCFF"/>
            </w:tcBorders>
            <w:vMerge w:val="continue"/>
          </w:tcPr>
          <w:p>
            <w:pPr>
              <w:spacing w:after="0"/>
              <w:rPr>
                <w:sz w:val="4"/>
                <w:szCs w:val="4"/>
                <w:color w:val="auto"/>
              </w:rPr>
            </w:pPr>
          </w:p>
        </w:tc>
        <w:tc>
          <w:tcPr>
            <w:tcW w:w="160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1020" w:type="dxa"/>
            <w:vAlign w:val="bottom"/>
            <w:tcBorders>
              <w:right w:val="single" w:sz="8" w:color="CCCCFF"/>
            </w:tcBorders>
            <w:vMerge w:val="continue"/>
          </w:tcPr>
          <w:p>
            <w:pPr>
              <w:spacing w:after="0"/>
              <w:rPr>
                <w:sz w:val="4"/>
                <w:szCs w:val="4"/>
                <w:color w:val="auto"/>
              </w:rPr>
            </w:pPr>
          </w:p>
        </w:tc>
        <w:tc>
          <w:tcPr>
            <w:tcW w:w="920" w:type="dxa"/>
            <w:vAlign w:val="bottom"/>
            <w:tcBorders>
              <w:right w:val="single" w:sz="8" w:color="0066CC"/>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2"/>
              </w:rPr>
              <w:t>Local Union #26</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Bargaining</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vMerge w:val="continue"/>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6"/>
              </w:rPr>
              <w:t>Agreement.</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7"/>
              </w:rPr>
              <w:t>Guarantees payment of</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International</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6"/>
              </w:rPr>
              <w:t>wages and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contributions to certain</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Brotherhood of</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restart"/>
          </w:tcPr>
          <w:p>
            <w:pPr>
              <w:jc w:val="right"/>
              <w:ind w:right="301"/>
              <w:spacing w:after="0" w:line="121" w:lineRule="exact"/>
              <w:rPr>
                <w:sz w:val="20"/>
                <w:szCs w:val="20"/>
                <w:color w:val="auto"/>
              </w:rPr>
            </w:pPr>
            <w:r>
              <w:rPr>
                <w:rFonts w:ascii="Arial" w:cs="Arial" w:eastAsia="Arial" w:hAnsi="Arial"/>
                <w:sz w:val="12"/>
                <w:szCs w:val="12"/>
                <w:color w:val="auto"/>
              </w:rPr>
              <w:t>09164750</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welfare funds and/or</w:t>
            </w:r>
          </w:p>
        </w:tc>
        <w:tc>
          <w:tcPr>
            <w:tcW w:w="1140" w:type="dxa"/>
            <w:vAlign w:val="bottom"/>
            <w:tcBorders>
              <w:right w:val="single" w:sz="8" w:color="CCCCFF"/>
            </w:tcBorders>
            <w:vMerge w:val="restart"/>
          </w:tcPr>
          <w:p>
            <w:pPr>
              <w:ind w:left="120"/>
              <w:spacing w:after="0" w:line="121" w:lineRule="exact"/>
              <w:rPr>
                <w:sz w:val="20"/>
                <w:szCs w:val="20"/>
                <w:color w:val="auto"/>
              </w:rPr>
            </w:pPr>
            <w:r>
              <w:rPr>
                <w:rFonts w:ascii="Arial" w:cs="Arial" w:eastAsia="Arial" w:hAnsi="Arial"/>
                <w:sz w:val="12"/>
                <w:szCs w:val="12"/>
                <w:color w:val="auto"/>
                <w:w w:val="98"/>
              </w:rPr>
              <w:t>Wage and Welfare</w:t>
            </w: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$18,000.00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27-Oct-14</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27-Oct-16</w:t>
            </w:r>
          </w:p>
        </w:tc>
        <w:tc>
          <w:tcPr>
            <w:tcW w:w="920" w:type="dxa"/>
            <w:vAlign w:val="bottom"/>
            <w:tcBorders>
              <w:right w:val="single" w:sz="8" w:color="0066CC"/>
            </w:tcBorders>
            <w:vMerge w:val="restart"/>
          </w:tcPr>
          <w:p>
            <w:pPr>
              <w:jc w:val="center"/>
              <w:spacing w:after="0" w:line="121" w:lineRule="exact"/>
              <w:rPr>
                <w:sz w:val="20"/>
                <w:szCs w:val="20"/>
                <w:color w:val="auto"/>
              </w:rPr>
            </w:pPr>
            <w:r>
              <w:rPr>
                <w:rFonts w:ascii="Arial" w:cs="Arial" w:eastAsia="Arial" w:hAnsi="Arial"/>
                <w:sz w:val="12"/>
                <w:szCs w:val="12"/>
                <w:color w:val="auto"/>
                <w:w w:val="89"/>
              </w:rPr>
              <w:t>27-Oct-17</w:t>
            </w: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Electrical Workers</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60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920" w:type="dxa"/>
            <w:vAlign w:val="bottom"/>
            <w:tcBorders>
              <w:right w:val="single" w:sz="8" w:color="0066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tcPr>
          <w:p>
            <w:pPr>
              <w:spacing w:after="0"/>
              <w:rPr>
                <w:sz w:val="4"/>
                <w:szCs w:val="4"/>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vacation funds and/or</w:t>
            </w:r>
          </w:p>
        </w:tc>
        <w:tc>
          <w:tcPr>
            <w:tcW w:w="1140" w:type="dxa"/>
            <w:vAlign w:val="bottom"/>
            <w:tcBorders>
              <w:right w:val="single" w:sz="8" w:color="CCCCFF"/>
            </w:tcBorders>
          </w:tcPr>
          <w:p>
            <w:pPr>
              <w:spacing w:after="0"/>
              <w:rPr>
                <w:sz w:val="4"/>
                <w:szCs w:val="4"/>
                <w:color w:val="auto"/>
              </w:rPr>
            </w:pPr>
          </w:p>
        </w:tc>
        <w:tc>
          <w:tcPr>
            <w:tcW w:w="1600" w:type="dxa"/>
            <w:vAlign w:val="bottom"/>
            <w:tcBorders>
              <w:right w:val="single" w:sz="8" w:color="CCCCFF"/>
            </w:tcBorders>
          </w:tcPr>
          <w:p>
            <w:pPr>
              <w:spacing w:after="0"/>
              <w:rPr>
                <w:sz w:val="4"/>
                <w:szCs w:val="4"/>
                <w:color w:val="auto"/>
              </w:rPr>
            </w:pPr>
          </w:p>
        </w:tc>
        <w:tc>
          <w:tcPr>
            <w:tcW w:w="116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1020" w:type="dxa"/>
            <w:vAlign w:val="bottom"/>
            <w:tcBorders>
              <w:right w:val="single" w:sz="8" w:color="CCCCFF"/>
            </w:tcBorders>
          </w:tcPr>
          <w:p>
            <w:pPr>
              <w:spacing w:after="0"/>
              <w:rPr>
                <w:sz w:val="4"/>
                <w:szCs w:val="4"/>
                <w:color w:val="auto"/>
              </w:rPr>
            </w:pPr>
          </w:p>
        </w:tc>
        <w:tc>
          <w:tcPr>
            <w:tcW w:w="920" w:type="dxa"/>
            <w:vAlign w:val="bottom"/>
            <w:tcBorders>
              <w:right w:val="single" w:sz="8" w:color="0066CC"/>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2"/>
              </w:rPr>
              <w:t>Local Union #99</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tcPr>
          <w:p>
            <w:pPr>
              <w:spacing w:after="0"/>
              <w:rPr>
                <w:sz w:val="5"/>
                <w:szCs w:val="5"/>
                <w:color w:val="auto"/>
              </w:rPr>
            </w:pPr>
          </w:p>
        </w:tc>
        <w:tc>
          <w:tcPr>
            <w:tcW w:w="1600" w:type="dxa"/>
            <w:vAlign w:val="bottom"/>
            <w:tcBorders>
              <w:right w:val="single" w:sz="8" w:color="CCCCFF"/>
            </w:tcBorders>
          </w:tcPr>
          <w:p>
            <w:pPr>
              <w:spacing w:after="0"/>
              <w:rPr>
                <w:sz w:val="5"/>
                <w:szCs w:val="5"/>
                <w:color w:val="auto"/>
              </w:rPr>
            </w:pPr>
          </w:p>
        </w:tc>
        <w:tc>
          <w:tcPr>
            <w:tcW w:w="116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1020" w:type="dxa"/>
            <w:vAlign w:val="bottom"/>
            <w:tcBorders>
              <w:right w:val="single" w:sz="8" w:color="CCCCFF"/>
            </w:tcBorders>
          </w:tcPr>
          <w:p>
            <w:pPr>
              <w:spacing w:after="0"/>
              <w:rPr>
                <w:sz w:val="5"/>
                <w:szCs w:val="5"/>
                <w:color w:val="auto"/>
              </w:rPr>
            </w:pPr>
          </w:p>
        </w:tc>
        <w:tc>
          <w:tcPr>
            <w:tcW w:w="920" w:type="dxa"/>
            <w:vAlign w:val="bottom"/>
            <w:tcBorders>
              <w:right w:val="single" w:sz="8" w:color="0066CC"/>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other similar trust</w:t>
            </w:r>
          </w:p>
        </w:tc>
        <w:tc>
          <w:tcPr>
            <w:tcW w:w="1140" w:type="dxa"/>
            <w:vAlign w:val="bottom"/>
            <w:tcBorders>
              <w:right w:val="single" w:sz="8" w:color="CCCCFF"/>
            </w:tcBorders>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1"/>
              </w:rPr>
              <w:t>funds.</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136</w:t>
      </w:r>
    </w:p>
    <w:p>
      <w:pPr>
        <w:sectPr>
          <w:pgSz w:w="11900" w:h="16838" w:orient="portrait"/>
          <w:cols w:equalWidth="0" w:num="1">
            <w:col w:w="11480"/>
          </w:cols>
          <w:pgMar w:left="220" w:top="605" w:right="199" w:bottom="1440" w:gutter="0" w:footer="0" w:header="0"/>
        </w:sectPr>
      </w:pPr>
    </w:p>
    <w:bookmarkStart w:id="197" w:name="page198"/>
    <w:bookmarkEnd w:id="197"/>
    <w:tbl>
      <w:tblPr>
        <w:tblLayout w:type="fixed"/>
        <w:tblInd w:w="10" w:type="dxa"/>
        <w:tblCellMar>
          <w:top w:w="0" w:type="dxa"/>
          <w:left w:w="0" w:type="dxa"/>
          <w:bottom w:w="0" w:type="dxa"/>
          <w:right w:w="0" w:type="dxa"/>
        </w:tblCellMar>
      </w:tblPr>
      <w:tr>
        <w:trPr>
          <w:trHeight w:val="139"/>
        </w:trPr>
        <w:tc>
          <w:tcPr>
            <w:tcW w:w="1180" w:type="dxa"/>
            <w:vAlign w:val="bottom"/>
            <w:tcBorders>
              <w:top w:val="single" w:sz="8" w:color="CCCCFF"/>
              <w:left w:val="single" w:sz="8" w:color="0066CC"/>
              <w:right w:val="single" w:sz="8" w:color="CCCCFF"/>
            </w:tcBorders>
          </w:tcPr>
          <w:p>
            <w:pPr>
              <w:spacing w:after="0"/>
              <w:rPr>
                <w:sz w:val="12"/>
                <w:szCs w:val="12"/>
                <w:color w:val="auto"/>
              </w:rPr>
            </w:pPr>
          </w:p>
        </w:tc>
        <w:tc>
          <w:tcPr>
            <w:tcW w:w="1140" w:type="dxa"/>
            <w:vAlign w:val="bottom"/>
            <w:tcBorders>
              <w:top w:val="single" w:sz="8" w:color="CCCCFF"/>
              <w:right w:val="single" w:sz="8" w:color="CCCCFF"/>
            </w:tcBorders>
          </w:tcPr>
          <w:p>
            <w:pPr>
              <w:spacing w:after="0"/>
              <w:rPr>
                <w:sz w:val="12"/>
                <w:szCs w:val="12"/>
                <w:color w:val="auto"/>
              </w:rPr>
            </w:pPr>
          </w:p>
        </w:tc>
        <w:tc>
          <w:tcPr>
            <w:tcW w:w="1140" w:type="dxa"/>
            <w:vAlign w:val="bottom"/>
            <w:tcBorders>
              <w:top w:val="single" w:sz="8" w:color="CCCCFF"/>
              <w:right w:val="single" w:sz="8" w:color="CCCCFF"/>
            </w:tcBorders>
          </w:tcPr>
          <w:p>
            <w:pPr>
              <w:spacing w:after="0"/>
              <w:rPr>
                <w:sz w:val="12"/>
                <w:szCs w:val="12"/>
                <w:color w:val="auto"/>
              </w:rPr>
            </w:pPr>
          </w:p>
        </w:tc>
        <w:tc>
          <w:tcPr>
            <w:tcW w:w="1160" w:type="dxa"/>
            <w:vAlign w:val="bottom"/>
            <w:tcBorders>
              <w:top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7"/>
              </w:rPr>
              <w:t>Guarantees payment of</w:t>
            </w:r>
          </w:p>
        </w:tc>
        <w:tc>
          <w:tcPr>
            <w:tcW w:w="1140" w:type="dxa"/>
            <w:vAlign w:val="bottom"/>
            <w:tcBorders>
              <w:top w:val="single" w:sz="8" w:color="CCCCFF"/>
              <w:right w:val="single" w:sz="8" w:color="CCCCFF"/>
            </w:tcBorders>
          </w:tcPr>
          <w:p>
            <w:pPr>
              <w:spacing w:after="0"/>
              <w:rPr>
                <w:sz w:val="12"/>
                <w:szCs w:val="12"/>
                <w:color w:val="auto"/>
              </w:rPr>
            </w:pPr>
          </w:p>
        </w:tc>
        <w:tc>
          <w:tcPr>
            <w:tcW w:w="1600" w:type="dxa"/>
            <w:vAlign w:val="bottom"/>
            <w:tcBorders>
              <w:top w:val="single" w:sz="8" w:color="CCCCFF"/>
              <w:right w:val="single" w:sz="8" w:color="CCCCFF"/>
            </w:tcBorders>
          </w:tcPr>
          <w:p>
            <w:pPr>
              <w:spacing w:after="0"/>
              <w:rPr>
                <w:sz w:val="12"/>
                <w:szCs w:val="12"/>
                <w:color w:val="auto"/>
              </w:rPr>
            </w:pPr>
          </w:p>
        </w:tc>
        <w:tc>
          <w:tcPr>
            <w:tcW w:w="1160" w:type="dxa"/>
            <w:vAlign w:val="bottom"/>
            <w:tcBorders>
              <w:top w:val="single" w:sz="8" w:color="CCCCFF"/>
              <w:right w:val="single" w:sz="8" w:color="CCCCFF"/>
            </w:tcBorders>
          </w:tcPr>
          <w:p>
            <w:pPr>
              <w:spacing w:after="0"/>
              <w:rPr>
                <w:sz w:val="12"/>
                <w:szCs w:val="12"/>
                <w:color w:val="auto"/>
              </w:rPr>
            </w:pPr>
          </w:p>
        </w:tc>
        <w:tc>
          <w:tcPr>
            <w:tcW w:w="1020" w:type="dxa"/>
            <w:vAlign w:val="bottom"/>
            <w:tcBorders>
              <w:top w:val="single" w:sz="8" w:color="CCCCFF"/>
              <w:right w:val="single" w:sz="8" w:color="CCCCFF"/>
            </w:tcBorders>
          </w:tcPr>
          <w:p>
            <w:pPr>
              <w:spacing w:after="0"/>
              <w:rPr>
                <w:sz w:val="12"/>
                <w:szCs w:val="12"/>
                <w:color w:val="auto"/>
              </w:rPr>
            </w:pPr>
          </w:p>
        </w:tc>
        <w:tc>
          <w:tcPr>
            <w:tcW w:w="1020" w:type="dxa"/>
            <w:vAlign w:val="bottom"/>
            <w:tcBorders>
              <w:top w:val="single" w:sz="8" w:color="CCCCFF"/>
              <w:right w:val="single" w:sz="8" w:color="CCCCFF"/>
            </w:tcBorders>
          </w:tcPr>
          <w:p>
            <w:pPr>
              <w:spacing w:after="0"/>
              <w:rPr>
                <w:sz w:val="12"/>
                <w:szCs w:val="12"/>
                <w:color w:val="auto"/>
              </w:rPr>
            </w:pPr>
          </w:p>
        </w:tc>
        <w:tc>
          <w:tcPr>
            <w:tcW w:w="920" w:type="dxa"/>
            <w:vAlign w:val="bottom"/>
            <w:tcBorders>
              <w:top w:val="single" w:sz="8" w:color="CCCCFF"/>
              <w:right w:val="single" w:sz="8" w:color="0066CC"/>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wages, fringe benefits,</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6"/>
              </w:rPr>
              <w:t>Plumbers and</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2"/>
              </w:rPr>
              <w:t>and any assessments</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6"/>
              </w:rPr>
              <w:t>09185110</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Pipefitters Local</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7"/>
              </w:rPr>
              <w:t>due in accordance with</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6"/>
              </w:rPr>
              <w:t>Wage and Welfare</w:t>
            </w:r>
          </w:p>
        </w:tc>
        <w:tc>
          <w:tcPr>
            <w:tcW w:w="1600" w:type="dxa"/>
            <w:vAlign w:val="bottom"/>
            <w:tcBorders>
              <w:right w:val="single" w:sz="8" w:color="CCCCFF"/>
            </w:tcBorders>
          </w:tcPr>
          <w:p>
            <w:pPr>
              <w:jc w:val="right"/>
              <w:spacing w:after="0" w:line="121" w:lineRule="exact"/>
              <w:rPr>
                <w:sz w:val="20"/>
                <w:szCs w:val="20"/>
                <w:color w:val="auto"/>
              </w:rPr>
            </w:pPr>
            <w:r>
              <w:rPr>
                <w:rFonts w:ascii="Arial" w:cs="Arial" w:eastAsia="Arial" w:hAnsi="Arial"/>
                <w:sz w:val="12"/>
                <w:szCs w:val="12"/>
                <w:color w:val="auto"/>
              </w:rPr>
              <w:t>$40,000.00</w:t>
            </w:r>
          </w:p>
        </w:tc>
        <w:tc>
          <w:tcPr>
            <w:tcW w:w="1160" w:type="dxa"/>
            <w:vAlign w:val="bottom"/>
            <w:tcBorders>
              <w:right w:val="single" w:sz="8" w:color="CCCCFF"/>
            </w:tcBorders>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22-Dec-15</w:t>
            </w:r>
          </w:p>
        </w:tc>
        <w:tc>
          <w:tcPr>
            <w:tcW w:w="1020" w:type="dxa"/>
            <w:vAlign w:val="bottom"/>
            <w:tcBorders>
              <w:right w:val="single" w:sz="8" w:color="CCCCFF"/>
            </w:tcBorders>
          </w:tcPr>
          <w:p>
            <w:pPr>
              <w:ind w:left="240"/>
              <w:spacing w:after="0" w:line="121" w:lineRule="exact"/>
              <w:rPr>
                <w:sz w:val="20"/>
                <w:szCs w:val="20"/>
                <w:color w:val="auto"/>
              </w:rPr>
            </w:pPr>
            <w:r>
              <w:rPr>
                <w:rFonts w:ascii="Arial" w:cs="Arial" w:eastAsia="Arial" w:hAnsi="Arial"/>
                <w:sz w:val="12"/>
                <w:szCs w:val="12"/>
                <w:color w:val="auto"/>
              </w:rPr>
              <w:t>22-Dec-16</w:t>
            </w:r>
          </w:p>
        </w:tc>
        <w:tc>
          <w:tcPr>
            <w:tcW w:w="920" w:type="dxa"/>
            <w:vAlign w:val="bottom"/>
            <w:tcBorders>
              <w:right w:val="single" w:sz="8" w:color="0066CC"/>
            </w:tcBorders>
          </w:tcPr>
          <w:p>
            <w:pPr>
              <w:jc w:val="center"/>
              <w:spacing w:after="0" w:line="121" w:lineRule="exact"/>
              <w:rPr>
                <w:sz w:val="20"/>
                <w:szCs w:val="20"/>
                <w:color w:val="auto"/>
              </w:rPr>
            </w:pPr>
            <w:r>
              <w:rPr>
                <w:rFonts w:ascii="Arial" w:cs="Arial" w:eastAsia="Arial" w:hAnsi="Arial"/>
                <w:sz w:val="12"/>
                <w:szCs w:val="12"/>
                <w:color w:val="auto"/>
                <w:w w:val="89"/>
              </w:rPr>
              <w:t>22-Dec-17</w:t>
            </w: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3"/>
              </w:rPr>
              <w:t>Union No. 333</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1"/>
              </w:rPr>
              <w:t>the Collective</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Bargaining</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right w:val="single" w:sz="8" w:color="CCCCFF"/>
            </w:tcBorders>
          </w:tcPr>
          <w:p>
            <w:pPr>
              <w:spacing w:after="0"/>
              <w:rPr>
                <w:sz w:val="13"/>
                <w:szCs w:val="13"/>
                <w:color w:val="auto"/>
              </w:rPr>
            </w:pPr>
          </w:p>
        </w:tc>
        <w:tc>
          <w:tcPr>
            <w:tcW w:w="1140" w:type="dxa"/>
            <w:vAlign w:val="bottom"/>
            <w:tcBorders>
              <w:right w:val="single" w:sz="8" w:color="CCCCFF"/>
            </w:tcBorders>
          </w:tcPr>
          <w:p>
            <w:pPr>
              <w:spacing w:after="0"/>
              <w:rPr>
                <w:sz w:val="13"/>
                <w:szCs w:val="13"/>
                <w:color w:val="auto"/>
              </w:rPr>
            </w:pPr>
          </w:p>
        </w:tc>
        <w:tc>
          <w:tcPr>
            <w:tcW w:w="1140" w:type="dxa"/>
            <w:vAlign w:val="bottom"/>
            <w:tcBorders>
              <w:right w:val="single" w:sz="8" w:color="CCCCFF"/>
            </w:tcBorders>
          </w:tcPr>
          <w:p>
            <w:pPr>
              <w:spacing w:after="0"/>
              <w:rPr>
                <w:sz w:val="13"/>
                <w:szCs w:val="13"/>
                <w:color w:val="auto"/>
              </w:rPr>
            </w:pPr>
          </w:p>
        </w:tc>
        <w:tc>
          <w:tcPr>
            <w:tcW w:w="1160" w:type="dxa"/>
            <w:vAlign w:val="bottom"/>
            <w:tcBorders>
              <w:right w:val="single" w:sz="8" w:color="CCCCFF"/>
            </w:tcBorders>
          </w:tcPr>
          <w:p>
            <w:pPr>
              <w:jc w:val="center"/>
              <w:spacing w:after="0"/>
              <w:rPr>
                <w:sz w:val="20"/>
                <w:szCs w:val="20"/>
                <w:color w:val="auto"/>
              </w:rPr>
            </w:pPr>
            <w:r>
              <w:rPr>
                <w:rFonts w:ascii="Arial" w:cs="Arial" w:eastAsia="Arial" w:hAnsi="Arial"/>
                <w:sz w:val="12"/>
                <w:szCs w:val="12"/>
                <w:color w:val="auto"/>
                <w:w w:val="86"/>
              </w:rPr>
              <w:t>Agreement.</w:t>
            </w:r>
          </w:p>
        </w:tc>
        <w:tc>
          <w:tcPr>
            <w:tcW w:w="1140" w:type="dxa"/>
            <w:vAlign w:val="bottom"/>
            <w:tcBorders>
              <w:right w:val="single" w:sz="8" w:color="CCCCFF"/>
            </w:tcBorders>
          </w:tcPr>
          <w:p>
            <w:pPr>
              <w:spacing w:after="0"/>
              <w:rPr>
                <w:sz w:val="13"/>
                <w:szCs w:val="13"/>
                <w:color w:val="auto"/>
              </w:rPr>
            </w:pPr>
          </w:p>
        </w:tc>
        <w:tc>
          <w:tcPr>
            <w:tcW w:w="1600" w:type="dxa"/>
            <w:vAlign w:val="bottom"/>
            <w:tcBorders>
              <w:right w:val="single" w:sz="8" w:color="CCCCFF"/>
            </w:tcBorders>
          </w:tcPr>
          <w:p>
            <w:pPr>
              <w:spacing w:after="0"/>
              <w:rPr>
                <w:sz w:val="13"/>
                <w:szCs w:val="13"/>
                <w:color w:val="auto"/>
              </w:rPr>
            </w:pPr>
          </w:p>
        </w:tc>
        <w:tc>
          <w:tcPr>
            <w:tcW w:w="1160" w:type="dxa"/>
            <w:vAlign w:val="bottom"/>
            <w:tcBorders>
              <w:right w:val="single" w:sz="8" w:color="CCCCFF"/>
            </w:tcBorders>
          </w:tcPr>
          <w:p>
            <w:pPr>
              <w:spacing w:after="0"/>
              <w:rPr>
                <w:sz w:val="13"/>
                <w:szCs w:val="13"/>
                <w:color w:val="auto"/>
              </w:rPr>
            </w:pPr>
          </w:p>
        </w:tc>
        <w:tc>
          <w:tcPr>
            <w:tcW w:w="1020" w:type="dxa"/>
            <w:vAlign w:val="bottom"/>
            <w:tcBorders>
              <w:right w:val="single" w:sz="8" w:color="CCCCFF"/>
            </w:tcBorders>
          </w:tcPr>
          <w:p>
            <w:pPr>
              <w:spacing w:after="0"/>
              <w:rPr>
                <w:sz w:val="13"/>
                <w:szCs w:val="13"/>
                <w:color w:val="auto"/>
              </w:rPr>
            </w:pPr>
          </w:p>
        </w:tc>
        <w:tc>
          <w:tcPr>
            <w:tcW w:w="1020" w:type="dxa"/>
            <w:vAlign w:val="bottom"/>
            <w:tcBorders>
              <w:right w:val="single" w:sz="8" w:color="CCCCFF"/>
            </w:tcBorders>
          </w:tcPr>
          <w:p>
            <w:pPr>
              <w:spacing w:after="0"/>
              <w:rPr>
                <w:sz w:val="13"/>
                <w:szCs w:val="13"/>
                <w:color w:val="auto"/>
              </w:rPr>
            </w:pPr>
          </w:p>
        </w:tc>
        <w:tc>
          <w:tcPr>
            <w:tcW w:w="920" w:type="dxa"/>
            <w:vAlign w:val="bottom"/>
            <w:tcBorders>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320" w:type="dxa"/>
            <w:vAlign w:val="bottom"/>
            <w:tcBorders>
              <w:left w:val="single" w:sz="8" w:color="0066CC"/>
              <w:bottom w:val="single" w:sz="8" w:color="969696"/>
              <w:right w:val="single" w:sz="8" w:color="969696"/>
            </w:tcBorders>
            <w:gridSpan w:val="2"/>
            <w:shd w:val="clear" w:color="auto" w:fill="969696"/>
          </w:tcPr>
          <w:p>
            <w:pPr>
              <w:ind w:left="60"/>
              <w:spacing w:after="0"/>
              <w:rPr>
                <w:sz w:val="20"/>
                <w:szCs w:val="20"/>
                <w:color w:val="auto"/>
              </w:rPr>
            </w:pPr>
            <w:r>
              <w:rPr>
                <w:rFonts w:ascii="Arial" w:cs="Arial" w:eastAsia="Arial" w:hAnsi="Arial"/>
                <w:sz w:val="12"/>
                <w:szCs w:val="12"/>
                <w:color w:val="auto"/>
              </w:rPr>
              <w:t>TOTAL WAGE &amp; WELFARE BONDS:</w:t>
            </w:r>
          </w:p>
        </w:tc>
        <w:tc>
          <w:tcPr>
            <w:tcW w:w="1140" w:type="dxa"/>
            <w:vAlign w:val="bottom"/>
            <w:tcBorders>
              <w:bottom w:val="single" w:sz="8" w:color="969696"/>
              <w:right w:val="single" w:sz="8" w:color="969696"/>
            </w:tcBorders>
            <w:shd w:val="clear" w:color="auto" w:fill="969696"/>
          </w:tcPr>
          <w:p>
            <w:pPr>
              <w:spacing w:after="0"/>
              <w:rPr>
                <w:sz w:val="18"/>
                <w:szCs w:val="18"/>
                <w:color w:val="auto"/>
              </w:rPr>
            </w:pPr>
          </w:p>
        </w:tc>
        <w:tc>
          <w:tcPr>
            <w:tcW w:w="1160" w:type="dxa"/>
            <w:vAlign w:val="bottom"/>
            <w:tcBorders>
              <w:bottom w:val="single" w:sz="8" w:color="969696"/>
              <w:right w:val="single" w:sz="8" w:color="969696"/>
            </w:tcBorders>
            <w:shd w:val="clear" w:color="auto" w:fill="969696"/>
          </w:tcPr>
          <w:p>
            <w:pPr>
              <w:spacing w:after="0"/>
              <w:rPr>
                <w:sz w:val="18"/>
                <w:szCs w:val="18"/>
                <w:color w:val="auto"/>
              </w:rPr>
            </w:pPr>
          </w:p>
        </w:tc>
        <w:tc>
          <w:tcPr>
            <w:tcW w:w="1140" w:type="dxa"/>
            <w:vAlign w:val="bottom"/>
            <w:tcBorders>
              <w:bottom w:val="single" w:sz="8" w:color="969696"/>
              <w:right w:val="single" w:sz="8" w:color="969696"/>
            </w:tcBorders>
            <w:shd w:val="clear" w:color="auto" w:fill="969696"/>
          </w:tcPr>
          <w:p>
            <w:pPr>
              <w:jc w:val="right"/>
              <w:ind w:right="481"/>
              <w:spacing w:after="0"/>
              <w:rPr>
                <w:sz w:val="20"/>
                <w:szCs w:val="20"/>
                <w:color w:val="auto"/>
              </w:rPr>
            </w:pPr>
            <w:r>
              <w:rPr>
                <w:rFonts w:ascii="Arial" w:cs="Arial" w:eastAsia="Arial" w:hAnsi="Arial"/>
                <w:sz w:val="12"/>
                <w:szCs w:val="12"/>
                <w:color w:val="auto"/>
              </w:rPr>
              <w:t>47</w:t>
            </w:r>
          </w:p>
        </w:tc>
        <w:tc>
          <w:tcPr>
            <w:tcW w:w="1600" w:type="dxa"/>
            <w:vAlign w:val="bottom"/>
            <w:tcBorders>
              <w:bottom w:val="single" w:sz="8" w:color="969696"/>
              <w:right w:val="single" w:sz="8" w:color="969696"/>
            </w:tcBorders>
            <w:shd w:val="clear" w:color="auto" w:fill="969696"/>
          </w:tcPr>
          <w:p>
            <w:pPr>
              <w:jc w:val="right"/>
              <w:spacing w:after="0"/>
              <w:rPr>
                <w:sz w:val="20"/>
                <w:szCs w:val="20"/>
                <w:color w:val="auto"/>
              </w:rPr>
            </w:pPr>
            <w:r>
              <w:rPr>
                <w:rFonts w:ascii="Arial" w:cs="Arial" w:eastAsia="Arial" w:hAnsi="Arial"/>
                <w:sz w:val="12"/>
                <w:szCs w:val="12"/>
                <w:color w:val="auto"/>
              </w:rPr>
              <w:t>$918,000.00</w:t>
            </w:r>
          </w:p>
        </w:tc>
        <w:tc>
          <w:tcPr>
            <w:tcW w:w="1160" w:type="dxa"/>
            <w:vAlign w:val="bottom"/>
            <w:tcBorders>
              <w:bottom w:val="single" w:sz="8" w:color="969696"/>
              <w:right w:val="single" w:sz="8" w:color="969696"/>
            </w:tcBorders>
            <w:shd w:val="clear" w:color="auto" w:fill="969696"/>
          </w:tcPr>
          <w:p>
            <w:pPr>
              <w:spacing w:after="0"/>
              <w:rPr>
                <w:sz w:val="18"/>
                <w:szCs w:val="18"/>
                <w:color w:val="auto"/>
              </w:rPr>
            </w:pPr>
          </w:p>
        </w:tc>
        <w:tc>
          <w:tcPr>
            <w:tcW w:w="1020" w:type="dxa"/>
            <w:vAlign w:val="bottom"/>
            <w:tcBorders>
              <w:bottom w:val="single" w:sz="8" w:color="969696"/>
              <w:right w:val="single" w:sz="8" w:color="969696"/>
            </w:tcBorders>
            <w:shd w:val="clear" w:color="auto" w:fill="969696"/>
          </w:tcPr>
          <w:p>
            <w:pPr>
              <w:spacing w:after="0"/>
              <w:rPr>
                <w:sz w:val="18"/>
                <w:szCs w:val="18"/>
                <w:color w:val="auto"/>
              </w:rPr>
            </w:pPr>
          </w:p>
        </w:tc>
        <w:tc>
          <w:tcPr>
            <w:tcW w:w="1020" w:type="dxa"/>
            <w:vAlign w:val="bottom"/>
            <w:tcBorders>
              <w:bottom w:val="single" w:sz="8" w:color="969696"/>
              <w:right w:val="single" w:sz="8" w:color="969696"/>
            </w:tcBorders>
            <w:shd w:val="clear" w:color="auto" w:fill="969696"/>
          </w:tcPr>
          <w:p>
            <w:pPr>
              <w:spacing w:after="0"/>
              <w:rPr>
                <w:sz w:val="18"/>
                <w:szCs w:val="18"/>
                <w:color w:val="auto"/>
              </w:rPr>
            </w:pPr>
          </w:p>
        </w:tc>
        <w:tc>
          <w:tcPr>
            <w:tcW w:w="920" w:type="dxa"/>
            <w:vAlign w:val="bottom"/>
            <w:tcBorders>
              <w:bottom w:val="single" w:sz="8" w:color="969696"/>
              <w:right w:val="single" w:sz="8" w:color="0066CC"/>
            </w:tcBorders>
            <w:shd w:val="clear" w:color="auto" w:fill="969696"/>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80" w:type="dxa"/>
            <w:vAlign w:val="bottom"/>
            <w:tcBorders>
              <w:left w:val="single" w:sz="8" w:color="0066CC"/>
              <w:bottom w:val="single" w:sz="8" w:color="800080"/>
              <w:right w:val="single" w:sz="8" w:color="800080"/>
            </w:tcBorders>
            <w:shd w:val="clear" w:color="auto" w:fill="800080"/>
          </w:tcPr>
          <w:p>
            <w:pPr>
              <w:ind w:left="60"/>
              <w:spacing w:after="0"/>
              <w:rPr>
                <w:sz w:val="20"/>
                <w:szCs w:val="20"/>
                <w:color w:val="auto"/>
              </w:rPr>
            </w:pPr>
            <w:r>
              <w:rPr>
                <w:rFonts w:ascii="Arial" w:cs="Arial" w:eastAsia="Arial" w:hAnsi="Arial"/>
                <w:sz w:val="12"/>
                <w:szCs w:val="12"/>
                <w:b w:val="1"/>
                <w:bCs w:val="1"/>
                <w:color w:val="FFFFFF"/>
              </w:rPr>
              <w:t>NOTARY BONDS</w:t>
            </w:r>
          </w:p>
        </w:tc>
        <w:tc>
          <w:tcPr>
            <w:tcW w:w="1140" w:type="dxa"/>
            <w:vAlign w:val="bottom"/>
            <w:tcBorders>
              <w:bottom w:val="single" w:sz="8" w:color="800080"/>
              <w:right w:val="single" w:sz="8" w:color="800080"/>
            </w:tcBorders>
            <w:shd w:val="clear" w:color="auto" w:fill="800080"/>
          </w:tcPr>
          <w:p>
            <w:pPr>
              <w:spacing w:after="0"/>
              <w:rPr>
                <w:sz w:val="18"/>
                <w:szCs w:val="18"/>
                <w:color w:val="auto"/>
              </w:rPr>
            </w:pPr>
          </w:p>
        </w:tc>
        <w:tc>
          <w:tcPr>
            <w:tcW w:w="1140" w:type="dxa"/>
            <w:vAlign w:val="bottom"/>
            <w:tcBorders>
              <w:bottom w:val="single" w:sz="8" w:color="800080"/>
              <w:right w:val="single" w:sz="8" w:color="800080"/>
            </w:tcBorders>
            <w:shd w:val="clear" w:color="auto" w:fill="800080"/>
          </w:tcPr>
          <w:p>
            <w:pPr>
              <w:spacing w:after="0"/>
              <w:rPr>
                <w:sz w:val="18"/>
                <w:szCs w:val="18"/>
                <w:color w:val="auto"/>
              </w:rPr>
            </w:pPr>
          </w:p>
        </w:tc>
        <w:tc>
          <w:tcPr>
            <w:tcW w:w="1160" w:type="dxa"/>
            <w:vAlign w:val="bottom"/>
            <w:tcBorders>
              <w:bottom w:val="single" w:sz="8" w:color="800080"/>
              <w:right w:val="single" w:sz="8" w:color="800080"/>
            </w:tcBorders>
            <w:shd w:val="clear" w:color="auto" w:fill="800080"/>
          </w:tcPr>
          <w:p>
            <w:pPr>
              <w:spacing w:after="0"/>
              <w:rPr>
                <w:sz w:val="18"/>
                <w:szCs w:val="18"/>
                <w:color w:val="auto"/>
              </w:rPr>
            </w:pPr>
          </w:p>
        </w:tc>
        <w:tc>
          <w:tcPr>
            <w:tcW w:w="1140" w:type="dxa"/>
            <w:vAlign w:val="bottom"/>
            <w:tcBorders>
              <w:bottom w:val="single" w:sz="8" w:color="800080"/>
              <w:right w:val="single" w:sz="8" w:color="800080"/>
            </w:tcBorders>
            <w:shd w:val="clear" w:color="auto" w:fill="800080"/>
          </w:tcPr>
          <w:p>
            <w:pPr>
              <w:spacing w:after="0"/>
              <w:rPr>
                <w:sz w:val="18"/>
                <w:szCs w:val="18"/>
                <w:color w:val="auto"/>
              </w:rPr>
            </w:pPr>
          </w:p>
        </w:tc>
        <w:tc>
          <w:tcPr>
            <w:tcW w:w="1600" w:type="dxa"/>
            <w:vAlign w:val="bottom"/>
            <w:tcBorders>
              <w:bottom w:val="single" w:sz="8" w:color="800080"/>
              <w:right w:val="single" w:sz="8" w:color="800080"/>
            </w:tcBorders>
            <w:shd w:val="clear" w:color="auto" w:fill="800080"/>
          </w:tcPr>
          <w:p>
            <w:pPr>
              <w:spacing w:after="0"/>
              <w:rPr>
                <w:sz w:val="18"/>
                <w:szCs w:val="18"/>
                <w:color w:val="auto"/>
              </w:rPr>
            </w:pPr>
          </w:p>
        </w:tc>
        <w:tc>
          <w:tcPr>
            <w:tcW w:w="1160" w:type="dxa"/>
            <w:vAlign w:val="bottom"/>
            <w:tcBorders>
              <w:bottom w:val="single" w:sz="8" w:color="800080"/>
              <w:right w:val="single" w:sz="8" w:color="800080"/>
            </w:tcBorders>
            <w:shd w:val="clear" w:color="auto" w:fill="800080"/>
          </w:tcPr>
          <w:p>
            <w:pPr>
              <w:spacing w:after="0"/>
              <w:rPr>
                <w:sz w:val="18"/>
                <w:szCs w:val="18"/>
                <w:color w:val="auto"/>
              </w:rPr>
            </w:pPr>
          </w:p>
        </w:tc>
        <w:tc>
          <w:tcPr>
            <w:tcW w:w="1020" w:type="dxa"/>
            <w:vAlign w:val="bottom"/>
            <w:tcBorders>
              <w:bottom w:val="single" w:sz="8" w:color="800080"/>
              <w:right w:val="single" w:sz="8" w:color="800080"/>
            </w:tcBorders>
            <w:shd w:val="clear" w:color="auto" w:fill="800080"/>
          </w:tcPr>
          <w:p>
            <w:pPr>
              <w:spacing w:after="0"/>
              <w:rPr>
                <w:sz w:val="18"/>
                <w:szCs w:val="18"/>
                <w:color w:val="auto"/>
              </w:rPr>
            </w:pPr>
          </w:p>
        </w:tc>
        <w:tc>
          <w:tcPr>
            <w:tcW w:w="1020" w:type="dxa"/>
            <w:vAlign w:val="bottom"/>
            <w:tcBorders>
              <w:bottom w:val="single" w:sz="8" w:color="800080"/>
              <w:right w:val="single" w:sz="8" w:color="800080"/>
            </w:tcBorders>
            <w:shd w:val="clear" w:color="auto" w:fill="800080"/>
          </w:tcPr>
          <w:p>
            <w:pPr>
              <w:spacing w:after="0"/>
              <w:rPr>
                <w:sz w:val="18"/>
                <w:szCs w:val="18"/>
                <w:color w:val="auto"/>
              </w:rPr>
            </w:pPr>
          </w:p>
        </w:tc>
        <w:tc>
          <w:tcPr>
            <w:tcW w:w="920" w:type="dxa"/>
            <w:vAlign w:val="bottom"/>
            <w:tcBorders>
              <w:bottom w:val="single" w:sz="8" w:color="800080"/>
              <w:right w:val="single" w:sz="8" w:color="0066CC"/>
            </w:tcBorders>
            <w:shd w:val="clear" w:color="auto" w:fill="800080"/>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1180" w:type="dxa"/>
            <w:vAlign w:val="bottom"/>
            <w:tcBorders>
              <w:left w:val="single" w:sz="8" w:color="0066CC"/>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6"/>
              </w:rPr>
              <w:t>09066742</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7"/>
              </w:rPr>
              <w:t>Rene Thompson</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State of Oklahoma</w:t>
            </w:r>
          </w:p>
        </w:tc>
        <w:tc>
          <w:tcPr>
            <w:tcW w:w="1160" w:type="dxa"/>
            <w:vAlign w:val="bottom"/>
            <w:tcBorders>
              <w:right w:val="single" w:sz="8" w:color="CCCCFF"/>
            </w:tcBorders>
          </w:tcPr>
          <w:p>
            <w:pPr>
              <w:jc w:val="center"/>
              <w:spacing w:after="0" w:line="128" w:lineRule="exact"/>
              <w:rPr>
                <w:sz w:val="20"/>
                <w:szCs w:val="20"/>
                <w:color w:val="auto"/>
              </w:rPr>
            </w:pPr>
            <w:r>
              <w:rPr>
                <w:rFonts w:ascii="Arial" w:cs="Arial" w:eastAsia="Arial" w:hAnsi="Arial"/>
                <w:sz w:val="12"/>
                <w:szCs w:val="12"/>
                <w:color w:val="auto"/>
                <w:w w:val="88"/>
              </w:rPr>
              <w:t>Notary Bond - Rene</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2"/>
              </w:rPr>
              <w:t>Notary Bond</w:t>
            </w:r>
          </w:p>
        </w:tc>
        <w:tc>
          <w:tcPr>
            <w:tcW w:w="1600" w:type="dxa"/>
            <w:vAlign w:val="bottom"/>
            <w:tcBorders>
              <w:right w:val="single" w:sz="8" w:color="CCCCFF"/>
            </w:tcBorders>
            <w:vMerge w:val="restart"/>
          </w:tcPr>
          <w:p>
            <w:pPr>
              <w:jc w:val="right"/>
              <w:spacing w:after="0"/>
              <w:rPr>
                <w:sz w:val="20"/>
                <w:szCs w:val="20"/>
                <w:color w:val="auto"/>
              </w:rPr>
            </w:pPr>
            <w:r>
              <w:rPr>
                <w:rFonts w:ascii="Arial" w:cs="Arial" w:eastAsia="Arial" w:hAnsi="Arial"/>
                <w:sz w:val="12"/>
                <w:szCs w:val="12"/>
                <w:color w:val="auto"/>
              </w:rPr>
              <w:t>$1,000.00</w:t>
            </w:r>
          </w:p>
        </w:tc>
        <w:tc>
          <w:tcPr>
            <w:tcW w:w="1160" w:type="dxa"/>
            <w:vAlign w:val="bottom"/>
            <w:tcBorders>
              <w:right w:val="single" w:sz="8" w:color="CCCCFF"/>
            </w:tcBorders>
            <w:vMerge w:val="restart"/>
          </w:tcPr>
          <w:p>
            <w:pPr>
              <w:ind w:left="420"/>
              <w:spacing w:after="0"/>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4"/>
              </w:rPr>
              <w:t>13-May-16</w:t>
            </w:r>
          </w:p>
        </w:tc>
        <w:tc>
          <w:tcPr>
            <w:tcW w:w="1020" w:type="dxa"/>
            <w:vAlign w:val="bottom"/>
            <w:tcBorders>
              <w:right w:val="single" w:sz="8" w:color="CCCCFF"/>
            </w:tcBorders>
            <w:vMerge w:val="restart"/>
          </w:tcPr>
          <w:p>
            <w:pPr>
              <w:ind w:left="260"/>
              <w:spacing w:after="0"/>
              <w:rPr>
                <w:sz w:val="20"/>
                <w:szCs w:val="20"/>
                <w:color w:val="auto"/>
              </w:rPr>
            </w:pPr>
            <w:r>
              <w:rPr>
                <w:rFonts w:ascii="Arial" w:cs="Arial" w:eastAsia="Arial" w:hAnsi="Arial"/>
                <w:sz w:val="12"/>
                <w:szCs w:val="12"/>
                <w:color w:val="auto"/>
              </w:rPr>
              <w:t>13-Jun-16</w:t>
            </w:r>
          </w:p>
        </w:tc>
        <w:tc>
          <w:tcPr>
            <w:tcW w:w="920" w:type="dxa"/>
            <w:vAlign w:val="bottom"/>
            <w:tcBorders>
              <w:right w:val="single" w:sz="8" w:color="0066CC"/>
            </w:tcBorders>
            <w:vMerge w:val="restart"/>
          </w:tcPr>
          <w:p>
            <w:pPr>
              <w:jc w:val="center"/>
              <w:spacing w:after="0"/>
              <w:rPr>
                <w:sz w:val="20"/>
                <w:szCs w:val="20"/>
                <w:color w:val="auto"/>
              </w:rPr>
            </w:pPr>
            <w:r>
              <w:rPr>
                <w:rFonts w:ascii="Arial" w:cs="Arial" w:eastAsia="Arial" w:hAnsi="Arial"/>
                <w:sz w:val="12"/>
                <w:szCs w:val="12"/>
                <w:color w:val="auto"/>
                <w:w w:val="88"/>
              </w:rPr>
              <w:t>13-Jun-20</w:t>
            </w: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Thompson</w:t>
            </w:r>
          </w:p>
        </w:tc>
        <w:tc>
          <w:tcPr>
            <w:tcW w:w="1140" w:type="dxa"/>
            <w:vAlign w:val="bottom"/>
            <w:tcBorders>
              <w:right w:val="single" w:sz="8" w:color="CCCCFF"/>
            </w:tcBorders>
            <w:vMerge w:val="continue"/>
          </w:tcPr>
          <w:p>
            <w:pPr>
              <w:spacing w:after="0"/>
              <w:rPr>
                <w:sz w:val="7"/>
                <w:szCs w:val="7"/>
                <w:color w:val="auto"/>
              </w:rPr>
            </w:pPr>
          </w:p>
        </w:tc>
        <w:tc>
          <w:tcPr>
            <w:tcW w:w="160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vMerge w:val="continue"/>
          </w:tcPr>
          <w:p>
            <w:pPr>
              <w:spacing w:after="0"/>
              <w:rPr>
                <w:sz w:val="7"/>
                <w:szCs w:val="7"/>
                <w:color w:val="auto"/>
              </w:rPr>
            </w:pPr>
          </w:p>
        </w:tc>
        <w:tc>
          <w:tcPr>
            <w:tcW w:w="920" w:type="dxa"/>
            <w:vAlign w:val="bottom"/>
            <w:tcBorders>
              <w:right w:val="single" w:sz="8" w:color="0066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80" w:type="dxa"/>
            <w:vAlign w:val="bottom"/>
            <w:tcBorders>
              <w:left w:val="single" w:sz="8" w:color="0066CC"/>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vMerge w:val="continue"/>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60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920" w:type="dxa"/>
            <w:vAlign w:val="bottom"/>
            <w:tcBorders>
              <w:bottom w:val="single" w:sz="8" w:color="CCCCFF"/>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6"/>
              </w:rPr>
              <w:t>09105392</w:t>
            </w:r>
          </w:p>
        </w:tc>
        <w:tc>
          <w:tcPr>
            <w:tcW w:w="114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8"/>
              </w:rPr>
              <w:t>Robin G. Van Den</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State of Washington</w:t>
            </w: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2"/>
              </w:rPr>
              <w:t>Notary Bond</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2"/>
              </w:rPr>
              <w:t>Notary Bond</w:t>
            </w:r>
          </w:p>
        </w:tc>
        <w:tc>
          <w:tcPr>
            <w:tcW w:w="1600" w:type="dxa"/>
            <w:vAlign w:val="bottom"/>
            <w:tcBorders>
              <w:right w:val="single" w:sz="8" w:color="CCCCFF"/>
            </w:tcBorders>
            <w:vMerge w:val="restart"/>
          </w:tcPr>
          <w:p>
            <w:pPr>
              <w:jc w:val="right"/>
              <w:spacing w:after="0"/>
              <w:rPr>
                <w:sz w:val="20"/>
                <w:szCs w:val="20"/>
                <w:color w:val="auto"/>
              </w:rPr>
            </w:pPr>
            <w:r>
              <w:rPr>
                <w:rFonts w:ascii="Arial" w:cs="Arial" w:eastAsia="Arial" w:hAnsi="Arial"/>
                <w:sz w:val="12"/>
                <w:szCs w:val="12"/>
                <w:color w:val="auto"/>
              </w:rPr>
              <w:t>$10,000.00</w:t>
            </w:r>
          </w:p>
        </w:tc>
        <w:tc>
          <w:tcPr>
            <w:tcW w:w="1160" w:type="dxa"/>
            <w:vAlign w:val="bottom"/>
            <w:tcBorders>
              <w:right w:val="single" w:sz="8" w:color="CCCCFF"/>
            </w:tcBorders>
            <w:vMerge w:val="restart"/>
          </w:tcPr>
          <w:p>
            <w:pPr>
              <w:ind w:left="420"/>
              <w:spacing w:after="0"/>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15-Feb-13</w:t>
            </w:r>
          </w:p>
        </w:tc>
        <w:tc>
          <w:tcPr>
            <w:tcW w:w="1020" w:type="dxa"/>
            <w:vAlign w:val="bottom"/>
            <w:tcBorders>
              <w:right w:val="single" w:sz="8" w:color="CCCCFF"/>
            </w:tcBorders>
            <w:vMerge w:val="restart"/>
          </w:tcPr>
          <w:p>
            <w:pPr>
              <w:ind w:left="260"/>
              <w:spacing w:after="0"/>
              <w:rPr>
                <w:sz w:val="20"/>
                <w:szCs w:val="20"/>
                <w:color w:val="auto"/>
              </w:rPr>
            </w:pPr>
            <w:r>
              <w:rPr>
                <w:rFonts w:ascii="Arial" w:cs="Arial" w:eastAsia="Arial" w:hAnsi="Arial"/>
                <w:sz w:val="12"/>
                <w:szCs w:val="12"/>
                <w:color w:val="auto"/>
              </w:rPr>
              <w:t>15-Feb-13</w:t>
            </w:r>
          </w:p>
        </w:tc>
        <w:tc>
          <w:tcPr>
            <w:tcW w:w="920" w:type="dxa"/>
            <w:vAlign w:val="bottom"/>
            <w:tcBorders>
              <w:right w:val="single" w:sz="8" w:color="0066CC"/>
            </w:tcBorders>
            <w:vMerge w:val="restart"/>
          </w:tcPr>
          <w:p>
            <w:pPr>
              <w:jc w:val="center"/>
              <w:spacing w:after="0"/>
              <w:rPr>
                <w:sz w:val="20"/>
                <w:szCs w:val="20"/>
                <w:color w:val="auto"/>
              </w:rPr>
            </w:pPr>
            <w:r>
              <w:rPr>
                <w:rFonts w:ascii="Arial" w:cs="Arial" w:eastAsia="Arial" w:hAnsi="Arial"/>
                <w:sz w:val="12"/>
                <w:szCs w:val="12"/>
                <w:color w:val="auto"/>
                <w:w w:val="86"/>
              </w:rPr>
              <w:t>15-Feb-17</w:t>
            </w: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6"/>
              </w:rPr>
              <w:t>Berg</w:t>
            </w: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60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vMerge w:val="continue"/>
          </w:tcPr>
          <w:p>
            <w:pPr>
              <w:spacing w:after="0"/>
              <w:rPr>
                <w:sz w:val="7"/>
                <w:szCs w:val="7"/>
                <w:color w:val="auto"/>
              </w:rPr>
            </w:pPr>
          </w:p>
        </w:tc>
        <w:tc>
          <w:tcPr>
            <w:tcW w:w="920" w:type="dxa"/>
            <w:vAlign w:val="bottom"/>
            <w:tcBorders>
              <w:right w:val="single" w:sz="8" w:color="0066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80" w:type="dxa"/>
            <w:vAlign w:val="bottom"/>
            <w:tcBorders>
              <w:left w:val="single" w:sz="8" w:color="0066CC"/>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vMerge w:val="continue"/>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60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920" w:type="dxa"/>
            <w:vAlign w:val="bottom"/>
            <w:tcBorders>
              <w:bottom w:val="single" w:sz="8" w:color="CCCCFF"/>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1180" w:type="dxa"/>
            <w:vAlign w:val="bottom"/>
            <w:tcBorders>
              <w:left w:val="single" w:sz="8" w:color="0066CC"/>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6"/>
              </w:rPr>
              <w:t>09116076</w:t>
            </w:r>
          </w:p>
        </w:tc>
        <w:tc>
          <w:tcPr>
            <w:tcW w:w="114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2"/>
              </w:rPr>
              <w:t>Michael D. Huber</w:t>
            </w:r>
          </w:p>
        </w:tc>
        <w:tc>
          <w:tcPr>
            <w:tcW w:w="114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8"/>
              </w:rPr>
              <w:t>State of Washington</w:t>
            </w: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2"/>
              </w:rPr>
              <w:t>Notary Bond</w:t>
            </w:r>
          </w:p>
        </w:tc>
        <w:tc>
          <w:tcPr>
            <w:tcW w:w="114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2"/>
              </w:rPr>
              <w:t>Notary Bond</w:t>
            </w:r>
          </w:p>
        </w:tc>
        <w:tc>
          <w:tcPr>
            <w:tcW w:w="1600" w:type="dxa"/>
            <w:vAlign w:val="bottom"/>
            <w:tcBorders>
              <w:bottom w:val="single" w:sz="8" w:color="CCCCFF"/>
              <w:right w:val="single" w:sz="8" w:color="CCCCFF"/>
            </w:tcBorders>
          </w:tcPr>
          <w:p>
            <w:pPr>
              <w:jc w:val="right"/>
              <w:spacing w:after="0"/>
              <w:rPr>
                <w:sz w:val="20"/>
                <w:szCs w:val="20"/>
                <w:color w:val="auto"/>
              </w:rPr>
            </w:pPr>
            <w:r>
              <w:rPr>
                <w:rFonts w:ascii="Arial" w:cs="Arial" w:eastAsia="Arial" w:hAnsi="Arial"/>
                <w:sz w:val="12"/>
                <w:szCs w:val="12"/>
                <w:color w:val="auto"/>
              </w:rPr>
              <w:t>$10,000.00</w:t>
            </w:r>
          </w:p>
        </w:tc>
        <w:tc>
          <w:tcPr>
            <w:tcW w:w="1160" w:type="dxa"/>
            <w:vAlign w:val="bottom"/>
            <w:tcBorders>
              <w:bottom w:val="single" w:sz="8" w:color="CCCCFF"/>
              <w:right w:val="single" w:sz="8" w:color="CCCCFF"/>
            </w:tcBorders>
          </w:tcPr>
          <w:p>
            <w:pPr>
              <w:ind w:left="420"/>
              <w:spacing w:after="0"/>
              <w:rPr>
                <w:sz w:val="20"/>
                <w:szCs w:val="20"/>
                <w:color w:val="auto"/>
              </w:rPr>
            </w:pPr>
            <w:r>
              <w:rPr>
                <w:rFonts w:ascii="Arial" w:cs="Arial" w:eastAsia="Arial" w:hAnsi="Arial"/>
                <w:sz w:val="12"/>
                <w:szCs w:val="12"/>
                <w:color w:val="auto"/>
              </w:rPr>
              <w:t>Zurich</w:t>
            </w:r>
          </w:p>
        </w:tc>
        <w:tc>
          <w:tcPr>
            <w:tcW w:w="102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4"/>
              </w:rPr>
              <w:t>19-May-13</w:t>
            </w:r>
          </w:p>
        </w:tc>
        <w:tc>
          <w:tcPr>
            <w:tcW w:w="1020" w:type="dxa"/>
            <w:vAlign w:val="bottom"/>
            <w:tcBorders>
              <w:bottom w:val="single" w:sz="8" w:color="CCCCFF"/>
              <w:right w:val="single" w:sz="8" w:color="CCCCFF"/>
            </w:tcBorders>
          </w:tcPr>
          <w:p>
            <w:pPr>
              <w:ind w:left="240"/>
              <w:spacing w:after="0"/>
              <w:rPr>
                <w:sz w:val="20"/>
                <w:szCs w:val="20"/>
                <w:color w:val="auto"/>
              </w:rPr>
            </w:pPr>
            <w:r>
              <w:rPr>
                <w:rFonts w:ascii="Arial" w:cs="Arial" w:eastAsia="Arial" w:hAnsi="Arial"/>
                <w:sz w:val="12"/>
                <w:szCs w:val="12"/>
                <w:color w:val="auto"/>
              </w:rPr>
              <w:t>19-May-13</w:t>
            </w:r>
          </w:p>
        </w:tc>
        <w:tc>
          <w:tcPr>
            <w:tcW w:w="920" w:type="dxa"/>
            <w:vAlign w:val="bottom"/>
            <w:tcBorders>
              <w:bottom w:val="single" w:sz="8" w:color="CCCCFF"/>
              <w:right w:val="single" w:sz="8" w:color="0066CC"/>
            </w:tcBorders>
          </w:tcPr>
          <w:p>
            <w:pPr>
              <w:jc w:val="center"/>
              <w:spacing w:after="0"/>
              <w:rPr>
                <w:sz w:val="20"/>
                <w:szCs w:val="20"/>
                <w:color w:val="auto"/>
              </w:rPr>
            </w:pPr>
            <w:r>
              <w:rPr>
                <w:rFonts w:ascii="Arial" w:cs="Arial" w:eastAsia="Arial" w:hAnsi="Arial"/>
                <w:sz w:val="12"/>
                <w:szCs w:val="12"/>
                <w:color w:val="auto"/>
                <w:w w:val="90"/>
              </w:rPr>
              <w:t>19-May-17</w:t>
            </w:r>
          </w:p>
        </w:tc>
        <w:tc>
          <w:tcPr>
            <w:tcW w:w="0" w:type="dxa"/>
            <w:vAlign w:val="bottom"/>
          </w:tcPr>
          <w:p>
            <w:pPr>
              <w:spacing w:after="0"/>
              <w:rPr>
                <w:sz w:val="1"/>
                <w:szCs w:val="1"/>
                <w:color w:val="auto"/>
              </w:rPr>
            </w:pPr>
          </w:p>
        </w:tc>
      </w:tr>
      <w:tr>
        <w:trPr>
          <w:trHeight w:val="156"/>
        </w:trPr>
        <w:tc>
          <w:tcPr>
            <w:tcW w:w="1180" w:type="dxa"/>
            <w:vAlign w:val="bottom"/>
            <w:tcBorders>
              <w:left w:val="single" w:sz="8" w:color="0066CC"/>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6"/>
              </w:rPr>
              <w:t>09126877</w:t>
            </w:r>
          </w:p>
        </w:tc>
        <w:tc>
          <w:tcPr>
            <w:tcW w:w="114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0"/>
              </w:rPr>
              <w:t>Jamie C. Martin</w:t>
            </w:r>
          </w:p>
        </w:tc>
        <w:tc>
          <w:tcPr>
            <w:tcW w:w="114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8"/>
              </w:rPr>
              <w:t>State of Washington</w:t>
            </w: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2"/>
              </w:rPr>
              <w:t>Notary Bond</w:t>
            </w:r>
          </w:p>
        </w:tc>
        <w:tc>
          <w:tcPr>
            <w:tcW w:w="114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2"/>
              </w:rPr>
              <w:t>Notary Bond</w:t>
            </w:r>
          </w:p>
        </w:tc>
        <w:tc>
          <w:tcPr>
            <w:tcW w:w="1600" w:type="dxa"/>
            <w:vAlign w:val="bottom"/>
            <w:tcBorders>
              <w:bottom w:val="single" w:sz="8" w:color="CCCCFF"/>
              <w:right w:val="single" w:sz="8" w:color="CCCCFF"/>
            </w:tcBorders>
          </w:tcPr>
          <w:p>
            <w:pPr>
              <w:jc w:val="right"/>
              <w:spacing w:after="0"/>
              <w:rPr>
                <w:sz w:val="20"/>
                <w:szCs w:val="20"/>
                <w:color w:val="auto"/>
              </w:rPr>
            </w:pPr>
            <w:r>
              <w:rPr>
                <w:rFonts w:ascii="Arial" w:cs="Arial" w:eastAsia="Arial" w:hAnsi="Arial"/>
                <w:sz w:val="12"/>
                <w:szCs w:val="12"/>
                <w:color w:val="auto"/>
              </w:rPr>
              <w:t>$10,000.00</w:t>
            </w:r>
          </w:p>
        </w:tc>
        <w:tc>
          <w:tcPr>
            <w:tcW w:w="1160" w:type="dxa"/>
            <w:vAlign w:val="bottom"/>
            <w:tcBorders>
              <w:bottom w:val="single" w:sz="8" w:color="CCCCFF"/>
              <w:right w:val="single" w:sz="8" w:color="CCCCFF"/>
            </w:tcBorders>
          </w:tcPr>
          <w:p>
            <w:pPr>
              <w:ind w:left="420"/>
              <w:spacing w:after="0"/>
              <w:rPr>
                <w:sz w:val="20"/>
                <w:szCs w:val="20"/>
                <w:color w:val="auto"/>
              </w:rPr>
            </w:pPr>
            <w:r>
              <w:rPr>
                <w:rFonts w:ascii="Arial" w:cs="Arial" w:eastAsia="Arial" w:hAnsi="Arial"/>
                <w:sz w:val="12"/>
                <w:szCs w:val="12"/>
                <w:color w:val="auto"/>
              </w:rPr>
              <w:t>Zurich</w:t>
            </w:r>
          </w:p>
        </w:tc>
        <w:tc>
          <w:tcPr>
            <w:tcW w:w="102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3"/>
              </w:rPr>
              <w:t>24-Apr-13</w:t>
            </w:r>
          </w:p>
        </w:tc>
        <w:tc>
          <w:tcPr>
            <w:tcW w:w="1020" w:type="dxa"/>
            <w:vAlign w:val="bottom"/>
            <w:tcBorders>
              <w:bottom w:val="single" w:sz="8" w:color="CCCCFF"/>
              <w:right w:val="single" w:sz="8" w:color="CCCCFF"/>
            </w:tcBorders>
          </w:tcPr>
          <w:p>
            <w:pPr>
              <w:ind w:left="260"/>
              <w:spacing w:after="0"/>
              <w:rPr>
                <w:sz w:val="20"/>
                <w:szCs w:val="20"/>
                <w:color w:val="auto"/>
              </w:rPr>
            </w:pPr>
            <w:r>
              <w:rPr>
                <w:rFonts w:ascii="Arial" w:cs="Arial" w:eastAsia="Arial" w:hAnsi="Arial"/>
                <w:sz w:val="12"/>
                <w:szCs w:val="12"/>
                <w:color w:val="auto"/>
              </w:rPr>
              <w:t>24-Apr-13</w:t>
            </w:r>
          </w:p>
        </w:tc>
        <w:tc>
          <w:tcPr>
            <w:tcW w:w="920" w:type="dxa"/>
            <w:vAlign w:val="bottom"/>
            <w:tcBorders>
              <w:bottom w:val="single" w:sz="8" w:color="CCCCFF"/>
              <w:right w:val="single" w:sz="8" w:color="0066CC"/>
            </w:tcBorders>
          </w:tcPr>
          <w:p>
            <w:pPr>
              <w:jc w:val="center"/>
              <w:spacing w:after="0"/>
              <w:rPr>
                <w:sz w:val="20"/>
                <w:szCs w:val="20"/>
                <w:color w:val="auto"/>
              </w:rPr>
            </w:pPr>
            <w:r>
              <w:rPr>
                <w:rFonts w:ascii="Arial" w:cs="Arial" w:eastAsia="Arial" w:hAnsi="Arial"/>
                <w:sz w:val="12"/>
                <w:szCs w:val="12"/>
                <w:color w:val="auto"/>
                <w:w w:val="89"/>
              </w:rPr>
              <w:t>24-Apr-17</w:t>
            </w:r>
          </w:p>
        </w:tc>
        <w:tc>
          <w:tcPr>
            <w:tcW w:w="0" w:type="dxa"/>
            <w:vAlign w:val="bottom"/>
          </w:tcPr>
          <w:p>
            <w:pPr>
              <w:spacing w:after="0"/>
              <w:rPr>
                <w:sz w:val="1"/>
                <w:szCs w:val="1"/>
                <w:color w:val="auto"/>
              </w:rPr>
            </w:pPr>
          </w:p>
        </w:tc>
      </w:tr>
      <w:tr>
        <w:trPr>
          <w:trHeight w:val="156"/>
        </w:trPr>
        <w:tc>
          <w:tcPr>
            <w:tcW w:w="1180" w:type="dxa"/>
            <w:vAlign w:val="bottom"/>
            <w:tcBorders>
              <w:left w:val="single" w:sz="8" w:color="0066CC"/>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6"/>
              </w:rPr>
              <w:t>09137138</w:t>
            </w:r>
          </w:p>
        </w:tc>
        <w:tc>
          <w:tcPr>
            <w:tcW w:w="114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0"/>
              </w:rPr>
              <w:t>Gloria R. Acevedo</w:t>
            </w:r>
          </w:p>
        </w:tc>
        <w:tc>
          <w:tcPr>
            <w:tcW w:w="114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8"/>
              </w:rPr>
              <w:t>State of Arizona</w:t>
            </w: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2"/>
              </w:rPr>
              <w:t>Notary Bond</w:t>
            </w:r>
          </w:p>
        </w:tc>
        <w:tc>
          <w:tcPr>
            <w:tcW w:w="114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2"/>
              </w:rPr>
              <w:t>Notary Bond</w:t>
            </w:r>
          </w:p>
        </w:tc>
        <w:tc>
          <w:tcPr>
            <w:tcW w:w="1600" w:type="dxa"/>
            <w:vAlign w:val="bottom"/>
            <w:tcBorders>
              <w:bottom w:val="single" w:sz="8" w:color="CCCCFF"/>
              <w:right w:val="single" w:sz="8" w:color="CCCCFF"/>
            </w:tcBorders>
          </w:tcPr>
          <w:p>
            <w:pPr>
              <w:jc w:val="right"/>
              <w:spacing w:after="0"/>
              <w:rPr>
                <w:sz w:val="20"/>
                <w:szCs w:val="20"/>
                <w:color w:val="auto"/>
              </w:rPr>
            </w:pPr>
            <w:r>
              <w:rPr>
                <w:rFonts w:ascii="Arial" w:cs="Arial" w:eastAsia="Arial" w:hAnsi="Arial"/>
                <w:sz w:val="12"/>
                <w:szCs w:val="12"/>
                <w:color w:val="auto"/>
              </w:rPr>
              <w:t>$5,000.00</w:t>
            </w:r>
          </w:p>
        </w:tc>
        <w:tc>
          <w:tcPr>
            <w:tcW w:w="1160" w:type="dxa"/>
            <w:vAlign w:val="bottom"/>
            <w:tcBorders>
              <w:bottom w:val="single" w:sz="8" w:color="CCCCFF"/>
              <w:right w:val="single" w:sz="8" w:color="CCCCFF"/>
            </w:tcBorders>
          </w:tcPr>
          <w:p>
            <w:pPr>
              <w:ind w:left="420"/>
              <w:spacing w:after="0"/>
              <w:rPr>
                <w:sz w:val="20"/>
                <w:szCs w:val="20"/>
                <w:color w:val="auto"/>
              </w:rPr>
            </w:pPr>
            <w:r>
              <w:rPr>
                <w:rFonts w:ascii="Arial" w:cs="Arial" w:eastAsia="Arial" w:hAnsi="Arial"/>
                <w:sz w:val="12"/>
                <w:szCs w:val="12"/>
                <w:color w:val="auto"/>
              </w:rPr>
              <w:t>Zurich</w:t>
            </w:r>
          </w:p>
        </w:tc>
        <w:tc>
          <w:tcPr>
            <w:tcW w:w="102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9"/>
              </w:rPr>
              <w:t>14-Oct-13</w:t>
            </w:r>
          </w:p>
        </w:tc>
        <w:tc>
          <w:tcPr>
            <w:tcW w:w="1020" w:type="dxa"/>
            <w:vAlign w:val="bottom"/>
            <w:tcBorders>
              <w:bottom w:val="single" w:sz="8" w:color="CCCCFF"/>
              <w:right w:val="single" w:sz="8" w:color="CCCCFF"/>
            </w:tcBorders>
          </w:tcPr>
          <w:p>
            <w:pPr>
              <w:ind w:left="260"/>
              <w:spacing w:after="0"/>
              <w:rPr>
                <w:sz w:val="20"/>
                <w:szCs w:val="20"/>
                <w:color w:val="auto"/>
              </w:rPr>
            </w:pPr>
            <w:r>
              <w:rPr>
                <w:rFonts w:ascii="Arial" w:cs="Arial" w:eastAsia="Arial" w:hAnsi="Arial"/>
                <w:sz w:val="12"/>
                <w:szCs w:val="12"/>
                <w:color w:val="auto"/>
              </w:rPr>
              <w:t>14-Oct-13</w:t>
            </w:r>
          </w:p>
        </w:tc>
        <w:tc>
          <w:tcPr>
            <w:tcW w:w="920" w:type="dxa"/>
            <w:vAlign w:val="bottom"/>
            <w:tcBorders>
              <w:bottom w:val="single" w:sz="8" w:color="CCCCFF"/>
              <w:right w:val="single" w:sz="8" w:color="0066CC"/>
            </w:tcBorders>
          </w:tcPr>
          <w:p>
            <w:pPr>
              <w:jc w:val="center"/>
              <w:spacing w:after="0"/>
              <w:rPr>
                <w:sz w:val="20"/>
                <w:szCs w:val="20"/>
                <w:color w:val="auto"/>
              </w:rPr>
            </w:pPr>
            <w:r>
              <w:rPr>
                <w:rFonts w:ascii="Arial" w:cs="Arial" w:eastAsia="Arial" w:hAnsi="Arial"/>
                <w:sz w:val="12"/>
                <w:szCs w:val="12"/>
                <w:color w:val="auto"/>
                <w:w w:val="89"/>
              </w:rPr>
              <w:t>14-Oct-17</w:t>
            </w: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6"/>
              </w:rPr>
              <w:t>09157259</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Lisa M. Stone</w:t>
            </w:r>
          </w:p>
        </w:tc>
        <w:tc>
          <w:tcPr>
            <w:tcW w:w="114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9"/>
              </w:rPr>
              <w:t>State of Oklahoma,</w:t>
            </w: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2"/>
              </w:rPr>
              <w:t>Notary Bond</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2"/>
              </w:rPr>
              <w:t>Notary Bond</w:t>
            </w:r>
          </w:p>
        </w:tc>
        <w:tc>
          <w:tcPr>
            <w:tcW w:w="1600" w:type="dxa"/>
            <w:vAlign w:val="bottom"/>
            <w:tcBorders>
              <w:right w:val="single" w:sz="8" w:color="CCCCFF"/>
            </w:tcBorders>
            <w:vMerge w:val="restart"/>
          </w:tcPr>
          <w:p>
            <w:pPr>
              <w:jc w:val="right"/>
              <w:spacing w:after="0"/>
              <w:rPr>
                <w:sz w:val="20"/>
                <w:szCs w:val="20"/>
                <w:color w:val="auto"/>
              </w:rPr>
            </w:pPr>
            <w:r>
              <w:rPr>
                <w:rFonts w:ascii="Arial" w:cs="Arial" w:eastAsia="Arial" w:hAnsi="Arial"/>
                <w:sz w:val="12"/>
                <w:szCs w:val="12"/>
                <w:color w:val="auto"/>
              </w:rPr>
              <w:t>$1,000.00</w:t>
            </w:r>
          </w:p>
        </w:tc>
        <w:tc>
          <w:tcPr>
            <w:tcW w:w="1160" w:type="dxa"/>
            <w:vAlign w:val="bottom"/>
            <w:tcBorders>
              <w:right w:val="single" w:sz="8" w:color="CCCCFF"/>
            </w:tcBorders>
            <w:vMerge w:val="restart"/>
          </w:tcPr>
          <w:p>
            <w:pPr>
              <w:ind w:left="420"/>
              <w:spacing w:after="0"/>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01-Jun-15</w:t>
            </w:r>
          </w:p>
        </w:tc>
        <w:tc>
          <w:tcPr>
            <w:tcW w:w="1020" w:type="dxa"/>
            <w:vAlign w:val="bottom"/>
            <w:tcBorders>
              <w:right w:val="single" w:sz="8" w:color="CCCCFF"/>
            </w:tcBorders>
            <w:vMerge w:val="restart"/>
          </w:tcPr>
          <w:p>
            <w:pPr>
              <w:ind w:left="260"/>
              <w:spacing w:after="0"/>
              <w:rPr>
                <w:sz w:val="20"/>
                <w:szCs w:val="20"/>
                <w:color w:val="auto"/>
              </w:rPr>
            </w:pPr>
            <w:r>
              <w:rPr>
                <w:rFonts w:ascii="Arial" w:cs="Arial" w:eastAsia="Arial" w:hAnsi="Arial"/>
                <w:sz w:val="12"/>
                <w:szCs w:val="12"/>
                <w:color w:val="auto"/>
              </w:rPr>
              <w:t>01-Jun-15</w:t>
            </w:r>
          </w:p>
        </w:tc>
        <w:tc>
          <w:tcPr>
            <w:tcW w:w="920" w:type="dxa"/>
            <w:vAlign w:val="bottom"/>
            <w:tcBorders>
              <w:right w:val="single" w:sz="8" w:color="0066CC"/>
            </w:tcBorders>
            <w:vMerge w:val="restart"/>
          </w:tcPr>
          <w:p>
            <w:pPr>
              <w:jc w:val="center"/>
              <w:spacing w:after="0"/>
              <w:rPr>
                <w:sz w:val="20"/>
                <w:szCs w:val="20"/>
                <w:color w:val="auto"/>
              </w:rPr>
            </w:pPr>
            <w:r>
              <w:rPr>
                <w:rFonts w:ascii="Arial" w:cs="Arial" w:eastAsia="Arial" w:hAnsi="Arial"/>
                <w:sz w:val="12"/>
                <w:szCs w:val="12"/>
                <w:color w:val="auto"/>
                <w:w w:val="88"/>
              </w:rPr>
              <w:t>01-Jun-19</w:t>
            </w: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7"/>
              </w:rPr>
              <w:t>Secretary of State</w:t>
            </w:r>
          </w:p>
        </w:tc>
        <w:tc>
          <w:tcPr>
            <w:tcW w:w="116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60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vMerge w:val="continue"/>
          </w:tcPr>
          <w:p>
            <w:pPr>
              <w:spacing w:after="0"/>
              <w:rPr>
                <w:sz w:val="7"/>
                <w:szCs w:val="7"/>
                <w:color w:val="auto"/>
              </w:rPr>
            </w:pPr>
          </w:p>
        </w:tc>
        <w:tc>
          <w:tcPr>
            <w:tcW w:w="920" w:type="dxa"/>
            <w:vAlign w:val="bottom"/>
            <w:tcBorders>
              <w:right w:val="single" w:sz="8" w:color="0066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80" w:type="dxa"/>
            <w:vAlign w:val="bottom"/>
            <w:tcBorders>
              <w:left w:val="single" w:sz="8" w:color="0066CC"/>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vMerge w:val="continue"/>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60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920" w:type="dxa"/>
            <w:vAlign w:val="bottom"/>
            <w:tcBorders>
              <w:bottom w:val="single" w:sz="8" w:color="CCCCFF"/>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1180" w:type="dxa"/>
            <w:vAlign w:val="bottom"/>
            <w:tcBorders>
              <w:left w:val="single" w:sz="8" w:color="0066CC"/>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6"/>
              </w:rPr>
              <w:t>09164736</w:t>
            </w:r>
          </w:p>
        </w:tc>
        <w:tc>
          <w:tcPr>
            <w:tcW w:w="114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5"/>
              </w:rPr>
              <w:t>Jillene Mulligan</w:t>
            </w:r>
          </w:p>
        </w:tc>
        <w:tc>
          <w:tcPr>
            <w:tcW w:w="114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9"/>
              </w:rPr>
              <w:t>Notary Public Program</w:t>
            </w: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2"/>
              </w:rPr>
              <w:t>Notary Bond</w:t>
            </w:r>
          </w:p>
        </w:tc>
        <w:tc>
          <w:tcPr>
            <w:tcW w:w="114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2"/>
              </w:rPr>
              <w:t>Notary Bond</w:t>
            </w:r>
          </w:p>
        </w:tc>
        <w:tc>
          <w:tcPr>
            <w:tcW w:w="1600" w:type="dxa"/>
            <w:vAlign w:val="bottom"/>
            <w:tcBorders>
              <w:bottom w:val="single" w:sz="8" w:color="CCCCFF"/>
              <w:right w:val="single" w:sz="8" w:color="CCCCFF"/>
            </w:tcBorders>
          </w:tcPr>
          <w:p>
            <w:pPr>
              <w:jc w:val="right"/>
              <w:spacing w:after="0"/>
              <w:rPr>
                <w:sz w:val="20"/>
                <w:szCs w:val="20"/>
                <w:color w:val="auto"/>
              </w:rPr>
            </w:pPr>
            <w:r>
              <w:rPr>
                <w:rFonts w:ascii="Arial" w:cs="Arial" w:eastAsia="Arial" w:hAnsi="Arial"/>
                <w:sz w:val="12"/>
                <w:szCs w:val="12"/>
                <w:color w:val="auto"/>
              </w:rPr>
              <w:t>$10,000.00</w:t>
            </w:r>
          </w:p>
        </w:tc>
        <w:tc>
          <w:tcPr>
            <w:tcW w:w="1160" w:type="dxa"/>
            <w:vAlign w:val="bottom"/>
            <w:tcBorders>
              <w:bottom w:val="single" w:sz="8" w:color="CCCCFF"/>
              <w:right w:val="single" w:sz="8" w:color="CCCCFF"/>
            </w:tcBorders>
          </w:tcPr>
          <w:p>
            <w:pPr>
              <w:ind w:left="420"/>
              <w:spacing w:after="0"/>
              <w:rPr>
                <w:sz w:val="20"/>
                <w:szCs w:val="20"/>
                <w:color w:val="auto"/>
              </w:rPr>
            </w:pPr>
            <w:r>
              <w:rPr>
                <w:rFonts w:ascii="Arial" w:cs="Arial" w:eastAsia="Arial" w:hAnsi="Arial"/>
                <w:sz w:val="12"/>
                <w:szCs w:val="12"/>
                <w:color w:val="auto"/>
              </w:rPr>
              <w:t>Zurich</w:t>
            </w:r>
          </w:p>
        </w:tc>
        <w:tc>
          <w:tcPr>
            <w:tcW w:w="102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9"/>
              </w:rPr>
              <w:t>08-Oct-14</w:t>
            </w:r>
          </w:p>
        </w:tc>
        <w:tc>
          <w:tcPr>
            <w:tcW w:w="1020" w:type="dxa"/>
            <w:vAlign w:val="bottom"/>
            <w:tcBorders>
              <w:bottom w:val="single" w:sz="8" w:color="CCCCFF"/>
              <w:right w:val="single" w:sz="8" w:color="CCCCFF"/>
            </w:tcBorders>
          </w:tcPr>
          <w:p>
            <w:pPr>
              <w:ind w:left="260"/>
              <w:spacing w:after="0"/>
              <w:rPr>
                <w:sz w:val="20"/>
                <w:szCs w:val="20"/>
                <w:color w:val="auto"/>
              </w:rPr>
            </w:pPr>
            <w:r>
              <w:rPr>
                <w:rFonts w:ascii="Arial" w:cs="Arial" w:eastAsia="Arial" w:hAnsi="Arial"/>
                <w:sz w:val="12"/>
                <w:szCs w:val="12"/>
                <w:color w:val="auto"/>
              </w:rPr>
              <w:t>08-Oct-14</w:t>
            </w:r>
          </w:p>
        </w:tc>
        <w:tc>
          <w:tcPr>
            <w:tcW w:w="920" w:type="dxa"/>
            <w:vAlign w:val="bottom"/>
            <w:tcBorders>
              <w:bottom w:val="single" w:sz="8" w:color="CCCCFF"/>
              <w:right w:val="single" w:sz="8" w:color="0066CC"/>
            </w:tcBorders>
          </w:tcPr>
          <w:p>
            <w:pPr>
              <w:jc w:val="center"/>
              <w:spacing w:after="0"/>
              <w:rPr>
                <w:sz w:val="20"/>
                <w:szCs w:val="20"/>
                <w:color w:val="auto"/>
              </w:rPr>
            </w:pPr>
            <w:r>
              <w:rPr>
                <w:rFonts w:ascii="Arial" w:cs="Arial" w:eastAsia="Arial" w:hAnsi="Arial"/>
                <w:sz w:val="12"/>
                <w:szCs w:val="12"/>
                <w:color w:val="auto"/>
                <w:w w:val="89"/>
              </w:rPr>
              <w:t>08-Oct-18</w:t>
            </w:r>
          </w:p>
        </w:tc>
        <w:tc>
          <w:tcPr>
            <w:tcW w:w="0" w:type="dxa"/>
            <w:vAlign w:val="bottom"/>
          </w:tcPr>
          <w:p>
            <w:pPr>
              <w:spacing w:after="0"/>
              <w:rPr>
                <w:sz w:val="1"/>
                <w:szCs w:val="1"/>
                <w:color w:val="auto"/>
              </w:rPr>
            </w:pPr>
          </w:p>
        </w:tc>
      </w:tr>
      <w:tr>
        <w:trPr>
          <w:trHeight w:val="156"/>
        </w:trPr>
        <w:tc>
          <w:tcPr>
            <w:tcW w:w="1180" w:type="dxa"/>
            <w:vAlign w:val="bottom"/>
            <w:tcBorders>
              <w:left w:val="single" w:sz="8" w:color="0066CC"/>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6"/>
              </w:rPr>
              <w:t>09185115</w:t>
            </w:r>
          </w:p>
        </w:tc>
        <w:tc>
          <w:tcPr>
            <w:tcW w:w="114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0"/>
              </w:rPr>
              <w:t>Tami Hardway</w:t>
            </w:r>
          </w:p>
        </w:tc>
        <w:tc>
          <w:tcPr>
            <w:tcW w:w="114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8"/>
              </w:rPr>
              <w:t>State of Oklahoma</w:t>
            </w: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2"/>
              </w:rPr>
              <w:t>Notary Public</w:t>
            </w:r>
          </w:p>
        </w:tc>
        <w:tc>
          <w:tcPr>
            <w:tcW w:w="114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2"/>
              </w:rPr>
              <w:t>Notary Bond</w:t>
            </w:r>
          </w:p>
        </w:tc>
        <w:tc>
          <w:tcPr>
            <w:tcW w:w="1600" w:type="dxa"/>
            <w:vAlign w:val="bottom"/>
            <w:tcBorders>
              <w:bottom w:val="single" w:sz="8" w:color="CCCCFF"/>
              <w:right w:val="single" w:sz="8" w:color="CCCCFF"/>
            </w:tcBorders>
          </w:tcPr>
          <w:p>
            <w:pPr>
              <w:jc w:val="right"/>
              <w:spacing w:after="0"/>
              <w:rPr>
                <w:sz w:val="20"/>
                <w:szCs w:val="20"/>
                <w:color w:val="auto"/>
              </w:rPr>
            </w:pPr>
            <w:r>
              <w:rPr>
                <w:rFonts w:ascii="Arial" w:cs="Arial" w:eastAsia="Arial" w:hAnsi="Arial"/>
                <w:sz w:val="12"/>
                <w:szCs w:val="12"/>
                <w:color w:val="auto"/>
              </w:rPr>
              <w:t>$1,000.00</w:t>
            </w:r>
          </w:p>
        </w:tc>
        <w:tc>
          <w:tcPr>
            <w:tcW w:w="1160" w:type="dxa"/>
            <w:vAlign w:val="bottom"/>
            <w:tcBorders>
              <w:bottom w:val="single" w:sz="8" w:color="CCCCFF"/>
              <w:right w:val="single" w:sz="8" w:color="CCCCFF"/>
            </w:tcBorders>
          </w:tcPr>
          <w:p>
            <w:pPr>
              <w:ind w:left="420"/>
              <w:spacing w:after="0"/>
              <w:rPr>
                <w:sz w:val="20"/>
                <w:szCs w:val="20"/>
                <w:color w:val="auto"/>
              </w:rPr>
            </w:pPr>
            <w:r>
              <w:rPr>
                <w:rFonts w:ascii="Arial" w:cs="Arial" w:eastAsia="Arial" w:hAnsi="Arial"/>
                <w:sz w:val="12"/>
                <w:szCs w:val="12"/>
                <w:color w:val="auto"/>
              </w:rPr>
              <w:t>Zurich</w:t>
            </w:r>
          </w:p>
        </w:tc>
        <w:tc>
          <w:tcPr>
            <w:tcW w:w="102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5"/>
              </w:rPr>
              <w:t>19-Jan-16</w:t>
            </w:r>
          </w:p>
        </w:tc>
        <w:tc>
          <w:tcPr>
            <w:tcW w:w="1020" w:type="dxa"/>
            <w:vAlign w:val="bottom"/>
            <w:tcBorders>
              <w:bottom w:val="single" w:sz="8" w:color="CCCCFF"/>
              <w:right w:val="single" w:sz="8" w:color="CCCCFF"/>
            </w:tcBorders>
          </w:tcPr>
          <w:p>
            <w:pPr>
              <w:ind w:left="260"/>
              <w:spacing w:after="0"/>
              <w:rPr>
                <w:sz w:val="20"/>
                <w:szCs w:val="20"/>
                <w:color w:val="auto"/>
              </w:rPr>
            </w:pPr>
            <w:r>
              <w:rPr>
                <w:rFonts w:ascii="Arial" w:cs="Arial" w:eastAsia="Arial" w:hAnsi="Arial"/>
                <w:sz w:val="12"/>
                <w:szCs w:val="12"/>
                <w:color w:val="auto"/>
              </w:rPr>
              <w:t>08-Feb-16</w:t>
            </w:r>
          </w:p>
        </w:tc>
        <w:tc>
          <w:tcPr>
            <w:tcW w:w="920" w:type="dxa"/>
            <w:vAlign w:val="bottom"/>
            <w:tcBorders>
              <w:bottom w:val="single" w:sz="8" w:color="CCCCFF"/>
              <w:right w:val="single" w:sz="8" w:color="0066CC"/>
            </w:tcBorders>
          </w:tcPr>
          <w:p>
            <w:pPr>
              <w:jc w:val="center"/>
              <w:spacing w:after="0"/>
              <w:rPr>
                <w:sz w:val="20"/>
                <w:szCs w:val="20"/>
                <w:color w:val="auto"/>
              </w:rPr>
            </w:pPr>
            <w:r>
              <w:rPr>
                <w:rFonts w:ascii="Arial" w:cs="Arial" w:eastAsia="Arial" w:hAnsi="Arial"/>
                <w:sz w:val="12"/>
                <w:szCs w:val="12"/>
                <w:color w:val="auto"/>
                <w:w w:val="86"/>
              </w:rPr>
              <w:t>08-Feb-20</w:t>
            </w: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6"/>
              </w:rPr>
              <w:t>09185199</w:t>
            </w:r>
          </w:p>
        </w:tc>
        <w:tc>
          <w:tcPr>
            <w:tcW w:w="114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8"/>
              </w:rPr>
              <w:t>Robin G. Van Den</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State of Washington</w:t>
            </w: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2"/>
              </w:rPr>
              <w:t>Notary Bond</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2"/>
              </w:rPr>
              <w:t>Notary Bond</w:t>
            </w:r>
          </w:p>
        </w:tc>
        <w:tc>
          <w:tcPr>
            <w:tcW w:w="1600" w:type="dxa"/>
            <w:vAlign w:val="bottom"/>
            <w:tcBorders>
              <w:right w:val="single" w:sz="8" w:color="CCCCFF"/>
            </w:tcBorders>
            <w:vMerge w:val="restart"/>
          </w:tcPr>
          <w:p>
            <w:pPr>
              <w:jc w:val="right"/>
              <w:spacing w:after="0"/>
              <w:rPr>
                <w:sz w:val="20"/>
                <w:szCs w:val="20"/>
                <w:color w:val="auto"/>
              </w:rPr>
            </w:pPr>
            <w:r>
              <w:rPr>
                <w:rFonts w:ascii="Arial" w:cs="Arial" w:eastAsia="Arial" w:hAnsi="Arial"/>
                <w:sz w:val="12"/>
                <w:szCs w:val="12"/>
                <w:color w:val="auto"/>
              </w:rPr>
              <w:t>$10,000.00</w:t>
            </w:r>
          </w:p>
        </w:tc>
        <w:tc>
          <w:tcPr>
            <w:tcW w:w="1160" w:type="dxa"/>
            <w:vAlign w:val="bottom"/>
            <w:tcBorders>
              <w:right w:val="single" w:sz="8" w:color="CCCCFF"/>
            </w:tcBorders>
            <w:vMerge w:val="restart"/>
          </w:tcPr>
          <w:p>
            <w:pPr>
              <w:ind w:left="420"/>
              <w:spacing w:after="0"/>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15-Feb-17</w:t>
            </w:r>
          </w:p>
        </w:tc>
        <w:tc>
          <w:tcPr>
            <w:tcW w:w="1020" w:type="dxa"/>
            <w:vAlign w:val="bottom"/>
            <w:tcBorders>
              <w:right w:val="single" w:sz="8" w:color="CCCCFF"/>
            </w:tcBorders>
            <w:vMerge w:val="restart"/>
          </w:tcPr>
          <w:p>
            <w:pPr>
              <w:ind w:left="260"/>
              <w:spacing w:after="0"/>
              <w:rPr>
                <w:sz w:val="20"/>
                <w:szCs w:val="20"/>
                <w:color w:val="auto"/>
              </w:rPr>
            </w:pPr>
            <w:r>
              <w:rPr>
                <w:rFonts w:ascii="Arial" w:cs="Arial" w:eastAsia="Arial" w:hAnsi="Arial"/>
                <w:sz w:val="12"/>
                <w:szCs w:val="12"/>
                <w:color w:val="auto"/>
              </w:rPr>
              <w:t>15-Feb-17</w:t>
            </w:r>
          </w:p>
        </w:tc>
        <w:tc>
          <w:tcPr>
            <w:tcW w:w="920" w:type="dxa"/>
            <w:vAlign w:val="bottom"/>
            <w:tcBorders>
              <w:right w:val="single" w:sz="8" w:color="0066CC"/>
            </w:tcBorders>
            <w:vMerge w:val="restart"/>
          </w:tcPr>
          <w:p>
            <w:pPr>
              <w:jc w:val="center"/>
              <w:spacing w:after="0"/>
              <w:rPr>
                <w:sz w:val="20"/>
                <w:szCs w:val="20"/>
                <w:color w:val="auto"/>
              </w:rPr>
            </w:pPr>
            <w:r>
              <w:rPr>
                <w:rFonts w:ascii="Arial" w:cs="Arial" w:eastAsia="Arial" w:hAnsi="Arial"/>
                <w:sz w:val="12"/>
                <w:szCs w:val="12"/>
                <w:color w:val="auto"/>
                <w:w w:val="88"/>
              </w:rPr>
              <w:t>15-Jan-21</w:t>
            </w: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6"/>
              </w:rPr>
              <w:t>Berg</w:t>
            </w: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60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vMerge w:val="continue"/>
          </w:tcPr>
          <w:p>
            <w:pPr>
              <w:spacing w:after="0"/>
              <w:rPr>
                <w:sz w:val="7"/>
                <w:szCs w:val="7"/>
                <w:color w:val="auto"/>
              </w:rPr>
            </w:pPr>
          </w:p>
        </w:tc>
        <w:tc>
          <w:tcPr>
            <w:tcW w:w="920" w:type="dxa"/>
            <w:vAlign w:val="bottom"/>
            <w:tcBorders>
              <w:right w:val="single" w:sz="8" w:color="0066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80" w:type="dxa"/>
            <w:vAlign w:val="bottom"/>
            <w:tcBorders>
              <w:left w:val="single" w:sz="8" w:color="0066CC"/>
              <w:right w:val="single" w:sz="8" w:color="CCCCFF"/>
            </w:tcBorders>
          </w:tcPr>
          <w:p>
            <w:pPr>
              <w:spacing w:after="0"/>
              <w:rPr>
                <w:sz w:val="6"/>
                <w:szCs w:val="6"/>
                <w:color w:val="auto"/>
              </w:rPr>
            </w:pPr>
          </w:p>
        </w:tc>
        <w:tc>
          <w:tcPr>
            <w:tcW w:w="1140" w:type="dxa"/>
            <w:vAlign w:val="bottom"/>
            <w:tcBorders>
              <w:right w:val="single" w:sz="8" w:color="CCCCFF"/>
            </w:tcBorders>
            <w:vMerge w:val="continue"/>
          </w:tcPr>
          <w:p>
            <w:pPr>
              <w:spacing w:after="0"/>
              <w:rPr>
                <w:sz w:val="6"/>
                <w:szCs w:val="6"/>
                <w:color w:val="auto"/>
              </w:rPr>
            </w:pPr>
          </w:p>
        </w:tc>
        <w:tc>
          <w:tcPr>
            <w:tcW w:w="1140" w:type="dxa"/>
            <w:vAlign w:val="bottom"/>
            <w:tcBorders>
              <w:right w:val="single" w:sz="8" w:color="CCCCFF"/>
            </w:tcBorders>
          </w:tcPr>
          <w:p>
            <w:pPr>
              <w:spacing w:after="0"/>
              <w:rPr>
                <w:sz w:val="6"/>
                <w:szCs w:val="6"/>
                <w:color w:val="auto"/>
              </w:rPr>
            </w:pPr>
          </w:p>
        </w:tc>
        <w:tc>
          <w:tcPr>
            <w:tcW w:w="1160" w:type="dxa"/>
            <w:vAlign w:val="bottom"/>
            <w:tcBorders>
              <w:right w:val="single" w:sz="8" w:color="CCCCFF"/>
            </w:tcBorders>
          </w:tcPr>
          <w:p>
            <w:pPr>
              <w:spacing w:after="0"/>
              <w:rPr>
                <w:sz w:val="6"/>
                <w:szCs w:val="6"/>
                <w:color w:val="auto"/>
              </w:rPr>
            </w:pPr>
          </w:p>
        </w:tc>
        <w:tc>
          <w:tcPr>
            <w:tcW w:w="1140" w:type="dxa"/>
            <w:vAlign w:val="bottom"/>
            <w:tcBorders>
              <w:right w:val="single" w:sz="8" w:color="CCCCFF"/>
            </w:tcBorders>
          </w:tcPr>
          <w:p>
            <w:pPr>
              <w:spacing w:after="0"/>
              <w:rPr>
                <w:sz w:val="6"/>
                <w:szCs w:val="6"/>
                <w:color w:val="auto"/>
              </w:rPr>
            </w:pPr>
          </w:p>
        </w:tc>
        <w:tc>
          <w:tcPr>
            <w:tcW w:w="1600" w:type="dxa"/>
            <w:vAlign w:val="bottom"/>
            <w:tcBorders>
              <w:right w:val="single" w:sz="8" w:color="CCCCFF"/>
            </w:tcBorders>
          </w:tcPr>
          <w:p>
            <w:pPr>
              <w:spacing w:after="0"/>
              <w:rPr>
                <w:sz w:val="6"/>
                <w:szCs w:val="6"/>
                <w:color w:val="auto"/>
              </w:rPr>
            </w:pPr>
          </w:p>
        </w:tc>
        <w:tc>
          <w:tcPr>
            <w:tcW w:w="1160" w:type="dxa"/>
            <w:vAlign w:val="bottom"/>
            <w:tcBorders>
              <w:right w:val="single" w:sz="8" w:color="CCCCFF"/>
            </w:tcBorders>
          </w:tcPr>
          <w:p>
            <w:pPr>
              <w:spacing w:after="0"/>
              <w:rPr>
                <w:sz w:val="6"/>
                <w:szCs w:val="6"/>
                <w:color w:val="auto"/>
              </w:rPr>
            </w:pPr>
          </w:p>
        </w:tc>
        <w:tc>
          <w:tcPr>
            <w:tcW w:w="1020" w:type="dxa"/>
            <w:vAlign w:val="bottom"/>
            <w:tcBorders>
              <w:right w:val="single" w:sz="8" w:color="CCCCFF"/>
            </w:tcBorders>
          </w:tcPr>
          <w:p>
            <w:pPr>
              <w:spacing w:after="0"/>
              <w:rPr>
                <w:sz w:val="6"/>
                <w:szCs w:val="6"/>
                <w:color w:val="auto"/>
              </w:rPr>
            </w:pPr>
          </w:p>
        </w:tc>
        <w:tc>
          <w:tcPr>
            <w:tcW w:w="1020" w:type="dxa"/>
            <w:vAlign w:val="bottom"/>
            <w:tcBorders>
              <w:right w:val="single" w:sz="8" w:color="CCCCFF"/>
            </w:tcBorders>
          </w:tcPr>
          <w:p>
            <w:pPr>
              <w:spacing w:after="0"/>
              <w:rPr>
                <w:sz w:val="6"/>
                <w:szCs w:val="6"/>
                <w:color w:val="auto"/>
              </w:rPr>
            </w:pPr>
          </w:p>
        </w:tc>
        <w:tc>
          <w:tcPr>
            <w:tcW w:w="920" w:type="dxa"/>
            <w:vAlign w:val="bottom"/>
            <w:tcBorders>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320" w:type="dxa"/>
            <w:vAlign w:val="bottom"/>
            <w:tcBorders>
              <w:left w:val="single" w:sz="8" w:color="0066CC"/>
              <w:bottom w:val="single" w:sz="8" w:color="969696"/>
              <w:right w:val="single" w:sz="8" w:color="969696"/>
            </w:tcBorders>
            <w:gridSpan w:val="2"/>
            <w:shd w:val="clear" w:color="auto" w:fill="969696"/>
          </w:tcPr>
          <w:p>
            <w:pPr>
              <w:ind w:left="60"/>
              <w:spacing w:after="0"/>
              <w:rPr>
                <w:sz w:val="20"/>
                <w:szCs w:val="20"/>
                <w:color w:val="auto"/>
              </w:rPr>
            </w:pPr>
            <w:r>
              <w:rPr>
                <w:rFonts w:ascii="Arial" w:cs="Arial" w:eastAsia="Arial" w:hAnsi="Arial"/>
                <w:sz w:val="12"/>
                <w:szCs w:val="12"/>
                <w:color w:val="auto"/>
              </w:rPr>
              <w:t>TOTAL NOTARY BONDS:</w:t>
            </w:r>
          </w:p>
        </w:tc>
        <w:tc>
          <w:tcPr>
            <w:tcW w:w="1140" w:type="dxa"/>
            <w:vAlign w:val="bottom"/>
            <w:tcBorders>
              <w:bottom w:val="single" w:sz="8" w:color="969696"/>
              <w:right w:val="single" w:sz="8" w:color="969696"/>
            </w:tcBorders>
            <w:shd w:val="clear" w:color="auto" w:fill="969696"/>
          </w:tcPr>
          <w:p>
            <w:pPr>
              <w:spacing w:after="0"/>
              <w:rPr>
                <w:sz w:val="17"/>
                <w:szCs w:val="17"/>
                <w:color w:val="auto"/>
              </w:rPr>
            </w:pPr>
          </w:p>
        </w:tc>
        <w:tc>
          <w:tcPr>
            <w:tcW w:w="1160" w:type="dxa"/>
            <w:vAlign w:val="bottom"/>
            <w:tcBorders>
              <w:bottom w:val="single" w:sz="8" w:color="969696"/>
              <w:right w:val="single" w:sz="8" w:color="969696"/>
            </w:tcBorders>
            <w:shd w:val="clear" w:color="auto" w:fill="969696"/>
          </w:tcPr>
          <w:p>
            <w:pPr>
              <w:spacing w:after="0"/>
              <w:rPr>
                <w:sz w:val="17"/>
                <w:szCs w:val="17"/>
                <w:color w:val="auto"/>
              </w:rPr>
            </w:pPr>
          </w:p>
        </w:tc>
        <w:tc>
          <w:tcPr>
            <w:tcW w:w="1140" w:type="dxa"/>
            <w:vAlign w:val="bottom"/>
            <w:tcBorders>
              <w:bottom w:val="single" w:sz="8" w:color="969696"/>
              <w:right w:val="single" w:sz="8" w:color="969696"/>
            </w:tcBorders>
            <w:shd w:val="clear" w:color="auto" w:fill="969696"/>
          </w:tcPr>
          <w:p>
            <w:pPr>
              <w:jc w:val="right"/>
              <w:ind w:right="501"/>
              <w:spacing w:after="0"/>
              <w:rPr>
                <w:sz w:val="20"/>
                <w:szCs w:val="20"/>
                <w:color w:val="auto"/>
              </w:rPr>
            </w:pPr>
            <w:r>
              <w:rPr>
                <w:rFonts w:ascii="Arial" w:cs="Arial" w:eastAsia="Arial" w:hAnsi="Arial"/>
                <w:sz w:val="12"/>
                <w:szCs w:val="12"/>
                <w:color w:val="auto"/>
              </w:rPr>
              <w:t>9</w:t>
            </w:r>
          </w:p>
        </w:tc>
        <w:tc>
          <w:tcPr>
            <w:tcW w:w="1600" w:type="dxa"/>
            <w:vAlign w:val="bottom"/>
            <w:tcBorders>
              <w:bottom w:val="single" w:sz="8" w:color="969696"/>
              <w:right w:val="single" w:sz="8" w:color="969696"/>
            </w:tcBorders>
            <w:shd w:val="clear" w:color="auto" w:fill="969696"/>
          </w:tcPr>
          <w:p>
            <w:pPr>
              <w:jc w:val="right"/>
              <w:spacing w:after="0"/>
              <w:rPr>
                <w:sz w:val="20"/>
                <w:szCs w:val="20"/>
                <w:color w:val="auto"/>
              </w:rPr>
            </w:pPr>
            <w:r>
              <w:rPr>
                <w:rFonts w:ascii="Arial" w:cs="Arial" w:eastAsia="Arial" w:hAnsi="Arial"/>
                <w:sz w:val="12"/>
                <w:szCs w:val="12"/>
                <w:color w:val="auto"/>
              </w:rPr>
              <w:t>$57,000.00</w:t>
            </w:r>
          </w:p>
        </w:tc>
        <w:tc>
          <w:tcPr>
            <w:tcW w:w="1160" w:type="dxa"/>
            <w:vAlign w:val="bottom"/>
            <w:tcBorders>
              <w:bottom w:val="single" w:sz="8" w:color="969696"/>
              <w:right w:val="single" w:sz="8" w:color="969696"/>
            </w:tcBorders>
            <w:shd w:val="clear" w:color="auto" w:fill="969696"/>
          </w:tcPr>
          <w:p>
            <w:pPr>
              <w:spacing w:after="0"/>
              <w:rPr>
                <w:sz w:val="17"/>
                <w:szCs w:val="17"/>
                <w:color w:val="auto"/>
              </w:rPr>
            </w:pPr>
          </w:p>
        </w:tc>
        <w:tc>
          <w:tcPr>
            <w:tcW w:w="1020" w:type="dxa"/>
            <w:vAlign w:val="bottom"/>
            <w:tcBorders>
              <w:bottom w:val="single" w:sz="8" w:color="969696"/>
              <w:right w:val="single" w:sz="8" w:color="969696"/>
            </w:tcBorders>
            <w:shd w:val="clear" w:color="auto" w:fill="969696"/>
          </w:tcPr>
          <w:p>
            <w:pPr>
              <w:spacing w:after="0"/>
              <w:rPr>
                <w:sz w:val="17"/>
                <w:szCs w:val="17"/>
                <w:color w:val="auto"/>
              </w:rPr>
            </w:pPr>
          </w:p>
        </w:tc>
        <w:tc>
          <w:tcPr>
            <w:tcW w:w="1020" w:type="dxa"/>
            <w:vAlign w:val="bottom"/>
            <w:tcBorders>
              <w:bottom w:val="single" w:sz="8" w:color="969696"/>
              <w:right w:val="single" w:sz="8" w:color="969696"/>
            </w:tcBorders>
            <w:shd w:val="clear" w:color="auto" w:fill="969696"/>
          </w:tcPr>
          <w:p>
            <w:pPr>
              <w:spacing w:after="0"/>
              <w:rPr>
                <w:sz w:val="17"/>
                <w:szCs w:val="17"/>
                <w:color w:val="auto"/>
              </w:rPr>
            </w:pPr>
          </w:p>
        </w:tc>
        <w:tc>
          <w:tcPr>
            <w:tcW w:w="920" w:type="dxa"/>
            <w:vAlign w:val="bottom"/>
            <w:tcBorders>
              <w:bottom w:val="single" w:sz="8" w:color="969696"/>
              <w:right w:val="single" w:sz="8" w:color="0066CC"/>
            </w:tcBorders>
            <w:shd w:val="clear" w:color="auto" w:fill="969696"/>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320" w:type="dxa"/>
            <w:vAlign w:val="bottom"/>
            <w:tcBorders>
              <w:left w:val="single" w:sz="8" w:color="0066CC"/>
              <w:bottom w:val="single" w:sz="8" w:color="800080"/>
              <w:right w:val="single" w:sz="8" w:color="800080"/>
            </w:tcBorders>
            <w:gridSpan w:val="2"/>
            <w:shd w:val="clear" w:color="auto" w:fill="800080"/>
          </w:tcPr>
          <w:p>
            <w:pPr>
              <w:ind w:left="60"/>
              <w:spacing w:after="0"/>
              <w:rPr>
                <w:sz w:val="20"/>
                <w:szCs w:val="20"/>
                <w:color w:val="auto"/>
              </w:rPr>
            </w:pPr>
            <w:r>
              <w:rPr>
                <w:rFonts w:ascii="Arial" w:cs="Arial" w:eastAsia="Arial" w:hAnsi="Arial"/>
                <w:sz w:val="12"/>
                <w:szCs w:val="12"/>
                <w:b w:val="1"/>
                <w:bCs w:val="1"/>
                <w:color w:val="FFFFFF"/>
              </w:rPr>
              <w:t>OTHER MISCELLANEOUS BONDS</w:t>
            </w:r>
          </w:p>
        </w:tc>
        <w:tc>
          <w:tcPr>
            <w:tcW w:w="1140" w:type="dxa"/>
            <w:vAlign w:val="bottom"/>
            <w:tcBorders>
              <w:bottom w:val="single" w:sz="8" w:color="800080"/>
              <w:right w:val="single" w:sz="8" w:color="800080"/>
            </w:tcBorders>
            <w:shd w:val="clear" w:color="auto" w:fill="800080"/>
          </w:tcPr>
          <w:p>
            <w:pPr>
              <w:spacing w:after="0"/>
              <w:rPr>
                <w:sz w:val="19"/>
                <w:szCs w:val="19"/>
                <w:color w:val="auto"/>
              </w:rPr>
            </w:pPr>
          </w:p>
        </w:tc>
        <w:tc>
          <w:tcPr>
            <w:tcW w:w="1160" w:type="dxa"/>
            <w:vAlign w:val="bottom"/>
            <w:tcBorders>
              <w:bottom w:val="single" w:sz="8" w:color="800080"/>
              <w:right w:val="single" w:sz="8" w:color="800080"/>
            </w:tcBorders>
            <w:shd w:val="clear" w:color="auto" w:fill="800080"/>
          </w:tcPr>
          <w:p>
            <w:pPr>
              <w:spacing w:after="0"/>
              <w:rPr>
                <w:sz w:val="19"/>
                <w:szCs w:val="19"/>
                <w:color w:val="auto"/>
              </w:rPr>
            </w:pPr>
          </w:p>
        </w:tc>
        <w:tc>
          <w:tcPr>
            <w:tcW w:w="1140" w:type="dxa"/>
            <w:vAlign w:val="bottom"/>
            <w:tcBorders>
              <w:bottom w:val="single" w:sz="8" w:color="800080"/>
              <w:right w:val="single" w:sz="8" w:color="800080"/>
            </w:tcBorders>
            <w:shd w:val="clear" w:color="auto" w:fill="800080"/>
          </w:tcPr>
          <w:p>
            <w:pPr>
              <w:spacing w:after="0"/>
              <w:rPr>
                <w:sz w:val="19"/>
                <w:szCs w:val="19"/>
                <w:color w:val="auto"/>
              </w:rPr>
            </w:pPr>
          </w:p>
        </w:tc>
        <w:tc>
          <w:tcPr>
            <w:tcW w:w="1600" w:type="dxa"/>
            <w:vAlign w:val="bottom"/>
            <w:tcBorders>
              <w:bottom w:val="single" w:sz="8" w:color="800080"/>
              <w:right w:val="single" w:sz="8" w:color="800080"/>
            </w:tcBorders>
            <w:shd w:val="clear" w:color="auto" w:fill="800080"/>
          </w:tcPr>
          <w:p>
            <w:pPr>
              <w:spacing w:after="0"/>
              <w:rPr>
                <w:sz w:val="19"/>
                <w:szCs w:val="19"/>
                <w:color w:val="auto"/>
              </w:rPr>
            </w:pPr>
          </w:p>
        </w:tc>
        <w:tc>
          <w:tcPr>
            <w:tcW w:w="1160" w:type="dxa"/>
            <w:vAlign w:val="bottom"/>
            <w:tcBorders>
              <w:bottom w:val="single" w:sz="8" w:color="800080"/>
              <w:right w:val="single" w:sz="8" w:color="800080"/>
            </w:tcBorders>
            <w:shd w:val="clear" w:color="auto" w:fill="800080"/>
          </w:tcPr>
          <w:p>
            <w:pPr>
              <w:spacing w:after="0"/>
              <w:rPr>
                <w:sz w:val="19"/>
                <w:szCs w:val="19"/>
                <w:color w:val="auto"/>
              </w:rPr>
            </w:pPr>
          </w:p>
        </w:tc>
        <w:tc>
          <w:tcPr>
            <w:tcW w:w="1020" w:type="dxa"/>
            <w:vAlign w:val="bottom"/>
            <w:tcBorders>
              <w:bottom w:val="single" w:sz="8" w:color="800080"/>
              <w:right w:val="single" w:sz="8" w:color="800080"/>
            </w:tcBorders>
            <w:shd w:val="clear" w:color="auto" w:fill="800080"/>
          </w:tcPr>
          <w:p>
            <w:pPr>
              <w:spacing w:after="0"/>
              <w:rPr>
                <w:sz w:val="19"/>
                <w:szCs w:val="19"/>
                <w:color w:val="auto"/>
              </w:rPr>
            </w:pPr>
          </w:p>
        </w:tc>
        <w:tc>
          <w:tcPr>
            <w:tcW w:w="1020" w:type="dxa"/>
            <w:vAlign w:val="bottom"/>
            <w:tcBorders>
              <w:bottom w:val="single" w:sz="8" w:color="800080"/>
              <w:right w:val="single" w:sz="8" w:color="800080"/>
            </w:tcBorders>
            <w:shd w:val="clear" w:color="auto" w:fill="800080"/>
          </w:tcPr>
          <w:p>
            <w:pPr>
              <w:spacing w:after="0"/>
              <w:rPr>
                <w:sz w:val="19"/>
                <w:szCs w:val="19"/>
                <w:color w:val="auto"/>
              </w:rPr>
            </w:pPr>
          </w:p>
        </w:tc>
        <w:tc>
          <w:tcPr>
            <w:tcW w:w="920" w:type="dxa"/>
            <w:vAlign w:val="bottom"/>
            <w:tcBorders>
              <w:bottom w:val="single" w:sz="8" w:color="800080"/>
              <w:right w:val="single" w:sz="8" w:color="0066CC"/>
            </w:tcBorders>
            <w:shd w:val="clear" w:color="auto" w:fill="800080"/>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1180" w:type="dxa"/>
            <w:vAlign w:val="bottom"/>
            <w:tcBorders>
              <w:left w:val="single" w:sz="8" w:color="0066CC"/>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6"/>
              </w:rPr>
              <w:t>09120999</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1"/>
              </w:rPr>
              <w:t>Matrix Service Inc.</w:t>
            </w:r>
          </w:p>
        </w:tc>
        <w:tc>
          <w:tcPr>
            <w:tcW w:w="1140" w:type="dxa"/>
            <w:vAlign w:val="bottom"/>
            <w:tcBorders>
              <w:right w:val="single" w:sz="8" w:color="CCCCFF"/>
            </w:tcBorders>
          </w:tcPr>
          <w:p>
            <w:pPr>
              <w:jc w:val="center"/>
              <w:spacing w:after="0" w:line="128" w:lineRule="exact"/>
              <w:rPr>
                <w:sz w:val="20"/>
                <w:szCs w:val="20"/>
                <w:color w:val="auto"/>
              </w:rPr>
            </w:pPr>
            <w:r>
              <w:rPr>
                <w:rFonts w:ascii="Arial" w:cs="Arial" w:eastAsia="Arial" w:hAnsi="Arial"/>
                <w:sz w:val="12"/>
                <w:szCs w:val="12"/>
                <w:color w:val="auto"/>
                <w:w w:val="88"/>
              </w:rPr>
              <w:t>ND - JMaC Resources</w:t>
            </w: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Discharge of Lien</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Lien Bonds</w:t>
            </w:r>
          </w:p>
        </w:tc>
        <w:tc>
          <w:tcPr>
            <w:tcW w:w="1600" w:type="dxa"/>
            <w:vAlign w:val="bottom"/>
            <w:tcBorders>
              <w:right w:val="single" w:sz="8" w:color="CCCCFF"/>
            </w:tcBorders>
            <w:vMerge w:val="restart"/>
          </w:tcPr>
          <w:p>
            <w:pPr>
              <w:jc w:val="right"/>
              <w:spacing w:after="0"/>
              <w:rPr>
                <w:sz w:val="20"/>
                <w:szCs w:val="20"/>
                <w:color w:val="auto"/>
              </w:rPr>
            </w:pPr>
            <w:r>
              <w:rPr>
                <w:rFonts w:ascii="Arial" w:cs="Arial" w:eastAsia="Arial" w:hAnsi="Arial"/>
                <w:sz w:val="12"/>
                <w:szCs w:val="12"/>
                <w:color w:val="auto"/>
              </w:rPr>
              <w:t>$13,317,923.58</w:t>
            </w:r>
          </w:p>
        </w:tc>
        <w:tc>
          <w:tcPr>
            <w:tcW w:w="1160" w:type="dxa"/>
            <w:vAlign w:val="bottom"/>
            <w:tcBorders>
              <w:right w:val="single" w:sz="8" w:color="CCCCFF"/>
            </w:tcBorders>
            <w:vMerge w:val="restart"/>
          </w:tcPr>
          <w:p>
            <w:pPr>
              <w:ind w:left="420"/>
              <w:spacing w:after="0"/>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02-Oct-17</w:t>
            </w:r>
          </w:p>
        </w:tc>
        <w:tc>
          <w:tcPr>
            <w:tcW w:w="1020" w:type="dxa"/>
            <w:vAlign w:val="bottom"/>
            <w:tcBorders>
              <w:right w:val="single" w:sz="8" w:color="CCCCFF"/>
            </w:tcBorders>
            <w:vMerge w:val="restart"/>
          </w:tcPr>
          <w:p>
            <w:pPr>
              <w:ind w:left="260"/>
              <w:spacing w:after="0"/>
              <w:rPr>
                <w:sz w:val="20"/>
                <w:szCs w:val="20"/>
                <w:color w:val="auto"/>
              </w:rPr>
            </w:pPr>
            <w:r>
              <w:rPr>
                <w:rFonts w:ascii="Arial" w:cs="Arial" w:eastAsia="Arial" w:hAnsi="Arial"/>
                <w:sz w:val="12"/>
                <w:szCs w:val="12"/>
                <w:color w:val="auto"/>
              </w:rPr>
              <w:t>02-Oct-16</w:t>
            </w:r>
          </w:p>
        </w:tc>
        <w:tc>
          <w:tcPr>
            <w:tcW w:w="920" w:type="dxa"/>
            <w:vAlign w:val="bottom"/>
            <w:tcBorders>
              <w:right w:val="single" w:sz="8" w:color="0066CC"/>
            </w:tcBorders>
            <w:vMerge w:val="restart"/>
          </w:tcPr>
          <w:p>
            <w:pPr>
              <w:jc w:val="center"/>
              <w:spacing w:after="0"/>
              <w:rPr>
                <w:sz w:val="20"/>
                <w:szCs w:val="20"/>
                <w:color w:val="auto"/>
              </w:rPr>
            </w:pPr>
            <w:r>
              <w:rPr>
                <w:rFonts w:ascii="Arial" w:cs="Arial" w:eastAsia="Arial" w:hAnsi="Arial"/>
                <w:sz w:val="12"/>
                <w:szCs w:val="12"/>
                <w:color w:val="auto"/>
                <w:w w:val="89"/>
              </w:rPr>
              <w:t>02-Oct-17</w:t>
            </w: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9"/>
              </w:rPr>
              <w:t>- Williston</w:t>
            </w:r>
          </w:p>
        </w:tc>
        <w:tc>
          <w:tcPr>
            <w:tcW w:w="116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60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vMerge w:val="continue"/>
          </w:tcPr>
          <w:p>
            <w:pPr>
              <w:spacing w:after="0"/>
              <w:rPr>
                <w:sz w:val="7"/>
                <w:szCs w:val="7"/>
                <w:color w:val="auto"/>
              </w:rPr>
            </w:pPr>
          </w:p>
        </w:tc>
        <w:tc>
          <w:tcPr>
            <w:tcW w:w="920" w:type="dxa"/>
            <w:vAlign w:val="bottom"/>
            <w:tcBorders>
              <w:right w:val="single" w:sz="8" w:color="0066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80" w:type="dxa"/>
            <w:vAlign w:val="bottom"/>
            <w:tcBorders>
              <w:left w:val="single" w:sz="8" w:color="0066CC"/>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vMerge w:val="continue"/>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60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920" w:type="dxa"/>
            <w:vAlign w:val="bottom"/>
            <w:tcBorders>
              <w:bottom w:val="single" w:sz="8" w:color="CCCCFF"/>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6"/>
              </w:rPr>
              <w:t>TransCanada Houston</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6"/>
              </w:rPr>
              <w:t>09185158</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1"/>
              </w:rPr>
              <w:t>Matrix Service Inc.</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8"/>
              </w:rPr>
              <w:t>TransCanada Oil</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Tank Terminal BoP</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Lien Bonds</w:t>
            </w:r>
          </w:p>
        </w:tc>
        <w:tc>
          <w:tcPr>
            <w:tcW w:w="1600" w:type="dxa"/>
            <w:vAlign w:val="bottom"/>
            <w:tcBorders>
              <w:right w:val="single" w:sz="8" w:color="CCCCFF"/>
            </w:tcBorders>
            <w:vMerge w:val="restart"/>
          </w:tcPr>
          <w:p>
            <w:pPr>
              <w:jc w:val="right"/>
              <w:spacing w:after="0"/>
              <w:rPr>
                <w:sz w:val="20"/>
                <w:szCs w:val="20"/>
                <w:color w:val="auto"/>
              </w:rPr>
            </w:pPr>
            <w:r>
              <w:rPr>
                <w:rFonts w:ascii="Arial" w:cs="Arial" w:eastAsia="Arial" w:hAnsi="Arial"/>
                <w:sz w:val="12"/>
                <w:szCs w:val="12"/>
                <w:color w:val="auto"/>
              </w:rPr>
              <w:t>$2,851,731.50</w:t>
            </w:r>
          </w:p>
        </w:tc>
        <w:tc>
          <w:tcPr>
            <w:tcW w:w="1160" w:type="dxa"/>
            <w:vAlign w:val="bottom"/>
            <w:tcBorders>
              <w:right w:val="single" w:sz="8" w:color="CCCCFF"/>
            </w:tcBorders>
            <w:vMerge w:val="restart"/>
          </w:tcPr>
          <w:p>
            <w:pPr>
              <w:ind w:left="420"/>
              <w:spacing w:after="0"/>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3"/>
              </w:rPr>
              <w:t>29-Apr-16</w:t>
            </w:r>
          </w:p>
        </w:tc>
        <w:tc>
          <w:tcPr>
            <w:tcW w:w="1020" w:type="dxa"/>
            <w:vAlign w:val="bottom"/>
            <w:tcBorders>
              <w:right w:val="single" w:sz="8" w:color="CCCCFF"/>
            </w:tcBorders>
            <w:vMerge w:val="restart"/>
          </w:tcPr>
          <w:p>
            <w:pPr>
              <w:ind w:left="240"/>
              <w:spacing w:after="0"/>
              <w:rPr>
                <w:sz w:val="20"/>
                <w:szCs w:val="20"/>
                <w:color w:val="auto"/>
              </w:rPr>
            </w:pPr>
            <w:r>
              <w:rPr>
                <w:rFonts w:ascii="Arial" w:cs="Arial" w:eastAsia="Arial" w:hAnsi="Arial"/>
                <w:sz w:val="12"/>
                <w:szCs w:val="12"/>
                <w:color w:val="auto"/>
              </w:rPr>
              <w:t>25-May-16</w:t>
            </w:r>
          </w:p>
        </w:tc>
        <w:tc>
          <w:tcPr>
            <w:tcW w:w="920" w:type="dxa"/>
            <w:vAlign w:val="bottom"/>
            <w:tcBorders>
              <w:right w:val="single" w:sz="8" w:color="0066CC"/>
            </w:tcBorders>
            <w:vMerge w:val="restart"/>
          </w:tcPr>
          <w:p>
            <w:pPr>
              <w:jc w:val="center"/>
              <w:spacing w:after="0"/>
              <w:rPr>
                <w:sz w:val="20"/>
                <w:szCs w:val="20"/>
                <w:color w:val="auto"/>
              </w:rPr>
            </w:pPr>
            <w:r>
              <w:rPr>
                <w:rFonts w:ascii="Arial" w:cs="Arial" w:eastAsia="Arial" w:hAnsi="Arial"/>
                <w:sz w:val="12"/>
                <w:szCs w:val="12"/>
                <w:color w:val="auto"/>
                <w:w w:val="90"/>
              </w:rPr>
              <w:t>25-May-17</w:t>
            </w: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Pipelines, Inc.</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Project, Houston,</w:t>
            </w:r>
          </w:p>
        </w:tc>
        <w:tc>
          <w:tcPr>
            <w:tcW w:w="1140" w:type="dxa"/>
            <w:vAlign w:val="bottom"/>
            <w:tcBorders>
              <w:right w:val="single" w:sz="8" w:color="CCCCFF"/>
            </w:tcBorders>
            <w:vMerge w:val="continue"/>
          </w:tcPr>
          <w:p>
            <w:pPr>
              <w:spacing w:after="0"/>
              <w:rPr>
                <w:sz w:val="7"/>
                <w:szCs w:val="7"/>
                <w:color w:val="auto"/>
              </w:rPr>
            </w:pPr>
          </w:p>
        </w:tc>
        <w:tc>
          <w:tcPr>
            <w:tcW w:w="160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vMerge w:val="continue"/>
          </w:tcPr>
          <w:p>
            <w:pPr>
              <w:spacing w:after="0"/>
              <w:rPr>
                <w:sz w:val="7"/>
                <w:szCs w:val="7"/>
                <w:color w:val="auto"/>
              </w:rPr>
            </w:pPr>
          </w:p>
        </w:tc>
        <w:tc>
          <w:tcPr>
            <w:tcW w:w="920" w:type="dxa"/>
            <w:vAlign w:val="bottom"/>
            <w:tcBorders>
              <w:right w:val="single" w:sz="8" w:color="0066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40" w:type="dxa"/>
            <w:vAlign w:val="bottom"/>
            <w:tcBorders>
              <w:right w:val="single" w:sz="8" w:color="CCCCFF"/>
            </w:tcBorders>
            <w:vMerge w:val="continue"/>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8"/>
              </w:rPr>
              <w:t>Harris County, Texas</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1"/>
              </w:rPr>
              <w:t>Importer Broker Bond:</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C. A. Shea Bond No.</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160516001</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7"/>
              </w:rPr>
              <w:t>Matrix Applied</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6"/>
              </w:rPr>
              <w:t>U.S. Customs and</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0"/>
              </w:rPr>
              <w:t>160516001 - F&amp;D</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6"/>
              </w:rPr>
              <w:t>United States Customs</w:t>
            </w:r>
          </w:p>
        </w:tc>
        <w:tc>
          <w:tcPr>
            <w:tcW w:w="1600" w:type="dxa"/>
            <w:vAlign w:val="bottom"/>
            <w:tcBorders>
              <w:right w:val="single" w:sz="8" w:color="CCCCFF"/>
            </w:tcBorders>
            <w:vMerge w:val="restart"/>
          </w:tcPr>
          <w:p>
            <w:pPr>
              <w:jc w:val="right"/>
              <w:spacing w:after="0"/>
              <w:rPr>
                <w:sz w:val="20"/>
                <w:szCs w:val="20"/>
                <w:color w:val="auto"/>
              </w:rPr>
            </w:pPr>
            <w:r>
              <w:rPr>
                <w:rFonts w:ascii="Arial" w:cs="Arial" w:eastAsia="Arial" w:hAnsi="Arial"/>
                <w:sz w:val="12"/>
                <w:szCs w:val="12"/>
                <w:color w:val="auto"/>
              </w:rPr>
              <w:t>$50,000.00</w:t>
            </w:r>
          </w:p>
        </w:tc>
        <w:tc>
          <w:tcPr>
            <w:tcW w:w="1160" w:type="dxa"/>
            <w:vAlign w:val="bottom"/>
            <w:tcBorders>
              <w:right w:val="single" w:sz="8" w:color="CCCCFF"/>
            </w:tcBorders>
            <w:vMerge w:val="restart"/>
          </w:tcPr>
          <w:p>
            <w:pPr>
              <w:ind w:left="420"/>
              <w:spacing w:after="0"/>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4"/>
              </w:rPr>
              <w:t>19-May-16</w:t>
            </w:r>
          </w:p>
        </w:tc>
        <w:tc>
          <w:tcPr>
            <w:tcW w:w="1020" w:type="dxa"/>
            <w:vAlign w:val="bottom"/>
            <w:tcBorders>
              <w:right w:val="single" w:sz="8" w:color="CCCCFF"/>
            </w:tcBorders>
            <w:vMerge w:val="restart"/>
          </w:tcPr>
          <w:p>
            <w:pPr>
              <w:ind w:left="240"/>
              <w:spacing w:after="0"/>
              <w:rPr>
                <w:sz w:val="20"/>
                <w:szCs w:val="20"/>
                <w:color w:val="auto"/>
              </w:rPr>
            </w:pPr>
            <w:r>
              <w:rPr>
                <w:rFonts w:ascii="Arial" w:cs="Arial" w:eastAsia="Arial" w:hAnsi="Arial"/>
                <w:sz w:val="12"/>
                <w:szCs w:val="12"/>
                <w:color w:val="auto"/>
              </w:rPr>
              <w:t>19-May-16</w:t>
            </w:r>
          </w:p>
        </w:tc>
        <w:tc>
          <w:tcPr>
            <w:tcW w:w="920" w:type="dxa"/>
            <w:vAlign w:val="bottom"/>
            <w:tcBorders>
              <w:right w:val="single" w:sz="8" w:color="0066CC"/>
            </w:tcBorders>
            <w:vMerge w:val="restart"/>
          </w:tcPr>
          <w:p>
            <w:pPr>
              <w:jc w:val="center"/>
              <w:spacing w:after="0"/>
              <w:rPr>
                <w:sz w:val="20"/>
                <w:szCs w:val="20"/>
                <w:color w:val="auto"/>
              </w:rPr>
            </w:pPr>
            <w:r>
              <w:rPr>
                <w:rFonts w:ascii="Arial" w:cs="Arial" w:eastAsia="Arial" w:hAnsi="Arial"/>
                <w:sz w:val="12"/>
                <w:szCs w:val="12"/>
                <w:color w:val="auto"/>
                <w:w w:val="90"/>
              </w:rPr>
              <w:t>19-May-17</w:t>
            </w: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Technologies, Inc.</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Border Protection</w:t>
            </w: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Bond No. 9210527 -</w:t>
            </w:r>
          </w:p>
        </w:tc>
        <w:tc>
          <w:tcPr>
            <w:tcW w:w="1140" w:type="dxa"/>
            <w:vAlign w:val="bottom"/>
            <w:tcBorders>
              <w:right w:val="single" w:sz="8" w:color="CCCCFF"/>
            </w:tcBorders>
            <w:vMerge w:val="continue"/>
          </w:tcPr>
          <w:p>
            <w:pPr>
              <w:spacing w:after="0"/>
              <w:rPr>
                <w:sz w:val="7"/>
                <w:szCs w:val="7"/>
                <w:color w:val="auto"/>
              </w:rPr>
            </w:pPr>
          </w:p>
        </w:tc>
        <w:tc>
          <w:tcPr>
            <w:tcW w:w="160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vMerge w:val="continue"/>
          </w:tcPr>
          <w:p>
            <w:pPr>
              <w:spacing w:after="0"/>
              <w:rPr>
                <w:sz w:val="7"/>
                <w:szCs w:val="7"/>
                <w:color w:val="auto"/>
              </w:rPr>
            </w:pPr>
          </w:p>
        </w:tc>
        <w:tc>
          <w:tcPr>
            <w:tcW w:w="920" w:type="dxa"/>
            <w:vAlign w:val="bottom"/>
            <w:tcBorders>
              <w:right w:val="single" w:sz="8" w:color="0066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vMerge w:val="continue"/>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Customs Bond No.</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4"/>
              </w:rPr>
              <w:t>16C000KLL</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7"/>
              </w:rPr>
              <w:t>09035481/991175032</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1"/>
              </w:rPr>
              <w:t>Matrix Service Inc.</w:t>
            </w:r>
          </w:p>
        </w:tc>
        <w:tc>
          <w:tcPr>
            <w:tcW w:w="114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87"/>
              </w:rPr>
              <w:t>Department of the</w:t>
            </w: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3"/>
              </w:rPr>
              <w:t>Importer/Broker</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6"/>
              </w:rPr>
              <w:t>United States Customs</w:t>
            </w:r>
          </w:p>
        </w:tc>
        <w:tc>
          <w:tcPr>
            <w:tcW w:w="1600" w:type="dxa"/>
            <w:vAlign w:val="bottom"/>
            <w:tcBorders>
              <w:right w:val="single" w:sz="8" w:color="CCCCFF"/>
            </w:tcBorders>
            <w:vMerge w:val="restart"/>
          </w:tcPr>
          <w:p>
            <w:pPr>
              <w:jc w:val="right"/>
              <w:spacing w:after="0"/>
              <w:rPr>
                <w:sz w:val="20"/>
                <w:szCs w:val="20"/>
                <w:color w:val="auto"/>
              </w:rPr>
            </w:pPr>
            <w:r>
              <w:rPr>
                <w:rFonts w:ascii="Arial" w:cs="Arial" w:eastAsia="Arial" w:hAnsi="Arial"/>
                <w:sz w:val="12"/>
                <w:szCs w:val="12"/>
                <w:color w:val="auto"/>
              </w:rPr>
              <w:t>$50,000.00</w:t>
            </w:r>
          </w:p>
        </w:tc>
        <w:tc>
          <w:tcPr>
            <w:tcW w:w="1160" w:type="dxa"/>
            <w:vAlign w:val="bottom"/>
            <w:tcBorders>
              <w:right w:val="single" w:sz="8" w:color="CCCCFF"/>
            </w:tcBorders>
            <w:vMerge w:val="restart"/>
          </w:tcPr>
          <w:p>
            <w:pPr>
              <w:ind w:left="420"/>
              <w:spacing w:after="0"/>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6"/>
              </w:rPr>
              <w:t>14-Feb-11</w:t>
            </w:r>
          </w:p>
        </w:tc>
        <w:tc>
          <w:tcPr>
            <w:tcW w:w="1020" w:type="dxa"/>
            <w:vAlign w:val="bottom"/>
            <w:tcBorders>
              <w:right w:val="single" w:sz="8" w:color="CCCCFF"/>
            </w:tcBorders>
            <w:vMerge w:val="restart"/>
          </w:tcPr>
          <w:p>
            <w:pPr>
              <w:ind w:left="260"/>
              <w:spacing w:after="0"/>
              <w:rPr>
                <w:sz w:val="20"/>
                <w:szCs w:val="20"/>
                <w:color w:val="auto"/>
              </w:rPr>
            </w:pPr>
            <w:r>
              <w:rPr>
                <w:rFonts w:ascii="Arial" w:cs="Arial" w:eastAsia="Arial" w:hAnsi="Arial"/>
                <w:sz w:val="12"/>
                <w:szCs w:val="12"/>
                <w:color w:val="auto"/>
              </w:rPr>
              <w:t>14-Feb-16</w:t>
            </w:r>
          </w:p>
        </w:tc>
        <w:tc>
          <w:tcPr>
            <w:tcW w:w="920" w:type="dxa"/>
            <w:vAlign w:val="bottom"/>
            <w:tcBorders>
              <w:right w:val="single" w:sz="8" w:color="0066CC"/>
            </w:tcBorders>
            <w:vMerge w:val="restart"/>
          </w:tcPr>
          <w:p>
            <w:pPr>
              <w:jc w:val="center"/>
              <w:spacing w:after="0"/>
              <w:rPr>
                <w:sz w:val="20"/>
                <w:szCs w:val="20"/>
                <w:color w:val="auto"/>
              </w:rPr>
            </w:pPr>
            <w:r>
              <w:rPr>
                <w:rFonts w:ascii="Arial" w:cs="Arial" w:eastAsia="Arial" w:hAnsi="Arial"/>
                <w:sz w:val="12"/>
                <w:szCs w:val="12"/>
                <w:color w:val="auto"/>
                <w:w w:val="86"/>
              </w:rPr>
              <w:t>14-Feb-17</w:t>
            </w: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4"/>
              </w:rPr>
              <w:t>Treasury</w:t>
            </w:r>
          </w:p>
        </w:tc>
        <w:tc>
          <w:tcPr>
            <w:tcW w:w="116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60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vMerge w:val="continue"/>
          </w:tcPr>
          <w:p>
            <w:pPr>
              <w:spacing w:after="0"/>
              <w:rPr>
                <w:sz w:val="7"/>
                <w:szCs w:val="7"/>
                <w:color w:val="auto"/>
              </w:rPr>
            </w:pPr>
          </w:p>
        </w:tc>
        <w:tc>
          <w:tcPr>
            <w:tcW w:w="920" w:type="dxa"/>
            <w:vAlign w:val="bottom"/>
            <w:tcBorders>
              <w:right w:val="single" w:sz="8" w:color="0066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80" w:type="dxa"/>
            <w:vAlign w:val="bottom"/>
            <w:tcBorders>
              <w:left w:val="single" w:sz="8" w:color="0066CC"/>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vMerge w:val="continue"/>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60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920" w:type="dxa"/>
            <w:vAlign w:val="bottom"/>
            <w:tcBorders>
              <w:bottom w:val="single" w:sz="8" w:color="CCCCFF"/>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3"/>
              </w:rPr>
              <w:t>Re-invoicing to</w:t>
            </w:r>
          </w:p>
        </w:tc>
        <w:tc>
          <w:tcPr>
            <w:tcW w:w="1140" w:type="dxa"/>
            <w:vAlign w:val="bottom"/>
            <w:tcBorders>
              <w:right w:val="single" w:sz="8" w:color="CCCCFF"/>
            </w:tcBorders>
          </w:tcPr>
          <w:p>
            <w:pPr>
              <w:spacing w:after="0"/>
              <w:rPr>
                <w:sz w:val="10"/>
                <w:szCs w:val="10"/>
                <w:color w:val="auto"/>
              </w:rPr>
            </w:pP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Borders>
              <w:left w:val="single" w:sz="8" w:color="0066CC"/>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6"/>
              </w:rPr>
              <w:t>08364709</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92"/>
              </w:rPr>
              <w:t>Matrix Service</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State of Washington</w:t>
            </w:r>
          </w:p>
        </w:tc>
        <w:tc>
          <w:tcPr>
            <w:tcW w:w="116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include the</w:t>
            </w:r>
          </w:p>
        </w:tc>
        <w:tc>
          <w:tcPr>
            <w:tcW w:w="1140" w:type="dxa"/>
            <w:vAlign w:val="bottom"/>
            <w:tcBorders>
              <w:right w:val="single" w:sz="8" w:color="CCCCFF"/>
            </w:tcBorders>
          </w:tcPr>
          <w:p>
            <w:pPr>
              <w:jc w:val="center"/>
              <w:spacing w:after="0" w:line="121" w:lineRule="exact"/>
              <w:rPr>
                <w:sz w:val="20"/>
                <w:szCs w:val="20"/>
                <w:color w:val="auto"/>
              </w:rPr>
            </w:pPr>
            <w:r>
              <w:rPr>
                <w:rFonts w:ascii="Arial" w:cs="Arial" w:eastAsia="Arial" w:hAnsi="Arial"/>
                <w:sz w:val="12"/>
                <w:szCs w:val="12"/>
                <w:color w:val="auto"/>
                <w:w w:val="89"/>
              </w:rPr>
              <w:t>Self Insurer Workers</w:t>
            </w:r>
          </w:p>
        </w:tc>
        <w:tc>
          <w:tcPr>
            <w:tcW w:w="1600" w:type="dxa"/>
            <w:vAlign w:val="bottom"/>
            <w:tcBorders>
              <w:right w:val="single" w:sz="8" w:color="CCCCFF"/>
            </w:tcBorders>
            <w:vMerge w:val="restart"/>
          </w:tcPr>
          <w:p>
            <w:pPr>
              <w:jc w:val="right"/>
              <w:spacing w:after="0"/>
              <w:rPr>
                <w:sz w:val="20"/>
                <w:szCs w:val="20"/>
                <w:color w:val="auto"/>
              </w:rPr>
            </w:pPr>
            <w:r>
              <w:rPr>
                <w:rFonts w:ascii="Arial" w:cs="Arial" w:eastAsia="Arial" w:hAnsi="Arial"/>
                <w:sz w:val="12"/>
                <w:szCs w:val="12"/>
                <w:color w:val="auto"/>
              </w:rPr>
              <w:t>$1,553,000.00</w:t>
            </w:r>
          </w:p>
        </w:tc>
        <w:tc>
          <w:tcPr>
            <w:tcW w:w="1160" w:type="dxa"/>
            <w:vAlign w:val="bottom"/>
            <w:tcBorders>
              <w:right w:val="single" w:sz="8" w:color="CCCCFF"/>
            </w:tcBorders>
            <w:vMerge w:val="restart"/>
          </w:tcPr>
          <w:p>
            <w:pPr>
              <w:ind w:left="420"/>
              <w:spacing w:after="0"/>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3"/>
              </w:rPr>
              <w:t>03-Apr-08</w:t>
            </w:r>
          </w:p>
        </w:tc>
        <w:tc>
          <w:tcPr>
            <w:tcW w:w="1020" w:type="dxa"/>
            <w:vAlign w:val="bottom"/>
            <w:tcBorders>
              <w:right w:val="single" w:sz="8" w:color="CCCCFF"/>
            </w:tcBorders>
            <w:vMerge w:val="restart"/>
          </w:tcPr>
          <w:p>
            <w:pPr>
              <w:ind w:left="260"/>
              <w:spacing w:after="0"/>
              <w:rPr>
                <w:sz w:val="20"/>
                <w:szCs w:val="20"/>
                <w:color w:val="auto"/>
              </w:rPr>
            </w:pPr>
            <w:r>
              <w:rPr>
                <w:rFonts w:ascii="Arial" w:cs="Arial" w:eastAsia="Arial" w:hAnsi="Arial"/>
                <w:sz w:val="12"/>
                <w:szCs w:val="12"/>
                <w:color w:val="auto"/>
              </w:rPr>
              <w:t>03-Apr-16</w:t>
            </w:r>
          </w:p>
        </w:tc>
        <w:tc>
          <w:tcPr>
            <w:tcW w:w="920" w:type="dxa"/>
            <w:vAlign w:val="bottom"/>
            <w:tcBorders>
              <w:right w:val="single" w:sz="8" w:color="0066CC"/>
            </w:tcBorders>
            <w:vMerge w:val="restart"/>
          </w:tcPr>
          <w:p>
            <w:pPr>
              <w:jc w:val="center"/>
              <w:spacing w:after="0"/>
              <w:rPr>
                <w:sz w:val="20"/>
                <w:szCs w:val="20"/>
                <w:color w:val="auto"/>
              </w:rPr>
            </w:pPr>
            <w:r>
              <w:rPr>
                <w:rFonts w:ascii="Arial" w:cs="Arial" w:eastAsia="Arial" w:hAnsi="Arial"/>
                <w:sz w:val="12"/>
                <w:szCs w:val="12"/>
                <w:color w:val="auto"/>
                <w:w w:val="89"/>
              </w:rPr>
              <w:t>03-Apr-17</w:t>
            </w: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Company</w:t>
            </w: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Washington</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7"/>
              </w:rPr>
              <w:t>Compensation</w:t>
            </w:r>
          </w:p>
        </w:tc>
        <w:tc>
          <w:tcPr>
            <w:tcW w:w="160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vMerge w:val="continue"/>
          </w:tcPr>
          <w:p>
            <w:pPr>
              <w:spacing w:after="0"/>
              <w:rPr>
                <w:sz w:val="7"/>
                <w:szCs w:val="7"/>
                <w:color w:val="auto"/>
              </w:rPr>
            </w:pPr>
          </w:p>
        </w:tc>
        <w:tc>
          <w:tcPr>
            <w:tcW w:w="1020" w:type="dxa"/>
            <w:vAlign w:val="bottom"/>
            <w:tcBorders>
              <w:right w:val="single" w:sz="8" w:color="CCCCFF"/>
            </w:tcBorders>
            <w:vMerge w:val="continue"/>
          </w:tcPr>
          <w:p>
            <w:pPr>
              <w:spacing w:after="0"/>
              <w:rPr>
                <w:sz w:val="7"/>
                <w:szCs w:val="7"/>
                <w:color w:val="auto"/>
              </w:rPr>
            </w:pPr>
          </w:p>
        </w:tc>
        <w:tc>
          <w:tcPr>
            <w:tcW w:w="920" w:type="dxa"/>
            <w:vAlign w:val="bottom"/>
            <w:tcBorders>
              <w:right w:val="single" w:sz="8" w:color="0066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right w:val="single" w:sz="8" w:color="CCCCFF"/>
            </w:tcBorders>
          </w:tcPr>
          <w:p>
            <w:pPr>
              <w:spacing w:after="0"/>
              <w:rPr>
                <w:sz w:val="3"/>
                <w:szCs w:val="3"/>
                <w:color w:val="auto"/>
              </w:rPr>
            </w:pPr>
          </w:p>
        </w:tc>
        <w:tc>
          <w:tcPr>
            <w:tcW w:w="114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vMerge w:val="continue"/>
          </w:tcPr>
          <w:p>
            <w:pPr>
              <w:spacing w:after="0"/>
              <w:rPr>
                <w:sz w:val="3"/>
                <w:szCs w:val="3"/>
                <w:color w:val="auto"/>
              </w:rPr>
            </w:pPr>
          </w:p>
        </w:tc>
        <w:tc>
          <w:tcPr>
            <w:tcW w:w="1140" w:type="dxa"/>
            <w:vAlign w:val="bottom"/>
            <w:tcBorders>
              <w:right w:val="single" w:sz="8" w:color="CCCCFF"/>
            </w:tcBorders>
            <w:vMerge w:val="continue"/>
          </w:tcPr>
          <w:p>
            <w:pPr>
              <w:spacing w:after="0"/>
              <w:rPr>
                <w:sz w:val="3"/>
                <w:szCs w:val="3"/>
                <w:color w:val="auto"/>
              </w:rPr>
            </w:pPr>
          </w:p>
        </w:tc>
        <w:tc>
          <w:tcPr>
            <w:tcW w:w="1600" w:type="dxa"/>
            <w:vAlign w:val="bottom"/>
            <w:tcBorders>
              <w:right w:val="single" w:sz="8" w:color="CCCCFF"/>
            </w:tcBorders>
          </w:tcPr>
          <w:p>
            <w:pPr>
              <w:spacing w:after="0"/>
              <w:rPr>
                <w:sz w:val="3"/>
                <w:szCs w:val="3"/>
                <w:color w:val="auto"/>
              </w:rPr>
            </w:pPr>
          </w:p>
        </w:tc>
        <w:tc>
          <w:tcPr>
            <w:tcW w:w="116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1020" w:type="dxa"/>
            <w:vAlign w:val="bottom"/>
            <w:tcBorders>
              <w:right w:val="single" w:sz="8" w:color="CCCCFF"/>
            </w:tcBorders>
          </w:tcPr>
          <w:p>
            <w:pPr>
              <w:spacing w:after="0"/>
              <w:rPr>
                <w:sz w:val="3"/>
                <w:szCs w:val="3"/>
                <w:color w:val="auto"/>
              </w:rPr>
            </w:pPr>
          </w:p>
        </w:tc>
        <w:tc>
          <w:tcPr>
            <w:tcW w:w="920" w:type="dxa"/>
            <w:vAlign w:val="bottom"/>
            <w:tcBorders>
              <w:right w:val="single" w:sz="8" w:color="0066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1180" w:type="dxa"/>
            <w:vAlign w:val="bottom"/>
            <w:tcBorders>
              <w:left w:val="single" w:sz="8" w:color="0066CC"/>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4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88"/>
              </w:rPr>
              <w:t>Regulatory Surcharge.</w:t>
            </w:r>
          </w:p>
        </w:tc>
        <w:tc>
          <w:tcPr>
            <w:tcW w:w="1140" w:type="dxa"/>
            <w:vAlign w:val="bottom"/>
            <w:tcBorders>
              <w:bottom w:val="single" w:sz="8" w:color="CCCCFF"/>
              <w:right w:val="single" w:sz="8" w:color="CCCCFF"/>
            </w:tcBorders>
          </w:tcPr>
          <w:p>
            <w:pPr>
              <w:spacing w:after="0"/>
              <w:rPr>
                <w:sz w:val="13"/>
                <w:szCs w:val="13"/>
                <w:color w:val="auto"/>
              </w:rPr>
            </w:pPr>
          </w:p>
        </w:tc>
        <w:tc>
          <w:tcPr>
            <w:tcW w:w="1600" w:type="dxa"/>
            <w:vAlign w:val="bottom"/>
            <w:tcBorders>
              <w:bottom w:val="single" w:sz="8" w:color="CCCCFF"/>
              <w:right w:val="single" w:sz="8" w:color="CCCCFF"/>
            </w:tcBorders>
          </w:tcPr>
          <w:p>
            <w:pPr>
              <w:spacing w:after="0"/>
              <w:rPr>
                <w:sz w:val="13"/>
                <w:szCs w:val="13"/>
                <w:color w:val="auto"/>
              </w:rPr>
            </w:pPr>
          </w:p>
        </w:tc>
        <w:tc>
          <w:tcPr>
            <w:tcW w:w="116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1020" w:type="dxa"/>
            <w:vAlign w:val="bottom"/>
            <w:tcBorders>
              <w:bottom w:val="single" w:sz="8" w:color="CCCCFF"/>
              <w:right w:val="single" w:sz="8" w:color="CCCCFF"/>
            </w:tcBorders>
          </w:tcPr>
          <w:p>
            <w:pPr>
              <w:spacing w:after="0"/>
              <w:rPr>
                <w:sz w:val="13"/>
                <w:szCs w:val="13"/>
                <w:color w:val="auto"/>
              </w:rPr>
            </w:pPr>
          </w:p>
        </w:tc>
        <w:tc>
          <w:tcPr>
            <w:tcW w:w="920" w:type="dxa"/>
            <w:vAlign w:val="bottom"/>
            <w:tcBorders>
              <w:bottom w:val="single" w:sz="8" w:color="CCCCFF"/>
              <w:right w:val="single" w:sz="8" w:color="0066CC"/>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4"/>
              </w:rPr>
              <w:t>Matrix North</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4"/>
              </w:rPr>
              <w:t>Massachusetts</w:t>
            </w:r>
          </w:p>
        </w:tc>
        <w:tc>
          <w:tcPr>
            <w:tcW w:w="116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Other Financial</w:t>
            </w: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6"/>
              </w:rPr>
              <w:t>09026603</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E-Z Pass Toll Bond</w:t>
            </w:r>
          </w:p>
        </w:tc>
        <w:tc>
          <w:tcPr>
            <w:tcW w:w="1140" w:type="dxa"/>
            <w:vAlign w:val="bottom"/>
            <w:tcBorders>
              <w:right w:val="single" w:sz="8" w:color="CCCCFF"/>
            </w:tcBorders>
            <w:vMerge w:val="continue"/>
          </w:tcPr>
          <w:p>
            <w:pPr>
              <w:spacing w:after="0"/>
              <w:rPr>
                <w:sz w:val="4"/>
                <w:szCs w:val="4"/>
                <w:color w:val="auto"/>
              </w:rPr>
            </w:pP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$6,000.00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9"/>
              </w:rPr>
              <w:t>03-Sep-10</w:t>
            </w:r>
          </w:p>
        </w:tc>
        <w:tc>
          <w:tcPr>
            <w:tcW w:w="1020" w:type="dxa"/>
            <w:vAlign w:val="bottom"/>
            <w:tcBorders>
              <w:right w:val="single" w:sz="8" w:color="CCCCFF"/>
            </w:tcBorders>
            <w:vMerge w:val="restart"/>
          </w:tcPr>
          <w:p>
            <w:pPr>
              <w:ind w:left="260"/>
              <w:spacing w:after="0" w:line="121" w:lineRule="exact"/>
              <w:rPr>
                <w:sz w:val="20"/>
                <w:szCs w:val="20"/>
                <w:color w:val="auto"/>
              </w:rPr>
            </w:pPr>
            <w:r>
              <w:rPr>
                <w:rFonts w:ascii="Arial" w:cs="Arial" w:eastAsia="Arial" w:hAnsi="Arial"/>
                <w:sz w:val="12"/>
                <w:szCs w:val="12"/>
                <w:color w:val="auto"/>
              </w:rPr>
              <w:t>03-Sep-16</w:t>
            </w:r>
          </w:p>
        </w:tc>
        <w:tc>
          <w:tcPr>
            <w:tcW w:w="920" w:type="dxa"/>
            <w:vAlign w:val="bottom"/>
            <w:tcBorders>
              <w:right w:val="single" w:sz="8" w:color="0066CC"/>
            </w:tcBorders>
            <w:vMerge w:val="restart"/>
          </w:tcPr>
          <w:p>
            <w:pPr>
              <w:jc w:val="center"/>
              <w:spacing w:after="0" w:line="121" w:lineRule="exact"/>
              <w:rPr>
                <w:sz w:val="20"/>
                <w:szCs w:val="20"/>
                <w:color w:val="auto"/>
              </w:rPr>
            </w:pPr>
            <w:r>
              <w:rPr>
                <w:rFonts w:ascii="Arial" w:cs="Arial" w:eastAsia="Arial" w:hAnsi="Arial"/>
                <w:sz w:val="12"/>
                <w:szCs w:val="12"/>
                <w:color w:val="auto"/>
                <w:w w:val="85"/>
              </w:rPr>
              <w:t>03-Sep-17</w:t>
            </w: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4"/>
              </w:rPr>
              <w:t>Turnpike Authority</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4"/>
              </w:rPr>
              <w:t>Guarantee</w:t>
            </w:r>
          </w:p>
        </w:tc>
        <w:tc>
          <w:tcPr>
            <w:tcW w:w="160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920" w:type="dxa"/>
            <w:vAlign w:val="bottom"/>
            <w:tcBorders>
              <w:right w:val="single" w:sz="8" w:color="0066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80" w:type="dxa"/>
            <w:vAlign w:val="bottom"/>
            <w:tcBorders>
              <w:left w:val="single" w:sz="8" w:color="0066CC"/>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vMerge w:val="continue"/>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60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920" w:type="dxa"/>
            <w:vAlign w:val="bottom"/>
            <w:tcBorders>
              <w:bottom w:val="single" w:sz="8" w:color="CCCCFF"/>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137</w:t>
      </w:r>
    </w:p>
    <w:p>
      <w:pPr>
        <w:sectPr>
          <w:pgSz w:w="11900" w:h="16838" w:orient="portrait"/>
          <w:cols w:equalWidth="0" w:num="1">
            <w:col w:w="11480"/>
          </w:cols>
          <w:pgMar w:left="220" w:top="605" w:right="199" w:bottom="1440" w:gutter="0" w:footer="0" w:header="0"/>
        </w:sectPr>
      </w:pPr>
    </w:p>
    <w:bookmarkStart w:id="198" w:name="page199"/>
    <w:bookmarkEnd w:id="198"/>
    <w:tbl>
      <w:tblPr>
        <w:tblLayout w:type="fixed"/>
        <w:tblInd w:w="10" w:type="dxa"/>
        <w:tblCellMar>
          <w:top w:w="0" w:type="dxa"/>
          <w:left w:w="0" w:type="dxa"/>
          <w:bottom w:w="0" w:type="dxa"/>
          <w:right w:w="0" w:type="dxa"/>
        </w:tblCellMar>
      </w:tblPr>
      <w:tr>
        <w:trPr>
          <w:trHeight w:val="139"/>
        </w:trPr>
        <w:tc>
          <w:tcPr>
            <w:tcW w:w="1180" w:type="dxa"/>
            <w:vAlign w:val="bottom"/>
            <w:tcBorders>
              <w:top w:val="single" w:sz="8" w:color="CCCCFF"/>
              <w:left w:val="single" w:sz="8" w:color="0066CC"/>
              <w:right w:val="single" w:sz="8" w:color="CCCCFF"/>
            </w:tcBorders>
          </w:tcPr>
          <w:p>
            <w:pPr>
              <w:spacing w:after="0"/>
              <w:rPr>
                <w:sz w:val="12"/>
                <w:szCs w:val="12"/>
                <w:color w:val="auto"/>
              </w:rPr>
            </w:pPr>
          </w:p>
        </w:tc>
        <w:tc>
          <w:tcPr>
            <w:tcW w:w="1140" w:type="dxa"/>
            <w:vAlign w:val="bottom"/>
            <w:tcBorders>
              <w:top w:val="single" w:sz="8" w:color="CCCCFF"/>
              <w:right w:val="single" w:sz="8" w:color="CCCCFF"/>
            </w:tcBorders>
          </w:tcPr>
          <w:p>
            <w:pPr>
              <w:jc w:val="center"/>
              <w:spacing w:after="0"/>
              <w:rPr>
                <w:sz w:val="20"/>
                <w:szCs w:val="20"/>
                <w:color w:val="auto"/>
              </w:rPr>
            </w:pPr>
            <w:r>
              <w:rPr>
                <w:rFonts w:ascii="Arial" w:cs="Arial" w:eastAsia="Arial" w:hAnsi="Arial"/>
                <w:sz w:val="12"/>
                <w:szCs w:val="12"/>
                <w:color w:val="auto"/>
                <w:w w:val="94"/>
              </w:rPr>
              <w:t>Matrix North</w:t>
            </w:r>
          </w:p>
        </w:tc>
        <w:tc>
          <w:tcPr>
            <w:tcW w:w="1140" w:type="dxa"/>
            <w:vAlign w:val="bottom"/>
            <w:tcBorders>
              <w:top w:val="single" w:sz="8" w:color="CCCCFF"/>
              <w:right w:val="single" w:sz="8" w:color="CCCCFF"/>
            </w:tcBorders>
          </w:tcPr>
          <w:p>
            <w:pPr>
              <w:spacing w:after="0"/>
              <w:rPr>
                <w:sz w:val="12"/>
                <w:szCs w:val="12"/>
                <w:color w:val="auto"/>
              </w:rPr>
            </w:pPr>
          </w:p>
        </w:tc>
        <w:tc>
          <w:tcPr>
            <w:tcW w:w="1160" w:type="dxa"/>
            <w:vAlign w:val="bottom"/>
            <w:tcBorders>
              <w:top w:val="single" w:sz="8" w:color="CCCCFF"/>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Taxpayer Bond for</w:t>
            </w:r>
          </w:p>
        </w:tc>
        <w:tc>
          <w:tcPr>
            <w:tcW w:w="1140" w:type="dxa"/>
            <w:vAlign w:val="bottom"/>
            <w:tcBorders>
              <w:top w:val="single" w:sz="8" w:color="CCCCFF"/>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90"/>
              </w:rPr>
              <w:t>Other Financial</w:t>
            </w:r>
          </w:p>
        </w:tc>
        <w:tc>
          <w:tcPr>
            <w:tcW w:w="1600" w:type="dxa"/>
            <w:vAlign w:val="bottom"/>
            <w:tcBorders>
              <w:top w:val="single" w:sz="8" w:color="CCCCFF"/>
              <w:right w:val="single" w:sz="8" w:color="CCCCFF"/>
            </w:tcBorders>
          </w:tcPr>
          <w:p>
            <w:pPr>
              <w:spacing w:after="0"/>
              <w:rPr>
                <w:sz w:val="12"/>
                <w:szCs w:val="12"/>
                <w:color w:val="auto"/>
              </w:rPr>
            </w:pPr>
          </w:p>
        </w:tc>
        <w:tc>
          <w:tcPr>
            <w:tcW w:w="1160" w:type="dxa"/>
            <w:vAlign w:val="bottom"/>
            <w:tcBorders>
              <w:top w:val="single" w:sz="8" w:color="CCCCFF"/>
              <w:right w:val="single" w:sz="8" w:color="CCCCFF"/>
            </w:tcBorders>
          </w:tcPr>
          <w:p>
            <w:pPr>
              <w:spacing w:after="0"/>
              <w:rPr>
                <w:sz w:val="12"/>
                <w:szCs w:val="12"/>
                <w:color w:val="auto"/>
              </w:rPr>
            </w:pPr>
          </w:p>
        </w:tc>
        <w:tc>
          <w:tcPr>
            <w:tcW w:w="1020" w:type="dxa"/>
            <w:vAlign w:val="bottom"/>
            <w:tcBorders>
              <w:top w:val="single" w:sz="8" w:color="CCCCFF"/>
              <w:right w:val="single" w:sz="8" w:color="CCCCFF"/>
            </w:tcBorders>
          </w:tcPr>
          <w:p>
            <w:pPr>
              <w:spacing w:after="0"/>
              <w:rPr>
                <w:sz w:val="12"/>
                <w:szCs w:val="12"/>
                <w:color w:val="auto"/>
              </w:rPr>
            </w:pPr>
          </w:p>
        </w:tc>
        <w:tc>
          <w:tcPr>
            <w:tcW w:w="1020" w:type="dxa"/>
            <w:vAlign w:val="bottom"/>
            <w:tcBorders>
              <w:top w:val="single" w:sz="8" w:color="CCCCFF"/>
              <w:right w:val="single" w:sz="8" w:color="CCCCFF"/>
            </w:tcBorders>
          </w:tcPr>
          <w:p>
            <w:pPr>
              <w:spacing w:after="0"/>
              <w:rPr>
                <w:sz w:val="12"/>
                <w:szCs w:val="12"/>
                <w:color w:val="auto"/>
              </w:rPr>
            </w:pPr>
          </w:p>
        </w:tc>
        <w:tc>
          <w:tcPr>
            <w:tcW w:w="920" w:type="dxa"/>
            <w:vAlign w:val="bottom"/>
            <w:tcBorders>
              <w:top w:val="single" w:sz="8" w:color="CCCCFF"/>
              <w:right w:val="single" w:sz="8" w:color="0066CC"/>
            </w:tcBorders>
          </w:tcPr>
          <w:p>
            <w:pPr>
              <w:spacing w:after="0"/>
              <w:rPr>
                <w:sz w:val="12"/>
                <w:szCs w:val="12"/>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6"/>
              </w:rPr>
              <w:t>09164706</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0"/>
              </w:rPr>
              <w:t>American</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8"/>
              </w:rPr>
              <w:t>State of Arizona</w:t>
            </w:r>
          </w:p>
        </w:tc>
        <w:tc>
          <w:tcPr>
            <w:tcW w:w="1160" w:type="dxa"/>
            <w:vAlign w:val="bottom"/>
            <w:tcBorders>
              <w:right w:val="single" w:sz="8" w:color="CCCCFF"/>
            </w:tcBorders>
            <w:vMerge w:val="continue"/>
          </w:tcPr>
          <w:p>
            <w:pPr>
              <w:spacing w:after="0"/>
              <w:rPr>
                <w:sz w:val="4"/>
                <w:szCs w:val="4"/>
                <w:color w:val="auto"/>
              </w:rPr>
            </w:pPr>
          </w:p>
        </w:tc>
        <w:tc>
          <w:tcPr>
            <w:tcW w:w="1140" w:type="dxa"/>
            <w:vAlign w:val="bottom"/>
            <w:tcBorders>
              <w:right w:val="single" w:sz="8" w:color="CCCCFF"/>
            </w:tcBorders>
            <w:vMerge w:val="continue"/>
          </w:tcPr>
          <w:p>
            <w:pPr>
              <w:spacing w:after="0"/>
              <w:rPr>
                <w:sz w:val="4"/>
                <w:szCs w:val="4"/>
                <w:color w:val="auto"/>
              </w:rPr>
            </w:pP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$22,000.00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ind w:left="240"/>
              <w:spacing w:after="0" w:line="121" w:lineRule="exact"/>
              <w:rPr>
                <w:sz w:val="20"/>
                <w:szCs w:val="20"/>
                <w:color w:val="auto"/>
              </w:rPr>
            </w:pPr>
            <w:r>
              <w:rPr>
                <w:rFonts w:ascii="Arial" w:cs="Arial" w:eastAsia="Arial" w:hAnsi="Arial"/>
                <w:sz w:val="12"/>
                <w:szCs w:val="12"/>
                <w:color w:val="auto"/>
              </w:rPr>
              <w:t>17-Nov-14</w:t>
            </w:r>
          </w:p>
        </w:tc>
        <w:tc>
          <w:tcPr>
            <w:tcW w:w="1020" w:type="dxa"/>
            <w:vAlign w:val="bottom"/>
            <w:tcBorders>
              <w:right w:val="single" w:sz="8" w:color="CCCCFF"/>
            </w:tcBorders>
            <w:vMerge w:val="restart"/>
          </w:tcPr>
          <w:p>
            <w:pPr>
              <w:ind w:left="240"/>
              <w:spacing w:after="0" w:line="121" w:lineRule="exact"/>
              <w:rPr>
                <w:sz w:val="20"/>
                <w:szCs w:val="20"/>
                <w:color w:val="auto"/>
              </w:rPr>
            </w:pPr>
            <w:r>
              <w:rPr>
                <w:rFonts w:ascii="Arial" w:cs="Arial" w:eastAsia="Arial" w:hAnsi="Arial"/>
                <w:sz w:val="12"/>
                <w:szCs w:val="12"/>
                <w:color w:val="auto"/>
              </w:rPr>
              <w:t>17-Nov-16</w:t>
            </w:r>
          </w:p>
        </w:tc>
        <w:tc>
          <w:tcPr>
            <w:tcW w:w="920" w:type="dxa"/>
            <w:vAlign w:val="bottom"/>
            <w:tcBorders>
              <w:right w:val="single" w:sz="8" w:color="0066CC"/>
            </w:tcBorders>
            <w:vMerge w:val="restart"/>
          </w:tcPr>
          <w:p>
            <w:pPr>
              <w:ind w:left="180"/>
              <w:spacing w:after="0" w:line="121" w:lineRule="exact"/>
              <w:rPr>
                <w:sz w:val="20"/>
                <w:szCs w:val="20"/>
                <w:color w:val="auto"/>
              </w:rPr>
            </w:pPr>
            <w:r>
              <w:rPr>
                <w:rFonts w:ascii="Arial" w:cs="Arial" w:eastAsia="Arial" w:hAnsi="Arial"/>
                <w:sz w:val="12"/>
                <w:szCs w:val="12"/>
                <w:color w:val="auto"/>
              </w:rPr>
              <w:t>17-Nov-17</w:t>
            </w: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Contractor</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4"/>
              </w:rPr>
              <w:t>Guarantee</w:t>
            </w:r>
          </w:p>
        </w:tc>
        <w:tc>
          <w:tcPr>
            <w:tcW w:w="160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920" w:type="dxa"/>
            <w:vAlign w:val="bottom"/>
            <w:tcBorders>
              <w:right w:val="single" w:sz="8" w:color="0066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Construction, Inc.</w:t>
            </w:r>
          </w:p>
        </w:tc>
        <w:tc>
          <w:tcPr>
            <w:tcW w:w="114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vMerge w:val="continue"/>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80" w:type="dxa"/>
            <w:vAlign w:val="bottom"/>
            <w:tcBorders>
              <w:left w:val="single" w:sz="8" w:color="0066CC"/>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vMerge w:val="continue"/>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140" w:type="dxa"/>
            <w:vAlign w:val="bottom"/>
            <w:tcBorders>
              <w:bottom w:val="single" w:sz="8" w:color="CCCCFF"/>
              <w:right w:val="single" w:sz="8" w:color="CCCCFF"/>
            </w:tcBorders>
          </w:tcPr>
          <w:p>
            <w:pPr>
              <w:spacing w:after="0"/>
              <w:rPr>
                <w:sz w:val="6"/>
                <w:szCs w:val="6"/>
                <w:color w:val="auto"/>
              </w:rPr>
            </w:pPr>
          </w:p>
        </w:tc>
        <w:tc>
          <w:tcPr>
            <w:tcW w:w="1600" w:type="dxa"/>
            <w:vAlign w:val="bottom"/>
            <w:tcBorders>
              <w:bottom w:val="single" w:sz="8" w:color="CCCCFF"/>
              <w:right w:val="single" w:sz="8" w:color="CCCCFF"/>
            </w:tcBorders>
          </w:tcPr>
          <w:p>
            <w:pPr>
              <w:spacing w:after="0"/>
              <w:rPr>
                <w:sz w:val="6"/>
                <w:szCs w:val="6"/>
                <w:color w:val="auto"/>
              </w:rPr>
            </w:pPr>
          </w:p>
        </w:tc>
        <w:tc>
          <w:tcPr>
            <w:tcW w:w="116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1020" w:type="dxa"/>
            <w:vAlign w:val="bottom"/>
            <w:tcBorders>
              <w:bottom w:val="single" w:sz="8" w:color="CCCCFF"/>
              <w:right w:val="single" w:sz="8" w:color="CCCCFF"/>
            </w:tcBorders>
          </w:tcPr>
          <w:p>
            <w:pPr>
              <w:spacing w:after="0"/>
              <w:rPr>
                <w:sz w:val="6"/>
                <w:szCs w:val="6"/>
                <w:color w:val="auto"/>
              </w:rPr>
            </w:pPr>
          </w:p>
        </w:tc>
        <w:tc>
          <w:tcPr>
            <w:tcW w:w="920" w:type="dxa"/>
            <w:vAlign w:val="bottom"/>
            <w:tcBorders>
              <w:bottom w:val="single" w:sz="8" w:color="CCCCFF"/>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180" w:type="dxa"/>
            <w:vAlign w:val="bottom"/>
            <w:tcBorders>
              <w:left w:val="single" w:sz="8" w:color="0066CC"/>
              <w:right w:val="single" w:sz="8" w:color="CCCCFF"/>
            </w:tcBorders>
          </w:tcPr>
          <w:p>
            <w:pPr>
              <w:spacing w:after="0"/>
              <w:rPr>
                <w:sz w:val="10"/>
                <w:szCs w:val="10"/>
                <w:color w:val="auto"/>
              </w:rPr>
            </w:pPr>
          </w:p>
        </w:tc>
        <w:tc>
          <w:tcPr>
            <w:tcW w:w="1140" w:type="dxa"/>
            <w:vAlign w:val="bottom"/>
            <w:tcBorders>
              <w:right w:val="single" w:sz="8" w:color="CCCCFF"/>
            </w:tcBorders>
          </w:tcPr>
          <w:p>
            <w:pPr>
              <w:spacing w:after="0"/>
              <w:rPr>
                <w:sz w:val="10"/>
                <w:szCs w:val="10"/>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8"/>
              </w:rPr>
              <w:t>Job Service North</w:t>
            </w:r>
          </w:p>
        </w:tc>
        <w:tc>
          <w:tcPr>
            <w:tcW w:w="1160" w:type="dxa"/>
            <w:vAlign w:val="bottom"/>
            <w:tcBorders>
              <w:right w:val="single" w:sz="8" w:color="CCCCFF"/>
            </w:tcBorders>
          </w:tcPr>
          <w:p>
            <w:pPr>
              <w:jc w:val="center"/>
              <w:spacing w:after="0" w:line="124" w:lineRule="exact"/>
              <w:rPr>
                <w:sz w:val="20"/>
                <w:szCs w:val="20"/>
                <w:color w:val="auto"/>
              </w:rPr>
            </w:pPr>
            <w:r>
              <w:rPr>
                <w:rFonts w:ascii="Arial" w:cs="Arial" w:eastAsia="Arial" w:hAnsi="Arial"/>
                <w:sz w:val="12"/>
                <w:szCs w:val="12"/>
                <w:color w:val="auto"/>
                <w:w w:val="91"/>
              </w:rPr>
              <w:t>Unemployment</w:t>
            </w: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Self Insurer Workers</w:t>
            </w:r>
          </w:p>
        </w:tc>
        <w:tc>
          <w:tcPr>
            <w:tcW w:w="1600" w:type="dxa"/>
            <w:vAlign w:val="bottom"/>
            <w:tcBorders>
              <w:right w:val="single" w:sz="8" w:color="CCCCFF"/>
            </w:tcBorders>
          </w:tcPr>
          <w:p>
            <w:pPr>
              <w:spacing w:after="0"/>
              <w:rPr>
                <w:sz w:val="10"/>
                <w:szCs w:val="10"/>
                <w:color w:val="auto"/>
              </w:rPr>
            </w:pPr>
          </w:p>
        </w:tc>
        <w:tc>
          <w:tcPr>
            <w:tcW w:w="116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1020" w:type="dxa"/>
            <w:vAlign w:val="bottom"/>
            <w:tcBorders>
              <w:right w:val="single" w:sz="8" w:color="CCCCFF"/>
            </w:tcBorders>
          </w:tcPr>
          <w:p>
            <w:pPr>
              <w:spacing w:after="0"/>
              <w:rPr>
                <w:sz w:val="10"/>
                <w:szCs w:val="10"/>
                <w:color w:val="auto"/>
              </w:rPr>
            </w:pPr>
          </w:p>
        </w:tc>
        <w:tc>
          <w:tcPr>
            <w:tcW w:w="920" w:type="dxa"/>
            <w:vAlign w:val="bottom"/>
            <w:tcBorders>
              <w:right w:val="single" w:sz="8" w:color="0066CC"/>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80" w:type="dxa"/>
            <w:vAlign w:val="bottom"/>
            <w:tcBorders>
              <w:left w:val="single" w:sz="8" w:color="0066CC"/>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6"/>
              </w:rPr>
              <w:t>09120998</w:t>
            </w:r>
          </w:p>
        </w:tc>
        <w:tc>
          <w:tcPr>
            <w:tcW w:w="114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91"/>
              </w:rPr>
              <w:t>Matrix Service Inc.</w:t>
            </w:r>
          </w:p>
        </w:tc>
        <w:tc>
          <w:tcPr>
            <w:tcW w:w="1140" w:type="dxa"/>
            <w:vAlign w:val="bottom"/>
            <w:tcBorders>
              <w:right w:val="single" w:sz="8" w:color="CCCCFF"/>
            </w:tcBorders>
            <w:vMerge w:val="continue"/>
          </w:tcPr>
          <w:p>
            <w:pPr>
              <w:spacing w:after="0"/>
              <w:rPr>
                <w:sz w:val="4"/>
                <w:szCs w:val="4"/>
                <w:color w:val="auto"/>
              </w:rPr>
            </w:pPr>
          </w:p>
        </w:tc>
        <w:tc>
          <w:tcPr>
            <w:tcW w:w="1160" w:type="dxa"/>
            <w:vAlign w:val="bottom"/>
            <w:tcBorders>
              <w:right w:val="single" w:sz="8" w:color="CCCCFF"/>
            </w:tcBorders>
            <w:vMerge w:val="restart"/>
          </w:tcPr>
          <w:p>
            <w:pPr>
              <w:jc w:val="center"/>
              <w:spacing w:after="0" w:line="121" w:lineRule="exact"/>
              <w:rPr>
                <w:sz w:val="20"/>
                <w:szCs w:val="20"/>
                <w:color w:val="auto"/>
              </w:rPr>
            </w:pPr>
            <w:r>
              <w:rPr>
                <w:rFonts w:ascii="Arial" w:cs="Arial" w:eastAsia="Arial" w:hAnsi="Arial"/>
                <w:sz w:val="12"/>
                <w:szCs w:val="12"/>
                <w:color w:val="auto"/>
                <w:w w:val="87"/>
              </w:rPr>
              <w:t>Insurance Trust Fund</w:t>
            </w:r>
          </w:p>
        </w:tc>
        <w:tc>
          <w:tcPr>
            <w:tcW w:w="1140" w:type="dxa"/>
            <w:vAlign w:val="bottom"/>
            <w:tcBorders>
              <w:right w:val="single" w:sz="8" w:color="CCCCFF"/>
            </w:tcBorders>
            <w:vMerge w:val="continue"/>
          </w:tcPr>
          <w:p>
            <w:pPr>
              <w:spacing w:after="0"/>
              <w:rPr>
                <w:sz w:val="4"/>
                <w:szCs w:val="4"/>
                <w:color w:val="auto"/>
              </w:rPr>
            </w:pPr>
          </w:p>
        </w:tc>
        <w:tc>
          <w:tcPr>
            <w:tcW w:w="1600" w:type="dxa"/>
            <w:vAlign w:val="bottom"/>
            <w:tcBorders>
              <w:right w:val="single" w:sz="8" w:color="CCCCFF"/>
            </w:tcBorders>
            <w:vMerge w:val="restart"/>
          </w:tcPr>
          <w:p>
            <w:pPr>
              <w:jc w:val="right"/>
              <w:spacing w:after="0" w:line="121" w:lineRule="exact"/>
              <w:rPr>
                <w:sz w:val="20"/>
                <w:szCs w:val="20"/>
                <w:color w:val="auto"/>
              </w:rPr>
            </w:pPr>
            <w:r>
              <w:rPr>
                <w:rFonts w:ascii="Arial" w:cs="Arial" w:eastAsia="Arial" w:hAnsi="Arial"/>
                <w:sz w:val="12"/>
                <w:szCs w:val="12"/>
                <w:color w:val="auto"/>
              </w:rPr>
              <w:t>$7,578,200.00</w:t>
            </w:r>
          </w:p>
        </w:tc>
        <w:tc>
          <w:tcPr>
            <w:tcW w:w="1160" w:type="dxa"/>
            <w:vAlign w:val="bottom"/>
            <w:tcBorders>
              <w:right w:val="single" w:sz="8" w:color="CCCCFF"/>
            </w:tcBorders>
            <w:vMerge w:val="restart"/>
          </w:tcPr>
          <w:p>
            <w:pPr>
              <w:ind w:left="420"/>
              <w:spacing w:after="0" w:line="121" w:lineRule="exact"/>
              <w:rPr>
                <w:sz w:val="20"/>
                <w:szCs w:val="20"/>
                <w:color w:val="auto"/>
              </w:rPr>
            </w:pPr>
            <w:r>
              <w:rPr>
                <w:rFonts w:ascii="Arial" w:cs="Arial" w:eastAsia="Arial" w:hAnsi="Arial"/>
                <w:sz w:val="12"/>
                <w:szCs w:val="12"/>
                <w:color w:val="auto"/>
              </w:rPr>
              <w:t>Zurich</w:t>
            </w:r>
          </w:p>
        </w:tc>
        <w:tc>
          <w:tcPr>
            <w:tcW w:w="1020" w:type="dxa"/>
            <w:vAlign w:val="bottom"/>
            <w:tcBorders>
              <w:right w:val="single" w:sz="8" w:color="CCCCFF"/>
            </w:tcBorders>
            <w:vMerge w:val="restart"/>
          </w:tcPr>
          <w:p>
            <w:pPr>
              <w:ind w:left="240"/>
              <w:spacing w:after="0" w:line="121" w:lineRule="exact"/>
              <w:rPr>
                <w:sz w:val="20"/>
                <w:szCs w:val="20"/>
                <w:color w:val="auto"/>
              </w:rPr>
            </w:pPr>
            <w:r>
              <w:rPr>
                <w:rFonts w:ascii="Arial" w:cs="Arial" w:eastAsia="Arial" w:hAnsi="Arial"/>
                <w:sz w:val="12"/>
                <w:szCs w:val="12"/>
                <w:color w:val="auto"/>
              </w:rPr>
              <w:t>20-Sep-16</w:t>
            </w:r>
          </w:p>
        </w:tc>
        <w:tc>
          <w:tcPr>
            <w:tcW w:w="1020" w:type="dxa"/>
            <w:vAlign w:val="bottom"/>
            <w:tcBorders>
              <w:right w:val="single" w:sz="8" w:color="CCCCFF"/>
            </w:tcBorders>
            <w:vMerge w:val="restart"/>
          </w:tcPr>
          <w:p>
            <w:pPr>
              <w:ind w:left="260"/>
              <w:spacing w:after="0" w:line="121" w:lineRule="exact"/>
              <w:rPr>
                <w:sz w:val="20"/>
                <w:szCs w:val="20"/>
                <w:color w:val="auto"/>
              </w:rPr>
            </w:pPr>
            <w:r>
              <w:rPr>
                <w:rFonts w:ascii="Arial" w:cs="Arial" w:eastAsia="Arial" w:hAnsi="Arial"/>
                <w:sz w:val="12"/>
                <w:szCs w:val="12"/>
                <w:color w:val="auto"/>
              </w:rPr>
              <w:t>20-Sep-16</w:t>
            </w:r>
          </w:p>
        </w:tc>
        <w:tc>
          <w:tcPr>
            <w:tcW w:w="920" w:type="dxa"/>
            <w:vAlign w:val="bottom"/>
            <w:tcBorders>
              <w:right w:val="single" w:sz="8" w:color="0066CC"/>
            </w:tcBorders>
            <w:vMerge w:val="restart"/>
          </w:tcPr>
          <w:p>
            <w:pPr>
              <w:ind w:left="200"/>
              <w:spacing w:after="0" w:line="121" w:lineRule="exact"/>
              <w:rPr>
                <w:sz w:val="20"/>
                <w:szCs w:val="20"/>
                <w:color w:val="auto"/>
              </w:rPr>
            </w:pPr>
            <w:r>
              <w:rPr>
                <w:rFonts w:ascii="Arial" w:cs="Arial" w:eastAsia="Arial" w:hAnsi="Arial"/>
                <w:sz w:val="12"/>
                <w:szCs w:val="12"/>
                <w:color w:val="auto"/>
              </w:rPr>
              <w:t>20-Sep-17</w:t>
            </w:r>
          </w:p>
        </w:tc>
        <w:tc>
          <w:tcPr>
            <w:tcW w:w="0" w:type="dxa"/>
            <w:vAlign w:val="bottom"/>
          </w:tcPr>
          <w:p>
            <w:pPr>
              <w:spacing w:after="0"/>
              <w:rPr>
                <w:sz w:val="1"/>
                <w:szCs w:val="1"/>
                <w:color w:val="auto"/>
              </w:rPr>
            </w:pPr>
          </w:p>
        </w:tc>
      </w:tr>
      <w:tr>
        <w:trPr>
          <w:trHeight w:val="66"/>
        </w:trPr>
        <w:tc>
          <w:tcPr>
            <w:tcW w:w="1180" w:type="dxa"/>
            <w:vAlign w:val="bottom"/>
            <w:tcBorders>
              <w:left w:val="single" w:sz="8" w:color="0066CC"/>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9"/>
              </w:rPr>
              <w:t>Dakota</w:t>
            </w:r>
          </w:p>
        </w:tc>
        <w:tc>
          <w:tcPr>
            <w:tcW w:w="1160" w:type="dxa"/>
            <w:vAlign w:val="bottom"/>
            <w:tcBorders>
              <w:right w:val="single" w:sz="8" w:color="CCCCFF"/>
            </w:tcBorders>
            <w:vMerge w:val="continue"/>
          </w:tcPr>
          <w:p>
            <w:pPr>
              <w:spacing w:after="0"/>
              <w:rPr>
                <w:sz w:val="5"/>
                <w:szCs w:val="5"/>
                <w:color w:val="auto"/>
              </w:rPr>
            </w:pPr>
          </w:p>
        </w:tc>
        <w:tc>
          <w:tcPr>
            <w:tcW w:w="114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7"/>
              </w:rPr>
              <w:t>Compensation</w:t>
            </w:r>
          </w:p>
        </w:tc>
        <w:tc>
          <w:tcPr>
            <w:tcW w:w="1600" w:type="dxa"/>
            <w:vAlign w:val="bottom"/>
            <w:tcBorders>
              <w:right w:val="single" w:sz="8" w:color="CCCCFF"/>
            </w:tcBorders>
            <w:vMerge w:val="continue"/>
          </w:tcPr>
          <w:p>
            <w:pPr>
              <w:spacing w:after="0"/>
              <w:rPr>
                <w:sz w:val="5"/>
                <w:szCs w:val="5"/>
                <w:color w:val="auto"/>
              </w:rPr>
            </w:pPr>
          </w:p>
        </w:tc>
        <w:tc>
          <w:tcPr>
            <w:tcW w:w="116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1020" w:type="dxa"/>
            <w:vAlign w:val="bottom"/>
            <w:tcBorders>
              <w:right w:val="single" w:sz="8" w:color="CCCCFF"/>
            </w:tcBorders>
            <w:vMerge w:val="continue"/>
          </w:tcPr>
          <w:p>
            <w:pPr>
              <w:spacing w:after="0"/>
              <w:rPr>
                <w:sz w:val="5"/>
                <w:szCs w:val="5"/>
                <w:color w:val="auto"/>
              </w:rPr>
            </w:pPr>
          </w:p>
        </w:tc>
        <w:tc>
          <w:tcPr>
            <w:tcW w:w="920" w:type="dxa"/>
            <w:vAlign w:val="bottom"/>
            <w:tcBorders>
              <w:right w:val="single" w:sz="8" w:color="0066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180" w:type="dxa"/>
            <w:vAlign w:val="bottom"/>
            <w:tcBorders>
              <w:left w:val="single" w:sz="8" w:color="0066CC"/>
              <w:right w:val="single" w:sz="8" w:color="CCCCFF"/>
            </w:tcBorders>
          </w:tcPr>
          <w:p>
            <w:pPr>
              <w:spacing w:after="0"/>
              <w:rPr>
                <w:sz w:val="7"/>
                <w:szCs w:val="7"/>
                <w:color w:val="auto"/>
              </w:rPr>
            </w:pPr>
          </w:p>
        </w:tc>
        <w:tc>
          <w:tcPr>
            <w:tcW w:w="1140" w:type="dxa"/>
            <w:vAlign w:val="bottom"/>
            <w:tcBorders>
              <w:right w:val="single" w:sz="8" w:color="CCCCFF"/>
            </w:tcBorders>
          </w:tcPr>
          <w:p>
            <w:pPr>
              <w:spacing w:after="0"/>
              <w:rPr>
                <w:sz w:val="7"/>
                <w:szCs w:val="7"/>
                <w:color w:val="auto"/>
              </w:rPr>
            </w:pPr>
          </w:p>
        </w:tc>
        <w:tc>
          <w:tcPr>
            <w:tcW w:w="1140" w:type="dxa"/>
            <w:vAlign w:val="bottom"/>
            <w:tcBorders>
              <w:right w:val="single" w:sz="8" w:color="CCCCFF"/>
            </w:tcBorders>
            <w:vMerge w:val="continue"/>
          </w:tcPr>
          <w:p>
            <w:pPr>
              <w:spacing w:after="0"/>
              <w:rPr>
                <w:sz w:val="7"/>
                <w:szCs w:val="7"/>
                <w:color w:val="auto"/>
              </w:rPr>
            </w:pPr>
          </w:p>
        </w:tc>
        <w:tc>
          <w:tcPr>
            <w:tcW w:w="1160" w:type="dxa"/>
            <w:vAlign w:val="bottom"/>
            <w:tcBorders>
              <w:right w:val="single" w:sz="8" w:color="CCCCFF"/>
            </w:tcBorders>
            <w:vMerge w:val="restart"/>
          </w:tcPr>
          <w:p>
            <w:pPr>
              <w:jc w:val="center"/>
              <w:spacing w:after="0"/>
              <w:rPr>
                <w:sz w:val="20"/>
                <w:szCs w:val="20"/>
                <w:color w:val="auto"/>
              </w:rPr>
            </w:pPr>
            <w:r>
              <w:rPr>
                <w:rFonts w:ascii="Arial" w:cs="Arial" w:eastAsia="Arial" w:hAnsi="Arial"/>
                <w:sz w:val="12"/>
                <w:szCs w:val="12"/>
                <w:color w:val="auto"/>
                <w:w w:val="87"/>
              </w:rPr>
              <w:t>Surety Bond</w:t>
            </w:r>
          </w:p>
        </w:tc>
        <w:tc>
          <w:tcPr>
            <w:tcW w:w="1140" w:type="dxa"/>
            <w:vAlign w:val="bottom"/>
            <w:tcBorders>
              <w:right w:val="single" w:sz="8" w:color="CCCCFF"/>
            </w:tcBorders>
            <w:vMerge w:val="continue"/>
          </w:tcPr>
          <w:p>
            <w:pPr>
              <w:spacing w:after="0"/>
              <w:rPr>
                <w:sz w:val="7"/>
                <w:szCs w:val="7"/>
                <w:color w:val="auto"/>
              </w:rPr>
            </w:pPr>
          </w:p>
        </w:tc>
        <w:tc>
          <w:tcPr>
            <w:tcW w:w="1600" w:type="dxa"/>
            <w:vAlign w:val="bottom"/>
            <w:tcBorders>
              <w:right w:val="single" w:sz="8" w:color="CCCCFF"/>
            </w:tcBorders>
          </w:tcPr>
          <w:p>
            <w:pPr>
              <w:spacing w:after="0"/>
              <w:rPr>
                <w:sz w:val="7"/>
                <w:szCs w:val="7"/>
                <w:color w:val="auto"/>
              </w:rPr>
            </w:pPr>
          </w:p>
        </w:tc>
        <w:tc>
          <w:tcPr>
            <w:tcW w:w="116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1020" w:type="dxa"/>
            <w:vAlign w:val="bottom"/>
            <w:tcBorders>
              <w:right w:val="single" w:sz="8" w:color="CCCCFF"/>
            </w:tcBorders>
          </w:tcPr>
          <w:p>
            <w:pPr>
              <w:spacing w:after="0"/>
              <w:rPr>
                <w:sz w:val="7"/>
                <w:szCs w:val="7"/>
                <w:color w:val="auto"/>
              </w:rPr>
            </w:pPr>
          </w:p>
        </w:tc>
        <w:tc>
          <w:tcPr>
            <w:tcW w:w="920" w:type="dxa"/>
            <w:vAlign w:val="bottom"/>
            <w:tcBorders>
              <w:right w:val="single" w:sz="8" w:color="0066C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80" w:type="dxa"/>
            <w:vAlign w:val="bottom"/>
            <w:tcBorders>
              <w:left w:val="single" w:sz="8" w:color="0066CC"/>
              <w:bottom w:val="single" w:sz="8" w:color="0066CC"/>
              <w:right w:val="single" w:sz="8" w:color="CCCCFF"/>
            </w:tcBorders>
          </w:tcPr>
          <w:p>
            <w:pPr>
              <w:spacing w:after="0"/>
              <w:rPr>
                <w:sz w:val="6"/>
                <w:szCs w:val="6"/>
                <w:color w:val="auto"/>
              </w:rPr>
            </w:pPr>
          </w:p>
        </w:tc>
        <w:tc>
          <w:tcPr>
            <w:tcW w:w="1140" w:type="dxa"/>
            <w:vAlign w:val="bottom"/>
            <w:tcBorders>
              <w:bottom w:val="single" w:sz="8" w:color="0066CC"/>
              <w:right w:val="single" w:sz="8" w:color="CCCCFF"/>
            </w:tcBorders>
          </w:tcPr>
          <w:p>
            <w:pPr>
              <w:spacing w:after="0"/>
              <w:rPr>
                <w:sz w:val="6"/>
                <w:szCs w:val="6"/>
                <w:color w:val="auto"/>
              </w:rPr>
            </w:pPr>
          </w:p>
        </w:tc>
        <w:tc>
          <w:tcPr>
            <w:tcW w:w="1140" w:type="dxa"/>
            <w:vAlign w:val="bottom"/>
            <w:tcBorders>
              <w:bottom w:val="single" w:sz="8" w:color="0066CC"/>
              <w:right w:val="single" w:sz="8" w:color="CCCCFF"/>
            </w:tcBorders>
          </w:tcPr>
          <w:p>
            <w:pPr>
              <w:spacing w:after="0"/>
              <w:rPr>
                <w:sz w:val="6"/>
                <w:szCs w:val="6"/>
                <w:color w:val="auto"/>
              </w:rPr>
            </w:pPr>
          </w:p>
        </w:tc>
        <w:tc>
          <w:tcPr>
            <w:tcW w:w="1160" w:type="dxa"/>
            <w:vAlign w:val="bottom"/>
            <w:tcBorders>
              <w:bottom w:val="single" w:sz="8" w:color="0066CC"/>
              <w:right w:val="single" w:sz="8" w:color="CCCCFF"/>
            </w:tcBorders>
            <w:vMerge w:val="continue"/>
          </w:tcPr>
          <w:p>
            <w:pPr>
              <w:spacing w:after="0"/>
              <w:rPr>
                <w:sz w:val="6"/>
                <w:szCs w:val="6"/>
                <w:color w:val="auto"/>
              </w:rPr>
            </w:pPr>
          </w:p>
        </w:tc>
        <w:tc>
          <w:tcPr>
            <w:tcW w:w="1140" w:type="dxa"/>
            <w:vAlign w:val="bottom"/>
            <w:tcBorders>
              <w:bottom w:val="single" w:sz="8" w:color="0066CC"/>
              <w:right w:val="single" w:sz="8" w:color="CCCCFF"/>
            </w:tcBorders>
          </w:tcPr>
          <w:p>
            <w:pPr>
              <w:spacing w:after="0"/>
              <w:rPr>
                <w:sz w:val="6"/>
                <w:szCs w:val="6"/>
                <w:color w:val="auto"/>
              </w:rPr>
            </w:pPr>
          </w:p>
        </w:tc>
        <w:tc>
          <w:tcPr>
            <w:tcW w:w="1600" w:type="dxa"/>
            <w:vAlign w:val="bottom"/>
            <w:tcBorders>
              <w:bottom w:val="single" w:sz="8" w:color="0066CC"/>
              <w:right w:val="single" w:sz="8" w:color="CCCCFF"/>
            </w:tcBorders>
          </w:tcPr>
          <w:p>
            <w:pPr>
              <w:spacing w:after="0"/>
              <w:rPr>
                <w:sz w:val="6"/>
                <w:szCs w:val="6"/>
                <w:color w:val="auto"/>
              </w:rPr>
            </w:pPr>
          </w:p>
        </w:tc>
        <w:tc>
          <w:tcPr>
            <w:tcW w:w="1160" w:type="dxa"/>
            <w:vAlign w:val="bottom"/>
            <w:tcBorders>
              <w:bottom w:val="single" w:sz="8" w:color="0066CC"/>
              <w:right w:val="single" w:sz="8" w:color="CCCCFF"/>
            </w:tcBorders>
          </w:tcPr>
          <w:p>
            <w:pPr>
              <w:spacing w:after="0"/>
              <w:rPr>
                <w:sz w:val="6"/>
                <w:szCs w:val="6"/>
                <w:color w:val="auto"/>
              </w:rPr>
            </w:pPr>
          </w:p>
        </w:tc>
        <w:tc>
          <w:tcPr>
            <w:tcW w:w="1020" w:type="dxa"/>
            <w:vAlign w:val="bottom"/>
            <w:tcBorders>
              <w:bottom w:val="single" w:sz="8" w:color="0066CC"/>
              <w:right w:val="single" w:sz="8" w:color="CCCCFF"/>
            </w:tcBorders>
          </w:tcPr>
          <w:p>
            <w:pPr>
              <w:spacing w:after="0"/>
              <w:rPr>
                <w:sz w:val="6"/>
                <w:szCs w:val="6"/>
                <w:color w:val="auto"/>
              </w:rPr>
            </w:pPr>
          </w:p>
        </w:tc>
        <w:tc>
          <w:tcPr>
            <w:tcW w:w="1020" w:type="dxa"/>
            <w:vAlign w:val="bottom"/>
            <w:tcBorders>
              <w:bottom w:val="single" w:sz="8" w:color="0066CC"/>
              <w:right w:val="single" w:sz="8" w:color="CCCCFF"/>
            </w:tcBorders>
          </w:tcPr>
          <w:p>
            <w:pPr>
              <w:spacing w:after="0"/>
              <w:rPr>
                <w:sz w:val="6"/>
                <w:szCs w:val="6"/>
                <w:color w:val="auto"/>
              </w:rPr>
            </w:pPr>
          </w:p>
        </w:tc>
        <w:tc>
          <w:tcPr>
            <w:tcW w:w="920" w:type="dxa"/>
            <w:vAlign w:val="bottom"/>
            <w:tcBorders>
              <w:bottom w:val="single" w:sz="8" w:color="0066CC"/>
              <w:right w:val="single" w:sz="8" w:color="0066CC"/>
            </w:tcBorders>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20" w:type="dxa"/>
            <w:vAlign w:val="bottom"/>
            <w:tcBorders>
              <w:left w:val="single" w:sz="8" w:color="0066CC"/>
              <w:bottom w:val="single" w:sz="8" w:color="969696"/>
              <w:right w:val="single" w:sz="8" w:color="969696"/>
            </w:tcBorders>
            <w:gridSpan w:val="2"/>
            <w:shd w:val="clear" w:color="auto" w:fill="969696"/>
          </w:tcPr>
          <w:p>
            <w:pPr>
              <w:ind w:left="60"/>
              <w:spacing w:after="0"/>
              <w:rPr>
                <w:sz w:val="20"/>
                <w:szCs w:val="20"/>
                <w:color w:val="auto"/>
              </w:rPr>
            </w:pPr>
            <w:r>
              <w:rPr>
                <w:rFonts w:ascii="Arial" w:cs="Arial" w:eastAsia="Arial" w:hAnsi="Arial"/>
                <w:sz w:val="12"/>
                <w:szCs w:val="12"/>
                <w:color w:val="auto"/>
              </w:rPr>
              <w:t>TOTAL OTHER BONDS:</w:t>
            </w:r>
          </w:p>
        </w:tc>
        <w:tc>
          <w:tcPr>
            <w:tcW w:w="1140" w:type="dxa"/>
            <w:vAlign w:val="bottom"/>
            <w:tcBorders>
              <w:bottom w:val="single" w:sz="8" w:color="969696"/>
              <w:right w:val="single" w:sz="8" w:color="969696"/>
            </w:tcBorders>
            <w:shd w:val="clear" w:color="auto" w:fill="969696"/>
          </w:tcPr>
          <w:p>
            <w:pPr>
              <w:spacing w:after="0"/>
              <w:rPr>
                <w:sz w:val="17"/>
                <w:szCs w:val="17"/>
                <w:color w:val="auto"/>
              </w:rPr>
            </w:pPr>
          </w:p>
        </w:tc>
        <w:tc>
          <w:tcPr>
            <w:tcW w:w="1160" w:type="dxa"/>
            <w:vAlign w:val="bottom"/>
            <w:tcBorders>
              <w:bottom w:val="single" w:sz="8" w:color="969696"/>
              <w:right w:val="single" w:sz="8" w:color="969696"/>
            </w:tcBorders>
            <w:shd w:val="clear" w:color="auto" w:fill="969696"/>
          </w:tcPr>
          <w:p>
            <w:pPr>
              <w:spacing w:after="0"/>
              <w:rPr>
                <w:sz w:val="17"/>
                <w:szCs w:val="17"/>
                <w:color w:val="auto"/>
              </w:rPr>
            </w:pPr>
          </w:p>
        </w:tc>
        <w:tc>
          <w:tcPr>
            <w:tcW w:w="1140" w:type="dxa"/>
            <w:vAlign w:val="bottom"/>
            <w:tcBorders>
              <w:bottom w:val="single" w:sz="8" w:color="969696"/>
              <w:right w:val="single" w:sz="8" w:color="969696"/>
            </w:tcBorders>
            <w:shd w:val="clear" w:color="auto" w:fill="969696"/>
          </w:tcPr>
          <w:p>
            <w:pPr>
              <w:jc w:val="right"/>
              <w:ind w:right="500"/>
              <w:spacing w:after="0"/>
              <w:rPr>
                <w:sz w:val="20"/>
                <w:szCs w:val="20"/>
                <w:color w:val="auto"/>
              </w:rPr>
            </w:pPr>
            <w:r>
              <w:rPr>
                <w:rFonts w:ascii="Arial" w:cs="Arial" w:eastAsia="Arial" w:hAnsi="Arial"/>
                <w:sz w:val="12"/>
                <w:szCs w:val="12"/>
                <w:color w:val="auto"/>
              </w:rPr>
              <w:t>8</w:t>
            </w:r>
          </w:p>
        </w:tc>
        <w:tc>
          <w:tcPr>
            <w:tcW w:w="1600" w:type="dxa"/>
            <w:vAlign w:val="bottom"/>
            <w:tcBorders>
              <w:bottom w:val="single" w:sz="8" w:color="969696"/>
              <w:right w:val="single" w:sz="8" w:color="969696"/>
            </w:tcBorders>
            <w:shd w:val="clear" w:color="auto" w:fill="969696"/>
          </w:tcPr>
          <w:p>
            <w:pPr>
              <w:jc w:val="right"/>
              <w:spacing w:after="0"/>
              <w:rPr>
                <w:sz w:val="20"/>
                <w:szCs w:val="20"/>
                <w:color w:val="auto"/>
              </w:rPr>
            </w:pPr>
            <w:r>
              <w:rPr>
                <w:rFonts w:ascii="Arial" w:cs="Arial" w:eastAsia="Arial" w:hAnsi="Arial"/>
                <w:sz w:val="12"/>
                <w:szCs w:val="12"/>
                <w:color w:val="auto"/>
              </w:rPr>
              <w:t>$25,428,855.08</w:t>
            </w:r>
          </w:p>
        </w:tc>
        <w:tc>
          <w:tcPr>
            <w:tcW w:w="1160" w:type="dxa"/>
            <w:vAlign w:val="bottom"/>
            <w:tcBorders>
              <w:bottom w:val="single" w:sz="8" w:color="969696"/>
              <w:right w:val="single" w:sz="8" w:color="969696"/>
            </w:tcBorders>
            <w:shd w:val="clear" w:color="auto" w:fill="969696"/>
          </w:tcPr>
          <w:p>
            <w:pPr>
              <w:spacing w:after="0"/>
              <w:rPr>
                <w:sz w:val="17"/>
                <w:szCs w:val="17"/>
                <w:color w:val="auto"/>
              </w:rPr>
            </w:pPr>
          </w:p>
        </w:tc>
        <w:tc>
          <w:tcPr>
            <w:tcW w:w="1020" w:type="dxa"/>
            <w:vAlign w:val="bottom"/>
            <w:tcBorders>
              <w:bottom w:val="single" w:sz="8" w:color="969696"/>
              <w:right w:val="single" w:sz="8" w:color="969696"/>
            </w:tcBorders>
            <w:shd w:val="clear" w:color="auto" w:fill="969696"/>
          </w:tcPr>
          <w:p>
            <w:pPr>
              <w:spacing w:after="0"/>
              <w:rPr>
                <w:sz w:val="17"/>
                <w:szCs w:val="17"/>
                <w:color w:val="auto"/>
              </w:rPr>
            </w:pPr>
          </w:p>
        </w:tc>
        <w:tc>
          <w:tcPr>
            <w:tcW w:w="1020" w:type="dxa"/>
            <w:vAlign w:val="bottom"/>
            <w:tcBorders>
              <w:bottom w:val="single" w:sz="8" w:color="969696"/>
              <w:right w:val="single" w:sz="8" w:color="969696"/>
            </w:tcBorders>
            <w:shd w:val="clear" w:color="auto" w:fill="969696"/>
          </w:tcPr>
          <w:p>
            <w:pPr>
              <w:spacing w:after="0"/>
              <w:rPr>
                <w:sz w:val="17"/>
                <w:szCs w:val="17"/>
                <w:color w:val="auto"/>
              </w:rPr>
            </w:pPr>
          </w:p>
        </w:tc>
        <w:tc>
          <w:tcPr>
            <w:tcW w:w="920" w:type="dxa"/>
            <w:vAlign w:val="bottom"/>
            <w:tcBorders>
              <w:bottom w:val="single" w:sz="8" w:color="969696"/>
              <w:right w:val="single" w:sz="8" w:color="0066CC"/>
            </w:tcBorders>
            <w:shd w:val="clear" w:color="auto" w:fill="969696"/>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180" w:type="dxa"/>
            <w:vAlign w:val="bottom"/>
            <w:tcBorders>
              <w:left w:val="single" w:sz="8" w:color="0066CC"/>
              <w:right w:val="single" w:sz="8" w:color="0066CC"/>
            </w:tcBorders>
            <w:shd w:val="clear" w:color="auto" w:fill="0066CC"/>
          </w:tcPr>
          <w:p>
            <w:pPr>
              <w:jc w:val="center"/>
              <w:spacing w:after="0"/>
              <w:rPr>
                <w:sz w:val="20"/>
                <w:szCs w:val="20"/>
                <w:color w:val="auto"/>
              </w:rPr>
            </w:pPr>
            <w:r>
              <w:rPr>
                <w:rFonts w:ascii="Arial" w:cs="Arial" w:eastAsia="Arial" w:hAnsi="Arial"/>
                <w:sz w:val="13"/>
                <w:szCs w:val="13"/>
                <w:b w:val="1"/>
                <w:bCs w:val="1"/>
                <w:color w:val="FFFFFF"/>
              </w:rPr>
              <w:t>GRAND TOTALS:</w:t>
            </w:r>
          </w:p>
        </w:tc>
        <w:tc>
          <w:tcPr>
            <w:tcW w:w="1140" w:type="dxa"/>
            <w:vAlign w:val="bottom"/>
            <w:tcBorders>
              <w:right w:val="single" w:sz="8" w:color="0066CC"/>
            </w:tcBorders>
            <w:shd w:val="clear" w:color="auto" w:fill="0066CC"/>
          </w:tcPr>
          <w:p>
            <w:pPr>
              <w:spacing w:after="0"/>
              <w:rPr>
                <w:sz w:val="16"/>
                <w:szCs w:val="16"/>
                <w:color w:val="auto"/>
              </w:rPr>
            </w:pPr>
          </w:p>
        </w:tc>
        <w:tc>
          <w:tcPr>
            <w:tcW w:w="1140" w:type="dxa"/>
            <w:vAlign w:val="bottom"/>
            <w:tcBorders>
              <w:right w:val="single" w:sz="8" w:color="0066CC"/>
            </w:tcBorders>
            <w:shd w:val="clear" w:color="auto" w:fill="0066CC"/>
          </w:tcPr>
          <w:p>
            <w:pPr>
              <w:spacing w:after="0"/>
              <w:rPr>
                <w:sz w:val="16"/>
                <w:szCs w:val="16"/>
                <w:color w:val="auto"/>
              </w:rPr>
            </w:pPr>
          </w:p>
        </w:tc>
        <w:tc>
          <w:tcPr>
            <w:tcW w:w="1160" w:type="dxa"/>
            <w:vAlign w:val="bottom"/>
            <w:tcBorders>
              <w:right w:val="single" w:sz="8" w:color="0066CC"/>
            </w:tcBorders>
            <w:shd w:val="clear" w:color="auto" w:fill="0066CC"/>
          </w:tcPr>
          <w:p>
            <w:pPr>
              <w:spacing w:after="0"/>
              <w:rPr>
                <w:sz w:val="16"/>
                <w:szCs w:val="16"/>
                <w:color w:val="auto"/>
              </w:rPr>
            </w:pPr>
          </w:p>
        </w:tc>
        <w:tc>
          <w:tcPr>
            <w:tcW w:w="1140" w:type="dxa"/>
            <w:vAlign w:val="bottom"/>
            <w:tcBorders>
              <w:right w:val="single" w:sz="8" w:color="0066CC"/>
            </w:tcBorders>
            <w:shd w:val="clear" w:color="auto" w:fill="0066CC"/>
          </w:tcPr>
          <w:p>
            <w:pPr>
              <w:jc w:val="right"/>
              <w:ind w:right="440"/>
              <w:spacing w:after="0"/>
              <w:rPr>
                <w:sz w:val="20"/>
                <w:szCs w:val="20"/>
                <w:color w:val="auto"/>
              </w:rPr>
            </w:pPr>
            <w:r>
              <w:rPr>
                <w:rFonts w:ascii="Arial" w:cs="Arial" w:eastAsia="Arial" w:hAnsi="Arial"/>
                <w:sz w:val="13"/>
                <w:szCs w:val="13"/>
                <w:b w:val="1"/>
                <w:bCs w:val="1"/>
                <w:color w:val="FFFFFF"/>
              </w:rPr>
              <w:t>137</w:t>
            </w:r>
          </w:p>
        </w:tc>
        <w:tc>
          <w:tcPr>
            <w:tcW w:w="1600" w:type="dxa"/>
            <w:vAlign w:val="bottom"/>
            <w:tcBorders>
              <w:right w:val="single" w:sz="8" w:color="0066CC"/>
            </w:tcBorders>
            <w:shd w:val="clear" w:color="auto" w:fill="0066CC"/>
          </w:tcPr>
          <w:p>
            <w:pPr>
              <w:jc w:val="right"/>
              <w:ind w:right="279"/>
              <w:spacing w:after="0"/>
              <w:rPr>
                <w:sz w:val="20"/>
                <w:szCs w:val="20"/>
                <w:color w:val="auto"/>
              </w:rPr>
            </w:pPr>
            <w:r>
              <w:rPr>
                <w:rFonts w:ascii="Arial" w:cs="Arial" w:eastAsia="Arial" w:hAnsi="Arial"/>
                <w:sz w:val="13"/>
                <w:szCs w:val="13"/>
                <w:b w:val="1"/>
                <w:bCs w:val="1"/>
                <w:color w:val="FFFFFF"/>
              </w:rPr>
              <w:t>$ 194,424,137.39</w:t>
            </w:r>
          </w:p>
        </w:tc>
        <w:tc>
          <w:tcPr>
            <w:tcW w:w="1160" w:type="dxa"/>
            <w:vAlign w:val="bottom"/>
            <w:tcBorders>
              <w:right w:val="single" w:sz="8" w:color="0066CC"/>
            </w:tcBorders>
            <w:shd w:val="clear" w:color="auto" w:fill="0066CC"/>
          </w:tcPr>
          <w:p>
            <w:pPr>
              <w:spacing w:after="0"/>
              <w:rPr>
                <w:sz w:val="16"/>
                <w:szCs w:val="16"/>
                <w:color w:val="auto"/>
              </w:rPr>
            </w:pPr>
          </w:p>
        </w:tc>
        <w:tc>
          <w:tcPr>
            <w:tcW w:w="1020" w:type="dxa"/>
            <w:vAlign w:val="bottom"/>
            <w:tcBorders>
              <w:right w:val="single" w:sz="8" w:color="0066CC"/>
            </w:tcBorders>
            <w:shd w:val="clear" w:color="auto" w:fill="0066CC"/>
          </w:tcPr>
          <w:p>
            <w:pPr>
              <w:spacing w:after="0"/>
              <w:rPr>
                <w:sz w:val="16"/>
                <w:szCs w:val="16"/>
                <w:color w:val="auto"/>
              </w:rPr>
            </w:pPr>
          </w:p>
        </w:tc>
        <w:tc>
          <w:tcPr>
            <w:tcW w:w="1020" w:type="dxa"/>
            <w:vAlign w:val="bottom"/>
            <w:tcBorders>
              <w:right w:val="single" w:sz="8" w:color="0066CC"/>
            </w:tcBorders>
            <w:shd w:val="clear" w:color="auto" w:fill="0066CC"/>
          </w:tcPr>
          <w:p>
            <w:pPr>
              <w:spacing w:after="0"/>
              <w:rPr>
                <w:sz w:val="16"/>
                <w:szCs w:val="16"/>
                <w:color w:val="auto"/>
              </w:rPr>
            </w:pPr>
          </w:p>
        </w:tc>
        <w:tc>
          <w:tcPr>
            <w:tcW w:w="920" w:type="dxa"/>
            <w:vAlign w:val="bottom"/>
            <w:tcBorders>
              <w:right w:val="single" w:sz="8" w:color="0066CC"/>
            </w:tcBorders>
            <w:shd w:val="clear" w:color="auto" w:fill="0066CC"/>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0066CC"/>
              <w:bottom w:val="single" w:sz="8" w:color="0066CC"/>
              <w:right w:val="single" w:sz="8" w:color="0066CC"/>
            </w:tcBorders>
            <w:shd w:val="clear" w:color="auto" w:fill="0066CC"/>
          </w:tcPr>
          <w:p>
            <w:pPr>
              <w:spacing w:after="0"/>
              <w:rPr>
                <w:sz w:val="3"/>
                <w:szCs w:val="3"/>
                <w:color w:val="auto"/>
              </w:rPr>
            </w:pPr>
          </w:p>
        </w:tc>
        <w:tc>
          <w:tcPr>
            <w:tcW w:w="1140" w:type="dxa"/>
            <w:vAlign w:val="bottom"/>
            <w:tcBorders>
              <w:bottom w:val="single" w:sz="8" w:color="0066CC"/>
              <w:right w:val="single" w:sz="8" w:color="0066CC"/>
            </w:tcBorders>
            <w:shd w:val="clear" w:color="auto" w:fill="0066CC"/>
          </w:tcPr>
          <w:p>
            <w:pPr>
              <w:spacing w:after="0"/>
              <w:rPr>
                <w:sz w:val="3"/>
                <w:szCs w:val="3"/>
                <w:color w:val="auto"/>
              </w:rPr>
            </w:pPr>
          </w:p>
        </w:tc>
        <w:tc>
          <w:tcPr>
            <w:tcW w:w="1140" w:type="dxa"/>
            <w:vAlign w:val="bottom"/>
            <w:tcBorders>
              <w:bottom w:val="single" w:sz="8" w:color="0066CC"/>
              <w:right w:val="single" w:sz="8" w:color="0066CC"/>
            </w:tcBorders>
            <w:shd w:val="clear" w:color="auto" w:fill="0066CC"/>
          </w:tcPr>
          <w:p>
            <w:pPr>
              <w:spacing w:after="0"/>
              <w:rPr>
                <w:sz w:val="3"/>
                <w:szCs w:val="3"/>
                <w:color w:val="auto"/>
              </w:rPr>
            </w:pPr>
          </w:p>
        </w:tc>
        <w:tc>
          <w:tcPr>
            <w:tcW w:w="1160" w:type="dxa"/>
            <w:vAlign w:val="bottom"/>
            <w:tcBorders>
              <w:bottom w:val="single" w:sz="8" w:color="0066CC"/>
              <w:right w:val="single" w:sz="8" w:color="0066CC"/>
            </w:tcBorders>
            <w:shd w:val="clear" w:color="auto" w:fill="0066CC"/>
          </w:tcPr>
          <w:p>
            <w:pPr>
              <w:spacing w:after="0"/>
              <w:rPr>
                <w:sz w:val="3"/>
                <w:szCs w:val="3"/>
                <w:color w:val="auto"/>
              </w:rPr>
            </w:pPr>
          </w:p>
        </w:tc>
        <w:tc>
          <w:tcPr>
            <w:tcW w:w="1140" w:type="dxa"/>
            <w:vAlign w:val="bottom"/>
            <w:tcBorders>
              <w:bottom w:val="single" w:sz="8" w:color="0066CC"/>
              <w:right w:val="single" w:sz="8" w:color="0066CC"/>
            </w:tcBorders>
            <w:shd w:val="clear" w:color="auto" w:fill="0066CC"/>
          </w:tcPr>
          <w:p>
            <w:pPr>
              <w:spacing w:after="0"/>
              <w:rPr>
                <w:sz w:val="3"/>
                <w:szCs w:val="3"/>
                <w:color w:val="auto"/>
              </w:rPr>
            </w:pPr>
          </w:p>
        </w:tc>
        <w:tc>
          <w:tcPr>
            <w:tcW w:w="1600" w:type="dxa"/>
            <w:vAlign w:val="bottom"/>
            <w:tcBorders>
              <w:bottom w:val="single" w:sz="8" w:color="0066CC"/>
              <w:right w:val="single" w:sz="8" w:color="0066CC"/>
            </w:tcBorders>
            <w:shd w:val="clear" w:color="auto" w:fill="0066CC"/>
          </w:tcPr>
          <w:p>
            <w:pPr>
              <w:spacing w:after="0"/>
              <w:rPr>
                <w:sz w:val="3"/>
                <w:szCs w:val="3"/>
                <w:color w:val="auto"/>
              </w:rPr>
            </w:pPr>
          </w:p>
        </w:tc>
        <w:tc>
          <w:tcPr>
            <w:tcW w:w="1160" w:type="dxa"/>
            <w:vAlign w:val="bottom"/>
            <w:tcBorders>
              <w:bottom w:val="single" w:sz="8" w:color="0066CC"/>
              <w:right w:val="single" w:sz="8" w:color="0066CC"/>
            </w:tcBorders>
            <w:shd w:val="clear" w:color="auto" w:fill="0066CC"/>
          </w:tcPr>
          <w:p>
            <w:pPr>
              <w:spacing w:after="0"/>
              <w:rPr>
                <w:sz w:val="3"/>
                <w:szCs w:val="3"/>
                <w:color w:val="auto"/>
              </w:rPr>
            </w:pPr>
          </w:p>
        </w:tc>
        <w:tc>
          <w:tcPr>
            <w:tcW w:w="1020" w:type="dxa"/>
            <w:vAlign w:val="bottom"/>
            <w:tcBorders>
              <w:bottom w:val="single" w:sz="8" w:color="0066CC"/>
              <w:right w:val="single" w:sz="8" w:color="0066CC"/>
            </w:tcBorders>
            <w:shd w:val="clear" w:color="auto" w:fill="0066CC"/>
          </w:tcPr>
          <w:p>
            <w:pPr>
              <w:spacing w:after="0"/>
              <w:rPr>
                <w:sz w:val="3"/>
                <w:szCs w:val="3"/>
                <w:color w:val="auto"/>
              </w:rPr>
            </w:pPr>
          </w:p>
        </w:tc>
        <w:tc>
          <w:tcPr>
            <w:tcW w:w="1020" w:type="dxa"/>
            <w:vAlign w:val="bottom"/>
            <w:tcBorders>
              <w:bottom w:val="single" w:sz="8" w:color="0066CC"/>
              <w:right w:val="single" w:sz="8" w:color="0066CC"/>
            </w:tcBorders>
            <w:shd w:val="clear" w:color="auto" w:fill="0066CC"/>
          </w:tcPr>
          <w:p>
            <w:pPr>
              <w:spacing w:after="0"/>
              <w:rPr>
                <w:sz w:val="3"/>
                <w:szCs w:val="3"/>
                <w:color w:val="auto"/>
              </w:rPr>
            </w:pPr>
          </w:p>
        </w:tc>
        <w:tc>
          <w:tcPr>
            <w:tcW w:w="920" w:type="dxa"/>
            <w:vAlign w:val="bottom"/>
            <w:tcBorders>
              <w:bottom w:val="single" w:sz="8" w:color="0066CC"/>
              <w:right w:val="single" w:sz="8" w:color="0066CC"/>
            </w:tcBorders>
            <w:shd w:val="clear" w:color="auto" w:fill="0066CC"/>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180" w:type="dxa"/>
            <w:vAlign w:val="bottom"/>
            <w:tcBorders>
              <w:left w:val="single" w:sz="8" w:color="0066CC"/>
              <w:bottom w:val="single" w:sz="8" w:color="0066CC"/>
            </w:tcBorders>
          </w:tcPr>
          <w:p>
            <w:pPr>
              <w:spacing w:after="0" w:line="20" w:lineRule="exact"/>
              <w:rPr>
                <w:sz w:val="1"/>
                <w:szCs w:val="1"/>
                <w:color w:val="auto"/>
              </w:rPr>
            </w:pPr>
          </w:p>
        </w:tc>
        <w:tc>
          <w:tcPr>
            <w:tcW w:w="1140" w:type="dxa"/>
            <w:vAlign w:val="bottom"/>
            <w:tcBorders>
              <w:bottom w:val="single" w:sz="8" w:color="0066CC"/>
            </w:tcBorders>
          </w:tcPr>
          <w:p>
            <w:pPr>
              <w:spacing w:after="0" w:line="20" w:lineRule="exact"/>
              <w:rPr>
                <w:sz w:val="1"/>
                <w:szCs w:val="1"/>
                <w:color w:val="auto"/>
              </w:rPr>
            </w:pPr>
          </w:p>
        </w:tc>
        <w:tc>
          <w:tcPr>
            <w:tcW w:w="1140" w:type="dxa"/>
            <w:vAlign w:val="bottom"/>
            <w:tcBorders>
              <w:bottom w:val="single" w:sz="8" w:color="0066CC"/>
            </w:tcBorders>
          </w:tcPr>
          <w:p>
            <w:pPr>
              <w:spacing w:after="0" w:line="20" w:lineRule="exact"/>
              <w:rPr>
                <w:sz w:val="1"/>
                <w:szCs w:val="1"/>
                <w:color w:val="auto"/>
              </w:rPr>
            </w:pPr>
          </w:p>
        </w:tc>
        <w:tc>
          <w:tcPr>
            <w:tcW w:w="1160" w:type="dxa"/>
            <w:vAlign w:val="bottom"/>
            <w:tcBorders>
              <w:bottom w:val="single" w:sz="8" w:color="0066CC"/>
            </w:tcBorders>
          </w:tcPr>
          <w:p>
            <w:pPr>
              <w:spacing w:after="0" w:line="20" w:lineRule="exact"/>
              <w:rPr>
                <w:sz w:val="1"/>
                <w:szCs w:val="1"/>
                <w:color w:val="auto"/>
              </w:rPr>
            </w:pPr>
          </w:p>
        </w:tc>
        <w:tc>
          <w:tcPr>
            <w:tcW w:w="1140" w:type="dxa"/>
            <w:vAlign w:val="bottom"/>
            <w:tcBorders>
              <w:bottom w:val="single" w:sz="8" w:color="0066CC"/>
            </w:tcBorders>
          </w:tcPr>
          <w:p>
            <w:pPr>
              <w:spacing w:after="0" w:line="20" w:lineRule="exact"/>
              <w:rPr>
                <w:sz w:val="1"/>
                <w:szCs w:val="1"/>
                <w:color w:val="auto"/>
              </w:rPr>
            </w:pPr>
          </w:p>
        </w:tc>
        <w:tc>
          <w:tcPr>
            <w:tcW w:w="1600" w:type="dxa"/>
            <w:vAlign w:val="bottom"/>
            <w:tcBorders>
              <w:bottom w:val="single" w:sz="8" w:color="0066CC"/>
            </w:tcBorders>
          </w:tcPr>
          <w:p>
            <w:pPr>
              <w:spacing w:after="0" w:line="20" w:lineRule="exact"/>
              <w:rPr>
                <w:sz w:val="1"/>
                <w:szCs w:val="1"/>
                <w:color w:val="auto"/>
              </w:rPr>
            </w:pPr>
          </w:p>
        </w:tc>
        <w:tc>
          <w:tcPr>
            <w:tcW w:w="1160" w:type="dxa"/>
            <w:vAlign w:val="bottom"/>
            <w:tcBorders>
              <w:bottom w:val="single" w:sz="8" w:color="0066CC"/>
            </w:tcBorders>
          </w:tcPr>
          <w:p>
            <w:pPr>
              <w:spacing w:after="0" w:line="20" w:lineRule="exact"/>
              <w:rPr>
                <w:sz w:val="1"/>
                <w:szCs w:val="1"/>
                <w:color w:val="auto"/>
              </w:rPr>
            </w:pPr>
          </w:p>
        </w:tc>
        <w:tc>
          <w:tcPr>
            <w:tcW w:w="1020" w:type="dxa"/>
            <w:vAlign w:val="bottom"/>
            <w:tcBorders>
              <w:bottom w:val="single" w:sz="8" w:color="0066CC"/>
            </w:tcBorders>
          </w:tcPr>
          <w:p>
            <w:pPr>
              <w:spacing w:after="0" w:line="20" w:lineRule="exact"/>
              <w:rPr>
                <w:sz w:val="1"/>
                <w:szCs w:val="1"/>
                <w:color w:val="auto"/>
              </w:rPr>
            </w:pPr>
          </w:p>
        </w:tc>
        <w:tc>
          <w:tcPr>
            <w:tcW w:w="1020" w:type="dxa"/>
            <w:vAlign w:val="bottom"/>
            <w:tcBorders>
              <w:bottom w:val="single" w:sz="8" w:color="0066CC"/>
            </w:tcBorders>
          </w:tcPr>
          <w:p>
            <w:pPr>
              <w:spacing w:after="0" w:line="20" w:lineRule="exact"/>
              <w:rPr>
                <w:sz w:val="1"/>
                <w:szCs w:val="1"/>
                <w:color w:val="auto"/>
              </w:rPr>
            </w:pPr>
          </w:p>
        </w:tc>
        <w:tc>
          <w:tcPr>
            <w:tcW w:w="920" w:type="dxa"/>
            <w:vAlign w:val="bottom"/>
            <w:tcBorders>
              <w:bottom w:val="single" w:sz="8" w:color="0066CC"/>
              <w:right w:val="single" w:sz="8" w:color="0066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138</w:t>
      </w:r>
    </w:p>
    <w:p>
      <w:pPr>
        <w:sectPr>
          <w:pgSz w:w="11900" w:h="16838" w:orient="portrait"/>
          <w:cols w:equalWidth="0" w:num="1">
            <w:col w:w="11480"/>
          </w:cols>
          <w:pgMar w:left="220" w:top="605" w:right="199" w:bottom="1440" w:gutter="0" w:footer="0" w:header="0"/>
        </w:sectPr>
      </w:pPr>
    </w:p>
    <w:bookmarkStart w:id="199" w:name="page200"/>
    <w:bookmarkEnd w:id="199"/>
    <w:p>
      <w:pPr>
        <w:spacing w:after="0"/>
        <w:rPr>
          <w:sz w:val="20"/>
          <w:szCs w:val="20"/>
          <w:color w:val="auto"/>
        </w:rPr>
      </w:pPr>
      <w:r>
        <w:rPr>
          <w:rFonts w:ascii="Arial" w:cs="Arial" w:eastAsia="Arial" w:hAnsi="Arial"/>
          <w:sz w:val="12"/>
          <w:szCs w:val="12"/>
          <w:color w:val="FFFFFF"/>
        </w:rPr>
        <w:t>HOU:3758404.1</w:t>
      </w:r>
    </w:p>
    <w:p>
      <w:pPr>
        <w:spacing w:after="0" w:line="171" w:lineRule="exact"/>
        <w:rPr>
          <w:sz w:val="20"/>
          <w:szCs w:val="20"/>
          <w:color w:val="auto"/>
        </w:rPr>
      </w:pPr>
    </w:p>
    <w:p>
      <w:pPr>
        <w:spacing w:after="0"/>
        <w:rPr>
          <w:sz w:val="20"/>
          <w:szCs w:val="20"/>
          <w:color w:val="auto"/>
        </w:rPr>
      </w:pPr>
      <w:r>
        <w:rPr>
          <w:rFonts w:ascii="Arial" w:cs="Arial" w:eastAsia="Arial" w:hAnsi="Arial"/>
          <w:sz w:val="12"/>
          <w:szCs w:val="12"/>
          <w:color w:val="FFFFFF"/>
        </w:rPr>
        <w:t>HOU:3758404.1</w:t>
      </w:r>
    </w:p>
    <w:p>
      <w:pPr>
        <w:spacing w:after="0" w:line="11" w:lineRule="exact"/>
        <w:rPr>
          <w:sz w:val="20"/>
          <w:szCs w:val="20"/>
          <w:color w:val="auto"/>
        </w:rPr>
      </w:pPr>
    </w:p>
    <w:tbl>
      <w:tblPr>
        <w:tblLayout w:type="fixed"/>
        <w:tblInd w:w="410" w:type="dxa"/>
        <w:tblCellMar>
          <w:top w:w="0" w:type="dxa"/>
          <w:left w:w="0" w:type="dxa"/>
          <w:bottom w:w="0" w:type="dxa"/>
          <w:right w:w="0" w:type="dxa"/>
        </w:tblCellMar>
      </w:tblPr>
      <w:tr>
        <w:trPr>
          <w:trHeight w:val="229"/>
        </w:trPr>
        <w:tc>
          <w:tcPr>
            <w:tcW w:w="10700" w:type="dxa"/>
            <w:vAlign w:val="bottom"/>
            <w:gridSpan w:val="2"/>
          </w:tcPr>
          <w:p>
            <w:pPr>
              <w:ind w:left="4680"/>
              <w:spacing w:after="0"/>
              <w:rPr>
                <w:sz w:val="20"/>
                <w:szCs w:val="20"/>
                <w:color w:val="auto"/>
              </w:rPr>
            </w:pPr>
            <w:r>
              <w:rPr>
                <w:rFonts w:ascii="Arial" w:cs="Arial" w:eastAsia="Arial" w:hAnsi="Arial"/>
                <w:sz w:val="18"/>
                <w:szCs w:val="18"/>
                <w:b w:val="1"/>
                <w:bCs w:val="1"/>
                <w:color w:val="auto"/>
              </w:rPr>
              <w:t>SCHEDULE 5.13</w:t>
            </w:r>
          </w:p>
        </w:tc>
      </w:tr>
      <w:tr>
        <w:trPr>
          <w:trHeight w:val="373"/>
        </w:trPr>
        <w:tc>
          <w:tcPr>
            <w:tcW w:w="10700" w:type="dxa"/>
            <w:vAlign w:val="bottom"/>
            <w:gridSpan w:val="2"/>
          </w:tcPr>
          <w:p>
            <w:pPr>
              <w:ind w:left="4040"/>
              <w:spacing w:after="0"/>
              <w:rPr>
                <w:sz w:val="20"/>
                <w:szCs w:val="20"/>
                <w:color w:val="auto"/>
              </w:rPr>
            </w:pPr>
            <w:r>
              <w:rPr>
                <w:rFonts w:ascii="Arial" w:cs="Arial" w:eastAsia="Arial" w:hAnsi="Arial"/>
                <w:sz w:val="18"/>
                <w:szCs w:val="18"/>
                <w:b w:val="1"/>
                <w:bCs w:val="1"/>
                <w:color w:val="auto"/>
              </w:rPr>
              <w:t>POST-CLOSING OBLIGATIONS</w:t>
            </w:r>
          </w:p>
        </w:tc>
      </w:tr>
      <w:tr>
        <w:trPr>
          <w:trHeight w:val="279"/>
        </w:trPr>
        <w:tc>
          <w:tcPr>
            <w:tcW w:w="536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r>
      <w:tr>
        <w:trPr>
          <w:trHeight w:val="189"/>
        </w:trPr>
        <w:tc>
          <w:tcPr>
            <w:tcW w:w="5360" w:type="dxa"/>
            <w:vAlign w:val="bottom"/>
            <w:tcBorders>
              <w:left w:val="single" w:sz="8" w:color="auto"/>
              <w:right w:val="single" w:sz="8" w:color="auto"/>
            </w:tcBorders>
          </w:tcPr>
          <w:p>
            <w:pPr>
              <w:ind w:left="2520"/>
              <w:spacing w:after="0"/>
              <w:rPr>
                <w:sz w:val="20"/>
                <w:szCs w:val="20"/>
                <w:color w:val="auto"/>
              </w:rPr>
            </w:pPr>
            <w:r>
              <w:rPr>
                <w:rFonts w:ascii="Arial" w:cs="Arial" w:eastAsia="Arial" w:hAnsi="Arial"/>
                <w:sz w:val="15"/>
                <w:szCs w:val="15"/>
                <w:b w:val="1"/>
                <w:bCs w:val="1"/>
                <w:color w:val="auto"/>
              </w:rPr>
              <w:t>Item</w:t>
            </w:r>
          </w:p>
        </w:tc>
        <w:tc>
          <w:tcPr>
            <w:tcW w:w="5340" w:type="dxa"/>
            <w:vAlign w:val="bottom"/>
            <w:tcBorders>
              <w:right w:val="single" w:sz="8" w:color="auto"/>
            </w:tcBorders>
          </w:tcPr>
          <w:p>
            <w:pPr>
              <w:ind w:left="2380"/>
              <w:spacing w:after="0"/>
              <w:rPr>
                <w:sz w:val="20"/>
                <w:szCs w:val="20"/>
                <w:color w:val="auto"/>
              </w:rPr>
            </w:pPr>
            <w:r>
              <w:rPr>
                <w:rFonts w:ascii="Arial" w:cs="Arial" w:eastAsia="Arial" w:hAnsi="Arial"/>
                <w:sz w:val="15"/>
                <w:szCs w:val="15"/>
                <w:b w:val="1"/>
                <w:bCs w:val="1"/>
                <w:color w:val="auto"/>
              </w:rPr>
              <w:t>Deadline</w:t>
            </w:r>
          </w:p>
        </w:tc>
      </w:tr>
      <w:tr>
        <w:trPr>
          <w:trHeight w:val="22"/>
        </w:trPr>
        <w:tc>
          <w:tcPr>
            <w:tcW w:w="5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340" w:type="dxa"/>
            <w:vAlign w:val="bottom"/>
            <w:tcBorders>
              <w:bottom w:val="single" w:sz="8" w:color="auto"/>
              <w:right w:val="single" w:sz="8" w:color="auto"/>
            </w:tcBorders>
          </w:tcPr>
          <w:p>
            <w:pPr>
              <w:spacing w:after="0" w:line="20" w:lineRule="exact"/>
              <w:rPr>
                <w:sz w:val="1"/>
                <w:szCs w:val="1"/>
                <w:color w:val="auto"/>
              </w:rPr>
            </w:pPr>
          </w:p>
        </w:tc>
      </w:tr>
      <w:tr>
        <w:trPr>
          <w:trHeight w:val="179"/>
        </w:trPr>
        <w:tc>
          <w:tcPr>
            <w:tcW w:w="5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w w:val="95"/>
              </w:rPr>
              <w:t>Delivery to the Administrative Agent of a favorable written opinion (addressed to the</w:t>
            </w:r>
          </w:p>
        </w:tc>
        <w:tc>
          <w:tcPr>
            <w:tcW w:w="53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Within 3 Business Days after the Effective Date.</w:t>
            </w:r>
          </w:p>
        </w:tc>
      </w:tr>
      <w:tr>
        <w:trPr>
          <w:trHeight w:val="176"/>
        </w:trPr>
        <w:tc>
          <w:tcPr>
            <w:tcW w:w="5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w w:val="97"/>
              </w:rPr>
              <w:t>Administrative Agent and the Lenders) for each of the Australian Borrower and the</w:t>
            </w:r>
          </w:p>
        </w:tc>
        <w:tc>
          <w:tcPr>
            <w:tcW w:w="5340" w:type="dxa"/>
            <w:vAlign w:val="bottom"/>
            <w:tcBorders>
              <w:right w:val="single" w:sz="8" w:color="auto"/>
            </w:tcBorders>
          </w:tcPr>
          <w:p>
            <w:pPr>
              <w:spacing w:after="0"/>
              <w:rPr>
                <w:sz w:val="15"/>
                <w:szCs w:val="15"/>
                <w:color w:val="auto"/>
              </w:rPr>
            </w:pPr>
          </w:p>
        </w:tc>
      </w:tr>
      <w:tr>
        <w:trPr>
          <w:trHeight w:val="187"/>
        </w:trPr>
        <w:tc>
          <w:tcPr>
            <w:tcW w:w="5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Euro/Sterling Borrower.</w:t>
            </w:r>
          </w:p>
        </w:tc>
        <w:tc>
          <w:tcPr>
            <w:tcW w:w="5340" w:type="dxa"/>
            <w:vAlign w:val="bottom"/>
            <w:tcBorders>
              <w:right w:val="single" w:sz="8" w:color="auto"/>
            </w:tcBorders>
          </w:tcPr>
          <w:p>
            <w:pPr>
              <w:spacing w:after="0"/>
              <w:rPr>
                <w:sz w:val="16"/>
                <w:szCs w:val="16"/>
                <w:color w:val="auto"/>
              </w:rPr>
            </w:pPr>
          </w:p>
        </w:tc>
      </w:tr>
      <w:tr>
        <w:trPr>
          <w:trHeight w:val="22"/>
        </w:trPr>
        <w:tc>
          <w:tcPr>
            <w:tcW w:w="5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340" w:type="dxa"/>
            <w:vAlign w:val="bottom"/>
            <w:tcBorders>
              <w:bottom w:val="single" w:sz="8" w:color="auto"/>
              <w:right w:val="single" w:sz="8" w:color="auto"/>
            </w:tcBorders>
          </w:tcPr>
          <w:p>
            <w:pPr>
              <w:spacing w:after="0" w:line="20" w:lineRule="exact"/>
              <w:rPr>
                <w:sz w:val="1"/>
                <w:szCs w:val="1"/>
                <w:color w:val="auto"/>
              </w:rPr>
            </w:pPr>
          </w:p>
        </w:tc>
      </w:tr>
      <w:tr>
        <w:trPr>
          <w:trHeight w:val="179"/>
        </w:trPr>
        <w:tc>
          <w:tcPr>
            <w:tcW w:w="5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w w:val="90"/>
              </w:rPr>
              <w:t>Delivery to the Administrative Agent of evidence that that certain Lien against the assets</w:t>
            </w:r>
          </w:p>
        </w:tc>
        <w:tc>
          <w:tcPr>
            <w:tcW w:w="53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Within 10 Business Days after the Effective Date.</w:t>
            </w:r>
          </w:p>
        </w:tc>
      </w:tr>
      <w:tr>
        <w:trPr>
          <w:trHeight w:val="176"/>
        </w:trPr>
        <w:tc>
          <w:tcPr>
            <w:tcW w:w="5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w w:val="98"/>
              </w:rPr>
              <w:t>of the Australian Borrower in favor of Australian and New Zealand Banking Group</w:t>
            </w:r>
          </w:p>
        </w:tc>
        <w:tc>
          <w:tcPr>
            <w:tcW w:w="5340" w:type="dxa"/>
            <w:vAlign w:val="bottom"/>
            <w:tcBorders>
              <w:right w:val="single" w:sz="8" w:color="auto"/>
            </w:tcBorders>
          </w:tcPr>
          <w:p>
            <w:pPr>
              <w:spacing w:after="0"/>
              <w:rPr>
                <w:sz w:val="15"/>
                <w:szCs w:val="15"/>
                <w:color w:val="auto"/>
              </w:rPr>
            </w:pPr>
          </w:p>
        </w:tc>
      </w:tr>
      <w:tr>
        <w:trPr>
          <w:trHeight w:val="187"/>
        </w:trPr>
        <w:tc>
          <w:tcPr>
            <w:tcW w:w="5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Limited has been discharged.</w:t>
            </w:r>
          </w:p>
        </w:tc>
        <w:tc>
          <w:tcPr>
            <w:tcW w:w="5340" w:type="dxa"/>
            <w:vAlign w:val="bottom"/>
            <w:tcBorders>
              <w:right w:val="single" w:sz="8" w:color="auto"/>
            </w:tcBorders>
          </w:tcPr>
          <w:p>
            <w:pPr>
              <w:spacing w:after="0"/>
              <w:rPr>
                <w:sz w:val="16"/>
                <w:szCs w:val="16"/>
                <w:color w:val="auto"/>
              </w:rPr>
            </w:pPr>
          </w:p>
        </w:tc>
      </w:tr>
      <w:tr>
        <w:trPr>
          <w:trHeight w:val="22"/>
        </w:trPr>
        <w:tc>
          <w:tcPr>
            <w:tcW w:w="5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340" w:type="dxa"/>
            <w:vAlign w:val="bottom"/>
            <w:tcBorders>
              <w:bottom w:val="single" w:sz="8" w:color="auto"/>
              <w:right w:val="single" w:sz="8" w:color="auto"/>
            </w:tcBorders>
          </w:tcPr>
          <w:p>
            <w:pPr>
              <w:spacing w:after="0" w:line="20" w:lineRule="exact"/>
              <w:rPr>
                <w:sz w:val="1"/>
                <w:szCs w:val="1"/>
                <w:color w:val="auto"/>
              </w:rPr>
            </w:pPr>
          </w:p>
        </w:tc>
      </w:tr>
      <w:tr>
        <w:trPr>
          <w:trHeight w:val="179"/>
        </w:trPr>
        <w:tc>
          <w:tcPr>
            <w:tcW w:w="5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w w:val="97"/>
              </w:rPr>
              <w:t>Delivery to the Administrative Agent of such modifications to the Mortgages as the</w:t>
            </w:r>
          </w:p>
        </w:tc>
        <w:tc>
          <w:tcPr>
            <w:tcW w:w="53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Within 30 days after the Effective Date.</w:t>
            </w:r>
          </w:p>
        </w:tc>
      </w:tr>
      <w:tr>
        <w:trPr>
          <w:trHeight w:val="187"/>
        </w:trPr>
        <w:tc>
          <w:tcPr>
            <w:tcW w:w="5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Administrative Agent requires.</w:t>
            </w:r>
          </w:p>
        </w:tc>
        <w:tc>
          <w:tcPr>
            <w:tcW w:w="5340" w:type="dxa"/>
            <w:vAlign w:val="bottom"/>
            <w:tcBorders>
              <w:right w:val="single" w:sz="8" w:color="auto"/>
            </w:tcBorders>
          </w:tcPr>
          <w:p>
            <w:pPr>
              <w:spacing w:after="0"/>
              <w:rPr>
                <w:sz w:val="16"/>
                <w:szCs w:val="16"/>
                <w:color w:val="auto"/>
              </w:rPr>
            </w:pPr>
          </w:p>
        </w:tc>
      </w:tr>
      <w:tr>
        <w:trPr>
          <w:trHeight w:val="22"/>
        </w:trPr>
        <w:tc>
          <w:tcPr>
            <w:tcW w:w="5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34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jc w:val="center"/>
        <w:ind w:right="-359"/>
        <w:spacing w:after="0"/>
        <w:rPr>
          <w:sz w:val="20"/>
          <w:szCs w:val="20"/>
          <w:color w:val="auto"/>
        </w:rPr>
      </w:pPr>
      <w:r>
        <w:rPr>
          <w:rFonts w:ascii="Arial" w:cs="Arial" w:eastAsia="Arial" w:hAnsi="Arial"/>
          <w:sz w:val="15"/>
          <w:szCs w:val="15"/>
          <w:color w:val="auto"/>
        </w:rPr>
        <w:t>139</w:t>
      </w:r>
    </w:p>
    <w:p>
      <w:pPr>
        <w:sectPr>
          <w:pgSz w:w="11900" w:h="16838" w:orient="portrait"/>
          <w:cols w:equalWidth="0" w:num="1">
            <w:col w:w="11100"/>
          </w:cols>
          <w:pgMar w:left="220" w:top="1028" w:right="579" w:bottom="1440" w:gutter="0" w:footer="0" w:header="0"/>
        </w:sectPr>
      </w:pPr>
    </w:p>
    <w:bookmarkStart w:id="200" w:name="page201"/>
    <w:bookmarkEnd w:id="200"/>
    <w:p>
      <w:pPr>
        <w:jc w:val="center"/>
        <w:spacing w:after="0"/>
        <w:rPr>
          <w:sz w:val="20"/>
          <w:szCs w:val="20"/>
          <w:color w:val="auto"/>
        </w:rPr>
      </w:pPr>
      <w:r>
        <w:rPr>
          <w:rFonts w:ascii="Arial" w:cs="Arial" w:eastAsia="Arial" w:hAnsi="Arial"/>
          <w:sz w:val="18"/>
          <w:szCs w:val="18"/>
          <w:b w:val="1"/>
          <w:bCs w:val="1"/>
          <w:u w:val="single" w:color="auto"/>
          <w:color w:val="auto"/>
        </w:rPr>
        <w:t>SCHEDULE 6.01</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Existing Indebtedness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140</w:t>
      </w:r>
    </w:p>
    <w:p>
      <w:pPr>
        <w:sectPr>
          <w:pgSz w:w="11900" w:h="16838" w:orient="portrait"/>
          <w:cols w:equalWidth="0" w:num="1">
            <w:col w:w="9019"/>
          </w:cols>
          <w:pgMar w:left="1440" w:top="502" w:right="1440" w:bottom="1440" w:gutter="0" w:footer="0" w:header="0"/>
        </w:sectPr>
      </w:pPr>
    </w:p>
    <w:bookmarkStart w:id="201" w:name="page202"/>
    <w:bookmarkEnd w:id="201"/>
    <w:p>
      <w:pPr>
        <w:jc w:val="center"/>
        <w:ind w:right="-20"/>
        <w:spacing w:after="0"/>
        <w:rPr>
          <w:sz w:val="20"/>
          <w:szCs w:val="20"/>
          <w:color w:val="auto"/>
        </w:rPr>
      </w:pPr>
      <w:r>
        <w:rPr>
          <w:rFonts w:ascii="Arial" w:cs="Arial" w:eastAsia="Arial" w:hAnsi="Arial"/>
          <w:sz w:val="17"/>
          <w:szCs w:val="17"/>
          <w:b w:val="1"/>
          <w:bCs w:val="1"/>
          <w:u w:val="single" w:color="auto"/>
          <w:color w:val="auto"/>
        </w:rPr>
        <w:t>SCHEDULE 6.02</w:t>
      </w:r>
    </w:p>
    <w:p>
      <w:pPr>
        <w:sectPr>
          <w:pgSz w:w="11900" w:h="16838" w:orient="portrait"/>
          <w:cols w:equalWidth="0" w:num="1">
            <w:col w:w="9019"/>
          </w:cols>
          <w:pgMar w:left="1440" w:top="503" w:right="1440" w:bottom="1440" w:gutter="0" w:footer="0" w:header="0"/>
        </w:sectPr>
      </w:pP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Existing Liens</w:t>
      </w: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141</w:t>
      </w:r>
    </w:p>
    <w:p>
      <w:pPr>
        <w:sectPr>
          <w:pgSz w:w="11900" w:h="16838" w:orient="portrait"/>
          <w:cols w:equalWidth="0" w:num="1">
            <w:col w:w="9019"/>
          </w:cols>
          <w:pgMar w:left="1440" w:top="503" w:right="1440" w:bottom="1440" w:gutter="0" w:footer="0" w:header="0"/>
          <w:type w:val="continuous"/>
        </w:sectPr>
      </w:pPr>
    </w:p>
    <w:bookmarkStart w:id="202" w:name="page203"/>
    <w:bookmarkEnd w:id="202"/>
    <w:p>
      <w:pPr>
        <w:jc w:val="center"/>
        <w:ind w:right="-20"/>
        <w:spacing w:after="0"/>
        <w:rPr>
          <w:sz w:val="20"/>
          <w:szCs w:val="20"/>
          <w:color w:val="auto"/>
        </w:rPr>
      </w:pPr>
      <w:r>
        <w:rPr>
          <w:rFonts w:ascii="Arial" w:cs="Arial" w:eastAsia="Arial" w:hAnsi="Arial"/>
          <w:sz w:val="18"/>
          <w:szCs w:val="18"/>
          <w:b w:val="1"/>
          <w:bCs w:val="1"/>
          <w:u w:val="single" w:color="auto"/>
          <w:color w:val="auto"/>
        </w:rPr>
        <w:t>SCHEDULE 6.08</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Existing Restrictions</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None</w:t>
      </w: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142</w:t>
      </w:r>
    </w:p>
    <w:p>
      <w:pPr>
        <w:sectPr>
          <w:pgSz w:w="11900" w:h="16838" w:orient="portrait"/>
          <w:cols w:equalWidth="0" w:num="1">
            <w:col w:w="9019"/>
          </w:cols>
          <w:pgMar w:left="1440" w:top="502" w:right="1440" w:bottom="1440" w:gutter="0" w:footer="0" w:header="0"/>
        </w:sectPr>
      </w:pPr>
    </w:p>
    <w:bookmarkStart w:id="203" w:name="page204"/>
    <w:bookmarkEnd w:id="203"/>
    <w:p>
      <w:pPr>
        <w:spacing w:after="0"/>
        <w:rPr>
          <w:sz w:val="20"/>
          <w:szCs w:val="20"/>
          <w:color w:val="auto"/>
        </w:rPr>
      </w:pPr>
      <w:r>
        <w:rPr>
          <w:rFonts w:ascii="Arial" w:cs="Arial" w:eastAsia="Arial" w:hAnsi="Arial"/>
          <w:sz w:val="12"/>
          <w:szCs w:val="12"/>
          <w:color w:val="FFFFFF"/>
        </w:rPr>
        <w:t>HOU:3756061.4</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ASSIGNMENT AND ASSUMPTION</w:t>
      </w:r>
    </w:p>
    <w:p>
      <w:pPr>
        <w:spacing w:after="0" w:line="185" w:lineRule="exact"/>
        <w:rPr>
          <w:sz w:val="20"/>
          <w:szCs w:val="20"/>
          <w:color w:val="auto"/>
        </w:rPr>
      </w:pPr>
    </w:p>
    <w:p>
      <w:pPr>
        <w:jc w:val="both"/>
        <w:ind w:firstLine="529"/>
        <w:spacing w:after="0" w:line="247" w:lineRule="auto"/>
        <w:rPr>
          <w:sz w:val="20"/>
          <w:szCs w:val="20"/>
          <w:color w:val="auto"/>
        </w:rPr>
      </w:pPr>
      <w:r>
        <w:rPr>
          <w:rFonts w:ascii="Arial" w:cs="Arial" w:eastAsia="Arial" w:hAnsi="Arial"/>
          <w:sz w:val="18"/>
          <w:szCs w:val="18"/>
          <w:color w:val="auto"/>
        </w:rPr>
        <w:t>This Assignment and Assumption (the “</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is dated as of the Effective Date set forth below and is entered into by and between [Insert name of Assignor] (the “</w:t>
      </w:r>
      <w:r>
        <w:rPr>
          <w:rFonts w:ascii="Arial" w:cs="Arial" w:eastAsia="Arial" w:hAnsi="Arial"/>
          <w:sz w:val="18"/>
          <w:szCs w:val="18"/>
          <w:u w:val="single" w:color="auto"/>
          <w:color w:val="auto"/>
        </w:rPr>
        <w:t>Assignor</w:t>
      </w:r>
      <w:r>
        <w:rPr>
          <w:rFonts w:ascii="Arial" w:cs="Arial" w:eastAsia="Arial" w:hAnsi="Arial"/>
          <w:sz w:val="18"/>
          <w:szCs w:val="18"/>
          <w:color w:val="auto"/>
        </w:rPr>
        <w:t>”) and [Insert name of Assignee] (the “</w:t>
      </w:r>
      <w:r>
        <w:rPr>
          <w:rFonts w:ascii="Arial" w:cs="Arial" w:eastAsia="Arial" w:hAnsi="Arial"/>
          <w:sz w:val="18"/>
          <w:szCs w:val="18"/>
          <w:u w:val="single" w:color="auto"/>
          <w:color w:val="auto"/>
        </w:rPr>
        <w:t>Assignee</w:t>
      </w:r>
      <w:r>
        <w:rPr>
          <w:rFonts w:ascii="Arial" w:cs="Arial" w:eastAsia="Arial" w:hAnsi="Arial"/>
          <w:sz w:val="18"/>
          <w:szCs w:val="18"/>
          <w:color w:val="auto"/>
        </w:rPr>
        <w:t>”). Capitalized terms used but not defined herein shall have the meanings given to them in the Credit Agreement identified below (as amended,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58" w:lineRule="exact"/>
        <w:rPr>
          <w:sz w:val="20"/>
          <w:szCs w:val="20"/>
          <w:color w:val="auto"/>
        </w:rPr>
      </w:pPr>
    </w:p>
    <w:p>
      <w:pPr>
        <w:jc w:val="both"/>
        <w:ind w:firstLine="529"/>
        <w:spacing w:after="0" w:line="260" w:lineRule="auto"/>
        <w:rPr>
          <w:sz w:val="20"/>
          <w:szCs w:val="20"/>
          <w:color w:val="auto"/>
        </w:rPr>
      </w:pPr>
      <w:r>
        <w:rPr>
          <w:rFonts w:ascii="Arial" w:cs="Arial" w:eastAsia="Arial" w:hAnsi="Arial"/>
          <w:sz w:val="17"/>
          <w:szCs w:val="17"/>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guarantees, and swingline loans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Arial" w:cs="Arial" w:eastAsia="Arial" w:hAnsi="Arial"/>
          <w:sz w:val="17"/>
          <w:szCs w:val="17"/>
          <w:u w:val="single" w:color="auto"/>
          <w:color w:val="auto"/>
        </w:rPr>
        <w:t>Assigned</w:t>
      </w:r>
      <w:r>
        <w:rPr>
          <w:rFonts w:ascii="Arial" w:cs="Arial" w:eastAsia="Arial" w:hAnsi="Arial"/>
          <w:sz w:val="17"/>
          <w:szCs w:val="17"/>
          <w:color w:val="auto"/>
        </w:rPr>
        <w:t xml:space="preserve"> </w:t>
      </w:r>
      <w:r>
        <w:rPr>
          <w:rFonts w:ascii="Arial" w:cs="Arial" w:eastAsia="Arial" w:hAnsi="Arial"/>
          <w:sz w:val="17"/>
          <w:szCs w:val="17"/>
          <w:u w:val="single" w:color="auto"/>
          <w:color w:val="auto"/>
        </w:rPr>
        <w:t>Interest</w:t>
      </w:r>
      <w:r>
        <w:rPr>
          <w:rFonts w:ascii="Arial" w:cs="Arial" w:eastAsia="Arial" w:hAnsi="Arial"/>
          <w:sz w:val="17"/>
          <w:szCs w:val="17"/>
          <w:color w:val="auto"/>
        </w:rPr>
        <w:t>”). Such sale and assignment is without recourse to the Assignor and, except as expressly provided in this Assignment and Assumption, without representation or warranty by the Assignor.</w:t>
      </w:r>
    </w:p>
    <w:p>
      <w:pPr>
        <w:spacing w:after="0" w:line="148" w:lineRule="exact"/>
        <w:rPr>
          <w:sz w:val="20"/>
          <w:szCs w:val="20"/>
          <w:color w:val="auto"/>
        </w:rPr>
      </w:pPr>
    </w:p>
    <w:p>
      <w:pPr>
        <w:spacing w:after="0"/>
        <w:tabs>
          <w:tab w:leader="none" w:pos="280" w:val="left"/>
          <w:tab w:leader="none" w:pos="1500" w:val="left"/>
        </w:tabs>
        <w:rPr>
          <w:sz w:val="20"/>
          <w:szCs w:val="20"/>
          <w:color w:val="auto"/>
        </w:rPr>
      </w:pPr>
      <w:r>
        <w:rPr>
          <w:rFonts w:ascii="Arial" w:cs="Arial" w:eastAsia="Arial" w:hAnsi="Arial"/>
          <w:sz w:val="18"/>
          <w:szCs w:val="18"/>
          <w:color w:val="auto"/>
        </w:rPr>
        <w:t>1.</w:t>
        <w:tab/>
        <w:t>Assignor:</w:t>
      </w:r>
      <w:r>
        <w:rPr>
          <w:sz w:val="20"/>
          <w:szCs w:val="20"/>
          <w:color w:val="auto"/>
        </w:rPr>
        <w:tab/>
      </w:r>
      <w:r>
        <w:rPr>
          <w:rFonts w:ascii="Arial" w:cs="Arial" w:eastAsia="Arial" w:hAnsi="Arial"/>
          <w:sz w:val="15"/>
          <w:szCs w:val="15"/>
          <w:color w:val="auto"/>
        </w:rPr>
        <w:t>_______________________________________________________</w:t>
      </w:r>
    </w:p>
    <w:p>
      <w:pPr>
        <w:spacing w:after="0" w:line="179" w:lineRule="exact"/>
        <w:rPr>
          <w:sz w:val="20"/>
          <w:szCs w:val="20"/>
          <w:color w:val="auto"/>
        </w:rPr>
      </w:pPr>
    </w:p>
    <w:p>
      <w:pPr>
        <w:spacing w:after="0"/>
        <w:tabs>
          <w:tab w:leader="none" w:pos="280" w:val="left"/>
          <w:tab w:leader="none" w:pos="1520" w:val="left"/>
        </w:tabs>
        <w:rPr>
          <w:sz w:val="20"/>
          <w:szCs w:val="20"/>
          <w:color w:val="auto"/>
        </w:rPr>
      </w:pPr>
      <w:r>
        <w:rPr>
          <w:rFonts w:ascii="Arial" w:cs="Arial" w:eastAsia="Arial" w:hAnsi="Arial"/>
          <w:sz w:val="18"/>
          <w:szCs w:val="18"/>
          <w:color w:val="auto"/>
        </w:rPr>
        <w:t>2.</w:t>
        <w:tab/>
        <w:t>Assignee:</w:t>
      </w:r>
      <w:r>
        <w:rPr>
          <w:sz w:val="20"/>
          <w:szCs w:val="20"/>
          <w:color w:val="auto"/>
        </w:rPr>
        <w:tab/>
      </w:r>
      <w:r>
        <w:rPr>
          <w:rFonts w:ascii="Arial" w:cs="Arial" w:eastAsia="Arial" w:hAnsi="Arial"/>
          <w:sz w:val="15"/>
          <w:szCs w:val="15"/>
          <w:color w:val="auto"/>
        </w:rPr>
        <w:t>_______________________________________________________</w:t>
      </w:r>
    </w:p>
    <w:p>
      <w:pPr>
        <w:spacing w:after="0" w:line="3"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[and is an Affiliate/Approved Fund of [</w:t>
      </w:r>
      <w:r>
        <w:rPr>
          <w:rFonts w:ascii="Arial" w:cs="Arial" w:eastAsia="Arial" w:hAnsi="Arial"/>
          <w:sz w:val="18"/>
          <w:szCs w:val="18"/>
          <w:i w:val="1"/>
          <w:iCs w:val="1"/>
          <w:color w:val="auto"/>
        </w:rPr>
        <w:t>identify Lender</w:t>
      </w:r>
      <w:r>
        <w:rPr>
          <w:rFonts w:ascii="Arial" w:cs="Arial" w:eastAsia="Arial" w:hAnsi="Arial"/>
          <w:sz w:val="18"/>
          <w:szCs w:val="18"/>
          <w:color w:val="auto"/>
        </w:rPr>
        <w:t>]</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148" w:lineRule="exact"/>
        <w:rPr>
          <w:sz w:val="20"/>
          <w:szCs w:val="20"/>
          <w:color w:val="auto"/>
        </w:rPr>
      </w:pPr>
    </w:p>
    <w:p>
      <w:pPr>
        <w:ind w:left="320" w:hanging="312"/>
        <w:spacing w:after="0"/>
        <w:tabs>
          <w:tab w:leader="none" w:pos="3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Borrowers:</w:t>
      </w:r>
      <w:r>
        <w:rPr>
          <w:rFonts w:ascii="Arial" w:cs="Arial" w:eastAsia="Arial" w:hAnsi="Arial"/>
          <w:sz w:val="15"/>
          <w:szCs w:val="15"/>
          <w:b w:val="1"/>
          <w:bCs w:val="1"/>
          <w:color w:val="auto"/>
        </w:rPr>
        <w:t>Matrix Service Company and the other Borrowers named therein</w:t>
      </w:r>
    </w:p>
    <w:p>
      <w:pPr>
        <w:spacing w:after="0" w:line="211" w:lineRule="exact"/>
        <w:rPr>
          <w:rFonts w:ascii="Arial" w:cs="Arial" w:eastAsia="Arial" w:hAnsi="Arial"/>
          <w:sz w:val="18"/>
          <w:szCs w:val="18"/>
          <w:color w:val="auto"/>
        </w:rPr>
      </w:pPr>
    </w:p>
    <w:p>
      <w:pPr>
        <w:ind w:left="2660" w:right="4380" w:hanging="2652"/>
        <w:spacing w:after="0" w:line="254" w:lineRule="auto"/>
        <w:tabs>
          <w:tab w:leader="none" w:pos="31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Administrative Agent: </w:t>
      </w:r>
      <w:r>
        <w:rPr>
          <w:rFonts w:ascii="Arial" w:cs="Arial" w:eastAsia="Arial" w:hAnsi="Arial"/>
          <w:sz w:val="18"/>
          <w:szCs w:val="18"/>
          <w:b w:val="1"/>
          <w:bCs w:val="1"/>
          <w:color w:val="auto"/>
        </w:rPr>
        <w:t>JPMorgan Chase Bank, N.A.</w:t>
      </w:r>
      <w:r>
        <w:rPr>
          <w:rFonts w:ascii="Arial" w:cs="Arial" w:eastAsia="Arial" w:hAnsi="Arial"/>
          <w:sz w:val="18"/>
          <w:szCs w:val="18"/>
          <w:color w:val="auto"/>
        </w:rPr>
        <w:t>, as the Administrative Agent under the Credit Agreement</w:t>
      </w:r>
    </w:p>
    <w:p>
      <w:pPr>
        <w:spacing w:after="0"/>
        <w:rPr>
          <w:sz w:val="20"/>
          <w:szCs w:val="20"/>
          <w:color w:val="auto"/>
        </w:rPr>
      </w:pPr>
      <w:r>
        <w:rPr>
          <w:rFonts w:ascii="Arial" w:cs="Arial" w:eastAsia="Arial" w:hAnsi="Arial"/>
          <w:sz w:val="18"/>
          <w:szCs w:val="18"/>
          <w:color w:val="auto"/>
        </w:rPr>
        <w:t>_______________________</w:t>
      </w:r>
    </w:p>
    <w:p>
      <w:pPr>
        <w:spacing w:after="0" w:line="139" w:lineRule="exact"/>
        <w:rPr>
          <w:sz w:val="20"/>
          <w:szCs w:val="20"/>
          <w:color w:val="auto"/>
        </w:rPr>
      </w:pPr>
    </w:p>
    <w:p>
      <w:pPr>
        <w:ind w:left="100" w:hanging="92"/>
        <w:spacing w:after="0"/>
        <w:tabs>
          <w:tab w:leader="none" w:pos="100" w:val="left"/>
        </w:tabs>
        <w:numPr>
          <w:ilvl w:val="0"/>
          <w:numId w:val="150"/>
        </w:numPr>
        <w:rPr>
          <w:rFonts w:ascii="Arial" w:cs="Arial" w:eastAsia="Arial" w:hAnsi="Arial"/>
          <w:sz w:val="21"/>
          <w:szCs w:val="21"/>
          <w:color w:val="auto"/>
          <w:vertAlign w:val="superscript"/>
        </w:rPr>
      </w:pPr>
      <w:r>
        <w:rPr>
          <w:rFonts w:ascii="Arial" w:cs="Arial" w:eastAsia="Arial" w:hAnsi="Arial"/>
          <w:sz w:val="15"/>
          <w:szCs w:val="15"/>
          <w:color w:val="auto"/>
        </w:rPr>
        <w:t>Select as applicable.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143</w:t>
      </w:r>
    </w:p>
    <w:p>
      <w:pPr>
        <w:sectPr>
          <w:pgSz w:w="11900" w:h="16838" w:orient="portrait"/>
          <w:cols w:equalWidth="0" w:num="1">
            <w:col w:w="11460"/>
          </w:cols>
          <w:pgMar w:left="220" w:top="1204" w:right="219" w:bottom="1440" w:gutter="0" w:footer="0" w:header="0"/>
        </w:sectPr>
      </w:pPr>
    </w:p>
    <w:bookmarkStart w:id="204" w:name="page205"/>
    <w:bookmarkEnd w:id="204"/>
    <w:tbl>
      <w:tblPr>
        <w:tblLayout w:type="fixed"/>
        <w:tblInd w:w="10" w:type="dxa"/>
        <w:tblCellMar>
          <w:top w:w="0" w:type="dxa"/>
          <w:left w:w="0" w:type="dxa"/>
          <w:bottom w:w="0" w:type="dxa"/>
          <w:right w:w="0" w:type="dxa"/>
        </w:tblCellMar>
      </w:tblPr>
      <w:tr>
        <w:trPr>
          <w:trHeight w:val="199"/>
        </w:trPr>
        <w:tc>
          <w:tcPr>
            <w:tcW w:w="2320" w:type="dxa"/>
            <w:vAlign w:val="bottom"/>
            <w:tcBorders>
              <w:top w:val="single" w:sz="8" w:color="auto"/>
              <w:left w:val="single" w:sz="8" w:color="auto"/>
              <w:right w:val="single" w:sz="8" w:color="auto"/>
            </w:tcBorders>
          </w:tcPr>
          <w:p>
            <w:pPr>
              <w:spacing w:after="0"/>
              <w:rPr>
                <w:sz w:val="17"/>
                <w:szCs w:val="17"/>
                <w:color w:val="auto"/>
              </w:rPr>
            </w:pPr>
          </w:p>
        </w:tc>
        <w:tc>
          <w:tcPr>
            <w:tcW w:w="28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Aggregate Amount of Revolving</w:t>
            </w:r>
          </w:p>
        </w:tc>
        <w:tc>
          <w:tcPr>
            <w:tcW w:w="2880" w:type="dxa"/>
            <w:vAlign w:val="bottom"/>
            <w:tcBorders>
              <w:top w:val="single" w:sz="8" w:color="auto"/>
              <w:right w:val="single" w:sz="8" w:color="auto"/>
            </w:tcBorders>
          </w:tcPr>
          <w:p>
            <w:pPr>
              <w:spacing w:after="0"/>
              <w:rPr>
                <w:sz w:val="17"/>
                <w:szCs w:val="17"/>
                <w:color w:val="auto"/>
              </w:rPr>
            </w:pPr>
          </w:p>
        </w:tc>
        <w:tc>
          <w:tcPr>
            <w:tcW w:w="342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8"/>
                <w:szCs w:val="18"/>
                <w:color w:val="auto"/>
              </w:rPr>
              <w:t>Percentage Assigned of Revolving</w:t>
            </w:r>
          </w:p>
        </w:tc>
        <w:tc>
          <w:tcPr>
            <w:tcW w:w="0" w:type="dxa"/>
            <w:vAlign w:val="bottom"/>
          </w:tcPr>
          <w:p>
            <w:pPr>
              <w:spacing w:after="0"/>
              <w:rPr>
                <w:sz w:val="1"/>
                <w:szCs w:val="1"/>
                <w:color w:val="auto"/>
              </w:rPr>
            </w:pPr>
          </w:p>
        </w:tc>
      </w:tr>
      <w:tr>
        <w:trPr>
          <w:trHeight w:val="148"/>
        </w:trPr>
        <w:tc>
          <w:tcPr>
            <w:tcW w:w="232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5"/>
                <w:szCs w:val="15"/>
                <w:color w:val="auto"/>
              </w:rPr>
              <w:t>Commitment/Revolving Loans for all the</w:t>
            </w:r>
          </w:p>
        </w:tc>
        <w:tc>
          <w:tcPr>
            <w:tcW w:w="28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5"/>
                <w:szCs w:val="15"/>
                <w:color w:val="auto"/>
                <w:w w:val="94"/>
              </w:rPr>
              <w:t>Amount of Revolving Commitment/Revolving</w:t>
            </w:r>
          </w:p>
        </w:tc>
        <w:tc>
          <w:tcPr>
            <w:tcW w:w="34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Facility Assigned</w:t>
            </w:r>
          </w:p>
        </w:tc>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Lenders</w:t>
            </w:r>
          </w:p>
        </w:tc>
        <w:tc>
          <w:tcPr>
            <w:tcW w:w="2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Loans Assigned</w:t>
            </w:r>
          </w:p>
        </w:tc>
        <w:tc>
          <w:tcPr>
            <w:tcW w:w="342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18"/>
                <w:szCs w:val="18"/>
                <w:color w:val="auto"/>
              </w:rPr>
              <w:t>Commitment/Revolving Loans</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89"/>
        </w:trPr>
        <w:tc>
          <w:tcPr>
            <w:tcW w:w="2320" w:type="dxa"/>
            <w:vAlign w:val="bottom"/>
            <w:tcBorders>
              <w:left w:val="single" w:sz="8" w:color="auto"/>
              <w:right w:val="single" w:sz="8" w:color="auto"/>
            </w:tcBorders>
          </w:tcPr>
          <w:p>
            <w:pPr>
              <w:spacing w:after="0"/>
              <w:rPr>
                <w:sz w:val="16"/>
                <w:szCs w:val="16"/>
                <w:color w:val="auto"/>
              </w:rPr>
            </w:pP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w:t>
            </w:r>
          </w:p>
        </w:tc>
        <w:tc>
          <w:tcPr>
            <w:tcW w:w="28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w:t>
            </w:r>
          </w:p>
        </w:tc>
        <w:tc>
          <w:tcPr>
            <w:tcW w:w="342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
        </w:trPr>
        <w:tc>
          <w:tcPr>
            <w:tcW w:w="2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c>
          <w:tcPr>
            <w:tcW w:w="2880" w:type="dxa"/>
            <w:vAlign w:val="bottom"/>
            <w:tcBorders>
              <w:bottom w:val="single" w:sz="8" w:color="auto"/>
              <w:right w:val="single" w:sz="8" w:color="auto"/>
            </w:tcBorders>
          </w:tcPr>
          <w:p>
            <w:pPr>
              <w:spacing w:after="0" w:line="20" w:lineRule="exact"/>
              <w:rPr>
                <w:sz w:val="1"/>
                <w:szCs w:val="1"/>
                <w:color w:val="auto"/>
              </w:rPr>
            </w:pPr>
          </w:p>
        </w:tc>
        <w:tc>
          <w:tcPr>
            <w:tcW w:w="34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2320" w:type="dxa"/>
            <w:vAlign w:val="bottom"/>
            <w:tcBorders>
              <w:left w:val="single" w:sz="8" w:color="auto"/>
              <w:right w:val="single" w:sz="8" w:color="auto"/>
            </w:tcBorders>
          </w:tcPr>
          <w:p>
            <w:pPr>
              <w:spacing w:after="0"/>
              <w:rPr>
                <w:sz w:val="16"/>
                <w:szCs w:val="16"/>
                <w:color w:val="auto"/>
              </w:rPr>
            </w:pP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w:t>
            </w:r>
          </w:p>
        </w:tc>
        <w:tc>
          <w:tcPr>
            <w:tcW w:w="28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w:t>
            </w:r>
          </w:p>
        </w:tc>
        <w:tc>
          <w:tcPr>
            <w:tcW w:w="342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
        </w:trPr>
        <w:tc>
          <w:tcPr>
            <w:tcW w:w="2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c>
          <w:tcPr>
            <w:tcW w:w="2880" w:type="dxa"/>
            <w:vAlign w:val="bottom"/>
            <w:tcBorders>
              <w:bottom w:val="single" w:sz="8" w:color="auto"/>
              <w:right w:val="single" w:sz="8" w:color="auto"/>
            </w:tcBorders>
          </w:tcPr>
          <w:p>
            <w:pPr>
              <w:spacing w:after="0" w:line="20" w:lineRule="exact"/>
              <w:rPr>
                <w:sz w:val="1"/>
                <w:szCs w:val="1"/>
                <w:color w:val="auto"/>
              </w:rPr>
            </w:pPr>
          </w:p>
        </w:tc>
        <w:tc>
          <w:tcPr>
            <w:tcW w:w="34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2320" w:type="dxa"/>
            <w:vAlign w:val="bottom"/>
            <w:tcBorders>
              <w:left w:val="single" w:sz="8" w:color="auto"/>
              <w:right w:val="single" w:sz="8" w:color="auto"/>
            </w:tcBorders>
          </w:tcPr>
          <w:p>
            <w:pPr>
              <w:spacing w:after="0"/>
              <w:rPr>
                <w:sz w:val="16"/>
                <w:szCs w:val="16"/>
                <w:color w:val="auto"/>
              </w:rPr>
            </w:pP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w:t>
            </w:r>
          </w:p>
        </w:tc>
        <w:tc>
          <w:tcPr>
            <w:tcW w:w="28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w:t>
            </w:r>
          </w:p>
        </w:tc>
        <w:tc>
          <w:tcPr>
            <w:tcW w:w="342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
        </w:trPr>
        <w:tc>
          <w:tcPr>
            <w:tcW w:w="2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c>
          <w:tcPr>
            <w:tcW w:w="2880" w:type="dxa"/>
            <w:vAlign w:val="bottom"/>
            <w:tcBorders>
              <w:bottom w:val="single" w:sz="8" w:color="auto"/>
              <w:right w:val="single" w:sz="8" w:color="auto"/>
            </w:tcBorders>
          </w:tcPr>
          <w:p>
            <w:pPr>
              <w:spacing w:after="0" w:line="20" w:lineRule="exact"/>
              <w:rPr>
                <w:sz w:val="1"/>
                <w:szCs w:val="1"/>
                <w:color w:val="auto"/>
              </w:rPr>
            </w:pPr>
          </w:p>
        </w:tc>
        <w:tc>
          <w:tcPr>
            <w:tcW w:w="34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Effective Date: _______________ ___, 20__ [TO BE INSERTED BY ADMINISTRATIVE AGENT AND WHICH SHALL BE THE EFFECTIVE DATE OF</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RECORDATION OF TRANSFER IN THE REGISTER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179" w:lineRule="exact"/>
        <w:rPr>
          <w:sz w:val="20"/>
          <w:szCs w:val="20"/>
          <w:color w:val="auto"/>
        </w:rPr>
      </w:pPr>
    </w:p>
    <w:p>
      <w:pPr>
        <w:ind w:right="2380" w:firstLine="8"/>
        <w:spacing w:after="0" w:line="581" w:lineRule="auto"/>
        <w:tabs>
          <w:tab w:leader="none" w:pos="103" w:val="left"/>
        </w:tabs>
        <w:numPr>
          <w:ilvl w:val="0"/>
          <w:numId w:val="151"/>
        </w:numPr>
        <w:rPr>
          <w:rFonts w:ascii="Arial" w:cs="Arial" w:eastAsia="Arial" w:hAnsi="Arial"/>
          <w:sz w:val="23"/>
          <w:szCs w:val="23"/>
          <w:color w:val="auto"/>
          <w:vertAlign w:val="superscript"/>
        </w:rPr>
      </w:pPr>
      <w:r>
        <w:rPr>
          <w:rFonts w:ascii="Arial" w:cs="Arial" w:eastAsia="Arial" w:hAnsi="Arial"/>
          <w:sz w:val="18"/>
          <w:szCs w:val="18"/>
          <w:color w:val="auto"/>
        </w:rPr>
        <w:t>Set forth, to at least 9 decimals, as a percentage of the Revolving Commitments/Revolving Loans of all the Lenders thereunder. The terms set forth in this Assignment and Assumption are hereby agreed to:</w:t>
      </w:r>
    </w:p>
    <w:p>
      <w:pPr>
        <w:jc w:val="center"/>
        <w:ind w:right="20"/>
        <w:spacing w:after="0"/>
        <w:rPr>
          <w:sz w:val="20"/>
          <w:szCs w:val="20"/>
          <w:color w:val="auto"/>
        </w:rPr>
      </w:pPr>
      <w:r>
        <w:rPr>
          <w:rFonts w:ascii="Arial" w:cs="Arial" w:eastAsia="Arial" w:hAnsi="Arial"/>
          <w:sz w:val="15"/>
          <w:szCs w:val="15"/>
          <w:color w:val="auto"/>
        </w:rPr>
        <w:t>144</w:t>
      </w:r>
    </w:p>
    <w:p>
      <w:pPr>
        <w:sectPr>
          <w:pgSz w:w="11900" w:h="16838" w:orient="portrait"/>
          <w:cols w:equalWidth="0" w:num="1">
            <w:col w:w="11480"/>
          </w:cols>
          <w:pgMar w:left="220" w:top="605" w:right="199" w:bottom="1440" w:gutter="0" w:footer="0" w:header="0"/>
        </w:sectPr>
      </w:pPr>
    </w:p>
    <w:bookmarkStart w:id="205" w:name="page206"/>
    <w:bookmarkEnd w:id="205"/>
    <w:p>
      <w:pPr>
        <w:ind w:left="1960"/>
        <w:spacing w:after="0"/>
        <w:rPr>
          <w:sz w:val="20"/>
          <w:szCs w:val="20"/>
          <w:color w:val="auto"/>
        </w:rPr>
      </w:pPr>
      <w:r>
        <w:rPr>
          <w:rFonts w:ascii="Arial" w:cs="Arial" w:eastAsia="Arial" w:hAnsi="Arial"/>
          <w:sz w:val="18"/>
          <w:szCs w:val="18"/>
          <w:u w:val="single" w:color="auto"/>
          <w:color w:val="auto"/>
        </w:rPr>
        <w:t>ASSIGNOR</w:t>
      </w:r>
    </w:p>
    <w:p>
      <w:pPr>
        <w:spacing w:after="0" w:line="17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[NAME OF ASSIGNOR]</w:t>
      </w:r>
    </w:p>
    <w:p>
      <w:pPr>
        <w:spacing w:after="0" w:line="35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By:</w:t>
      </w:r>
    </w:p>
    <w:p>
      <w:pPr>
        <w:spacing w:after="0" w:line="19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Title:</w:t>
      </w:r>
    </w:p>
    <w:p>
      <w:pPr>
        <w:spacing w:after="0" w:line="190" w:lineRule="exact"/>
        <w:rPr>
          <w:sz w:val="20"/>
          <w:szCs w:val="20"/>
          <w:color w:val="auto"/>
        </w:rPr>
      </w:pPr>
    </w:p>
    <w:p>
      <w:pPr>
        <w:ind w:left="1960"/>
        <w:spacing w:after="0"/>
        <w:rPr>
          <w:sz w:val="20"/>
          <w:szCs w:val="20"/>
          <w:color w:val="auto"/>
        </w:rPr>
      </w:pPr>
      <w:r>
        <w:rPr>
          <w:rFonts w:ascii="Arial" w:cs="Arial" w:eastAsia="Arial" w:hAnsi="Arial"/>
          <w:sz w:val="18"/>
          <w:szCs w:val="18"/>
          <w:u w:val="single" w:color="auto"/>
          <w:color w:val="auto"/>
        </w:rPr>
        <w:t>ASSIGNEE</w:t>
      </w:r>
    </w:p>
    <w:p>
      <w:pPr>
        <w:spacing w:after="0" w:line="17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[NAME OF ASSIGNEE]</w:t>
      </w:r>
    </w:p>
    <w:p>
      <w:pPr>
        <w:spacing w:after="0" w:line="35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By:</w:t>
      </w:r>
    </w:p>
    <w:p>
      <w:pPr>
        <w:spacing w:after="0" w:line="19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145</w:t>
      </w:r>
    </w:p>
    <w:p>
      <w:pPr>
        <w:sectPr>
          <w:pgSz w:w="11900" w:h="16838" w:orient="portrait"/>
          <w:cols w:equalWidth="0" w:num="1">
            <w:col w:w="9019"/>
          </w:cols>
          <w:pgMar w:left="1440" w:top="509" w:right="1440"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color w:val="auto"/>
        </w:rPr>
        <w:t>[Consented to and]</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Accepted: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[NAME OF RELEVANT PARTY]</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162" w:lineRule="exact"/>
        <w:rPr>
          <w:sz w:val="20"/>
          <w:szCs w:val="20"/>
          <w:color w:val="auto"/>
        </w:rPr>
      </w:pPr>
    </w:p>
    <w:p>
      <w:pPr>
        <w:ind w:left="120" w:hanging="112"/>
        <w:spacing w:after="0"/>
        <w:tabs>
          <w:tab w:leader="none" w:pos="120" w:val="left"/>
        </w:tabs>
        <w:numPr>
          <w:ilvl w:val="0"/>
          <w:numId w:val="152"/>
        </w:numPr>
        <w:rPr>
          <w:rFonts w:ascii="Arial" w:cs="Arial" w:eastAsia="Arial" w:hAnsi="Arial"/>
          <w:sz w:val="23"/>
          <w:szCs w:val="23"/>
          <w:color w:val="auto"/>
          <w:vertAlign w:val="superscript"/>
        </w:rPr>
      </w:pPr>
      <w:r>
        <w:rPr>
          <w:rFonts w:ascii="Arial" w:cs="Arial" w:eastAsia="Arial" w:hAnsi="Arial"/>
          <w:sz w:val="15"/>
          <w:szCs w:val="15"/>
          <w:color w:val="auto"/>
        </w:rPr>
        <w:t>To be added only if the consent of the Administrative Agent is required by the terms of the Credit Agreement.</w:t>
      </w:r>
    </w:p>
    <w:p>
      <w:pPr>
        <w:spacing w:after="0" w:line="8" w:lineRule="exact"/>
        <w:rPr>
          <w:sz w:val="20"/>
          <w:szCs w:val="20"/>
          <w:color w:val="auto"/>
        </w:rPr>
      </w:pPr>
    </w:p>
    <w:p>
      <w:pPr>
        <w:ind w:right="2799" w:firstLine="8"/>
        <w:spacing w:after="0" w:line="206" w:lineRule="auto"/>
        <w:tabs>
          <w:tab w:leader="none" w:pos="88" w:val="left"/>
        </w:tabs>
        <w:numPr>
          <w:ilvl w:val="0"/>
          <w:numId w:val="153"/>
        </w:numPr>
        <w:rPr>
          <w:rFonts w:ascii="Arial" w:cs="Arial" w:eastAsia="Arial" w:hAnsi="Arial"/>
          <w:sz w:val="21"/>
          <w:szCs w:val="21"/>
          <w:color w:val="auto"/>
          <w:vertAlign w:val="superscript"/>
        </w:rPr>
      </w:pPr>
      <w:r>
        <w:rPr>
          <w:rFonts w:ascii="Arial" w:cs="Arial" w:eastAsia="Arial" w:hAnsi="Arial"/>
          <w:sz w:val="15"/>
          <w:szCs w:val="15"/>
          <w:color w:val="auto"/>
        </w:rPr>
        <w:t>To be added only if the consent of the Company and/or other parties (e.g. Swingline Lender, Issuing Bank) is required by the terms of the Credit Agreement.</w:t>
      </w:r>
    </w:p>
    <w:p>
      <w:pPr>
        <w:spacing w:after="0" w:line="365"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146</w:t>
      </w:r>
    </w:p>
    <w:p>
      <w:pPr>
        <w:sectPr>
          <w:pgSz w:w="11900" w:h="16838" w:orient="portrait"/>
          <w:cols w:equalWidth="0" w:num="1">
            <w:col w:w="10239"/>
          </w:cols>
          <w:pgMar w:left="220" w:top="499" w:right="1440"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u w:val="single" w:color="auto"/>
          <w:color w:val="auto"/>
        </w:rPr>
        <w:t>ANNEX 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TERMS AND CONDITIONS FOR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AND ASSUMPTION</w:t>
      </w:r>
    </w:p>
    <w:p>
      <w:pPr>
        <w:spacing w:after="0" w:line="185" w:lineRule="exact"/>
        <w:rPr>
          <w:sz w:val="20"/>
          <w:szCs w:val="20"/>
          <w:color w:val="auto"/>
        </w:rPr>
      </w:pPr>
    </w:p>
    <w:p>
      <w:pPr>
        <w:ind w:left="320" w:hanging="312"/>
        <w:spacing w:after="0"/>
        <w:tabs>
          <w:tab w:leader="none" w:pos="32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12" w:lineRule="exact"/>
        <w:rPr>
          <w:sz w:val="20"/>
          <w:szCs w:val="20"/>
          <w:color w:val="auto"/>
        </w:rPr>
      </w:pPr>
    </w:p>
    <w:p>
      <w:pPr>
        <w:jc w:val="both"/>
        <w:ind w:firstLine="529"/>
        <w:spacing w:after="0" w:line="262"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Assignor</w:t>
      </w:r>
      <w:r>
        <w:rPr>
          <w:rFonts w:ascii="Arial" w:cs="Arial" w:eastAsia="Arial" w:hAnsi="Arial"/>
          <w:sz w:val="17"/>
          <w:szCs w:val="17"/>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any Borrower, any of its Subsidiaries or Affiliates or any other Person obligated in respect of any Loan Document or (iv) the performance or observance by any Borrower, any of its Subsidiaries or Affiliates or any other Person of any of their respective obligations under any Loan Document.</w:t>
      </w:r>
    </w:p>
    <w:p>
      <w:pPr>
        <w:spacing w:after="0" w:line="182" w:lineRule="exact"/>
        <w:rPr>
          <w:sz w:val="20"/>
          <w:szCs w:val="20"/>
          <w:color w:val="auto"/>
        </w:rPr>
      </w:pPr>
    </w:p>
    <w:p>
      <w:pPr>
        <w:jc w:val="both"/>
        <w:ind w:firstLine="529"/>
        <w:spacing w:after="0" w:line="259"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Assignee</w:t>
      </w:r>
      <w:r>
        <w:rPr>
          <w:rFonts w:ascii="Arial" w:cs="Arial" w:eastAsia="Arial" w:hAnsi="Arial"/>
          <w:sz w:val="17"/>
          <w:szCs w:val="17"/>
          <w:color w:val="auto"/>
        </w:rPr>
        <w:t xml:space="preserve">. The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has received a copy of the Credit Agreement, together with copies of the most recent financial statements delivered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other Lender, and (v) if it is a Foreign Lender, attached to the Assignment and Assumption is any documentation required to be delivered by it pursuant to the terms of the Credit Agreement, duly completed and executed by the Assignee;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89" w:lineRule="exact"/>
        <w:rPr>
          <w:sz w:val="20"/>
          <w:szCs w:val="20"/>
          <w:color w:val="auto"/>
        </w:rPr>
      </w:pPr>
    </w:p>
    <w:p>
      <w:pPr>
        <w:jc w:val="both"/>
        <w:ind w:firstLine="8"/>
        <w:spacing w:after="0" w:line="252" w:lineRule="auto"/>
        <w:tabs>
          <w:tab w:leader="none" w:pos="342"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147</w:t>
      </w:r>
    </w:p>
    <w:p>
      <w:pPr>
        <w:sectPr>
          <w:pgSz w:w="11900" w:h="16838" w:orient="portrait"/>
          <w:cols w:equalWidth="0" w:num="1">
            <w:col w:w="11460"/>
          </w:cols>
          <w:pgMar w:left="220" w:top="894" w:right="219" w:bottom="1440" w:gutter="0" w:footer="0" w:header="0"/>
        </w:sectPr>
      </w:pPr>
    </w:p>
    <w:bookmarkStart w:id="208" w:name="page209"/>
    <w:bookmarkEnd w:id="208"/>
    <w:p>
      <w:pPr>
        <w:jc w:val="both"/>
        <w:ind w:firstLine="8"/>
        <w:spacing w:after="0" w:line="314" w:lineRule="auto"/>
        <w:tabs>
          <w:tab w:leader="none" w:pos="309" w:val="left"/>
        </w:tabs>
        <w:numPr>
          <w:ilvl w:val="0"/>
          <w:numId w:val="156"/>
        </w:numPr>
        <w:rPr>
          <w:rFonts w:ascii="Arial" w:cs="Arial" w:eastAsia="Arial" w:hAnsi="Arial"/>
          <w:sz w:val="15"/>
          <w:szCs w:val="15"/>
          <w:color w:val="auto"/>
        </w:rPr>
      </w:pPr>
      <w:r>
        <w:rPr>
          <w:rFonts w:ascii="Arial" w:cs="Arial" w:eastAsia="Arial" w:hAnsi="Arial"/>
          <w:sz w:val="15"/>
          <w:szCs w:val="15"/>
          <w:u w:val="single" w:color="auto"/>
          <w:color w:val="auto"/>
        </w:rPr>
        <w:t>General Provisions</w:t>
      </w:r>
      <w:r>
        <w:rPr>
          <w:rFonts w:ascii="Arial" w:cs="Arial" w:eastAsia="Arial" w:hAnsi="Arial"/>
          <w:sz w:val="15"/>
          <w:szCs w:val="15"/>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Oklahoma.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2"/>
          <w:szCs w:val="12"/>
          <w:color w:val="FFFFFF"/>
        </w:rPr>
        <w:t>HOU:3756061.4</w:t>
      </w:r>
    </w:p>
    <w:p>
      <w:pPr>
        <w:spacing w:after="0" w:line="347" w:lineRule="exact"/>
        <w:rPr>
          <w:sz w:val="20"/>
          <w:szCs w:val="20"/>
          <w:color w:val="auto"/>
        </w:rPr>
      </w:pPr>
    </w:p>
    <w:p>
      <w:pPr>
        <w:spacing w:after="0"/>
        <w:rPr>
          <w:sz w:val="20"/>
          <w:szCs w:val="20"/>
          <w:color w:val="auto"/>
        </w:rPr>
      </w:pPr>
      <w:r>
        <w:rPr>
          <w:rFonts w:ascii="Arial" w:cs="Arial" w:eastAsia="Arial" w:hAnsi="Arial"/>
          <w:sz w:val="12"/>
          <w:szCs w:val="12"/>
          <w:color w:val="FFFFFF"/>
        </w:rPr>
        <w:t>HOU:3756061.4</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148</w:t>
      </w:r>
    </w:p>
    <w:p>
      <w:pPr>
        <w:sectPr>
          <w:pgSz w:w="11900" w:h="16838" w:orient="portrait"/>
          <w:cols w:equalWidth="0" w:num="1">
            <w:col w:w="11460"/>
          </w:cols>
          <w:pgMar w:left="220" w:top="928" w:right="219" w:bottom="1440" w:gutter="0" w:footer="0" w:header="0"/>
        </w:sectPr>
      </w:pPr>
    </w:p>
    <w:bookmarkStart w:id="209" w:name="page210"/>
    <w:bookmarkEnd w:id="209"/>
    <w:p>
      <w:pPr>
        <w:jc w:val="center"/>
        <w:ind w:right="20"/>
        <w:spacing w:after="0"/>
        <w:rPr>
          <w:sz w:val="20"/>
          <w:szCs w:val="20"/>
          <w:color w:val="auto"/>
        </w:rPr>
      </w:pPr>
      <w:r>
        <w:rPr>
          <w:rFonts w:ascii="Arial" w:cs="Arial" w:eastAsia="Arial" w:hAnsi="Arial"/>
          <w:sz w:val="18"/>
          <w:szCs w:val="18"/>
          <w:b w:val="1"/>
          <w:bCs w:val="1"/>
          <w:u w:val="single" w:color="auto"/>
          <w:color w:val="auto"/>
        </w:rPr>
        <w:t>Exhibit B</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EXISTING LETTERS OF CREDIT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2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Letter of Credit Ref. No.</w:t>
            </w:r>
          </w:p>
        </w:tc>
        <w:tc>
          <w:tcPr>
            <w:tcW w:w="1700" w:type="dxa"/>
            <w:vAlign w:val="bottom"/>
            <w:tcBorders>
              <w:top w:val="single" w:sz="8" w:color="auto"/>
              <w:right w:val="single" w:sz="8" w:color="auto"/>
            </w:tcBorders>
          </w:tcPr>
          <w:p>
            <w:pPr>
              <w:spacing w:after="0"/>
              <w:rPr>
                <w:sz w:val="20"/>
                <w:szCs w:val="20"/>
                <w:color w:val="auto"/>
              </w:rPr>
            </w:pPr>
            <w:r>
              <w:rPr>
                <w:rFonts w:ascii="Arial" w:cs="Arial" w:eastAsia="Arial" w:hAnsi="Arial"/>
                <w:sz w:val="15"/>
                <w:szCs w:val="15"/>
                <w:b w:val="1"/>
                <w:bCs w:val="1"/>
                <w:color w:val="auto"/>
              </w:rPr>
              <w:t>Status</w:t>
            </w:r>
          </w:p>
        </w:tc>
        <w:tc>
          <w:tcPr>
            <w:tcW w:w="1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5"/>
                <w:szCs w:val="15"/>
                <w:b w:val="1"/>
                <w:bCs w:val="1"/>
                <w:color w:val="auto"/>
              </w:rPr>
              <w:t>Global Balance</w:t>
            </w:r>
          </w:p>
        </w:tc>
        <w:tc>
          <w:tcPr>
            <w:tcW w:w="15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5"/>
                <w:szCs w:val="15"/>
                <w:b w:val="1"/>
                <w:bCs w:val="1"/>
                <w:color w:val="auto"/>
              </w:rPr>
              <w:t>Currency</w:t>
            </w:r>
          </w:p>
        </w:tc>
        <w:tc>
          <w:tcPr>
            <w:tcW w:w="1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5"/>
                <w:szCs w:val="15"/>
                <w:b w:val="1"/>
                <w:bCs w:val="1"/>
                <w:color w:val="auto"/>
              </w:rPr>
              <w:t>Effective Date</w:t>
            </w:r>
          </w:p>
        </w:tc>
        <w:tc>
          <w:tcPr>
            <w:tcW w:w="16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5"/>
                <w:szCs w:val="15"/>
                <w:b w:val="1"/>
                <w:bCs w:val="1"/>
                <w:color w:val="auto"/>
              </w:rPr>
              <w:t>Expiry Date</w:t>
            </w:r>
          </w:p>
        </w:tc>
      </w:tr>
      <w:tr>
        <w:trPr>
          <w:trHeight w:val="22"/>
        </w:trPr>
        <w:tc>
          <w:tcPr>
            <w:tcW w:w="2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r>
      <w:tr>
        <w:trPr>
          <w:trHeight w:val="189"/>
        </w:trPr>
        <w:tc>
          <w:tcPr>
            <w:tcW w:w="2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S-200080</w:t>
            </w:r>
          </w:p>
        </w:tc>
        <w:tc>
          <w:tcPr>
            <w:tcW w:w="170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Active</w:t>
            </w:r>
          </w:p>
        </w:tc>
        <w:tc>
          <w:tcPr>
            <w:tcW w:w="18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5,866,575.00</w:t>
            </w:r>
          </w:p>
        </w:tc>
        <w:tc>
          <w:tcPr>
            <w:tcW w:w="15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USD</w:t>
            </w:r>
          </w:p>
        </w:tc>
        <w:tc>
          <w:tcPr>
            <w:tcW w:w="18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30-Apr-12</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30-June-17</w:t>
            </w:r>
          </w:p>
        </w:tc>
      </w:tr>
      <w:tr>
        <w:trPr>
          <w:trHeight w:val="22"/>
        </w:trPr>
        <w:tc>
          <w:tcPr>
            <w:tcW w:w="2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r>
      <w:tr>
        <w:trPr>
          <w:trHeight w:val="189"/>
        </w:trPr>
        <w:tc>
          <w:tcPr>
            <w:tcW w:w="2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S-634139</w:t>
            </w:r>
          </w:p>
        </w:tc>
        <w:tc>
          <w:tcPr>
            <w:tcW w:w="170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Active</w:t>
            </w:r>
          </w:p>
        </w:tc>
        <w:tc>
          <w:tcPr>
            <w:tcW w:w="18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134,291.00</w:t>
            </w:r>
          </w:p>
        </w:tc>
        <w:tc>
          <w:tcPr>
            <w:tcW w:w="15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USD</w:t>
            </w:r>
          </w:p>
        </w:tc>
        <w:tc>
          <w:tcPr>
            <w:tcW w:w="18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19-June-03</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23-Mar-18</w:t>
            </w:r>
          </w:p>
        </w:tc>
      </w:tr>
      <w:tr>
        <w:trPr>
          <w:trHeight w:val="22"/>
        </w:trPr>
        <w:tc>
          <w:tcPr>
            <w:tcW w:w="2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r>
      <w:tr>
        <w:trPr>
          <w:trHeight w:val="189"/>
        </w:trPr>
        <w:tc>
          <w:tcPr>
            <w:tcW w:w="2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S-634268</w:t>
            </w:r>
          </w:p>
        </w:tc>
        <w:tc>
          <w:tcPr>
            <w:tcW w:w="170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Active</w:t>
            </w:r>
          </w:p>
        </w:tc>
        <w:tc>
          <w:tcPr>
            <w:tcW w:w="18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300,000.00</w:t>
            </w:r>
          </w:p>
        </w:tc>
        <w:tc>
          <w:tcPr>
            <w:tcW w:w="15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USD</w:t>
            </w:r>
          </w:p>
        </w:tc>
        <w:tc>
          <w:tcPr>
            <w:tcW w:w="18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29-August-03</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23-Mar-17</w:t>
            </w:r>
          </w:p>
        </w:tc>
      </w:tr>
      <w:tr>
        <w:trPr>
          <w:trHeight w:val="22"/>
        </w:trPr>
        <w:tc>
          <w:tcPr>
            <w:tcW w:w="2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r>
      <w:tr>
        <w:trPr>
          <w:trHeight w:val="189"/>
        </w:trPr>
        <w:tc>
          <w:tcPr>
            <w:tcW w:w="2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S-634492</w:t>
            </w:r>
          </w:p>
        </w:tc>
        <w:tc>
          <w:tcPr>
            <w:tcW w:w="170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Active</w:t>
            </w:r>
          </w:p>
        </w:tc>
        <w:tc>
          <w:tcPr>
            <w:tcW w:w="18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163,302.00</w:t>
            </w:r>
          </w:p>
        </w:tc>
        <w:tc>
          <w:tcPr>
            <w:tcW w:w="15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USD</w:t>
            </w:r>
          </w:p>
        </w:tc>
        <w:tc>
          <w:tcPr>
            <w:tcW w:w="18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10-Sept-04</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23-Mar-17</w:t>
            </w:r>
          </w:p>
        </w:tc>
      </w:tr>
      <w:tr>
        <w:trPr>
          <w:trHeight w:val="22"/>
        </w:trPr>
        <w:tc>
          <w:tcPr>
            <w:tcW w:w="2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r>
      <w:tr>
        <w:trPr>
          <w:trHeight w:val="189"/>
        </w:trPr>
        <w:tc>
          <w:tcPr>
            <w:tcW w:w="2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S-764070</w:t>
            </w:r>
          </w:p>
        </w:tc>
        <w:tc>
          <w:tcPr>
            <w:tcW w:w="170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Active</w:t>
            </w:r>
          </w:p>
        </w:tc>
        <w:tc>
          <w:tcPr>
            <w:tcW w:w="18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1,370,000.00</w:t>
            </w:r>
          </w:p>
        </w:tc>
        <w:tc>
          <w:tcPr>
            <w:tcW w:w="15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USD</w:t>
            </w:r>
          </w:p>
        </w:tc>
        <w:tc>
          <w:tcPr>
            <w:tcW w:w="18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17-March-10</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7-Jun-17</w:t>
            </w:r>
          </w:p>
        </w:tc>
      </w:tr>
      <w:tr>
        <w:trPr>
          <w:trHeight w:val="22"/>
        </w:trPr>
        <w:tc>
          <w:tcPr>
            <w:tcW w:w="2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r>
      <w:tr>
        <w:trPr>
          <w:trHeight w:val="189"/>
        </w:trPr>
        <w:tc>
          <w:tcPr>
            <w:tcW w:w="2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S-940529</w:t>
            </w:r>
          </w:p>
        </w:tc>
        <w:tc>
          <w:tcPr>
            <w:tcW w:w="170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Active</w:t>
            </w:r>
          </w:p>
        </w:tc>
        <w:tc>
          <w:tcPr>
            <w:tcW w:w="18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144,961.74</w:t>
            </w:r>
          </w:p>
        </w:tc>
        <w:tc>
          <w:tcPr>
            <w:tcW w:w="15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AUD</w:t>
            </w:r>
          </w:p>
        </w:tc>
        <w:tc>
          <w:tcPr>
            <w:tcW w:w="18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4-Nov-16</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29-Apr-18</w:t>
            </w:r>
          </w:p>
        </w:tc>
      </w:tr>
      <w:tr>
        <w:trPr>
          <w:trHeight w:val="22"/>
        </w:trPr>
        <w:tc>
          <w:tcPr>
            <w:tcW w:w="2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r>
      <w:tr>
        <w:trPr>
          <w:trHeight w:val="189"/>
        </w:trPr>
        <w:tc>
          <w:tcPr>
            <w:tcW w:w="2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OCOS-705237</w:t>
            </w:r>
          </w:p>
        </w:tc>
        <w:tc>
          <w:tcPr>
            <w:tcW w:w="170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Active</w:t>
            </w:r>
          </w:p>
        </w:tc>
        <w:tc>
          <w:tcPr>
            <w:tcW w:w="18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10,000,000</w:t>
            </w:r>
          </w:p>
        </w:tc>
        <w:tc>
          <w:tcPr>
            <w:tcW w:w="15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CAD</w:t>
            </w:r>
          </w:p>
        </w:tc>
        <w:tc>
          <w:tcPr>
            <w:tcW w:w="18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4-Jun-15</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3-Jun-17</w:t>
            </w:r>
          </w:p>
        </w:tc>
      </w:tr>
      <w:tr>
        <w:trPr>
          <w:trHeight w:val="22"/>
        </w:trPr>
        <w:tc>
          <w:tcPr>
            <w:tcW w:w="2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149</w:t>
      </w:r>
    </w:p>
    <w:p>
      <w:pPr>
        <w:sectPr>
          <w:pgSz w:w="11900" w:h="16838" w:orient="portrait"/>
          <w:cols w:equalWidth="0" w:num="1">
            <w:col w:w="10680"/>
          </w:cols>
          <w:pgMar w:left="620" w:top="502" w:right="599" w:bottom="1440" w:gutter="0" w:footer="0" w:header="0"/>
        </w:sectPr>
      </w:pPr>
    </w:p>
    <w:bookmarkStart w:id="210" w:name="page211"/>
    <w:bookmarkEnd w:id="210"/>
    <w:p>
      <w:pPr>
        <w:ind w:left="5360"/>
        <w:spacing w:after="0"/>
        <w:rPr>
          <w:sz w:val="20"/>
          <w:szCs w:val="20"/>
          <w:color w:val="auto"/>
        </w:rPr>
      </w:pPr>
      <w:r>
        <w:rPr>
          <w:rFonts w:ascii="Arial" w:cs="Arial" w:eastAsia="Arial" w:hAnsi="Arial"/>
          <w:sz w:val="18"/>
          <w:szCs w:val="18"/>
          <w:b w:val="1"/>
          <w:bCs w:val="1"/>
          <w:u w:val="single" w:color="auto"/>
          <w:color w:val="auto"/>
        </w:rPr>
        <w:t>Exhibit C</w:t>
      </w:r>
    </w:p>
    <w:p>
      <w:pPr>
        <w:spacing w:after="0" w:line="179" w:lineRule="exact"/>
        <w:rPr>
          <w:sz w:val="20"/>
          <w:szCs w:val="20"/>
          <w:color w:val="auto"/>
        </w:rPr>
      </w:pPr>
    </w:p>
    <w:p>
      <w:pPr>
        <w:ind w:left="4620"/>
        <w:spacing w:after="0"/>
        <w:rPr>
          <w:sz w:val="20"/>
          <w:szCs w:val="20"/>
          <w:color w:val="auto"/>
        </w:rPr>
      </w:pPr>
      <w:r>
        <w:rPr>
          <w:rFonts w:ascii="Arial" w:cs="Arial" w:eastAsia="Arial" w:hAnsi="Arial"/>
          <w:sz w:val="18"/>
          <w:szCs w:val="18"/>
          <w:b w:val="1"/>
          <w:bCs w:val="1"/>
          <w:u w:val="single" w:color="auto"/>
          <w:color w:val="auto"/>
        </w:rPr>
        <w:t>Existing Security Agreements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March 13, 2014 Amended and Restated Pledge and Security Agreement</w:t>
      </w:r>
    </w:p>
    <w:p>
      <w:pPr>
        <w:spacing w:after="0" w:line="9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Matrix Service Company, a Delaware corporation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March 13, 2014 Amended and Restated Pledge and Security Agreement</w:t>
      </w:r>
    </w:p>
    <w:p>
      <w:pPr>
        <w:spacing w:after="0" w:line="9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Matrix Service Inc., an Oklahoma corporation</w:t>
      </w:r>
    </w:p>
    <w:p>
      <w:pPr>
        <w:spacing w:after="0" w:line="9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Matrix Service Specialized Transport, Inc., a Pennsylvania corporation</w:t>
      </w:r>
    </w:p>
    <w:p>
      <w:pPr>
        <w:spacing w:after="0" w:line="9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Matrix SME Canada, Inc., a Delaware corporation</w:t>
      </w:r>
    </w:p>
    <w:p>
      <w:pPr>
        <w:spacing w:after="0" w:line="9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Matrix Service International, LLC, a Delaware limited liability company</w:t>
      </w:r>
    </w:p>
    <w:p>
      <w:pPr>
        <w:spacing w:after="0" w:line="9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Matrix International Holding, LLC, a Delaware limited liability company</w:t>
      </w:r>
    </w:p>
    <w:p>
      <w:pPr>
        <w:spacing w:after="0" w:line="9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Matrix International Construction, LLC, an Oklahoma limited liability company</w:t>
      </w:r>
    </w:p>
    <w:p>
      <w:pPr>
        <w:spacing w:after="0" w:line="9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Matrix PDM Engineering, Inc., a Delaware corporation</w:t>
      </w:r>
    </w:p>
    <w:p>
      <w:pPr>
        <w:spacing w:after="0" w:line="9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Matrix International Engineering, LLP, a Delaware limited liability partnership</w:t>
      </w:r>
    </w:p>
    <w:p>
      <w:pPr>
        <w:spacing w:after="0" w:line="9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Mobile Aquatic Solutions, Inc., an Oklahoma corporation</w:t>
      </w:r>
    </w:p>
    <w:p>
      <w:pPr>
        <w:spacing w:after="0" w:line="9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Matrix North American Holdings, Inc., a Delaware corporation</w:t>
      </w:r>
    </w:p>
    <w:p>
      <w:pPr>
        <w:spacing w:after="0" w:line="9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Matrix North American Construction, Inc., an Oklahoma corporation</w:t>
      </w:r>
    </w:p>
    <w:p>
      <w:pPr>
        <w:spacing w:after="0" w:line="9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Matrix Applied Technologies, Inc., a Delaware corporation</w:t>
      </w:r>
    </w:p>
    <w:p>
      <w:pPr>
        <w:spacing w:after="0" w:line="9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Matrix PDM, LLC, an Oklahoma limited liability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March 13, 2014 Amended and Restated Pledge and Security Agreement</w:t>
      </w:r>
    </w:p>
    <w:p>
      <w:pPr>
        <w:spacing w:after="0" w:line="91" w:lineRule="exact"/>
        <w:rPr>
          <w:sz w:val="20"/>
          <w:szCs w:val="20"/>
          <w:color w:val="auto"/>
        </w:rPr>
      </w:pPr>
    </w:p>
    <w:p>
      <w:pPr>
        <w:jc w:val="both"/>
        <w:ind w:left="280" w:right="1819"/>
        <w:spacing w:after="0" w:line="382" w:lineRule="auto"/>
        <w:rPr>
          <w:sz w:val="20"/>
          <w:szCs w:val="20"/>
          <w:color w:val="auto"/>
        </w:rPr>
      </w:pPr>
      <w:r>
        <w:rPr>
          <w:rFonts w:ascii="Arial" w:cs="Arial" w:eastAsia="Arial" w:hAnsi="Arial"/>
          <w:sz w:val="17"/>
          <w:szCs w:val="17"/>
          <w:color w:val="auto"/>
        </w:rPr>
        <w:t>Matrix Service Canada ULC, an unlimited liability corporation organized under the laws of the Province of Alberta Matrix SME Canada ULC, an unlimited liability company organized under the laws of the Province of Nova Scotia Matrix North American Construction Ltd., a corporation incorporated under the laws of Ontario</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2"/>
          <w:szCs w:val="12"/>
          <w:color w:val="FFFFFF"/>
        </w:rPr>
        <w:t>HOU:3756061.4</w:t>
      </w:r>
    </w:p>
    <w:p>
      <w:pPr>
        <w:spacing w:after="0" w:line="171" w:lineRule="exact"/>
        <w:rPr>
          <w:sz w:val="20"/>
          <w:szCs w:val="20"/>
          <w:color w:val="auto"/>
        </w:rPr>
      </w:pPr>
    </w:p>
    <w:p>
      <w:pPr>
        <w:spacing w:after="0"/>
        <w:rPr>
          <w:sz w:val="20"/>
          <w:szCs w:val="20"/>
          <w:color w:val="auto"/>
        </w:rPr>
      </w:pPr>
      <w:r>
        <w:rPr>
          <w:rFonts w:ascii="Arial" w:cs="Arial" w:eastAsia="Arial" w:hAnsi="Arial"/>
          <w:sz w:val="12"/>
          <w:szCs w:val="12"/>
          <w:color w:val="FFFFFF"/>
        </w:rPr>
        <w:t>HOU:3756061.4</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FFFFFF"/>
        </w:rPr>
        <w:t>HOU:3756061.4</w:t>
      </w:r>
    </w:p>
    <w:p>
      <w:pPr>
        <w:spacing w:after="0" w:line="188"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150</w:t>
      </w:r>
    </w:p>
    <w:p>
      <w:pPr>
        <w:sectPr>
          <w:pgSz w:w="11900" w:h="16838" w:orient="portrait"/>
          <w:cols w:equalWidth="0" w:num="1">
            <w:col w:w="10239"/>
          </w:cols>
          <w:pgMar w:left="220" w:top="503" w:right="1440" w:bottom="1440" w:gutter="0" w:footer="0" w:header="0"/>
        </w:sectPr>
      </w:pPr>
    </w:p>
    <w:bookmarkStart w:id="211" w:name="page212"/>
    <w:bookmarkEnd w:id="211"/>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Exhibit D</w:t>
            </w:r>
          </w:p>
        </w:tc>
        <w:tc>
          <w:tcPr>
            <w:tcW w:w="5000" w:type="dxa"/>
            <w:vAlign w:val="bottom"/>
            <w:gridSpan w:val="2"/>
          </w:tcPr>
          <w:p>
            <w:pPr>
              <w:spacing w:after="0"/>
              <w:rPr>
                <w:sz w:val="17"/>
                <w:szCs w:val="17"/>
                <w:color w:val="auto"/>
              </w:rPr>
            </w:pPr>
          </w:p>
        </w:tc>
      </w:tr>
      <w:tr>
        <w:trPr>
          <w:trHeight w:val="366"/>
        </w:trPr>
        <w:tc>
          <w:tcPr>
            <w:tcW w:w="4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100" w:type="dxa"/>
            <w:vAlign w:val="bottom"/>
            <w:gridSpan w:val="4"/>
          </w:tcPr>
          <w:p>
            <w:pPr>
              <w:jc w:val="center"/>
              <w:ind w:right="4640"/>
              <w:spacing w:after="0"/>
              <w:rPr>
                <w:sz w:val="20"/>
                <w:szCs w:val="20"/>
                <w:color w:val="auto"/>
              </w:rPr>
            </w:pPr>
            <w:r>
              <w:rPr>
                <w:rFonts w:ascii="Arial" w:cs="Arial" w:eastAsia="Arial" w:hAnsi="Arial"/>
                <w:sz w:val="18"/>
                <w:szCs w:val="18"/>
                <w:b w:val="1"/>
                <w:bCs w:val="1"/>
                <w:color w:val="auto"/>
                <w:w w:val="87"/>
              </w:rPr>
              <w:t>Existing Mortgages</w:t>
            </w:r>
          </w:p>
        </w:tc>
      </w:tr>
      <w:tr>
        <w:trPr>
          <w:trHeight w:val="407"/>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California:</w:t>
            </w:r>
          </w:p>
        </w:tc>
        <w:tc>
          <w:tcPr>
            <w:tcW w:w="18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640" w:type="dxa"/>
            <w:vAlign w:val="bottom"/>
          </w:tcPr>
          <w:p>
            <w:pPr>
              <w:spacing w:after="0"/>
              <w:rPr>
                <w:sz w:val="24"/>
                <w:szCs w:val="24"/>
                <w:color w:val="auto"/>
              </w:rPr>
            </w:pPr>
          </w:p>
        </w:tc>
      </w:tr>
      <w:tr>
        <w:trPr>
          <w:trHeight w:val="102"/>
        </w:trPr>
        <w:tc>
          <w:tcPr>
            <w:tcW w:w="420" w:type="dxa"/>
            <w:vAlign w:val="bottom"/>
          </w:tcPr>
          <w:p>
            <w:pPr>
              <w:spacing w:after="0"/>
              <w:rPr>
                <w:sz w:val="8"/>
                <w:szCs w:val="8"/>
                <w:color w:val="auto"/>
              </w:rPr>
            </w:pPr>
          </w:p>
        </w:tc>
        <w:tc>
          <w:tcPr>
            <w:tcW w:w="278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640" w:type="dxa"/>
            <w:vAlign w:val="bottom"/>
            <w:tcBorders>
              <w:bottom w:val="single" w:sz="8" w:color="auto"/>
            </w:tcBorders>
          </w:tcPr>
          <w:p>
            <w:pPr>
              <w:spacing w:after="0"/>
              <w:rPr>
                <w:sz w:val="8"/>
                <w:szCs w:val="8"/>
                <w:color w:val="auto"/>
              </w:rPr>
            </w:pPr>
          </w:p>
        </w:tc>
      </w:tr>
      <w:tr>
        <w:trPr>
          <w:trHeight w:val="189"/>
        </w:trPr>
        <w:tc>
          <w:tcPr>
            <w:tcW w:w="420" w:type="dxa"/>
            <w:vAlign w:val="bottom"/>
            <w:tcBorders>
              <w:right w:val="single" w:sz="8" w:color="auto"/>
            </w:tcBorders>
          </w:tcPr>
          <w:p>
            <w:pPr>
              <w:spacing w:after="0"/>
              <w:rPr>
                <w:sz w:val="16"/>
                <w:szCs w:val="16"/>
                <w:color w:val="auto"/>
              </w:rPr>
            </w:pPr>
          </w:p>
        </w:tc>
        <w:tc>
          <w:tcPr>
            <w:tcW w:w="27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Mortgagor/Mortgagee</w:t>
            </w:r>
          </w:p>
        </w:tc>
        <w:tc>
          <w:tcPr>
            <w:tcW w:w="79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Matrix Service Inc./JPMorgan Chase Bank, N.A., as Agent</w:t>
            </w:r>
          </w:p>
        </w:tc>
      </w:tr>
      <w:tr>
        <w:trPr>
          <w:trHeight w:val="22"/>
        </w:trPr>
        <w:tc>
          <w:tcPr>
            <w:tcW w:w="420" w:type="dxa"/>
            <w:vAlign w:val="bottom"/>
            <w:tcBorders>
              <w:right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right w:val="single" w:sz="8" w:color="auto"/>
            </w:tcBorders>
          </w:tcPr>
          <w:p>
            <w:pPr>
              <w:spacing w:after="0" w:line="20" w:lineRule="exact"/>
              <w:rPr>
                <w:sz w:val="1"/>
                <w:szCs w:val="1"/>
                <w:color w:val="auto"/>
              </w:rPr>
            </w:pPr>
          </w:p>
        </w:tc>
      </w:tr>
      <w:tr>
        <w:trPr>
          <w:trHeight w:val="189"/>
        </w:trPr>
        <w:tc>
          <w:tcPr>
            <w:tcW w:w="420" w:type="dxa"/>
            <w:vAlign w:val="bottom"/>
            <w:tcBorders>
              <w:right w:val="single" w:sz="8" w:color="auto"/>
            </w:tcBorders>
          </w:tcPr>
          <w:p>
            <w:pPr>
              <w:spacing w:after="0"/>
              <w:rPr>
                <w:sz w:val="16"/>
                <w:szCs w:val="16"/>
                <w:color w:val="auto"/>
              </w:rPr>
            </w:pPr>
          </w:p>
        </w:tc>
        <w:tc>
          <w:tcPr>
            <w:tcW w:w="27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Property Address</w:t>
            </w:r>
          </w:p>
        </w:tc>
        <w:tc>
          <w:tcPr>
            <w:tcW w:w="79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500 West Collins Avenue, Orange County, CA</w:t>
            </w:r>
          </w:p>
        </w:tc>
      </w:tr>
      <w:tr>
        <w:trPr>
          <w:trHeight w:val="22"/>
        </w:trPr>
        <w:tc>
          <w:tcPr>
            <w:tcW w:w="420" w:type="dxa"/>
            <w:vAlign w:val="bottom"/>
            <w:tcBorders>
              <w:right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right w:val="single" w:sz="8" w:color="auto"/>
            </w:tcBorders>
          </w:tcPr>
          <w:p>
            <w:pPr>
              <w:spacing w:after="0" w:line="20" w:lineRule="exact"/>
              <w:rPr>
                <w:sz w:val="1"/>
                <w:szCs w:val="1"/>
                <w:color w:val="auto"/>
              </w:rPr>
            </w:pPr>
          </w:p>
        </w:tc>
      </w:tr>
      <w:tr>
        <w:trPr>
          <w:trHeight w:val="189"/>
        </w:trPr>
        <w:tc>
          <w:tcPr>
            <w:tcW w:w="420" w:type="dxa"/>
            <w:vAlign w:val="bottom"/>
            <w:tcBorders>
              <w:right w:val="single" w:sz="8" w:color="auto"/>
            </w:tcBorders>
          </w:tcPr>
          <w:p>
            <w:pPr>
              <w:spacing w:after="0"/>
              <w:rPr>
                <w:sz w:val="16"/>
                <w:szCs w:val="16"/>
                <w:color w:val="auto"/>
              </w:rPr>
            </w:pPr>
          </w:p>
        </w:tc>
        <w:tc>
          <w:tcPr>
            <w:tcW w:w="27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Instrument</w:t>
            </w:r>
          </w:p>
        </w:tc>
        <w:tc>
          <w:tcPr>
            <w:tcW w:w="79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11/7/11 Amended and Restated Deed of Trust with Assignment of Rents, Security Agreement and Fixture Filing</w:t>
            </w:r>
          </w:p>
        </w:tc>
      </w:tr>
      <w:tr>
        <w:trPr>
          <w:trHeight w:val="22"/>
        </w:trPr>
        <w:tc>
          <w:tcPr>
            <w:tcW w:w="420" w:type="dxa"/>
            <w:vAlign w:val="bottom"/>
            <w:tcBorders>
              <w:right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right w:val="single" w:sz="8" w:color="auto"/>
            </w:tcBorders>
          </w:tcPr>
          <w:p>
            <w:pPr>
              <w:spacing w:after="0" w:line="20" w:lineRule="exact"/>
              <w:rPr>
                <w:sz w:val="1"/>
                <w:szCs w:val="1"/>
                <w:color w:val="auto"/>
              </w:rPr>
            </w:pPr>
          </w:p>
        </w:tc>
      </w:tr>
      <w:tr>
        <w:trPr>
          <w:trHeight w:val="195"/>
        </w:trPr>
        <w:tc>
          <w:tcPr>
            <w:tcW w:w="420" w:type="dxa"/>
            <w:vAlign w:val="bottom"/>
            <w:tcBorders>
              <w:right w:val="single" w:sz="8" w:color="auto"/>
            </w:tcBorders>
          </w:tcPr>
          <w:p>
            <w:pPr>
              <w:spacing w:after="0"/>
              <w:rPr>
                <w:sz w:val="16"/>
                <w:szCs w:val="16"/>
                <w:color w:val="auto"/>
              </w:rPr>
            </w:pPr>
          </w:p>
        </w:tc>
        <w:tc>
          <w:tcPr>
            <w:tcW w:w="2780" w:type="dxa"/>
            <w:vAlign w:val="bottom"/>
            <w:tcBorders>
              <w:right w:val="single" w:sz="8" w:color="auto"/>
            </w:tcBorders>
          </w:tcPr>
          <w:p>
            <w:pPr>
              <w:spacing w:after="0"/>
              <w:rPr>
                <w:sz w:val="16"/>
                <w:szCs w:val="16"/>
                <w:color w:val="auto"/>
              </w:rPr>
            </w:pPr>
          </w:p>
        </w:tc>
        <w:tc>
          <w:tcPr>
            <w:tcW w:w="7900" w:type="dxa"/>
            <w:vAlign w:val="bottom"/>
            <w:tcBorders>
              <w:right w:val="single" w:sz="8" w:color="auto"/>
            </w:tcBorders>
            <w:gridSpan w:val="5"/>
          </w:tcPr>
          <w:p>
            <w:pPr>
              <w:ind w:left="20"/>
              <w:spacing w:after="0" w:line="195" w:lineRule="exact"/>
              <w:rPr>
                <w:sz w:val="20"/>
                <w:szCs w:val="20"/>
                <w:color w:val="auto"/>
              </w:rPr>
            </w:pPr>
            <w:r>
              <w:rPr>
                <w:rFonts w:ascii="Arial" w:cs="Arial" w:eastAsia="Arial" w:hAnsi="Arial"/>
                <w:sz w:val="18"/>
                <w:szCs w:val="18"/>
                <w:color w:val="auto"/>
              </w:rPr>
              <w:t>Filed 7/16/12, Doc No. 2012000401021</w:t>
            </w:r>
          </w:p>
        </w:tc>
      </w:tr>
      <w:tr>
        <w:trPr>
          <w:trHeight w:val="198"/>
        </w:trPr>
        <w:tc>
          <w:tcPr>
            <w:tcW w:w="42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tcPr>
          <w:p>
            <w:pPr>
              <w:spacing w:after="0"/>
              <w:rPr>
                <w:sz w:val="17"/>
                <w:szCs w:val="17"/>
                <w:color w:val="auto"/>
              </w:rPr>
            </w:pPr>
          </w:p>
        </w:tc>
        <w:tc>
          <w:tcPr>
            <w:tcW w:w="7900" w:type="dxa"/>
            <w:vAlign w:val="bottom"/>
            <w:tcBorders>
              <w:right w:val="single" w:sz="8" w:color="auto"/>
            </w:tcBorders>
            <w:gridSpan w:val="5"/>
          </w:tcPr>
          <w:p>
            <w:pPr>
              <w:ind w:left="20"/>
              <w:spacing w:after="0" w:line="199" w:lineRule="exact"/>
              <w:rPr>
                <w:sz w:val="20"/>
                <w:szCs w:val="20"/>
                <w:color w:val="auto"/>
              </w:rPr>
            </w:pPr>
            <w:r>
              <w:rPr>
                <w:rFonts w:ascii="Arial" w:cs="Arial" w:eastAsia="Arial" w:hAnsi="Arial"/>
                <w:sz w:val="18"/>
                <w:szCs w:val="18"/>
                <w:color w:val="auto"/>
              </w:rPr>
              <w:t>Orange County Clerk-Recorder</w:t>
            </w:r>
          </w:p>
        </w:tc>
      </w:tr>
      <w:tr>
        <w:trPr>
          <w:trHeight w:val="198"/>
        </w:trPr>
        <w:tc>
          <w:tcPr>
            <w:tcW w:w="42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tcPr>
          <w:p>
            <w:pPr>
              <w:spacing w:after="0"/>
              <w:rPr>
                <w:sz w:val="17"/>
                <w:szCs w:val="17"/>
                <w:color w:val="auto"/>
              </w:rPr>
            </w:pPr>
          </w:p>
        </w:tc>
        <w:tc>
          <w:tcPr>
            <w:tcW w:w="7900" w:type="dxa"/>
            <w:vAlign w:val="bottom"/>
            <w:tcBorders>
              <w:right w:val="single" w:sz="8" w:color="auto"/>
            </w:tcBorders>
            <w:gridSpan w:val="5"/>
          </w:tcPr>
          <w:p>
            <w:pPr>
              <w:ind w:left="20"/>
              <w:spacing w:after="0" w:line="199" w:lineRule="exact"/>
              <w:rPr>
                <w:sz w:val="20"/>
                <w:szCs w:val="20"/>
                <w:color w:val="auto"/>
              </w:rPr>
            </w:pPr>
            <w:r>
              <w:rPr>
                <w:rFonts w:ascii="Arial" w:cs="Arial" w:eastAsia="Arial" w:hAnsi="Arial"/>
                <w:sz w:val="18"/>
                <w:szCs w:val="18"/>
                <w:color w:val="auto"/>
              </w:rPr>
              <w:t>The Hall of Finance &amp; Records</w:t>
            </w:r>
          </w:p>
        </w:tc>
      </w:tr>
      <w:tr>
        <w:trPr>
          <w:trHeight w:val="198"/>
        </w:trPr>
        <w:tc>
          <w:tcPr>
            <w:tcW w:w="42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tcPr>
          <w:p>
            <w:pPr>
              <w:spacing w:after="0"/>
              <w:rPr>
                <w:sz w:val="17"/>
                <w:szCs w:val="17"/>
                <w:color w:val="auto"/>
              </w:rPr>
            </w:pPr>
          </w:p>
        </w:tc>
        <w:tc>
          <w:tcPr>
            <w:tcW w:w="7900" w:type="dxa"/>
            <w:vAlign w:val="bottom"/>
            <w:tcBorders>
              <w:right w:val="single" w:sz="8" w:color="auto"/>
            </w:tcBorders>
            <w:gridSpan w:val="5"/>
          </w:tcPr>
          <w:p>
            <w:pPr>
              <w:ind w:left="20"/>
              <w:spacing w:after="0" w:line="199" w:lineRule="exact"/>
              <w:rPr>
                <w:sz w:val="20"/>
                <w:szCs w:val="20"/>
                <w:color w:val="auto"/>
              </w:rPr>
            </w:pPr>
            <w:r>
              <w:rPr>
                <w:rFonts w:ascii="Arial" w:cs="Arial" w:eastAsia="Arial" w:hAnsi="Arial"/>
                <w:sz w:val="18"/>
                <w:szCs w:val="18"/>
                <w:color w:val="auto"/>
              </w:rPr>
              <w:t>12 Civic Center Plaza</w:t>
            </w:r>
          </w:p>
        </w:tc>
      </w:tr>
      <w:tr>
        <w:trPr>
          <w:trHeight w:val="230"/>
        </w:trPr>
        <w:tc>
          <w:tcPr>
            <w:tcW w:w="420" w:type="dxa"/>
            <w:vAlign w:val="bottom"/>
            <w:tcBorders>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Recording Info</w:t>
            </w:r>
          </w:p>
        </w:tc>
        <w:tc>
          <w:tcPr>
            <w:tcW w:w="7900" w:type="dxa"/>
            <w:vAlign w:val="bottom"/>
            <w:tcBorders>
              <w:bottom w:val="single" w:sz="8" w:color="auto"/>
              <w:right w:val="single" w:sz="8" w:color="auto"/>
            </w:tcBorders>
            <w:gridSpan w:val="5"/>
          </w:tcPr>
          <w:p>
            <w:pPr>
              <w:ind w:left="20"/>
              <w:spacing w:after="0"/>
              <w:rPr>
                <w:sz w:val="20"/>
                <w:szCs w:val="20"/>
                <w:color w:val="auto"/>
              </w:rPr>
            </w:pPr>
            <w:r>
              <w:rPr>
                <w:rFonts w:ascii="Arial" w:cs="Arial" w:eastAsia="Arial" w:hAnsi="Arial"/>
                <w:sz w:val="18"/>
                <w:szCs w:val="18"/>
                <w:color w:val="auto"/>
              </w:rPr>
              <w:t>Santa Ana, CA 92701</w:t>
            </w:r>
          </w:p>
        </w:tc>
      </w:tr>
      <w:tr>
        <w:trPr>
          <w:trHeight w:val="392"/>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Canada:</w:t>
            </w:r>
          </w:p>
        </w:tc>
        <w:tc>
          <w:tcPr>
            <w:tcW w:w="1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102"/>
        </w:trPr>
        <w:tc>
          <w:tcPr>
            <w:tcW w:w="420" w:type="dxa"/>
            <w:vAlign w:val="bottom"/>
          </w:tcPr>
          <w:p>
            <w:pPr>
              <w:spacing w:after="0"/>
              <w:rPr>
                <w:sz w:val="8"/>
                <w:szCs w:val="8"/>
                <w:color w:val="auto"/>
              </w:rPr>
            </w:pPr>
          </w:p>
        </w:tc>
        <w:tc>
          <w:tcPr>
            <w:tcW w:w="278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640" w:type="dxa"/>
            <w:vAlign w:val="bottom"/>
            <w:tcBorders>
              <w:bottom w:val="single" w:sz="8" w:color="auto"/>
            </w:tcBorders>
          </w:tcPr>
          <w:p>
            <w:pPr>
              <w:spacing w:after="0"/>
              <w:rPr>
                <w:sz w:val="8"/>
                <w:szCs w:val="8"/>
                <w:color w:val="auto"/>
              </w:rPr>
            </w:pPr>
          </w:p>
        </w:tc>
      </w:tr>
      <w:tr>
        <w:trPr>
          <w:trHeight w:val="189"/>
        </w:trPr>
        <w:tc>
          <w:tcPr>
            <w:tcW w:w="420" w:type="dxa"/>
            <w:vAlign w:val="bottom"/>
            <w:tcBorders>
              <w:right w:val="single" w:sz="8" w:color="auto"/>
            </w:tcBorders>
          </w:tcPr>
          <w:p>
            <w:pPr>
              <w:spacing w:after="0"/>
              <w:rPr>
                <w:sz w:val="16"/>
                <w:szCs w:val="16"/>
                <w:color w:val="auto"/>
              </w:rPr>
            </w:pPr>
          </w:p>
        </w:tc>
        <w:tc>
          <w:tcPr>
            <w:tcW w:w="27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Mortgagor/Mortgagee</w:t>
            </w:r>
          </w:p>
        </w:tc>
        <w:tc>
          <w:tcPr>
            <w:tcW w:w="79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Matrix Service Inc./JPMorgan Chase Bank, N.A., as Agent</w:t>
            </w:r>
          </w:p>
        </w:tc>
      </w:tr>
      <w:tr>
        <w:trPr>
          <w:trHeight w:val="22"/>
        </w:trPr>
        <w:tc>
          <w:tcPr>
            <w:tcW w:w="420" w:type="dxa"/>
            <w:vAlign w:val="bottom"/>
            <w:tcBorders>
              <w:right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right w:val="single" w:sz="8" w:color="auto"/>
            </w:tcBorders>
          </w:tcPr>
          <w:p>
            <w:pPr>
              <w:spacing w:after="0" w:line="20" w:lineRule="exact"/>
              <w:rPr>
                <w:sz w:val="1"/>
                <w:szCs w:val="1"/>
                <w:color w:val="auto"/>
              </w:rPr>
            </w:pPr>
          </w:p>
        </w:tc>
      </w:tr>
      <w:tr>
        <w:trPr>
          <w:trHeight w:val="189"/>
        </w:trPr>
        <w:tc>
          <w:tcPr>
            <w:tcW w:w="420" w:type="dxa"/>
            <w:vAlign w:val="bottom"/>
            <w:tcBorders>
              <w:right w:val="single" w:sz="8" w:color="auto"/>
            </w:tcBorders>
          </w:tcPr>
          <w:p>
            <w:pPr>
              <w:spacing w:after="0"/>
              <w:rPr>
                <w:sz w:val="16"/>
                <w:szCs w:val="16"/>
                <w:color w:val="auto"/>
              </w:rPr>
            </w:pPr>
          </w:p>
        </w:tc>
        <w:tc>
          <w:tcPr>
            <w:tcW w:w="27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Property Address</w:t>
            </w:r>
          </w:p>
        </w:tc>
        <w:tc>
          <w:tcPr>
            <w:tcW w:w="79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473 Scott Road, Sarnia, Ontario N7T 7H5</w:t>
            </w:r>
          </w:p>
        </w:tc>
      </w:tr>
      <w:tr>
        <w:trPr>
          <w:trHeight w:val="22"/>
        </w:trPr>
        <w:tc>
          <w:tcPr>
            <w:tcW w:w="420" w:type="dxa"/>
            <w:vAlign w:val="bottom"/>
            <w:tcBorders>
              <w:right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right w:val="single" w:sz="8" w:color="auto"/>
            </w:tcBorders>
          </w:tcPr>
          <w:p>
            <w:pPr>
              <w:spacing w:after="0" w:line="20" w:lineRule="exact"/>
              <w:rPr>
                <w:sz w:val="1"/>
                <w:szCs w:val="1"/>
                <w:color w:val="auto"/>
              </w:rPr>
            </w:pPr>
          </w:p>
        </w:tc>
      </w:tr>
      <w:tr>
        <w:trPr>
          <w:trHeight w:val="195"/>
        </w:trPr>
        <w:tc>
          <w:tcPr>
            <w:tcW w:w="420" w:type="dxa"/>
            <w:vAlign w:val="bottom"/>
            <w:tcBorders>
              <w:right w:val="single" w:sz="8" w:color="auto"/>
            </w:tcBorders>
          </w:tcPr>
          <w:p>
            <w:pPr>
              <w:spacing w:after="0"/>
              <w:rPr>
                <w:sz w:val="16"/>
                <w:szCs w:val="16"/>
                <w:color w:val="auto"/>
              </w:rPr>
            </w:pPr>
          </w:p>
        </w:tc>
        <w:tc>
          <w:tcPr>
            <w:tcW w:w="2780" w:type="dxa"/>
            <w:vAlign w:val="bottom"/>
            <w:tcBorders>
              <w:right w:val="single" w:sz="8" w:color="auto"/>
            </w:tcBorders>
          </w:tcPr>
          <w:p>
            <w:pPr>
              <w:spacing w:after="0"/>
              <w:rPr>
                <w:sz w:val="16"/>
                <w:szCs w:val="16"/>
                <w:color w:val="auto"/>
              </w:rPr>
            </w:pPr>
          </w:p>
        </w:tc>
        <w:tc>
          <w:tcPr>
            <w:tcW w:w="7900" w:type="dxa"/>
            <w:vAlign w:val="bottom"/>
            <w:tcBorders>
              <w:right w:val="single" w:sz="8" w:color="auto"/>
            </w:tcBorders>
            <w:gridSpan w:val="5"/>
          </w:tcPr>
          <w:p>
            <w:pPr>
              <w:ind w:left="20"/>
              <w:spacing w:after="0" w:line="195" w:lineRule="exact"/>
              <w:rPr>
                <w:sz w:val="20"/>
                <w:szCs w:val="20"/>
                <w:color w:val="auto"/>
              </w:rPr>
            </w:pPr>
            <w:r>
              <w:rPr>
                <w:rFonts w:ascii="Arial" w:cs="Arial" w:eastAsia="Arial" w:hAnsi="Arial"/>
                <w:sz w:val="18"/>
                <w:szCs w:val="18"/>
                <w:color w:val="auto"/>
              </w:rPr>
              <w:t>8/10/05 Registered Charge/Mortgage of Land;</w:t>
            </w:r>
          </w:p>
        </w:tc>
      </w:tr>
      <w:tr>
        <w:trPr>
          <w:trHeight w:val="230"/>
        </w:trPr>
        <w:tc>
          <w:tcPr>
            <w:tcW w:w="420" w:type="dxa"/>
            <w:vAlign w:val="bottom"/>
            <w:tcBorders>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Instrument</w:t>
            </w:r>
          </w:p>
        </w:tc>
        <w:tc>
          <w:tcPr>
            <w:tcW w:w="7900" w:type="dxa"/>
            <w:vAlign w:val="bottom"/>
            <w:tcBorders>
              <w:bottom w:val="single" w:sz="8" w:color="auto"/>
              <w:right w:val="single" w:sz="8" w:color="auto"/>
            </w:tcBorders>
            <w:gridSpan w:val="5"/>
          </w:tcPr>
          <w:p>
            <w:pPr>
              <w:ind w:left="20"/>
              <w:spacing w:after="0"/>
              <w:rPr>
                <w:sz w:val="20"/>
                <w:szCs w:val="20"/>
                <w:color w:val="auto"/>
              </w:rPr>
            </w:pPr>
            <w:r>
              <w:rPr>
                <w:rFonts w:ascii="Arial" w:cs="Arial" w:eastAsia="Arial" w:hAnsi="Arial"/>
                <w:sz w:val="18"/>
                <w:szCs w:val="18"/>
                <w:color w:val="auto"/>
              </w:rPr>
              <w:t>11/7/11 Modification Agreement</w:t>
            </w:r>
          </w:p>
        </w:tc>
      </w:tr>
      <w:tr>
        <w:trPr>
          <w:trHeight w:val="196"/>
        </w:trPr>
        <w:tc>
          <w:tcPr>
            <w:tcW w:w="42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Recording Info</w:t>
            </w:r>
          </w:p>
        </w:tc>
        <w:tc>
          <w:tcPr>
            <w:tcW w:w="79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County of Lambton, No. 941714 registered August 17, 2005;</w:t>
            </w:r>
          </w:p>
        </w:tc>
      </w:tr>
      <w:tr>
        <w:trPr>
          <w:trHeight w:val="22"/>
        </w:trPr>
        <w:tc>
          <w:tcPr>
            <w:tcW w:w="420" w:type="dxa"/>
            <w:vAlign w:val="bottom"/>
            <w:tcBorders>
              <w:right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right w:val="single" w:sz="8" w:color="auto"/>
            </w:tcBorders>
          </w:tcPr>
          <w:p>
            <w:pPr>
              <w:spacing w:after="0" w:line="20" w:lineRule="exact"/>
              <w:rPr>
                <w:sz w:val="1"/>
                <w:szCs w:val="1"/>
                <w:color w:val="auto"/>
              </w:rPr>
            </w:pPr>
          </w:p>
        </w:tc>
      </w:tr>
      <w:tr>
        <w:trPr>
          <w:trHeight w:val="278"/>
        </w:trPr>
        <w:tc>
          <w:tcPr>
            <w:tcW w:w="420" w:type="dxa"/>
            <w:vAlign w:val="bottom"/>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r>
        <w:trPr>
          <w:trHeight w:val="189"/>
        </w:trPr>
        <w:tc>
          <w:tcPr>
            <w:tcW w:w="420" w:type="dxa"/>
            <w:vAlign w:val="bottom"/>
            <w:tcBorders>
              <w:right w:val="single" w:sz="8" w:color="auto"/>
            </w:tcBorders>
          </w:tcPr>
          <w:p>
            <w:pPr>
              <w:spacing w:after="0"/>
              <w:rPr>
                <w:sz w:val="16"/>
                <w:szCs w:val="16"/>
                <w:color w:val="auto"/>
              </w:rPr>
            </w:pPr>
          </w:p>
        </w:tc>
        <w:tc>
          <w:tcPr>
            <w:tcW w:w="27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Mortgagor/Mortgagee</w:t>
            </w:r>
          </w:p>
        </w:tc>
        <w:tc>
          <w:tcPr>
            <w:tcW w:w="79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Matrix North American Construction Ltd./JPMorgan Chase Bank, N.A., as Agent</w:t>
            </w:r>
          </w:p>
        </w:tc>
      </w:tr>
      <w:tr>
        <w:trPr>
          <w:trHeight w:val="22"/>
        </w:trPr>
        <w:tc>
          <w:tcPr>
            <w:tcW w:w="420" w:type="dxa"/>
            <w:vAlign w:val="bottom"/>
            <w:tcBorders>
              <w:right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right w:val="single" w:sz="8" w:color="auto"/>
            </w:tcBorders>
          </w:tcPr>
          <w:p>
            <w:pPr>
              <w:spacing w:after="0" w:line="20" w:lineRule="exact"/>
              <w:rPr>
                <w:sz w:val="1"/>
                <w:szCs w:val="1"/>
                <w:color w:val="auto"/>
              </w:rPr>
            </w:pPr>
          </w:p>
        </w:tc>
      </w:tr>
      <w:tr>
        <w:trPr>
          <w:trHeight w:val="189"/>
        </w:trPr>
        <w:tc>
          <w:tcPr>
            <w:tcW w:w="420" w:type="dxa"/>
            <w:vAlign w:val="bottom"/>
            <w:tcBorders>
              <w:right w:val="single" w:sz="8" w:color="auto"/>
            </w:tcBorders>
          </w:tcPr>
          <w:p>
            <w:pPr>
              <w:spacing w:after="0"/>
              <w:rPr>
                <w:sz w:val="16"/>
                <w:szCs w:val="16"/>
                <w:color w:val="auto"/>
              </w:rPr>
            </w:pPr>
          </w:p>
        </w:tc>
        <w:tc>
          <w:tcPr>
            <w:tcW w:w="27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Property Address</w:t>
            </w:r>
          </w:p>
        </w:tc>
        <w:tc>
          <w:tcPr>
            <w:tcW w:w="79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3196 Mainway, Burlington, Ontario L7M 1A5</w:t>
            </w:r>
          </w:p>
        </w:tc>
      </w:tr>
      <w:tr>
        <w:trPr>
          <w:trHeight w:val="22"/>
        </w:trPr>
        <w:tc>
          <w:tcPr>
            <w:tcW w:w="420" w:type="dxa"/>
            <w:vAlign w:val="bottom"/>
            <w:tcBorders>
              <w:right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right w:val="single" w:sz="8" w:color="auto"/>
            </w:tcBorders>
          </w:tcPr>
          <w:p>
            <w:pPr>
              <w:spacing w:after="0" w:line="20" w:lineRule="exact"/>
              <w:rPr>
                <w:sz w:val="1"/>
                <w:szCs w:val="1"/>
                <w:color w:val="auto"/>
              </w:rPr>
            </w:pPr>
          </w:p>
        </w:tc>
      </w:tr>
      <w:tr>
        <w:trPr>
          <w:trHeight w:val="189"/>
        </w:trPr>
        <w:tc>
          <w:tcPr>
            <w:tcW w:w="420" w:type="dxa"/>
            <w:vAlign w:val="bottom"/>
            <w:tcBorders>
              <w:right w:val="single" w:sz="8" w:color="auto"/>
            </w:tcBorders>
          </w:tcPr>
          <w:p>
            <w:pPr>
              <w:spacing w:after="0"/>
              <w:rPr>
                <w:sz w:val="16"/>
                <w:szCs w:val="16"/>
                <w:color w:val="auto"/>
              </w:rPr>
            </w:pPr>
          </w:p>
        </w:tc>
        <w:tc>
          <w:tcPr>
            <w:tcW w:w="27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Instrument</w:t>
            </w:r>
          </w:p>
        </w:tc>
        <w:tc>
          <w:tcPr>
            <w:tcW w:w="79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3/31/14 Debenture</w:t>
            </w:r>
          </w:p>
        </w:tc>
      </w:tr>
      <w:tr>
        <w:trPr>
          <w:trHeight w:val="22"/>
        </w:trPr>
        <w:tc>
          <w:tcPr>
            <w:tcW w:w="420" w:type="dxa"/>
            <w:vAlign w:val="bottom"/>
            <w:tcBorders>
              <w:right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right w:val="single" w:sz="8" w:color="auto"/>
            </w:tcBorders>
          </w:tcPr>
          <w:p>
            <w:pPr>
              <w:spacing w:after="0" w:line="20" w:lineRule="exact"/>
              <w:rPr>
                <w:sz w:val="1"/>
                <w:szCs w:val="1"/>
                <w:color w:val="auto"/>
              </w:rPr>
            </w:pPr>
          </w:p>
        </w:tc>
      </w:tr>
      <w:tr>
        <w:trPr>
          <w:trHeight w:val="385"/>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Michigan:</w:t>
            </w:r>
          </w:p>
        </w:tc>
        <w:tc>
          <w:tcPr>
            <w:tcW w:w="1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102"/>
        </w:trPr>
        <w:tc>
          <w:tcPr>
            <w:tcW w:w="420" w:type="dxa"/>
            <w:vAlign w:val="bottom"/>
          </w:tcPr>
          <w:p>
            <w:pPr>
              <w:spacing w:after="0"/>
              <w:rPr>
                <w:sz w:val="8"/>
                <w:szCs w:val="8"/>
                <w:color w:val="auto"/>
              </w:rPr>
            </w:pPr>
          </w:p>
        </w:tc>
        <w:tc>
          <w:tcPr>
            <w:tcW w:w="278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640" w:type="dxa"/>
            <w:vAlign w:val="bottom"/>
            <w:tcBorders>
              <w:bottom w:val="single" w:sz="8" w:color="auto"/>
            </w:tcBorders>
          </w:tcPr>
          <w:p>
            <w:pPr>
              <w:spacing w:after="0"/>
              <w:rPr>
                <w:sz w:val="8"/>
                <w:szCs w:val="8"/>
                <w:color w:val="auto"/>
              </w:rPr>
            </w:pPr>
          </w:p>
        </w:tc>
      </w:tr>
      <w:tr>
        <w:trPr>
          <w:trHeight w:val="189"/>
        </w:trPr>
        <w:tc>
          <w:tcPr>
            <w:tcW w:w="420" w:type="dxa"/>
            <w:vAlign w:val="bottom"/>
            <w:tcBorders>
              <w:right w:val="single" w:sz="8" w:color="auto"/>
            </w:tcBorders>
          </w:tcPr>
          <w:p>
            <w:pPr>
              <w:spacing w:after="0"/>
              <w:rPr>
                <w:sz w:val="16"/>
                <w:szCs w:val="16"/>
                <w:color w:val="auto"/>
              </w:rPr>
            </w:pPr>
          </w:p>
        </w:tc>
        <w:tc>
          <w:tcPr>
            <w:tcW w:w="27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Mortgagor/Mortgagee</w:t>
            </w:r>
          </w:p>
        </w:tc>
        <w:tc>
          <w:tcPr>
            <w:tcW w:w="79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Matrix Service Industrial Contractors, Inc./JPMorgan Chase Bank, N.A., as Agent</w:t>
            </w:r>
          </w:p>
        </w:tc>
      </w:tr>
      <w:tr>
        <w:trPr>
          <w:trHeight w:val="22"/>
        </w:trPr>
        <w:tc>
          <w:tcPr>
            <w:tcW w:w="420" w:type="dxa"/>
            <w:vAlign w:val="bottom"/>
            <w:tcBorders>
              <w:right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right w:val="single" w:sz="8" w:color="auto"/>
            </w:tcBorders>
          </w:tcPr>
          <w:p>
            <w:pPr>
              <w:spacing w:after="0" w:line="20" w:lineRule="exact"/>
              <w:rPr>
                <w:sz w:val="1"/>
                <w:szCs w:val="1"/>
                <w:color w:val="auto"/>
              </w:rPr>
            </w:pPr>
          </w:p>
        </w:tc>
      </w:tr>
      <w:tr>
        <w:trPr>
          <w:trHeight w:val="189"/>
        </w:trPr>
        <w:tc>
          <w:tcPr>
            <w:tcW w:w="420" w:type="dxa"/>
            <w:vAlign w:val="bottom"/>
            <w:tcBorders>
              <w:right w:val="single" w:sz="8" w:color="auto"/>
            </w:tcBorders>
          </w:tcPr>
          <w:p>
            <w:pPr>
              <w:spacing w:after="0"/>
              <w:rPr>
                <w:sz w:val="16"/>
                <w:szCs w:val="16"/>
                <w:color w:val="auto"/>
              </w:rPr>
            </w:pPr>
          </w:p>
        </w:tc>
        <w:tc>
          <w:tcPr>
            <w:tcW w:w="27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Property Address</w:t>
            </w:r>
          </w:p>
        </w:tc>
        <w:tc>
          <w:tcPr>
            <w:tcW w:w="79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6945 Crabb Road, Temperance, Michigan 48182</w:t>
            </w:r>
          </w:p>
        </w:tc>
      </w:tr>
      <w:tr>
        <w:trPr>
          <w:trHeight w:val="22"/>
        </w:trPr>
        <w:tc>
          <w:tcPr>
            <w:tcW w:w="420" w:type="dxa"/>
            <w:vAlign w:val="bottom"/>
            <w:tcBorders>
              <w:right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right w:val="single" w:sz="8" w:color="auto"/>
            </w:tcBorders>
          </w:tcPr>
          <w:p>
            <w:pPr>
              <w:spacing w:after="0" w:line="20" w:lineRule="exact"/>
              <w:rPr>
                <w:sz w:val="1"/>
                <w:szCs w:val="1"/>
                <w:color w:val="auto"/>
              </w:rPr>
            </w:pPr>
          </w:p>
        </w:tc>
      </w:tr>
      <w:tr>
        <w:trPr>
          <w:trHeight w:val="195"/>
        </w:trPr>
        <w:tc>
          <w:tcPr>
            <w:tcW w:w="420" w:type="dxa"/>
            <w:vAlign w:val="bottom"/>
            <w:tcBorders>
              <w:right w:val="single" w:sz="8" w:color="auto"/>
            </w:tcBorders>
          </w:tcPr>
          <w:p>
            <w:pPr>
              <w:spacing w:after="0"/>
              <w:rPr>
                <w:sz w:val="16"/>
                <w:szCs w:val="16"/>
                <w:color w:val="auto"/>
              </w:rPr>
            </w:pPr>
          </w:p>
        </w:tc>
        <w:tc>
          <w:tcPr>
            <w:tcW w:w="2780" w:type="dxa"/>
            <w:vAlign w:val="bottom"/>
            <w:tcBorders>
              <w:right w:val="single" w:sz="8" w:color="auto"/>
            </w:tcBorders>
          </w:tcPr>
          <w:p>
            <w:pPr>
              <w:spacing w:after="0"/>
              <w:rPr>
                <w:sz w:val="16"/>
                <w:szCs w:val="16"/>
                <w:color w:val="auto"/>
              </w:rPr>
            </w:pPr>
          </w:p>
        </w:tc>
        <w:tc>
          <w:tcPr>
            <w:tcW w:w="7900" w:type="dxa"/>
            <w:vAlign w:val="bottom"/>
            <w:tcBorders>
              <w:right w:val="single" w:sz="8" w:color="auto"/>
            </w:tcBorders>
            <w:gridSpan w:val="5"/>
          </w:tcPr>
          <w:p>
            <w:pPr>
              <w:ind w:left="20"/>
              <w:spacing w:after="0" w:line="195" w:lineRule="exact"/>
              <w:rPr>
                <w:sz w:val="20"/>
                <w:szCs w:val="20"/>
                <w:color w:val="auto"/>
              </w:rPr>
            </w:pPr>
            <w:r>
              <w:rPr>
                <w:rFonts w:ascii="Arial" w:cs="Arial" w:eastAsia="Arial" w:hAnsi="Arial"/>
                <w:sz w:val="18"/>
                <w:szCs w:val="18"/>
                <w:color w:val="auto"/>
              </w:rPr>
              <w:t>3/7/03 Mortgage;</w:t>
            </w:r>
          </w:p>
        </w:tc>
      </w:tr>
      <w:tr>
        <w:trPr>
          <w:trHeight w:val="230"/>
        </w:trPr>
        <w:tc>
          <w:tcPr>
            <w:tcW w:w="420" w:type="dxa"/>
            <w:vAlign w:val="bottom"/>
            <w:tcBorders>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Instrument</w:t>
            </w:r>
          </w:p>
        </w:tc>
        <w:tc>
          <w:tcPr>
            <w:tcW w:w="7900" w:type="dxa"/>
            <w:vAlign w:val="bottom"/>
            <w:tcBorders>
              <w:bottom w:val="single" w:sz="8" w:color="auto"/>
              <w:right w:val="single" w:sz="8" w:color="auto"/>
            </w:tcBorders>
            <w:gridSpan w:val="5"/>
          </w:tcPr>
          <w:p>
            <w:pPr>
              <w:ind w:left="20"/>
              <w:spacing w:after="0"/>
              <w:rPr>
                <w:sz w:val="20"/>
                <w:szCs w:val="20"/>
                <w:color w:val="auto"/>
              </w:rPr>
            </w:pPr>
            <w:r>
              <w:rPr>
                <w:rFonts w:ascii="Arial" w:cs="Arial" w:eastAsia="Arial" w:hAnsi="Arial"/>
                <w:sz w:val="18"/>
                <w:szCs w:val="18"/>
                <w:color w:val="auto"/>
              </w:rPr>
              <w:t>11/7/11 Mortgage Modification</w:t>
            </w:r>
          </w:p>
        </w:tc>
      </w:tr>
      <w:tr>
        <w:trPr>
          <w:trHeight w:val="202"/>
        </w:trPr>
        <w:tc>
          <w:tcPr>
            <w:tcW w:w="42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tcPr>
          <w:p>
            <w:pPr>
              <w:spacing w:after="0"/>
              <w:rPr>
                <w:sz w:val="17"/>
                <w:szCs w:val="17"/>
                <w:color w:val="auto"/>
              </w:rPr>
            </w:pPr>
          </w:p>
        </w:tc>
        <w:tc>
          <w:tcPr>
            <w:tcW w:w="7900" w:type="dxa"/>
            <w:vAlign w:val="bottom"/>
            <w:tcBorders>
              <w:right w:val="single" w:sz="8" w:color="auto"/>
            </w:tcBorders>
            <w:gridSpan w:val="5"/>
          </w:tcPr>
          <w:p>
            <w:pPr>
              <w:ind w:left="20"/>
              <w:spacing w:after="0" w:line="201" w:lineRule="exact"/>
              <w:rPr>
                <w:sz w:val="20"/>
                <w:szCs w:val="20"/>
                <w:color w:val="auto"/>
              </w:rPr>
            </w:pPr>
            <w:r>
              <w:rPr>
                <w:rFonts w:ascii="Arial" w:cs="Arial" w:eastAsia="Arial" w:hAnsi="Arial"/>
                <w:sz w:val="18"/>
                <w:szCs w:val="18"/>
                <w:color w:val="auto"/>
              </w:rPr>
              <w:t>Filed 4/2/03, Liber 2431, Page 159;</w:t>
            </w:r>
          </w:p>
        </w:tc>
      </w:tr>
      <w:tr>
        <w:trPr>
          <w:trHeight w:val="198"/>
        </w:trPr>
        <w:tc>
          <w:tcPr>
            <w:tcW w:w="42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tcPr>
          <w:p>
            <w:pPr>
              <w:spacing w:after="0"/>
              <w:rPr>
                <w:sz w:val="17"/>
                <w:szCs w:val="17"/>
                <w:color w:val="auto"/>
              </w:rPr>
            </w:pPr>
          </w:p>
        </w:tc>
        <w:tc>
          <w:tcPr>
            <w:tcW w:w="7900" w:type="dxa"/>
            <w:vAlign w:val="bottom"/>
            <w:tcBorders>
              <w:right w:val="single" w:sz="8" w:color="auto"/>
            </w:tcBorders>
            <w:gridSpan w:val="5"/>
          </w:tcPr>
          <w:p>
            <w:pPr>
              <w:ind w:left="20"/>
              <w:spacing w:after="0" w:line="199" w:lineRule="exact"/>
              <w:rPr>
                <w:sz w:val="20"/>
                <w:szCs w:val="20"/>
                <w:color w:val="auto"/>
              </w:rPr>
            </w:pPr>
            <w:r>
              <w:rPr>
                <w:rFonts w:ascii="Arial" w:cs="Arial" w:eastAsia="Arial" w:hAnsi="Arial"/>
                <w:sz w:val="18"/>
                <w:szCs w:val="18"/>
                <w:color w:val="auto"/>
              </w:rPr>
              <w:t>Filed 8/1/12, Liber 8029614, Page 5, Doc No. 2012R17460</w:t>
            </w:r>
          </w:p>
        </w:tc>
      </w:tr>
      <w:tr>
        <w:trPr>
          <w:trHeight w:val="198"/>
        </w:trPr>
        <w:tc>
          <w:tcPr>
            <w:tcW w:w="42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tcPr>
          <w:p>
            <w:pPr>
              <w:spacing w:after="0"/>
              <w:rPr>
                <w:sz w:val="17"/>
                <w:szCs w:val="17"/>
                <w:color w:val="auto"/>
              </w:rPr>
            </w:pPr>
          </w:p>
        </w:tc>
        <w:tc>
          <w:tcPr>
            <w:tcW w:w="7900" w:type="dxa"/>
            <w:vAlign w:val="bottom"/>
            <w:tcBorders>
              <w:right w:val="single" w:sz="8" w:color="auto"/>
            </w:tcBorders>
            <w:gridSpan w:val="5"/>
          </w:tcPr>
          <w:p>
            <w:pPr>
              <w:ind w:left="20"/>
              <w:spacing w:after="0" w:line="199" w:lineRule="exact"/>
              <w:rPr>
                <w:sz w:val="20"/>
                <w:szCs w:val="20"/>
                <w:color w:val="auto"/>
              </w:rPr>
            </w:pPr>
            <w:r>
              <w:rPr>
                <w:rFonts w:ascii="Arial" w:cs="Arial" w:eastAsia="Arial" w:hAnsi="Arial"/>
                <w:sz w:val="18"/>
                <w:szCs w:val="18"/>
                <w:color w:val="auto"/>
              </w:rPr>
              <w:t>Monroe County Register of Deeds</w:t>
            </w:r>
          </w:p>
        </w:tc>
      </w:tr>
      <w:tr>
        <w:trPr>
          <w:trHeight w:val="198"/>
        </w:trPr>
        <w:tc>
          <w:tcPr>
            <w:tcW w:w="42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tcPr>
          <w:p>
            <w:pPr>
              <w:spacing w:after="0"/>
              <w:rPr>
                <w:sz w:val="17"/>
                <w:szCs w:val="17"/>
                <w:color w:val="auto"/>
              </w:rPr>
            </w:pPr>
          </w:p>
        </w:tc>
        <w:tc>
          <w:tcPr>
            <w:tcW w:w="7900" w:type="dxa"/>
            <w:vAlign w:val="bottom"/>
            <w:tcBorders>
              <w:right w:val="single" w:sz="8" w:color="auto"/>
            </w:tcBorders>
            <w:gridSpan w:val="5"/>
          </w:tcPr>
          <w:p>
            <w:pPr>
              <w:ind w:left="20"/>
              <w:spacing w:after="0" w:line="199" w:lineRule="exact"/>
              <w:rPr>
                <w:sz w:val="20"/>
                <w:szCs w:val="20"/>
                <w:color w:val="auto"/>
              </w:rPr>
            </w:pPr>
            <w:r>
              <w:rPr>
                <w:rFonts w:ascii="Arial" w:cs="Arial" w:eastAsia="Arial" w:hAnsi="Arial"/>
                <w:sz w:val="18"/>
                <w:szCs w:val="18"/>
                <w:color w:val="auto"/>
              </w:rPr>
              <w:t>106 E. First</w:t>
            </w:r>
          </w:p>
        </w:tc>
      </w:tr>
      <w:tr>
        <w:trPr>
          <w:trHeight w:val="230"/>
        </w:trPr>
        <w:tc>
          <w:tcPr>
            <w:tcW w:w="420" w:type="dxa"/>
            <w:vAlign w:val="bottom"/>
            <w:tcBorders>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Recording Info</w:t>
            </w:r>
          </w:p>
        </w:tc>
        <w:tc>
          <w:tcPr>
            <w:tcW w:w="7900" w:type="dxa"/>
            <w:vAlign w:val="bottom"/>
            <w:tcBorders>
              <w:bottom w:val="single" w:sz="8" w:color="auto"/>
              <w:right w:val="single" w:sz="8" w:color="auto"/>
            </w:tcBorders>
            <w:gridSpan w:val="5"/>
          </w:tcPr>
          <w:p>
            <w:pPr>
              <w:ind w:left="20"/>
              <w:spacing w:after="0"/>
              <w:rPr>
                <w:sz w:val="20"/>
                <w:szCs w:val="20"/>
                <w:color w:val="auto"/>
              </w:rPr>
            </w:pPr>
            <w:r>
              <w:rPr>
                <w:rFonts w:ascii="Arial" w:cs="Arial" w:eastAsia="Arial" w:hAnsi="Arial"/>
                <w:sz w:val="18"/>
                <w:szCs w:val="18"/>
                <w:color w:val="auto"/>
              </w:rPr>
              <w:t>Monroe, MI 48161</w:t>
            </w:r>
          </w:p>
        </w:tc>
      </w:tr>
      <w:tr>
        <w:trPr>
          <w:trHeight w:val="392"/>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Oklahoma:</w:t>
            </w:r>
          </w:p>
        </w:tc>
        <w:tc>
          <w:tcPr>
            <w:tcW w:w="1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102"/>
        </w:trPr>
        <w:tc>
          <w:tcPr>
            <w:tcW w:w="420" w:type="dxa"/>
            <w:vAlign w:val="bottom"/>
          </w:tcPr>
          <w:p>
            <w:pPr>
              <w:spacing w:after="0"/>
              <w:rPr>
                <w:sz w:val="8"/>
                <w:szCs w:val="8"/>
                <w:color w:val="auto"/>
              </w:rPr>
            </w:pPr>
          </w:p>
        </w:tc>
        <w:tc>
          <w:tcPr>
            <w:tcW w:w="278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640" w:type="dxa"/>
            <w:vAlign w:val="bottom"/>
            <w:tcBorders>
              <w:bottom w:val="single" w:sz="8" w:color="auto"/>
            </w:tcBorders>
          </w:tcPr>
          <w:p>
            <w:pPr>
              <w:spacing w:after="0"/>
              <w:rPr>
                <w:sz w:val="8"/>
                <w:szCs w:val="8"/>
                <w:color w:val="auto"/>
              </w:rPr>
            </w:pPr>
          </w:p>
        </w:tc>
      </w:tr>
      <w:tr>
        <w:trPr>
          <w:trHeight w:val="189"/>
        </w:trPr>
        <w:tc>
          <w:tcPr>
            <w:tcW w:w="420" w:type="dxa"/>
            <w:vAlign w:val="bottom"/>
            <w:tcBorders>
              <w:right w:val="single" w:sz="8" w:color="auto"/>
            </w:tcBorders>
          </w:tcPr>
          <w:p>
            <w:pPr>
              <w:spacing w:after="0"/>
              <w:rPr>
                <w:sz w:val="16"/>
                <w:szCs w:val="16"/>
                <w:color w:val="auto"/>
              </w:rPr>
            </w:pPr>
          </w:p>
        </w:tc>
        <w:tc>
          <w:tcPr>
            <w:tcW w:w="27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Mortgagor/Mortgagee</w:t>
            </w:r>
          </w:p>
        </w:tc>
        <w:tc>
          <w:tcPr>
            <w:tcW w:w="79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Matrix Service Company/JPMorgan Chase Bank, N.A., as Agent</w:t>
            </w:r>
          </w:p>
        </w:tc>
      </w:tr>
      <w:tr>
        <w:trPr>
          <w:trHeight w:val="22"/>
        </w:trPr>
        <w:tc>
          <w:tcPr>
            <w:tcW w:w="420" w:type="dxa"/>
            <w:vAlign w:val="bottom"/>
            <w:tcBorders>
              <w:right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right w:val="single" w:sz="8" w:color="auto"/>
            </w:tcBorders>
          </w:tcPr>
          <w:p>
            <w:pPr>
              <w:spacing w:after="0" w:line="20" w:lineRule="exact"/>
              <w:rPr>
                <w:sz w:val="1"/>
                <w:szCs w:val="1"/>
                <w:color w:val="auto"/>
              </w:rPr>
            </w:pPr>
          </w:p>
        </w:tc>
      </w:tr>
      <w:tr>
        <w:trPr>
          <w:trHeight w:val="189"/>
        </w:trPr>
        <w:tc>
          <w:tcPr>
            <w:tcW w:w="420" w:type="dxa"/>
            <w:vAlign w:val="bottom"/>
            <w:tcBorders>
              <w:right w:val="single" w:sz="8" w:color="auto"/>
            </w:tcBorders>
          </w:tcPr>
          <w:p>
            <w:pPr>
              <w:spacing w:after="0"/>
              <w:rPr>
                <w:sz w:val="16"/>
                <w:szCs w:val="16"/>
                <w:color w:val="auto"/>
              </w:rPr>
            </w:pPr>
          </w:p>
        </w:tc>
        <w:tc>
          <w:tcPr>
            <w:tcW w:w="27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Property Address</w:t>
            </w:r>
          </w:p>
        </w:tc>
        <w:tc>
          <w:tcPr>
            <w:tcW w:w="7900" w:type="dxa"/>
            <w:vAlign w:val="bottom"/>
            <w:tcBorders>
              <w:right w:val="single" w:sz="8" w:color="auto"/>
            </w:tcBorders>
            <w:gridSpan w:val="5"/>
          </w:tcPr>
          <w:p>
            <w:pPr>
              <w:ind w:left="20"/>
              <w:spacing w:after="0"/>
              <w:rPr>
                <w:sz w:val="20"/>
                <w:szCs w:val="20"/>
                <w:color w:val="auto"/>
              </w:rPr>
            </w:pPr>
            <w:r>
              <w:rPr>
                <w:rFonts w:ascii="Arial" w:cs="Arial" w:eastAsia="Arial" w:hAnsi="Arial"/>
                <w:sz w:val="15"/>
                <w:szCs w:val="15"/>
                <w:color w:val="auto"/>
              </w:rPr>
              <w:t>1105 West Main Parkway, Catoosa, OK</w:t>
            </w:r>
          </w:p>
        </w:tc>
      </w:tr>
      <w:tr>
        <w:trPr>
          <w:trHeight w:val="22"/>
        </w:trPr>
        <w:tc>
          <w:tcPr>
            <w:tcW w:w="420" w:type="dxa"/>
            <w:vAlign w:val="bottom"/>
            <w:tcBorders>
              <w:right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right w:val="single" w:sz="8" w:color="auto"/>
            </w:tcBorders>
          </w:tcPr>
          <w:p>
            <w:pPr>
              <w:spacing w:after="0" w:line="20" w:lineRule="exact"/>
              <w:rPr>
                <w:sz w:val="1"/>
                <w:szCs w:val="1"/>
                <w:color w:val="auto"/>
              </w:rPr>
            </w:pPr>
          </w:p>
        </w:tc>
      </w:tr>
      <w:tr>
        <w:trPr>
          <w:trHeight w:val="195"/>
        </w:trPr>
        <w:tc>
          <w:tcPr>
            <w:tcW w:w="420" w:type="dxa"/>
            <w:vAlign w:val="bottom"/>
            <w:tcBorders>
              <w:right w:val="single" w:sz="8" w:color="auto"/>
            </w:tcBorders>
          </w:tcPr>
          <w:p>
            <w:pPr>
              <w:spacing w:after="0"/>
              <w:rPr>
                <w:sz w:val="16"/>
                <w:szCs w:val="16"/>
                <w:color w:val="auto"/>
              </w:rPr>
            </w:pPr>
          </w:p>
        </w:tc>
        <w:tc>
          <w:tcPr>
            <w:tcW w:w="2780" w:type="dxa"/>
            <w:vAlign w:val="bottom"/>
            <w:tcBorders>
              <w:right w:val="single" w:sz="8" w:color="auto"/>
            </w:tcBorders>
          </w:tcPr>
          <w:p>
            <w:pPr>
              <w:spacing w:after="0"/>
              <w:rPr>
                <w:sz w:val="16"/>
                <w:szCs w:val="16"/>
                <w:color w:val="auto"/>
              </w:rPr>
            </w:pPr>
          </w:p>
        </w:tc>
        <w:tc>
          <w:tcPr>
            <w:tcW w:w="7900" w:type="dxa"/>
            <w:vAlign w:val="bottom"/>
            <w:tcBorders>
              <w:right w:val="single" w:sz="8" w:color="auto"/>
            </w:tcBorders>
            <w:gridSpan w:val="5"/>
          </w:tcPr>
          <w:p>
            <w:pPr>
              <w:ind w:left="20"/>
              <w:spacing w:after="0" w:line="195" w:lineRule="exact"/>
              <w:rPr>
                <w:sz w:val="20"/>
                <w:szCs w:val="20"/>
                <w:color w:val="auto"/>
              </w:rPr>
            </w:pPr>
            <w:r>
              <w:rPr>
                <w:rFonts w:ascii="Arial" w:cs="Arial" w:eastAsia="Arial" w:hAnsi="Arial"/>
                <w:sz w:val="18"/>
                <w:szCs w:val="18"/>
                <w:color w:val="auto"/>
                <w:w w:val="89"/>
              </w:rPr>
              <w:t>3/7/03 Leasehold Mortgage, Assignment of Leases and Rents, Security Agreement and Financing Statement;</w:t>
            </w:r>
          </w:p>
        </w:tc>
      </w:tr>
      <w:tr>
        <w:trPr>
          <w:trHeight w:val="198"/>
        </w:trPr>
        <w:tc>
          <w:tcPr>
            <w:tcW w:w="42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tcPr>
          <w:p>
            <w:pPr>
              <w:spacing w:after="0"/>
              <w:rPr>
                <w:sz w:val="17"/>
                <w:szCs w:val="17"/>
                <w:color w:val="auto"/>
              </w:rPr>
            </w:pPr>
          </w:p>
        </w:tc>
        <w:tc>
          <w:tcPr>
            <w:tcW w:w="7900" w:type="dxa"/>
            <w:vAlign w:val="bottom"/>
            <w:tcBorders>
              <w:right w:val="single" w:sz="8" w:color="auto"/>
            </w:tcBorders>
            <w:gridSpan w:val="5"/>
          </w:tcPr>
          <w:p>
            <w:pPr>
              <w:ind w:left="20"/>
              <w:spacing w:after="0" w:line="199" w:lineRule="exact"/>
              <w:rPr>
                <w:sz w:val="20"/>
                <w:szCs w:val="20"/>
                <w:color w:val="auto"/>
              </w:rPr>
            </w:pPr>
            <w:r>
              <w:rPr>
                <w:rFonts w:ascii="Arial" w:cs="Arial" w:eastAsia="Arial" w:hAnsi="Arial"/>
                <w:sz w:val="18"/>
                <w:szCs w:val="18"/>
                <w:color w:val="auto"/>
                <w:w w:val="94"/>
              </w:rPr>
              <w:t>11/7/11 Modification to Leasehold Mortgage, Assignment of Leases and Rents, Security Agreement and</w:t>
            </w:r>
          </w:p>
        </w:tc>
      </w:tr>
      <w:tr>
        <w:trPr>
          <w:trHeight w:val="230"/>
        </w:trPr>
        <w:tc>
          <w:tcPr>
            <w:tcW w:w="420" w:type="dxa"/>
            <w:vAlign w:val="bottom"/>
            <w:tcBorders>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Instrument</w:t>
            </w:r>
          </w:p>
        </w:tc>
        <w:tc>
          <w:tcPr>
            <w:tcW w:w="7900" w:type="dxa"/>
            <w:vAlign w:val="bottom"/>
            <w:tcBorders>
              <w:bottom w:val="single" w:sz="8" w:color="auto"/>
              <w:right w:val="single" w:sz="8" w:color="auto"/>
            </w:tcBorders>
            <w:gridSpan w:val="5"/>
          </w:tcPr>
          <w:p>
            <w:pPr>
              <w:ind w:left="20"/>
              <w:spacing w:after="0"/>
              <w:rPr>
                <w:sz w:val="20"/>
                <w:szCs w:val="20"/>
                <w:color w:val="auto"/>
              </w:rPr>
            </w:pPr>
            <w:r>
              <w:rPr>
                <w:rFonts w:ascii="Arial" w:cs="Arial" w:eastAsia="Arial" w:hAnsi="Arial"/>
                <w:sz w:val="18"/>
                <w:szCs w:val="18"/>
                <w:color w:val="auto"/>
              </w:rPr>
              <w:t>Financing Statement</w:t>
            </w:r>
          </w:p>
        </w:tc>
      </w:tr>
      <w:tr>
        <w:trPr>
          <w:trHeight w:val="202"/>
        </w:trPr>
        <w:tc>
          <w:tcPr>
            <w:tcW w:w="42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tcPr>
          <w:p>
            <w:pPr>
              <w:spacing w:after="0"/>
              <w:rPr>
                <w:sz w:val="17"/>
                <w:szCs w:val="17"/>
                <w:color w:val="auto"/>
              </w:rPr>
            </w:pPr>
          </w:p>
        </w:tc>
        <w:tc>
          <w:tcPr>
            <w:tcW w:w="7900" w:type="dxa"/>
            <w:vAlign w:val="bottom"/>
            <w:tcBorders>
              <w:right w:val="single" w:sz="8" w:color="auto"/>
            </w:tcBorders>
            <w:gridSpan w:val="5"/>
          </w:tcPr>
          <w:p>
            <w:pPr>
              <w:ind w:left="20"/>
              <w:spacing w:after="0" w:line="201" w:lineRule="exact"/>
              <w:rPr>
                <w:sz w:val="20"/>
                <w:szCs w:val="20"/>
                <w:color w:val="auto"/>
              </w:rPr>
            </w:pPr>
            <w:r>
              <w:rPr>
                <w:rFonts w:ascii="Arial" w:cs="Arial" w:eastAsia="Arial" w:hAnsi="Arial"/>
                <w:sz w:val="18"/>
                <w:szCs w:val="18"/>
                <w:color w:val="auto"/>
              </w:rPr>
              <w:t>Filed 12/4/03, Book 1547, Page 0373, Doc No. 026796;</w:t>
            </w:r>
          </w:p>
        </w:tc>
      </w:tr>
      <w:tr>
        <w:trPr>
          <w:trHeight w:val="198"/>
        </w:trPr>
        <w:tc>
          <w:tcPr>
            <w:tcW w:w="42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tcPr>
          <w:p>
            <w:pPr>
              <w:spacing w:after="0"/>
              <w:rPr>
                <w:sz w:val="17"/>
                <w:szCs w:val="17"/>
                <w:color w:val="auto"/>
              </w:rPr>
            </w:pPr>
          </w:p>
        </w:tc>
        <w:tc>
          <w:tcPr>
            <w:tcW w:w="7900" w:type="dxa"/>
            <w:vAlign w:val="bottom"/>
            <w:tcBorders>
              <w:right w:val="single" w:sz="8" w:color="auto"/>
            </w:tcBorders>
            <w:gridSpan w:val="5"/>
          </w:tcPr>
          <w:p>
            <w:pPr>
              <w:ind w:left="20"/>
              <w:spacing w:after="0" w:line="199" w:lineRule="exact"/>
              <w:rPr>
                <w:sz w:val="20"/>
                <w:szCs w:val="20"/>
                <w:color w:val="auto"/>
              </w:rPr>
            </w:pPr>
            <w:r>
              <w:rPr>
                <w:rFonts w:ascii="Arial" w:cs="Arial" w:eastAsia="Arial" w:hAnsi="Arial"/>
                <w:sz w:val="18"/>
                <w:szCs w:val="18"/>
                <w:color w:val="auto"/>
              </w:rPr>
              <w:t>Filed 7/18/12, Book 2258, Page 209</w:t>
            </w:r>
          </w:p>
        </w:tc>
      </w:tr>
      <w:tr>
        <w:trPr>
          <w:trHeight w:val="198"/>
        </w:trPr>
        <w:tc>
          <w:tcPr>
            <w:tcW w:w="42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tcPr>
          <w:p>
            <w:pPr>
              <w:spacing w:after="0"/>
              <w:rPr>
                <w:sz w:val="17"/>
                <w:szCs w:val="17"/>
                <w:color w:val="auto"/>
              </w:rPr>
            </w:pPr>
          </w:p>
        </w:tc>
        <w:tc>
          <w:tcPr>
            <w:tcW w:w="7900" w:type="dxa"/>
            <w:vAlign w:val="bottom"/>
            <w:tcBorders>
              <w:right w:val="single" w:sz="8" w:color="auto"/>
            </w:tcBorders>
            <w:gridSpan w:val="5"/>
          </w:tcPr>
          <w:p>
            <w:pPr>
              <w:ind w:left="20"/>
              <w:spacing w:after="0" w:line="199" w:lineRule="exact"/>
              <w:rPr>
                <w:sz w:val="20"/>
                <w:szCs w:val="20"/>
                <w:color w:val="auto"/>
              </w:rPr>
            </w:pPr>
            <w:r>
              <w:rPr>
                <w:rFonts w:ascii="Arial" w:cs="Arial" w:eastAsia="Arial" w:hAnsi="Arial"/>
                <w:sz w:val="18"/>
                <w:szCs w:val="18"/>
                <w:color w:val="auto"/>
              </w:rPr>
              <w:t>Rogers County Clerk</w:t>
            </w:r>
          </w:p>
        </w:tc>
      </w:tr>
      <w:tr>
        <w:trPr>
          <w:trHeight w:val="198"/>
        </w:trPr>
        <w:tc>
          <w:tcPr>
            <w:tcW w:w="42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tcPr>
          <w:p>
            <w:pPr>
              <w:spacing w:after="0"/>
              <w:rPr>
                <w:sz w:val="17"/>
                <w:szCs w:val="17"/>
                <w:color w:val="auto"/>
              </w:rPr>
            </w:pPr>
          </w:p>
        </w:tc>
        <w:tc>
          <w:tcPr>
            <w:tcW w:w="7900" w:type="dxa"/>
            <w:vAlign w:val="bottom"/>
            <w:tcBorders>
              <w:right w:val="single" w:sz="8" w:color="auto"/>
            </w:tcBorders>
            <w:gridSpan w:val="5"/>
          </w:tcPr>
          <w:p>
            <w:pPr>
              <w:ind w:left="20"/>
              <w:spacing w:after="0" w:line="199" w:lineRule="exact"/>
              <w:rPr>
                <w:sz w:val="20"/>
                <w:szCs w:val="20"/>
                <w:color w:val="auto"/>
              </w:rPr>
            </w:pPr>
            <w:r>
              <w:rPr>
                <w:rFonts w:ascii="Arial" w:cs="Arial" w:eastAsia="Arial" w:hAnsi="Arial"/>
                <w:sz w:val="18"/>
                <w:szCs w:val="18"/>
                <w:color w:val="auto"/>
              </w:rPr>
              <w:t>Rogers County Courthouse</w:t>
            </w:r>
          </w:p>
        </w:tc>
      </w:tr>
      <w:tr>
        <w:trPr>
          <w:trHeight w:val="198"/>
        </w:trPr>
        <w:tc>
          <w:tcPr>
            <w:tcW w:w="42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tcPr>
          <w:p>
            <w:pPr>
              <w:spacing w:after="0"/>
              <w:rPr>
                <w:sz w:val="17"/>
                <w:szCs w:val="17"/>
                <w:color w:val="auto"/>
              </w:rPr>
            </w:pPr>
          </w:p>
        </w:tc>
        <w:tc>
          <w:tcPr>
            <w:tcW w:w="7900" w:type="dxa"/>
            <w:vAlign w:val="bottom"/>
            <w:tcBorders>
              <w:right w:val="single" w:sz="8" w:color="auto"/>
            </w:tcBorders>
            <w:gridSpan w:val="5"/>
          </w:tcPr>
          <w:p>
            <w:pPr>
              <w:ind w:left="20"/>
              <w:spacing w:after="0" w:line="199" w:lineRule="exact"/>
              <w:rPr>
                <w:sz w:val="20"/>
                <w:szCs w:val="20"/>
                <w:color w:val="auto"/>
              </w:rPr>
            </w:pPr>
            <w:r>
              <w:rPr>
                <w:rFonts w:ascii="Arial" w:cs="Arial" w:eastAsia="Arial" w:hAnsi="Arial"/>
                <w:sz w:val="18"/>
                <w:szCs w:val="18"/>
                <w:color w:val="auto"/>
              </w:rPr>
              <w:t>P. O. Box 1210</w:t>
            </w:r>
          </w:p>
        </w:tc>
      </w:tr>
      <w:tr>
        <w:trPr>
          <w:trHeight w:val="230"/>
        </w:trPr>
        <w:tc>
          <w:tcPr>
            <w:tcW w:w="420" w:type="dxa"/>
            <w:vAlign w:val="bottom"/>
            <w:tcBorders>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Recording Info</w:t>
            </w:r>
          </w:p>
        </w:tc>
        <w:tc>
          <w:tcPr>
            <w:tcW w:w="7900" w:type="dxa"/>
            <w:vAlign w:val="bottom"/>
            <w:tcBorders>
              <w:bottom w:val="single" w:sz="8" w:color="auto"/>
              <w:right w:val="single" w:sz="8" w:color="auto"/>
            </w:tcBorders>
            <w:gridSpan w:val="5"/>
          </w:tcPr>
          <w:p>
            <w:pPr>
              <w:ind w:left="20"/>
              <w:spacing w:after="0"/>
              <w:rPr>
                <w:sz w:val="20"/>
                <w:szCs w:val="20"/>
                <w:color w:val="auto"/>
              </w:rPr>
            </w:pPr>
            <w:r>
              <w:rPr>
                <w:rFonts w:ascii="Arial" w:cs="Arial" w:eastAsia="Arial" w:hAnsi="Arial"/>
                <w:sz w:val="18"/>
                <w:szCs w:val="18"/>
                <w:color w:val="auto"/>
              </w:rPr>
              <w:t>Claremore, OK 74017</w:t>
            </w:r>
          </w:p>
        </w:tc>
      </w:tr>
      <w:tr>
        <w:trPr>
          <w:trHeight w:val="373"/>
        </w:trPr>
        <w:tc>
          <w:tcPr>
            <w:tcW w:w="4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900" w:type="dxa"/>
            <w:vAlign w:val="bottom"/>
            <w:gridSpan w:val="3"/>
          </w:tcPr>
          <w:p>
            <w:pPr>
              <w:jc w:val="center"/>
              <w:ind w:left="2077"/>
              <w:spacing w:after="0"/>
              <w:rPr>
                <w:sz w:val="20"/>
                <w:szCs w:val="20"/>
                <w:color w:val="auto"/>
              </w:rPr>
            </w:pPr>
            <w:r>
              <w:rPr>
                <w:rFonts w:ascii="Arial" w:cs="Arial" w:eastAsia="Arial" w:hAnsi="Arial"/>
                <w:sz w:val="15"/>
                <w:szCs w:val="15"/>
                <w:color w:val="auto"/>
                <w:w w:val="87"/>
              </w:rPr>
              <w:t>151</w:t>
            </w:r>
          </w:p>
        </w:tc>
        <w:tc>
          <w:tcPr>
            <w:tcW w:w="360" w:type="dxa"/>
            <w:vAlign w:val="bottom"/>
          </w:tcPr>
          <w:p>
            <w:pPr>
              <w:spacing w:after="0"/>
              <w:rPr>
                <w:sz w:val="24"/>
                <w:szCs w:val="24"/>
                <w:color w:val="auto"/>
              </w:rPr>
            </w:pPr>
          </w:p>
        </w:tc>
        <w:tc>
          <w:tcPr>
            <w:tcW w:w="4640" w:type="dxa"/>
            <w:vAlign w:val="bottom"/>
          </w:tcPr>
          <w:p>
            <w:pPr>
              <w:spacing w:after="0"/>
              <w:rPr>
                <w:sz w:val="24"/>
                <w:szCs w:val="24"/>
                <w:color w:val="auto"/>
              </w:rPr>
            </w:pPr>
          </w:p>
        </w:tc>
      </w:tr>
    </w:tbl>
    <w:p>
      <w:pPr>
        <w:sectPr>
          <w:pgSz w:w="11900" w:h="16838" w:orient="portrait"/>
          <w:cols w:equalWidth="0" w:num="1">
            <w:col w:w="11100"/>
          </w:cols>
          <w:pgMar w:left="220" w:top="484" w:right="57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b w:val="1"/>
          <w:bCs w:val="1"/>
          <w:color w:val="auto"/>
        </w:rPr>
        <w:t>Texas: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20" w:type="dxa"/>
            <w:vAlign w:val="bottom"/>
            <w:tcBorders>
              <w:right w:val="single" w:sz="8" w:color="auto"/>
            </w:tcBorders>
          </w:tcPr>
          <w:p>
            <w:pPr>
              <w:spacing w:after="0"/>
              <w:rPr>
                <w:sz w:val="18"/>
                <w:szCs w:val="18"/>
                <w:color w:val="auto"/>
              </w:rPr>
            </w:pPr>
          </w:p>
        </w:tc>
        <w:tc>
          <w:tcPr>
            <w:tcW w:w="2780" w:type="dxa"/>
            <w:vAlign w:val="bottom"/>
            <w:tcBorders>
              <w:top w:val="single" w:sz="8" w:color="auto"/>
              <w:right w:val="single" w:sz="8" w:color="auto"/>
            </w:tcBorders>
          </w:tcPr>
          <w:p>
            <w:pPr>
              <w:spacing w:after="0"/>
              <w:rPr>
                <w:sz w:val="20"/>
                <w:szCs w:val="20"/>
                <w:color w:val="auto"/>
              </w:rPr>
            </w:pPr>
            <w:r>
              <w:rPr>
                <w:rFonts w:ascii="Arial" w:cs="Arial" w:eastAsia="Arial" w:hAnsi="Arial"/>
                <w:sz w:val="15"/>
                <w:szCs w:val="15"/>
                <w:color w:val="auto"/>
              </w:rPr>
              <w:t>Mortgagor/Mortgagee</w:t>
            </w:r>
          </w:p>
        </w:tc>
        <w:tc>
          <w:tcPr>
            <w:tcW w:w="7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Matrix Service Inc./JPMorgan Chase Bank, N.A., as Agent</w:t>
            </w:r>
          </w:p>
        </w:tc>
      </w:tr>
      <w:tr>
        <w:trPr>
          <w:trHeight w:val="22"/>
        </w:trPr>
        <w:tc>
          <w:tcPr>
            <w:tcW w:w="420" w:type="dxa"/>
            <w:vAlign w:val="bottom"/>
            <w:tcBorders>
              <w:right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c>
          <w:tcPr>
            <w:tcW w:w="7900" w:type="dxa"/>
            <w:vAlign w:val="bottom"/>
            <w:tcBorders>
              <w:bottom w:val="single" w:sz="8" w:color="auto"/>
              <w:right w:val="single" w:sz="8" w:color="auto"/>
            </w:tcBorders>
          </w:tcPr>
          <w:p>
            <w:pPr>
              <w:spacing w:after="0" w:line="20" w:lineRule="exact"/>
              <w:rPr>
                <w:sz w:val="1"/>
                <w:szCs w:val="1"/>
                <w:color w:val="auto"/>
              </w:rPr>
            </w:pPr>
          </w:p>
        </w:tc>
      </w:tr>
      <w:tr>
        <w:trPr>
          <w:trHeight w:val="189"/>
        </w:trPr>
        <w:tc>
          <w:tcPr>
            <w:tcW w:w="420" w:type="dxa"/>
            <w:vAlign w:val="bottom"/>
            <w:tcBorders>
              <w:right w:val="single" w:sz="8" w:color="auto"/>
            </w:tcBorders>
          </w:tcPr>
          <w:p>
            <w:pPr>
              <w:spacing w:after="0"/>
              <w:rPr>
                <w:sz w:val="16"/>
                <w:szCs w:val="16"/>
                <w:color w:val="auto"/>
              </w:rPr>
            </w:pPr>
          </w:p>
        </w:tc>
        <w:tc>
          <w:tcPr>
            <w:tcW w:w="27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Property Address</w:t>
            </w:r>
          </w:p>
        </w:tc>
        <w:tc>
          <w:tcPr>
            <w:tcW w:w="79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7021 Gregdale Road, Houston, Texas 77049</w:t>
            </w:r>
          </w:p>
        </w:tc>
      </w:tr>
      <w:tr>
        <w:trPr>
          <w:trHeight w:val="22"/>
        </w:trPr>
        <w:tc>
          <w:tcPr>
            <w:tcW w:w="420" w:type="dxa"/>
            <w:vAlign w:val="bottom"/>
            <w:tcBorders>
              <w:right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c>
          <w:tcPr>
            <w:tcW w:w="7900" w:type="dxa"/>
            <w:vAlign w:val="bottom"/>
            <w:tcBorders>
              <w:bottom w:val="single" w:sz="8" w:color="auto"/>
              <w:right w:val="single" w:sz="8" w:color="auto"/>
            </w:tcBorders>
          </w:tcPr>
          <w:p>
            <w:pPr>
              <w:spacing w:after="0" w:line="20" w:lineRule="exact"/>
              <w:rPr>
                <w:sz w:val="1"/>
                <w:szCs w:val="1"/>
                <w:color w:val="auto"/>
              </w:rPr>
            </w:pPr>
          </w:p>
        </w:tc>
      </w:tr>
      <w:tr>
        <w:trPr>
          <w:trHeight w:val="195"/>
        </w:trPr>
        <w:tc>
          <w:tcPr>
            <w:tcW w:w="420" w:type="dxa"/>
            <w:vAlign w:val="bottom"/>
            <w:tcBorders>
              <w:right w:val="single" w:sz="8" w:color="auto"/>
            </w:tcBorders>
          </w:tcPr>
          <w:p>
            <w:pPr>
              <w:spacing w:after="0"/>
              <w:rPr>
                <w:sz w:val="16"/>
                <w:szCs w:val="16"/>
                <w:color w:val="auto"/>
              </w:rPr>
            </w:pPr>
          </w:p>
        </w:tc>
        <w:tc>
          <w:tcPr>
            <w:tcW w:w="2780" w:type="dxa"/>
            <w:vAlign w:val="bottom"/>
            <w:tcBorders>
              <w:right w:val="single" w:sz="8" w:color="auto"/>
            </w:tcBorders>
          </w:tcPr>
          <w:p>
            <w:pPr>
              <w:spacing w:after="0"/>
              <w:rPr>
                <w:sz w:val="16"/>
                <w:szCs w:val="16"/>
                <w:color w:val="auto"/>
              </w:rPr>
            </w:pPr>
          </w:p>
        </w:tc>
        <w:tc>
          <w:tcPr>
            <w:tcW w:w="790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6"/>
              </w:rPr>
              <w:t>3/7/03 Deed of Trust Assignment of Leases and Rents, Security Agreement and Financing Statement;</w:t>
            </w:r>
          </w:p>
        </w:tc>
      </w:tr>
      <w:tr>
        <w:trPr>
          <w:trHeight w:val="198"/>
        </w:trPr>
        <w:tc>
          <w:tcPr>
            <w:tcW w:w="42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tcPr>
          <w:p>
            <w:pPr>
              <w:spacing w:after="0"/>
              <w:rPr>
                <w:sz w:val="17"/>
                <w:szCs w:val="17"/>
                <w:color w:val="auto"/>
              </w:rPr>
            </w:pPr>
          </w:p>
        </w:tc>
        <w:tc>
          <w:tcPr>
            <w:tcW w:w="7900" w:type="dxa"/>
            <w:vAlign w:val="bottom"/>
            <w:tcBorders>
              <w:right w:val="single" w:sz="8" w:color="auto"/>
            </w:tcBorders>
          </w:tcPr>
          <w:p>
            <w:pPr>
              <w:ind w:left="20"/>
              <w:spacing w:after="0" w:line="199" w:lineRule="exact"/>
              <w:rPr>
                <w:sz w:val="20"/>
                <w:szCs w:val="20"/>
                <w:color w:val="auto"/>
              </w:rPr>
            </w:pPr>
            <w:r>
              <w:rPr>
                <w:rFonts w:ascii="Arial" w:cs="Arial" w:eastAsia="Arial" w:hAnsi="Arial"/>
                <w:sz w:val="18"/>
                <w:szCs w:val="18"/>
                <w:color w:val="auto"/>
                <w:w w:val="97"/>
              </w:rPr>
              <w:t>11/7/11 Modification to Deed of Trust with Assignment of Leases and Rents, Security Agreement and</w:t>
            </w:r>
          </w:p>
        </w:tc>
      </w:tr>
      <w:tr>
        <w:trPr>
          <w:trHeight w:val="230"/>
        </w:trPr>
        <w:tc>
          <w:tcPr>
            <w:tcW w:w="420" w:type="dxa"/>
            <w:vAlign w:val="bottom"/>
            <w:tcBorders>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Instrument</w:t>
            </w:r>
          </w:p>
        </w:tc>
        <w:tc>
          <w:tcPr>
            <w:tcW w:w="7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Financing Statement</w:t>
            </w:r>
          </w:p>
        </w:tc>
      </w:tr>
      <w:tr>
        <w:trPr>
          <w:trHeight w:val="202"/>
        </w:trPr>
        <w:tc>
          <w:tcPr>
            <w:tcW w:w="42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tcPr>
          <w:p>
            <w:pPr>
              <w:spacing w:after="0"/>
              <w:rPr>
                <w:sz w:val="17"/>
                <w:szCs w:val="17"/>
                <w:color w:val="auto"/>
              </w:rPr>
            </w:pPr>
          </w:p>
        </w:tc>
        <w:tc>
          <w:tcPr>
            <w:tcW w:w="790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Filed 12/15/03, Doc No. 200361109, Official Public Records of Real Property;</w:t>
            </w:r>
          </w:p>
        </w:tc>
      </w:tr>
      <w:tr>
        <w:trPr>
          <w:trHeight w:val="198"/>
        </w:trPr>
        <w:tc>
          <w:tcPr>
            <w:tcW w:w="42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tcPr>
          <w:p>
            <w:pPr>
              <w:spacing w:after="0"/>
              <w:rPr>
                <w:sz w:val="17"/>
                <w:szCs w:val="17"/>
                <w:color w:val="auto"/>
              </w:rPr>
            </w:pPr>
          </w:p>
        </w:tc>
        <w:tc>
          <w:tcPr>
            <w:tcW w:w="7900" w:type="dxa"/>
            <w:vAlign w:val="bottom"/>
            <w:tcBorders>
              <w:right w:val="single" w:sz="8" w:color="auto"/>
            </w:tcBorders>
          </w:tcPr>
          <w:p>
            <w:pPr>
              <w:ind w:left="20"/>
              <w:spacing w:after="0" w:line="199" w:lineRule="exact"/>
              <w:rPr>
                <w:sz w:val="20"/>
                <w:szCs w:val="20"/>
                <w:color w:val="auto"/>
              </w:rPr>
            </w:pPr>
            <w:r>
              <w:rPr>
                <w:rFonts w:ascii="Arial" w:cs="Arial" w:eastAsia="Arial" w:hAnsi="Arial"/>
                <w:sz w:val="18"/>
                <w:szCs w:val="18"/>
                <w:color w:val="auto"/>
              </w:rPr>
              <w:t>Filed 7/17/12, Doc No. 20120317307, Official Public Records of Real Property</w:t>
            </w:r>
          </w:p>
        </w:tc>
      </w:tr>
      <w:tr>
        <w:trPr>
          <w:trHeight w:val="198"/>
        </w:trPr>
        <w:tc>
          <w:tcPr>
            <w:tcW w:w="42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tcPr>
          <w:p>
            <w:pPr>
              <w:spacing w:after="0"/>
              <w:rPr>
                <w:sz w:val="17"/>
                <w:szCs w:val="17"/>
                <w:color w:val="auto"/>
              </w:rPr>
            </w:pPr>
          </w:p>
        </w:tc>
        <w:tc>
          <w:tcPr>
            <w:tcW w:w="7900" w:type="dxa"/>
            <w:vAlign w:val="bottom"/>
            <w:tcBorders>
              <w:right w:val="single" w:sz="8" w:color="auto"/>
            </w:tcBorders>
          </w:tcPr>
          <w:p>
            <w:pPr>
              <w:ind w:left="20"/>
              <w:spacing w:after="0" w:line="199" w:lineRule="exact"/>
              <w:rPr>
                <w:sz w:val="20"/>
                <w:szCs w:val="20"/>
                <w:color w:val="auto"/>
              </w:rPr>
            </w:pPr>
            <w:r>
              <w:rPr>
                <w:rFonts w:ascii="Arial" w:cs="Arial" w:eastAsia="Arial" w:hAnsi="Arial"/>
                <w:sz w:val="18"/>
                <w:szCs w:val="18"/>
                <w:color w:val="auto"/>
              </w:rPr>
              <w:t>Harris County Clerk</w:t>
            </w:r>
          </w:p>
        </w:tc>
      </w:tr>
      <w:tr>
        <w:trPr>
          <w:trHeight w:val="198"/>
        </w:trPr>
        <w:tc>
          <w:tcPr>
            <w:tcW w:w="42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tcPr>
          <w:p>
            <w:pPr>
              <w:spacing w:after="0"/>
              <w:rPr>
                <w:sz w:val="17"/>
                <w:szCs w:val="17"/>
                <w:color w:val="auto"/>
              </w:rPr>
            </w:pPr>
          </w:p>
        </w:tc>
        <w:tc>
          <w:tcPr>
            <w:tcW w:w="7900" w:type="dxa"/>
            <w:vAlign w:val="bottom"/>
            <w:tcBorders>
              <w:right w:val="single" w:sz="8" w:color="auto"/>
            </w:tcBorders>
          </w:tcPr>
          <w:p>
            <w:pPr>
              <w:ind w:left="20"/>
              <w:spacing w:after="0" w:line="199" w:lineRule="exact"/>
              <w:rPr>
                <w:sz w:val="20"/>
                <w:szCs w:val="20"/>
                <w:color w:val="auto"/>
              </w:rPr>
            </w:pPr>
            <w:r>
              <w:rPr>
                <w:rFonts w:ascii="Arial" w:cs="Arial" w:eastAsia="Arial" w:hAnsi="Arial"/>
                <w:sz w:val="18"/>
                <w:szCs w:val="18"/>
                <w:color w:val="auto"/>
              </w:rPr>
              <w:t>P.O. Box 1525</w:t>
            </w:r>
          </w:p>
        </w:tc>
      </w:tr>
      <w:tr>
        <w:trPr>
          <w:trHeight w:val="230"/>
        </w:trPr>
        <w:tc>
          <w:tcPr>
            <w:tcW w:w="420" w:type="dxa"/>
            <w:vAlign w:val="bottom"/>
            <w:tcBorders>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Recording Info</w:t>
            </w:r>
          </w:p>
        </w:tc>
        <w:tc>
          <w:tcPr>
            <w:tcW w:w="7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Houston, TX 77251</w:t>
            </w:r>
          </w:p>
        </w:tc>
      </w:tr>
      <w:tr>
        <w:trPr>
          <w:trHeight w:val="392"/>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Washington:</w:t>
            </w:r>
          </w:p>
        </w:tc>
        <w:tc>
          <w:tcPr>
            <w:tcW w:w="7900" w:type="dxa"/>
            <w:vAlign w:val="bottom"/>
          </w:tcPr>
          <w:p>
            <w:pPr>
              <w:spacing w:after="0"/>
              <w:rPr>
                <w:sz w:val="24"/>
                <w:szCs w:val="24"/>
                <w:color w:val="auto"/>
              </w:rPr>
            </w:pPr>
          </w:p>
        </w:tc>
      </w:tr>
      <w:tr>
        <w:trPr>
          <w:trHeight w:val="102"/>
        </w:trPr>
        <w:tc>
          <w:tcPr>
            <w:tcW w:w="420" w:type="dxa"/>
            <w:vAlign w:val="bottom"/>
          </w:tcPr>
          <w:p>
            <w:pPr>
              <w:spacing w:after="0"/>
              <w:rPr>
                <w:sz w:val="8"/>
                <w:szCs w:val="8"/>
                <w:color w:val="auto"/>
              </w:rPr>
            </w:pPr>
          </w:p>
        </w:tc>
        <w:tc>
          <w:tcPr>
            <w:tcW w:w="2780" w:type="dxa"/>
            <w:vAlign w:val="bottom"/>
            <w:tcBorders>
              <w:bottom w:val="single" w:sz="8" w:color="auto"/>
            </w:tcBorders>
          </w:tcPr>
          <w:p>
            <w:pPr>
              <w:spacing w:after="0"/>
              <w:rPr>
                <w:sz w:val="8"/>
                <w:szCs w:val="8"/>
                <w:color w:val="auto"/>
              </w:rPr>
            </w:pPr>
          </w:p>
        </w:tc>
        <w:tc>
          <w:tcPr>
            <w:tcW w:w="7900" w:type="dxa"/>
            <w:vAlign w:val="bottom"/>
            <w:tcBorders>
              <w:bottom w:val="single" w:sz="8" w:color="auto"/>
            </w:tcBorders>
          </w:tcPr>
          <w:p>
            <w:pPr>
              <w:spacing w:after="0"/>
              <w:rPr>
                <w:sz w:val="8"/>
                <w:szCs w:val="8"/>
                <w:color w:val="auto"/>
              </w:rPr>
            </w:pPr>
          </w:p>
        </w:tc>
      </w:tr>
      <w:tr>
        <w:trPr>
          <w:trHeight w:val="189"/>
        </w:trPr>
        <w:tc>
          <w:tcPr>
            <w:tcW w:w="420" w:type="dxa"/>
            <w:vAlign w:val="bottom"/>
            <w:tcBorders>
              <w:right w:val="single" w:sz="8" w:color="auto"/>
            </w:tcBorders>
          </w:tcPr>
          <w:p>
            <w:pPr>
              <w:spacing w:after="0"/>
              <w:rPr>
                <w:sz w:val="16"/>
                <w:szCs w:val="16"/>
                <w:color w:val="auto"/>
              </w:rPr>
            </w:pPr>
          </w:p>
        </w:tc>
        <w:tc>
          <w:tcPr>
            <w:tcW w:w="27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Mortgagor/Mortgagee</w:t>
            </w:r>
          </w:p>
        </w:tc>
        <w:tc>
          <w:tcPr>
            <w:tcW w:w="79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Matrix Service Inc./JPMorgan Chase Bank, N.A., as Agent</w:t>
            </w:r>
          </w:p>
        </w:tc>
      </w:tr>
      <w:tr>
        <w:trPr>
          <w:trHeight w:val="22"/>
        </w:trPr>
        <w:tc>
          <w:tcPr>
            <w:tcW w:w="420" w:type="dxa"/>
            <w:vAlign w:val="bottom"/>
            <w:tcBorders>
              <w:right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c>
          <w:tcPr>
            <w:tcW w:w="7900" w:type="dxa"/>
            <w:vAlign w:val="bottom"/>
            <w:tcBorders>
              <w:bottom w:val="single" w:sz="8" w:color="auto"/>
              <w:right w:val="single" w:sz="8" w:color="auto"/>
            </w:tcBorders>
          </w:tcPr>
          <w:p>
            <w:pPr>
              <w:spacing w:after="0" w:line="20" w:lineRule="exact"/>
              <w:rPr>
                <w:sz w:val="1"/>
                <w:szCs w:val="1"/>
                <w:color w:val="auto"/>
              </w:rPr>
            </w:pPr>
          </w:p>
        </w:tc>
      </w:tr>
      <w:tr>
        <w:trPr>
          <w:trHeight w:val="189"/>
        </w:trPr>
        <w:tc>
          <w:tcPr>
            <w:tcW w:w="420" w:type="dxa"/>
            <w:vAlign w:val="bottom"/>
            <w:tcBorders>
              <w:right w:val="single" w:sz="8" w:color="auto"/>
            </w:tcBorders>
          </w:tcPr>
          <w:p>
            <w:pPr>
              <w:spacing w:after="0"/>
              <w:rPr>
                <w:sz w:val="16"/>
                <w:szCs w:val="16"/>
                <w:color w:val="auto"/>
              </w:rPr>
            </w:pPr>
          </w:p>
        </w:tc>
        <w:tc>
          <w:tcPr>
            <w:tcW w:w="27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Property Address</w:t>
            </w:r>
          </w:p>
        </w:tc>
        <w:tc>
          <w:tcPr>
            <w:tcW w:w="79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3810 Bakerview Spur, Bellingham, WA 98226</w:t>
            </w:r>
          </w:p>
        </w:tc>
      </w:tr>
      <w:tr>
        <w:trPr>
          <w:trHeight w:val="22"/>
        </w:trPr>
        <w:tc>
          <w:tcPr>
            <w:tcW w:w="420" w:type="dxa"/>
            <w:vAlign w:val="bottom"/>
            <w:tcBorders>
              <w:right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c>
          <w:tcPr>
            <w:tcW w:w="7900" w:type="dxa"/>
            <w:vAlign w:val="bottom"/>
            <w:tcBorders>
              <w:bottom w:val="single" w:sz="8" w:color="auto"/>
              <w:right w:val="single" w:sz="8" w:color="auto"/>
            </w:tcBorders>
          </w:tcPr>
          <w:p>
            <w:pPr>
              <w:spacing w:after="0" w:line="20" w:lineRule="exact"/>
              <w:rPr>
                <w:sz w:val="1"/>
                <w:szCs w:val="1"/>
                <w:color w:val="auto"/>
              </w:rPr>
            </w:pPr>
          </w:p>
        </w:tc>
      </w:tr>
      <w:tr>
        <w:trPr>
          <w:trHeight w:val="189"/>
        </w:trPr>
        <w:tc>
          <w:tcPr>
            <w:tcW w:w="420" w:type="dxa"/>
            <w:vAlign w:val="bottom"/>
            <w:tcBorders>
              <w:right w:val="single" w:sz="8" w:color="auto"/>
            </w:tcBorders>
          </w:tcPr>
          <w:p>
            <w:pPr>
              <w:spacing w:after="0"/>
              <w:rPr>
                <w:sz w:val="16"/>
                <w:szCs w:val="16"/>
                <w:color w:val="auto"/>
              </w:rPr>
            </w:pPr>
          </w:p>
        </w:tc>
        <w:tc>
          <w:tcPr>
            <w:tcW w:w="27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Instrument</w:t>
            </w:r>
          </w:p>
        </w:tc>
        <w:tc>
          <w:tcPr>
            <w:tcW w:w="79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9"/>
              </w:rPr>
              <w:t>11/7/11Amended and Restated Deed of Trust, Assignment of Rents and Leases, Security Agreement and Fixture Filing</w:t>
            </w:r>
          </w:p>
        </w:tc>
      </w:tr>
      <w:tr>
        <w:trPr>
          <w:trHeight w:val="22"/>
        </w:trPr>
        <w:tc>
          <w:tcPr>
            <w:tcW w:w="420" w:type="dxa"/>
            <w:vAlign w:val="bottom"/>
            <w:tcBorders>
              <w:right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c>
          <w:tcPr>
            <w:tcW w:w="7900" w:type="dxa"/>
            <w:vAlign w:val="bottom"/>
            <w:tcBorders>
              <w:bottom w:val="single" w:sz="8" w:color="auto"/>
              <w:right w:val="single" w:sz="8" w:color="auto"/>
            </w:tcBorders>
          </w:tcPr>
          <w:p>
            <w:pPr>
              <w:spacing w:after="0" w:line="20" w:lineRule="exact"/>
              <w:rPr>
                <w:sz w:val="1"/>
                <w:szCs w:val="1"/>
                <w:color w:val="auto"/>
              </w:rPr>
            </w:pPr>
          </w:p>
        </w:tc>
      </w:tr>
      <w:tr>
        <w:trPr>
          <w:trHeight w:val="195"/>
        </w:trPr>
        <w:tc>
          <w:tcPr>
            <w:tcW w:w="420" w:type="dxa"/>
            <w:vAlign w:val="bottom"/>
            <w:tcBorders>
              <w:right w:val="single" w:sz="8" w:color="auto"/>
            </w:tcBorders>
          </w:tcPr>
          <w:p>
            <w:pPr>
              <w:spacing w:after="0"/>
              <w:rPr>
                <w:sz w:val="16"/>
                <w:szCs w:val="16"/>
                <w:color w:val="auto"/>
              </w:rPr>
            </w:pPr>
          </w:p>
        </w:tc>
        <w:tc>
          <w:tcPr>
            <w:tcW w:w="2780" w:type="dxa"/>
            <w:vAlign w:val="bottom"/>
            <w:tcBorders>
              <w:right w:val="single" w:sz="8" w:color="auto"/>
            </w:tcBorders>
          </w:tcPr>
          <w:p>
            <w:pPr>
              <w:spacing w:after="0"/>
              <w:rPr>
                <w:sz w:val="16"/>
                <w:szCs w:val="16"/>
                <w:color w:val="auto"/>
              </w:rPr>
            </w:pPr>
          </w:p>
        </w:tc>
        <w:tc>
          <w:tcPr>
            <w:tcW w:w="790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Filed 7/16/12, Doc No. 2120701641</w:t>
            </w:r>
          </w:p>
        </w:tc>
      </w:tr>
      <w:tr>
        <w:trPr>
          <w:trHeight w:val="198"/>
        </w:trPr>
        <w:tc>
          <w:tcPr>
            <w:tcW w:w="42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tcPr>
          <w:p>
            <w:pPr>
              <w:spacing w:after="0"/>
              <w:rPr>
                <w:sz w:val="17"/>
                <w:szCs w:val="17"/>
                <w:color w:val="auto"/>
              </w:rPr>
            </w:pPr>
          </w:p>
        </w:tc>
        <w:tc>
          <w:tcPr>
            <w:tcW w:w="7900" w:type="dxa"/>
            <w:vAlign w:val="bottom"/>
            <w:tcBorders>
              <w:right w:val="single" w:sz="8" w:color="auto"/>
            </w:tcBorders>
          </w:tcPr>
          <w:p>
            <w:pPr>
              <w:ind w:left="20"/>
              <w:spacing w:after="0" w:line="199" w:lineRule="exact"/>
              <w:rPr>
                <w:sz w:val="20"/>
                <w:szCs w:val="20"/>
                <w:color w:val="auto"/>
              </w:rPr>
            </w:pPr>
            <w:r>
              <w:rPr>
                <w:rFonts w:ascii="Arial" w:cs="Arial" w:eastAsia="Arial" w:hAnsi="Arial"/>
                <w:sz w:val="18"/>
                <w:szCs w:val="18"/>
                <w:color w:val="auto"/>
              </w:rPr>
              <w:t>Whatcom County Auditor</w:t>
            </w:r>
          </w:p>
        </w:tc>
      </w:tr>
      <w:tr>
        <w:trPr>
          <w:trHeight w:val="198"/>
        </w:trPr>
        <w:tc>
          <w:tcPr>
            <w:tcW w:w="42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tcPr>
          <w:p>
            <w:pPr>
              <w:spacing w:after="0"/>
              <w:rPr>
                <w:sz w:val="17"/>
                <w:szCs w:val="17"/>
                <w:color w:val="auto"/>
              </w:rPr>
            </w:pPr>
          </w:p>
        </w:tc>
        <w:tc>
          <w:tcPr>
            <w:tcW w:w="7900" w:type="dxa"/>
            <w:vAlign w:val="bottom"/>
            <w:tcBorders>
              <w:right w:val="single" w:sz="8" w:color="auto"/>
            </w:tcBorders>
          </w:tcPr>
          <w:p>
            <w:pPr>
              <w:ind w:left="20"/>
              <w:spacing w:after="0" w:line="199" w:lineRule="exact"/>
              <w:rPr>
                <w:sz w:val="20"/>
                <w:szCs w:val="20"/>
                <w:color w:val="auto"/>
              </w:rPr>
            </w:pPr>
            <w:r>
              <w:rPr>
                <w:rFonts w:ascii="Arial" w:cs="Arial" w:eastAsia="Arial" w:hAnsi="Arial"/>
                <w:sz w:val="18"/>
                <w:szCs w:val="18"/>
                <w:color w:val="auto"/>
              </w:rPr>
              <w:t>311 Grand Avenue</w:t>
            </w:r>
          </w:p>
        </w:tc>
      </w:tr>
      <w:tr>
        <w:trPr>
          <w:trHeight w:val="198"/>
        </w:trPr>
        <w:tc>
          <w:tcPr>
            <w:tcW w:w="42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tcPr>
          <w:p>
            <w:pPr>
              <w:spacing w:after="0"/>
              <w:rPr>
                <w:sz w:val="17"/>
                <w:szCs w:val="17"/>
                <w:color w:val="auto"/>
              </w:rPr>
            </w:pPr>
          </w:p>
        </w:tc>
        <w:tc>
          <w:tcPr>
            <w:tcW w:w="7900" w:type="dxa"/>
            <w:vAlign w:val="bottom"/>
            <w:tcBorders>
              <w:right w:val="single" w:sz="8" w:color="auto"/>
            </w:tcBorders>
          </w:tcPr>
          <w:p>
            <w:pPr>
              <w:ind w:left="20"/>
              <w:spacing w:after="0" w:line="199" w:lineRule="exact"/>
              <w:rPr>
                <w:sz w:val="20"/>
                <w:szCs w:val="20"/>
                <w:color w:val="auto"/>
              </w:rPr>
            </w:pPr>
            <w:r>
              <w:rPr>
                <w:rFonts w:ascii="Arial" w:cs="Arial" w:eastAsia="Arial" w:hAnsi="Arial"/>
                <w:sz w:val="18"/>
                <w:szCs w:val="18"/>
                <w:color w:val="auto"/>
              </w:rPr>
              <w:t>P.O. Box 398</w:t>
            </w:r>
          </w:p>
        </w:tc>
      </w:tr>
      <w:tr>
        <w:trPr>
          <w:trHeight w:val="230"/>
        </w:trPr>
        <w:tc>
          <w:tcPr>
            <w:tcW w:w="420" w:type="dxa"/>
            <w:vAlign w:val="bottom"/>
            <w:tcBorders>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Recording Info</w:t>
            </w:r>
          </w:p>
        </w:tc>
        <w:tc>
          <w:tcPr>
            <w:tcW w:w="7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Bellingham, WA 98227</w:t>
            </w: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2"/>
          <w:szCs w:val="12"/>
          <w:color w:val="FFFFFF"/>
        </w:rPr>
        <w:t>HOU:3756061.4</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FFFFFF"/>
        </w:rPr>
        <w:t>HOU:3756061.4</w:t>
      </w:r>
    </w:p>
    <w:p>
      <w:pPr>
        <w:spacing w:after="0" w:line="188" w:lineRule="exact"/>
        <w:rPr>
          <w:sz w:val="20"/>
          <w:szCs w:val="20"/>
          <w:color w:val="auto"/>
        </w:rPr>
      </w:pPr>
    </w:p>
    <w:p>
      <w:pPr>
        <w:jc w:val="center"/>
        <w:ind w:right="-359"/>
        <w:spacing w:after="0"/>
        <w:rPr>
          <w:sz w:val="20"/>
          <w:szCs w:val="20"/>
          <w:color w:val="auto"/>
        </w:rPr>
      </w:pPr>
      <w:r>
        <w:rPr>
          <w:rFonts w:ascii="Arial" w:cs="Arial" w:eastAsia="Arial" w:hAnsi="Arial"/>
          <w:sz w:val="15"/>
          <w:szCs w:val="15"/>
          <w:color w:val="auto"/>
        </w:rPr>
        <w:t>152</w:t>
      </w:r>
    </w:p>
    <w:p>
      <w:pPr>
        <w:sectPr>
          <w:pgSz w:w="11900" w:h="16838" w:orient="portrait"/>
          <w:cols w:equalWidth="0" w:num="1">
            <w:col w:w="11100"/>
          </w:cols>
          <w:pgMar w:left="220" w:top="679" w:right="579" w:bottom="1440" w:gutter="0" w:footer="0" w:header="0"/>
        </w:sectPr>
      </w:pPr>
    </w:p>
    <w:bookmarkStart w:id="213" w:name="page214"/>
    <w:bookmarkEnd w:id="213"/>
    <w:p>
      <w:pPr>
        <w:jc w:val="center"/>
        <w:ind w:right="-399"/>
        <w:spacing w:after="0"/>
        <w:rPr>
          <w:sz w:val="20"/>
          <w:szCs w:val="20"/>
          <w:color w:val="auto"/>
        </w:rPr>
      </w:pPr>
      <w:r>
        <w:rPr>
          <w:rFonts w:ascii="Arial" w:cs="Arial" w:eastAsia="Arial" w:hAnsi="Arial"/>
          <w:sz w:val="18"/>
          <w:szCs w:val="18"/>
          <w:b w:val="1"/>
          <w:bCs w:val="1"/>
          <w:u w:val="single" w:color="auto"/>
          <w:color w:val="auto"/>
        </w:rPr>
        <w:t>Exhibit E</w:t>
      </w:r>
    </w:p>
    <w:p>
      <w:pPr>
        <w:spacing w:after="0" w:line="17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MATRIX SERVICE COMPANY INVESTMENT POLICY</w:t>
      </w:r>
    </w:p>
    <w:p>
      <w:pPr>
        <w:spacing w:after="0" w:line="18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496570</wp:posOffset>
            </wp:positionV>
            <wp:extent cx="7297420"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742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9"/>
        <w:spacing w:after="0"/>
        <w:rPr>
          <w:sz w:val="20"/>
          <w:szCs w:val="20"/>
          <w:color w:val="auto"/>
        </w:rPr>
      </w:pPr>
      <w:r>
        <w:rPr>
          <w:rFonts w:ascii="Arial" w:cs="Arial" w:eastAsia="Arial" w:hAnsi="Arial"/>
          <w:sz w:val="35"/>
          <w:szCs w:val="35"/>
          <w:b w:val="1"/>
          <w:bCs w:val="1"/>
          <w:color w:val="auto"/>
        </w:rPr>
        <w:t>Matrix Service Company</w:t>
      </w:r>
    </w:p>
    <w:p>
      <w:pPr>
        <w:spacing w:after="0" w:line="56" w:lineRule="exact"/>
        <w:rPr>
          <w:sz w:val="20"/>
          <w:szCs w:val="20"/>
          <w:color w:val="auto"/>
        </w:rPr>
      </w:pPr>
    </w:p>
    <w:p>
      <w:pPr>
        <w:jc w:val="center"/>
        <w:ind w:right="-399"/>
        <w:spacing w:after="0"/>
        <w:rPr>
          <w:sz w:val="20"/>
          <w:szCs w:val="20"/>
          <w:color w:val="auto"/>
        </w:rPr>
      </w:pPr>
      <w:r>
        <w:rPr>
          <w:rFonts w:ascii="Arial" w:cs="Arial" w:eastAsia="Arial" w:hAnsi="Arial"/>
          <w:sz w:val="35"/>
          <w:szCs w:val="35"/>
          <w:color w:val="auto"/>
        </w:rPr>
        <w:t>Investment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color w:val="FFFFFF"/>
        </w:rPr>
        <w:t>HOU:3756061.4</w:t>
      </w:r>
    </w:p>
    <w:p>
      <w:pPr>
        <w:spacing w:after="0" w:line="171" w:lineRule="exact"/>
        <w:rPr>
          <w:sz w:val="20"/>
          <w:szCs w:val="20"/>
          <w:color w:val="auto"/>
        </w:rPr>
      </w:pPr>
    </w:p>
    <w:p>
      <w:pPr>
        <w:spacing w:after="0"/>
        <w:rPr>
          <w:sz w:val="20"/>
          <w:szCs w:val="20"/>
          <w:color w:val="auto"/>
        </w:rPr>
      </w:pPr>
      <w:r>
        <w:rPr>
          <w:rFonts w:ascii="Arial" w:cs="Arial" w:eastAsia="Arial" w:hAnsi="Arial"/>
          <w:sz w:val="12"/>
          <w:szCs w:val="12"/>
          <w:color w:val="FFFFFF"/>
        </w:rPr>
        <w:t>HOU:3756061.4</w:t>
      </w:r>
    </w:p>
    <w:p>
      <w:pPr>
        <w:spacing w:after="0" w:line="167" w:lineRule="exact"/>
        <w:rPr>
          <w:sz w:val="20"/>
          <w:szCs w:val="20"/>
          <w:color w:val="auto"/>
        </w:rPr>
      </w:pPr>
    </w:p>
    <w:p>
      <w:pPr>
        <w:ind w:left="540" w:hanging="532"/>
        <w:spacing w:after="0"/>
        <w:tabs>
          <w:tab w:leader="none" w:pos="540" w:val="left"/>
        </w:tabs>
        <w:numPr>
          <w:ilvl w:val="0"/>
          <w:numId w:val="157"/>
        </w:numPr>
        <w:rPr>
          <w:rFonts w:ascii="Arial" w:cs="Arial" w:eastAsia="Arial" w:hAnsi="Arial"/>
          <w:sz w:val="15"/>
          <w:szCs w:val="15"/>
          <w:color w:val="auto"/>
        </w:rPr>
      </w:pPr>
      <w:r>
        <w:rPr>
          <w:rFonts w:ascii="Arial" w:cs="Arial" w:eastAsia="Arial" w:hAnsi="Arial"/>
          <w:sz w:val="16"/>
          <w:szCs w:val="16"/>
          <w:b w:val="1"/>
          <w:bCs w:val="1"/>
          <w:color w:val="auto"/>
        </w:rPr>
        <w:t>Purpose</w:t>
      </w:r>
    </w:p>
    <w:p>
      <w:pPr>
        <w:spacing w:after="0" w:line="183" w:lineRule="exact"/>
        <w:rPr>
          <w:rFonts w:ascii="Arial" w:cs="Arial" w:eastAsia="Arial" w:hAnsi="Arial"/>
          <w:sz w:val="15"/>
          <w:szCs w:val="15"/>
          <w:color w:val="auto"/>
        </w:rPr>
      </w:pPr>
    </w:p>
    <w:p>
      <w:pPr>
        <w:ind w:left="540"/>
        <w:spacing w:after="0" w:line="273" w:lineRule="auto"/>
        <w:rPr>
          <w:rFonts w:ascii="Arial" w:cs="Arial" w:eastAsia="Arial" w:hAnsi="Arial"/>
          <w:sz w:val="15"/>
          <w:szCs w:val="15"/>
          <w:color w:val="auto"/>
        </w:rPr>
      </w:pPr>
      <w:r>
        <w:rPr>
          <w:rFonts w:ascii="Arial" w:cs="Arial" w:eastAsia="Arial" w:hAnsi="Arial"/>
          <w:sz w:val="16"/>
          <w:szCs w:val="16"/>
          <w:color w:val="auto"/>
        </w:rPr>
        <w:t>The purpose of this policy is to establish guidelines for the management of cash and investments for Matrix Service Company (the “Company”) while ensuring the following (in order of importance):</w:t>
      </w:r>
    </w:p>
    <w:p>
      <w:pPr>
        <w:spacing w:after="0" w:line="132" w:lineRule="exact"/>
        <w:rPr>
          <w:rFonts w:ascii="Arial" w:cs="Arial" w:eastAsia="Arial" w:hAnsi="Arial"/>
          <w:sz w:val="15"/>
          <w:szCs w:val="15"/>
          <w:color w:val="auto"/>
        </w:rPr>
      </w:pPr>
    </w:p>
    <w:p>
      <w:pPr>
        <w:ind w:left="1340" w:hanging="274"/>
        <w:spacing w:after="0"/>
        <w:tabs>
          <w:tab w:leader="none" w:pos="1340" w:val="left"/>
        </w:tabs>
        <w:numPr>
          <w:ilvl w:val="1"/>
          <w:numId w:val="157"/>
        </w:numPr>
        <w:rPr>
          <w:rFonts w:ascii="Arial" w:cs="Arial" w:eastAsia="Arial" w:hAnsi="Arial"/>
          <w:sz w:val="15"/>
          <w:szCs w:val="15"/>
          <w:color w:val="auto"/>
        </w:rPr>
      </w:pPr>
      <w:r>
        <w:rPr>
          <w:rFonts w:ascii="Arial" w:cs="Arial" w:eastAsia="Arial" w:hAnsi="Arial"/>
          <w:sz w:val="16"/>
          <w:szCs w:val="16"/>
          <w:color w:val="auto"/>
        </w:rPr>
        <w:t>Preservation of capital</w:t>
      </w:r>
    </w:p>
    <w:p>
      <w:pPr>
        <w:spacing w:after="0" w:line="17" w:lineRule="exact"/>
        <w:rPr>
          <w:rFonts w:ascii="Arial" w:cs="Arial" w:eastAsia="Arial" w:hAnsi="Arial"/>
          <w:sz w:val="15"/>
          <w:szCs w:val="15"/>
          <w:color w:val="auto"/>
        </w:rPr>
      </w:pPr>
    </w:p>
    <w:p>
      <w:pPr>
        <w:ind w:left="1340" w:hanging="274"/>
        <w:spacing w:after="0"/>
        <w:tabs>
          <w:tab w:leader="none" w:pos="1340" w:val="left"/>
        </w:tabs>
        <w:numPr>
          <w:ilvl w:val="1"/>
          <w:numId w:val="157"/>
        </w:numPr>
        <w:rPr>
          <w:rFonts w:ascii="Arial" w:cs="Arial" w:eastAsia="Arial" w:hAnsi="Arial"/>
          <w:sz w:val="15"/>
          <w:szCs w:val="15"/>
          <w:color w:val="auto"/>
        </w:rPr>
      </w:pPr>
      <w:r>
        <w:rPr>
          <w:rFonts w:ascii="Arial" w:cs="Arial" w:eastAsia="Arial" w:hAnsi="Arial"/>
          <w:sz w:val="16"/>
          <w:szCs w:val="16"/>
          <w:color w:val="auto"/>
        </w:rPr>
        <w:t>Provide sufficient liquidity to satisfy operating requirements, working capital purposes, and strategic initiatives</w:t>
      </w:r>
    </w:p>
    <w:p>
      <w:pPr>
        <w:spacing w:after="0" w:line="3" w:lineRule="exact"/>
        <w:rPr>
          <w:rFonts w:ascii="Arial" w:cs="Arial" w:eastAsia="Arial" w:hAnsi="Arial"/>
          <w:sz w:val="15"/>
          <w:szCs w:val="15"/>
          <w:color w:val="auto"/>
        </w:rPr>
      </w:pPr>
    </w:p>
    <w:p>
      <w:pPr>
        <w:ind w:left="1340" w:hanging="274"/>
        <w:spacing w:after="0"/>
        <w:tabs>
          <w:tab w:leader="none" w:pos="1340" w:val="left"/>
        </w:tabs>
        <w:numPr>
          <w:ilvl w:val="1"/>
          <w:numId w:val="157"/>
        </w:numPr>
        <w:rPr>
          <w:rFonts w:ascii="Arial" w:cs="Arial" w:eastAsia="Arial" w:hAnsi="Arial"/>
          <w:sz w:val="15"/>
          <w:szCs w:val="15"/>
          <w:color w:val="auto"/>
        </w:rPr>
      </w:pPr>
      <w:r>
        <w:rPr>
          <w:rFonts w:ascii="Arial" w:cs="Arial" w:eastAsia="Arial" w:hAnsi="Arial"/>
          <w:sz w:val="16"/>
          <w:szCs w:val="16"/>
          <w:color w:val="auto"/>
        </w:rPr>
        <w:t>Ensure compliance with the Company’s Senior Credit Facility and other covenants</w:t>
      </w:r>
    </w:p>
    <w:p>
      <w:pPr>
        <w:spacing w:after="0" w:line="3" w:lineRule="exact"/>
        <w:rPr>
          <w:rFonts w:ascii="Arial" w:cs="Arial" w:eastAsia="Arial" w:hAnsi="Arial"/>
          <w:sz w:val="15"/>
          <w:szCs w:val="15"/>
          <w:color w:val="auto"/>
        </w:rPr>
      </w:pPr>
    </w:p>
    <w:p>
      <w:pPr>
        <w:ind w:left="1340" w:hanging="274"/>
        <w:spacing w:after="0"/>
        <w:tabs>
          <w:tab w:leader="none" w:pos="1340" w:val="left"/>
        </w:tabs>
        <w:numPr>
          <w:ilvl w:val="1"/>
          <w:numId w:val="157"/>
        </w:numPr>
        <w:rPr>
          <w:rFonts w:ascii="Arial" w:cs="Arial" w:eastAsia="Arial" w:hAnsi="Arial"/>
          <w:sz w:val="15"/>
          <w:szCs w:val="15"/>
          <w:color w:val="auto"/>
        </w:rPr>
      </w:pPr>
      <w:r>
        <w:rPr>
          <w:rFonts w:ascii="Arial" w:cs="Arial" w:eastAsia="Arial" w:hAnsi="Arial"/>
          <w:sz w:val="16"/>
          <w:szCs w:val="16"/>
          <w:color w:val="auto"/>
        </w:rPr>
        <w:t>Maximize after-tax yield based on Company’s investment policy and market conditions</w:t>
      </w:r>
    </w:p>
    <w:p>
      <w:pPr>
        <w:spacing w:after="0" w:line="162" w:lineRule="exact"/>
        <w:rPr>
          <w:sz w:val="20"/>
          <w:szCs w:val="20"/>
          <w:color w:val="auto"/>
        </w:rPr>
      </w:pPr>
    </w:p>
    <w:p>
      <w:pPr>
        <w:ind w:left="540" w:hanging="532"/>
        <w:spacing w:after="0"/>
        <w:tabs>
          <w:tab w:leader="none" w:pos="540" w:val="left"/>
        </w:tabs>
        <w:numPr>
          <w:ilvl w:val="0"/>
          <w:numId w:val="158"/>
        </w:numPr>
        <w:rPr>
          <w:rFonts w:ascii="Arial" w:cs="Arial" w:eastAsia="Arial" w:hAnsi="Arial"/>
          <w:sz w:val="15"/>
          <w:szCs w:val="15"/>
          <w:color w:val="auto"/>
        </w:rPr>
      </w:pPr>
      <w:r>
        <w:rPr>
          <w:rFonts w:ascii="Arial" w:cs="Arial" w:eastAsia="Arial" w:hAnsi="Arial"/>
          <w:sz w:val="16"/>
          <w:szCs w:val="16"/>
          <w:b w:val="1"/>
          <w:bCs w:val="1"/>
          <w:color w:val="auto"/>
        </w:rPr>
        <w:t>Responsible Parties</w:t>
      </w:r>
    </w:p>
    <w:p>
      <w:pPr>
        <w:spacing w:after="0" w:line="183"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5"/>
          <w:szCs w:val="15"/>
          <w:color w:val="auto"/>
        </w:rPr>
        <w:t xml:space="preserve">A.  </w:t>
      </w:r>
      <w:r>
        <w:rPr>
          <w:rFonts w:ascii="Arial" w:cs="Arial" w:eastAsia="Arial" w:hAnsi="Arial"/>
          <w:sz w:val="16"/>
          <w:szCs w:val="16"/>
          <w:color w:val="auto"/>
        </w:rPr>
        <w:t>It is the responsibility of the Board of Directors to approve the Investment Policy and any revisions or amendments</w:t>
      </w:r>
    </w:p>
    <w:p>
      <w:pPr>
        <w:spacing w:after="0" w:line="205" w:lineRule="exact"/>
        <w:rPr>
          <w:rFonts w:ascii="Arial" w:cs="Arial" w:eastAsia="Arial" w:hAnsi="Arial"/>
          <w:sz w:val="15"/>
          <w:szCs w:val="15"/>
          <w:color w:val="auto"/>
        </w:rPr>
      </w:pPr>
    </w:p>
    <w:p>
      <w:pPr>
        <w:ind w:left="5620"/>
        <w:spacing w:after="0"/>
        <w:rPr>
          <w:rFonts w:ascii="Arial" w:cs="Arial" w:eastAsia="Arial" w:hAnsi="Arial"/>
          <w:sz w:val="15"/>
          <w:szCs w:val="15"/>
          <w:color w:val="auto"/>
        </w:rPr>
      </w:pPr>
      <w:r>
        <w:rPr>
          <w:rFonts w:ascii="Arial" w:cs="Arial" w:eastAsia="Arial" w:hAnsi="Arial"/>
          <w:sz w:val="15"/>
          <w:szCs w:val="15"/>
          <w:color w:val="auto"/>
        </w:rPr>
        <w:t>153</w:t>
      </w:r>
    </w:p>
    <w:p>
      <w:pPr>
        <w:sectPr>
          <w:pgSz w:w="11900" w:h="16838" w:orient="portrait"/>
          <w:cols w:equalWidth="0" w:num="1">
            <w:col w:w="11080"/>
          </w:cols>
          <w:pgMar w:left="220" w:top="502" w:right="599" w:bottom="1440" w:gutter="0" w:footer="0" w:header="0"/>
        </w:sectPr>
      </w:pPr>
    </w:p>
    <w:bookmarkStart w:id="214" w:name="page215"/>
    <w:bookmarkEnd w:id="214"/>
    <w:p>
      <w:pPr>
        <w:ind w:left="800" w:hanging="263"/>
        <w:spacing w:after="0"/>
        <w:tabs>
          <w:tab w:leader="none" w:pos="800" w:val="left"/>
        </w:tabs>
        <w:numPr>
          <w:ilvl w:val="1"/>
          <w:numId w:val="159"/>
        </w:numPr>
        <w:rPr>
          <w:rFonts w:ascii="Arial" w:cs="Arial" w:eastAsia="Arial" w:hAnsi="Arial"/>
          <w:sz w:val="15"/>
          <w:szCs w:val="15"/>
          <w:color w:val="auto"/>
        </w:rPr>
      </w:pPr>
      <w:r>
        <w:rPr>
          <w:rFonts w:ascii="Arial" w:cs="Arial" w:eastAsia="Arial" w:hAnsi="Arial"/>
          <w:sz w:val="16"/>
          <w:szCs w:val="16"/>
          <w:color w:val="auto"/>
        </w:rPr>
        <w:t>It is the responsibility of the Chief Financial Officer to:</w:t>
      </w:r>
    </w:p>
    <w:p>
      <w:pPr>
        <w:spacing w:after="0" w:line="179" w:lineRule="exact"/>
        <w:rPr>
          <w:rFonts w:ascii="Arial" w:cs="Arial" w:eastAsia="Arial" w:hAnsi="Arial"/>
          <w:sz w:val="15"/>
          <w:szCs w:val="15"/>
          <w:color w:val="auto"/>
        </w:rPr>
      </w:pPr>
    </w:p>
    <w:p>
      <w:pPr>
        <w:ind w:left="1060" w:hanging="258"/>
        <w:spacing w:after="0"/>
        <w:tabs>
          <w:tab w:leader="none" w:pos="1060" w:val="left"/>
        </w:tabs>
        <w:numPr>
          <w:ilvl w:val="2"/>
          <w:numId w:val="159"/>
        </w:numPr>
        <w:rPr>
          <w:rFonts w:ascii="Arial" w:cs="Arial" w:eastAsia="Arial" w:hAnsi="Arial"/>
          <w:sz w:val="15"/>
          <w:szCs w:val="15"/>
          <w:color w:val="auto"/>
        </w:rPr>
      </w:pPr>
      <w:r>
        <w:rPr>
          <w:rFonts w:ascii="Arial" w:cs="Arial" w:eastAsia="Arial" w:hAnsi="Arial"/>
          <w:sz w:val="16"/>
          <w:szCs w:val="16"/>
          <w:color w:val="auto"/>
        </w:rPr>
        <w:t>Monitor the portfolio for suitability</w:t>
      </w:r>
    </w:p>
    <w:p>
      <w:pPr>
        <w:spacing w:after="0" w:line="17" w:lineRule="exact"/>
        <w:rPr>
          <w:rFonts w:ascii="Arial" w:cs="Arial" w:eastAsia="Arial" w:hAnsi="Arial"/>
          <w:sz w:val="15"/>
          <w:szCs w:val="15"/>
          <w:color w:val="auto"/>
        </w:rPr>
      </w:pPr>
    </w:p>
    <w:p>
      <w:pPr>
        <w:ind w:left="1060" w:hanging="258"/>
        <w:spacing w:after="0"/>
        <w:tabs>
          <w:tab w:leader="none" w:pos="1060" w:val="left"/>
        </w:tabs>
        <w:numPr>
          <w:ilvl w:val="2"/>
          <w:numId w:val="159"/>
        </w:numPr>
        <w:rPr>
          <w:rFonts w:ascii="Arial" w:cs="Arial" w:eastAsia="Arial" w:hAnsi="Arial"/>
          <w:sz w:val="15"/>
          <w:szCs w:val="15"/>
          <w:color w:val="auto"/>
        </w:rPr>
      </w:pPr>
      <w:r>
        <w:rPr>
          <w:rFonts w:ascii="Arial" w:cs="Arial" w:eastAsia="Arial" w:hAnsi="Arial"/>
          <w:sz w:val="16"/>
          <w:szCs w:val="16"/>
          <w:color w:val="auto"/>
        </w:rPr>
        <w:t>Propose alterations to the Investment Policy</w:t>
      </w:r>
    </w:p>
    <w:p>
      <w:pPr>
        <w:spacing w:after="0" w:line="3" w:lineRule="exact"/>
        <w:rPr>
          <w:rFonts w:ascii="Arial" w:cs="Arial" w:eastAsia="Arial" w:hAnsi="Arial"/>
          <w:sz w:val="15"/>
          <w:szCs w:val="15"/>
          <w:color w:val="auto"/>
        </w:rPr>
      </w:pPr>
    </w:p>
    <w:p>
      <w:pPr>
        <w:ind w:left="1060" w:hanging="258"/>
        <w:spacing w:after="0"/>
        <w:tabs>
          <w:tab w:leader="none" w:pos="1060" w:val="left"/>
        </w:tabs>
        <w:numPr>
          <w:ilvl w:val="2"/>
          <w:numId w:val="159"/>
        </w:numPr>
        <w:rPr>
          <w:rFonts w:ascii="Arial" w:cs="Arial" w:eastAsia="Arial" w:hAnsi="Arial"/>
          <w:sz w:val="15"/>
          <w:szCs w:val="15"/>
          <w:color w:val="auto"/>
        </w:rPr>
      </w:pPr>
      <w:r>
        <w:rPr>
          <w:rFonts w:ascii="Arial" w:cs="Arial" w:eastAsia="Arial" w:hAnsi="Arial"/>
          <w:sz w:val="16"/>
          <w:szCs w:val="16"/>
          <w:color w:val="auto"/>
        </w:rPr>
        <w:t>Maintain administrative approvals</w:t>
      </w:r>
    </w:p>
    <w:p>
      <w:pPr>
        <w:spacing w:after="0" w:line="3" w:lineRule="exact"/>
        <w:rPr>
          <w:rFonts w:ascii="Arial" w:cs="Arial" w:eastAsia="Arial" w:hAnsi="Arial"/>
          <w:sz w:val="15"/>
          <w:szCs w:val="15"/>
          <w:color w:val="auto"/>
        </w:rPr>
      </w:pPr>
    </w:p>
    <w:p>
      <w:pPr>
        <w:ind w:left="1060" w:hanging="258"/>
        <w:spacing w:after="0"/>
        <w:tabs>
          <w:tab w:leader="none" w:pos="1060" w:val="left"/>
        </w:tabs>
        <w:numPr>
          <w:ilvl w:val="2"/>
          <w:numId w:val="159"/>
        </w:numPr>
        <w:rPr>
          <w:rFonts w:ascii="Arial" w:cs="Arial" w:eastAsia="Arial" w:hAnsi="Arial"/>
          <w:sz w:val="15"/>
          <w:szCs w:val="15"/>
          <w:color w:val="auto"/>
        </w:rPr>
      </w:pPr>
      <w:r>
        <w:rPr>
          <w:rFonts w:ascii="Arial" w:cs="Arial" w:eastAsia="Arial" w:hAnsi="Arial"/>
          <w:sz w:val="16"/>
          <w:szCs w:val="16"/>
          <w:color w:val="auto"/>
        </w:rPr>
        <w:t>Execute the investment policy and designate in writing those who can execute the policy</w:t>
      </w:r>
    </w:p>
    <w:p>
      <w:pPr>
        <w:spacing w:after="0" w:line="165" w:lineRule="exact"/>
        <w:rPr>
          <w:rFonts w:ascii="Arial" w:cs="Arial" w:eastAsia="Arial" w:hAnsi="Arial"/>
          <w:sz w:val="15"/>
          <w:szCs w:val="15"/>
          <w:color w:val="auto"/>
        </w:rPr>
      </w:pPr>
    </w:p>
    <w:p>
      <w:pPr>
        <w:ind w:left="800" w:right="440" w:hanging="263"/>
        <w:spacing w:after="0" w:line="273" w:lineRule="auto"/>
        <w:tabs>
          <w:tab w:leader="none" w:pos="800" w:val="left"/>
        </w:tabs>
        <w:numPr>
          <w:ilvl w:val="1"/>
          <w:numId w:val="159"/>
        </w:numPr>
        <w:rPr>
          <w:rFonts w:ascii="Arial" w:cs="Arial" w:eastAsia="Arial" w:hAnsi="Arial"/>
          <w:sz w:val="15"/>
          <w:szCs w:val="15"/>
          <w:color w:val="auto"/>
        </w:rPr>
      </w:pPr>
      <w:r>
        <w:rPr>
          <w:rFonts w:ascii="Arial" w:cs="Arial" w:eastAsia="Arial" w:hAnsi="Arial"/>
          <w:sz w:val="16"/>
          <w:szCs w:val="16"/>
          <w:color w:val="auto"/>
        </w:rPr>
        <w:t>All movement of funds into and out of the Company’s approved investment accounts must be authorized by the Company’s Chief Financial Officer, or their designee and all transfer of funds are restricted to transfers between such accounts and the Company’s primary bank account</w:t>
      </w:r>
    </w:p>
    <w:p>
      <w:pPr>
        <w:spacing w:after="0" w:line="132" w:lineRule="exact"/>
        <w:rPr>
          <w:rFonts w:ascii="Arial" w:cs="Arial" w:eastAsia="Arial" w:hAnsi="Arial"/>
          <w:sz w:val="15"/>
          <w:szCs w:val="15"/>
          <w:color w:val="auto"/>
        </w:rPr>
      </w:pPr>
    </w:p>
    <w:p>
      <w:pPr>
        <w:ind w:left="800" w:hanging="263"/>
        <w:spacing w:after="0"/>
        <w:tabs>
          <w:tab w:leader="none" w:pos="800" w:val="left"/>
        </w:tabs>
        <w:numPr>
          <w:ilvl w:val="1"/>
          <w:numId w:val="159"/>
        </w:numPr>
        <w:rPr>
          <w:rFonts w:ascii="Arial" w:cs="Arial" w:eastAsia="Arial" w:hAnsi="Arial"/>
          <w:sz w:val="15"/>
          <w:szCs w:val="15"/>
          <w:color w:val="auto"/>
        </w:rPr>
      </w:pPr>
      <w:r>
        <w:rPr>
          <w:rFonts w:ascii="Arial" w:cs="Arial" w:eastAsia="Arial" w:hAnsi="Arial"/>
          <w:sz w:val="16"/>
          <w:szCs w:val="16"/>
          <w:color w:val="auto"/>
        </w:rPr>
        <w:t>All investment transactions must be approved in advance by the Company’s Chief Financial Officer</w:t>
      </w:r>
    </w:p>
    <w:p>
      <w:pPr>
        <w:spacing w:after="0" w:line="175" w:lineRule="exact"/>
        <w:rPr>
          <w:rFonts w:ascii="Arial" w:cs="Arial" w:eastAsia="Arial" w:hAnsi="Arial"/>
          <w:sz w:val="15"/>
          <w:szCs w:val="15"/>
          <w:color w:val="auto"/>
        </w:rPr>
      </w:pPr>
    </w:p>
    <w:p>
      <w:pPr>
        <w:ind w:left="540" w:hanging="532"/>
        <w:spacing w:after="0"/>
        <w:tabs>
          <w:tab w:leader="none" w:pos="540" w:val="left"/>
        </w:tabs>
        <w:numPr>
          <w:ilvl w:val="0"/>
          <w:numId w:val="160"/>
        </w:numPr>
        <w:rPr>
          <w:rFonts w:ascii="Arial" w:cs="Arial" w:eastAsia="Arial" w:hAnsi="Arial"/>
          <w:sz w:val="15"/>
          <w:szCs w:val="15"/>
          <w:color w:val="auto"/>
        </w:rPr>
      </w:pPr>
      <w:r>
        <w:rPr>
          <w:rFonts w:ascii="Arial" w:cs="Arial" w:eastAsia="Arial" w:hAnsi="Arial"/>
          <w:sz w:val="16"/>
          <w:szCs w:val="16"/>
          <w:b w:val="1"/>
          <w:bCs w:val="1"/>
          <w:color w:val="auto"/>
        </w:rPr>
        <w:t>Investment Objectives</w:t>
      </w:r>
    </w:p>
    <w:p>
      <w:pPr>
        <w:spacing w:after="0" w:line="183" w:lineRule="exact"/>
        <w:rPr>
          <w:rFonts w:ascii="Arial" w:cs="Arial" w:eastAsia="Arial" w:hAnsi="Arial"/>
          <w:sz w:val="15"/>
          <w:szCs w:val="15"/>
          <w:color w:val="auto"/>
        </w:rPr>
      </w:pPr>
    </w:p>
    <w:p>
      <w:pPr>
        <w:ind w:left="540"/>
        <w:spacing w:after="0" w:line="273" w:lineRule="auto"/>
        <w:rPr>
          <w:rFonts w:ascii="Arial" w:cs="Arial" w:eastAsia="Arial" w:hAnsi="Arial"/>
          <w:sz w:val="15"/>
          <w:szCs w:val="15"/>
          <w:color w:val="auto"/>
        </w:rPr>
      </w:pPr>
      <w:r>
        <w:rPr>
          <w:rFonts w:ascii="Arial" w:cs="Arial" w:eastAsia="Arial" w:hAnsi="Arial"/>
          <w:sz w:val="16"/>
          <w:szCs w:val="16"/>
          <w:color w:val="auto"/>
        </w:rPr>
        <w:t>Invest idle or surplus funds in accordance with the principles of sound investment management and this Investment Policy by incorporating the following fundamental objectives (in order of priority):</w:t>
      </w:r>
    </w:p>
    <w:p>
      <w:pPr>
        <w:spacing w:after="0" w:line="132" w:lineRule="exact"/>
        <w:rPr>
          <w:rFonts w:ascii="Arial" w:cs="Arial" w:eastAsia="Arial" w:hAnsi="Arial"/>
          <w:sz w:val="15"/>
          <w:szCs w:val="15"/>
          <w:color w:val="auto"/>
        </w:rPr>
      </w:pPr>
    </w:p>
    <w:p>
      <w:pPr>
        <w:ind w:left="800" w:hanging="263"/>
        <w:spacing w:after="0"/>
        <w:tabs>
          <w:tab w:leader="none" w:pos="800" w:val="left"/>
        </w:tabs>
        <w:numPr>
          <w:ilvl w:val="1"/>
          <w:numId w:val="160"/>
        </w:numPr>
        <w:rPr>
          <w:rFonts w:ascii="Arial" w:cs="Arial" w:eastAsia="Arial" w:hAnsi="Arial"/>
          <w:sz w:val="15"/>
          <w:szCs w:val="15"/>
          <w:color w:val="auto"/>
        </w:rPr>
      </w:pPr>
      <w:r>
        <w:rPr>
          <w:rFonts w:ascii="Arial" w:cs="Arial" w:eastAsia="Arial" w:hAnsi="Arial"/>
          <w:sz w:val="16"/>
          <w:szCs w:val="16"/>
          <w:color w:val="auto"/>
        </w:rPr>
        <w:t>Preserve capital</w:t>
      </w:r>
    </w:p>
    <w:p>
      <w:pPr>
        <w:spacing w:after="0" w:line="17" w:lineRule="exact"/>
        <w:rPr>
          <w:rFonts w:ascii="Arial" w:cs="Arial" w:eastAsia="Arial" w:hAnsi="Arial"/>
          <w:sz w:val="15"/>
          <w:szCs w:val="15"/>
          <w:color w:val="auto"/>
        </w:rPr>
      </w:pPr>
    </w:p>
    <w:p>
      <w:pPr>
        <w:ind w:left="800" w:hanging="263"/>
        <w:spacing w:after="0"/>
        <w:tabs>
          <w:tab w:leader="none" w:pos="800" w:val="left"/>
        </w:tabs>
        <w:numPr>
          <w:ilvl w:val="1"/>
          <w:numId w:val="160"/>
        </w:numPr>
        <w:rPr>
          <w:rFonts w:ascii="Arial" w:cs="Arial" w:eastAsia="Arial" w:hAnsi="Arial"/>
          <w:sz w:val="15"/>
          <w:szCs w:val="15"/>
          <w:color w:val="auto"/>
        </w:rPr>
      </w:pPr>
      <w:r>
        <w:rPr>
          <w:rFonts w:ascii="Arial" w:cs="Arial" w:eastAsia="Arial" w:hAnsi="Arial"/>
          <w:sz w:val="16"/>
          <w:szCs w:val="16"/>
          <w:color w:val="auto"/>
        </w:rPr>
        <w:t>Maintain an acceptable degree of liquidity</w:t>
      </w:r>
    </w:p>
    <w:p>
      <w:pPr>
        <w:spacing w:after="0" w:line="3" w:lineRule="exact"/>
        <w:rPr>
          <w:rFonts w:ascii="Arial" w:cs="Arial" w:eastAsia="Arial" w:hAnsi="Arial"/>
          <w:sz w:val="15"/>
          <w:szCs w:val="15"/>
          <w:color w:val="auto"/>
        </w:rPr>
      </w:pPr>
    </w:p>
    <w:p>
      <w:pPr>
        <w:ind w:left="800" w:hanging="263"/>
        <w:spacing w:after="0"/>
        <w:tabs>
          <w:tab w:leader="none" w:pos="800" w:val="left"/>
        </w:tabs>
        <w:numPr>
          <w:ilvl w:val="1"/>
          <w:numId w:val="160"/>
        </w:numPr>
        <w:rPr>
          <w:rFonts w:ascii="Arial" w:cs="Arial" w:eastAsia="Arial" w:hAnsi="Arial"/>
          <w:sz w:val="15"/>
          <w:szCs w:val="15"/>
          <w:color w:val="auto"/>
        </w:rPr>
      </w:pPr>
      <w:r>
        <w:rPr>
          <w:rFonts w:ascii="Arial" w:cs="Arial" w:eastAsia="Arial" w:hAnsi="Arial"/>
          <w:sz w:val="16"/>
          <w:szCs w:val="16"/>
          <w:color w:val="auto"/>
        </w:rPr>
        <w:t>Maximize after-tax yield within the constraints under section III. A &amp; B</w:t>
      </w:r>
    </w:p>
    <w:p>
      <w:pPr>
        <w:spacing w:after="0" w:line="3" w:lineRule="exact"/>
        <w:rPr>
          <w:rFonts w:ascii="Arial" w:cs="Arial" w:eastAsia="Arial" w:hAnsi="Arial"/>
          <w:sz w:val="15"/>
          <w:szCs w:val="15"/>
          <w:color w:val="auto"/>
        </w:rPr>
      </w:pPr>
    </w:p>
    <w:p>
      <w:pPr>
        <w:ind w:left="800" w:hanging="263"/>
        <w:spacing w:after="0"/>
        <w:tabs>
          <w:tab w:leader="none" w:pos="800" w:val="left"/>
        </w:tabs>
        <w:numPr>
          <w:ilvl w:val="1"/>
          <w:numId w:val="160"/>
        </w:numPr>
        <w:rPr>
          <w:rFonts w:ascii="Arial" w:cs="Arial" w:eastAsia="Arial" w:hAnsi="Arial"/>
          <w:sz w:val="15"/>
          <w:szCs w:val="15"/>
          <w:color w:val="auto"/>
        </w:rPr>
      </w:pPr>
      <w:r>
        <w:rPr>
          <w:rFonts w:ascii="Arial" w:cs="Arial" w:eastAsia="Arial" w:hAnsi="Arial"/>
          <w:sz w:val="16"/>
          <w:szCs w:val="16"/>
          <w:color w:val="auto"/>
        </w:rPr>
        <w:t>The average weighted maturity in the portfolio will be no longer than 12 months with no investment having a time to maturity greater than 24 months</w:t>
      </w:r>
    </w:p>
    <w:p>
      <w:pPr>
        <w:spacing w:after="0" w:line="3" w:lineRule="exact"/>
        <w:rPr>
          <w:rFonts w:ascii="Arial" w:cs="Arial" w:eastAsia="Arial" w:hAnsi="Arial"/>
          <w:sz w:val="15"/>
          <w:szCs w:val="15"/>
          <w:color w:val="auto"/>
        </w:rPr>
      </w:pPr>
    </w:p>
    <w:p>
      <w:pPr>
        <w:ind w:left="800" w:hanging="263"/>
        <w:spacing w:after="0"/>
        <w:tabs>
          <w:tab w:leader="none" w:pos="800" w:val="left"/>
        </w:tabs>
        <w:numPr>
          <w:ilvl w:val="1"/>
          <w:numId w:val="160"/>
        </w:numPr>
        <w:rPr>
          <w:rFonts w:ascii="Arial" w:cs="Arial" w:eastAsia="Arial" w:hAnsi="Arial"/>
          <w:sz w:val="15"/>
          <w:szCs w:val="15"/>
          <w:color w:val="auto"/>
        </w:rPr>
      </w:pPr>
      <w:r>
        <w:rPr>
          <w:rFonts w:ascii="Arial" w:cs="Arial" w:eastAsia="Arial" w:hAnsi="Arial"/>
          <w:sz w:val="16"/>
          <w:szCs w:val="16"/>
          <w:color w:val="auto"/>
        </w:rPr>
        <w:t>Maintain at all times an average portfolio credit quality of AA by S&amp;P/Fitch and/or Aa by Moody’s</w:t>
      </w:r>
    </w:p>
    <w:p>
      <w:pPr>
        <w:spacing w:after="0" w:line="3" w:lineRule="exact"/>
        <w:rPr>
          <w:rFonts w:ascii="Arial" w:cs="Arial" w:eastAsia="Arial" w:hAnsi="Arial"/>
          <w:sz w:val="15"/>
          <w:szCs w:val="15"/>
          <w:color w:val="auto"/>
        </w:rPr>
      </w:pPr>
    </w:p>
    <w:p>
      <w:pPr>
        <w:ind w:left="800" w:hanging="263"/>
        <w:spacing w:after="0"/>
        <w:tabs>
          <w:tab w:leader="none" w:pos="800" w:val="left"/>
        </w:tabs>
        <w:numPr>
          <w:ilvl w:val="1"/>
          <w:numId w:val="160"/>
        </w:numPr>
        <w:rPr>
          <w:rFonts w:ascii="Arial" w:cs="Arial" w:eastAsia="Arial" w:hAnsi="Arial"/>
          <w:sz w:val="13"/>
          <w:szCs w:val="13"/>
          <w:color w:val="auto"/>
        </w:rPr>
      </w:pPr>
      <w:r>
        <w:rPr>
          <w:rFonts w:ascii="Arial" w:cs="Arial" w:eastAsia="Arial" w:hAnsi="Arial"/>
          <w:sz w:val="14"/>
          <w:szCs w:val="14"/>
          <w:color w:val="auto"/>
        </w:rPr>
        <w:t>The Company may not borrow money for short-term investment purposes, however, excess LIBOR borrowings may be invested in overnight money market funds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IV. </w:t>
      </w:r>
      <w:r>
        <w:rPr>
          <w:rFonts w:ascii="Arial" w:cs="Arial" w:eastAsia="Arial" w:hAnsi="Arial"/>
          <w:sz w:val="16"/>
          <w:szCs w:val="16"/>
          <w:b w:val="1"/>
          <w:bCs w:val="1"/>
          <w:color w:val="auto"/>
        </w:rPr>
        <w:t>Securities Approved for Investment (refer also to Exhibit I)</w:t>
      </w:r>
    </w:p>
    <w:p>
      <w:pPr>
        <w:spacing w:after="0" w:line="180" w:lineRule="exact"/>
        <w:rPr>
          <w:sz w:val="20"/>
          <w:szCs w:val="20"/>
          <w:color w:val="auto"/>
        </w:rPr>
      </w:pPr>
    </w:p>
    <w:p>
      <w:pPr>
        <w:ind w:left="800" w:hanging="263"/>
        <w:spacing w:after="0"/>
        <w:tabs>
          <w:tab w:leader="none" w:pos="800" w:val="left"/>
        </w:tabs>
        <w:numPr>
          <w:ilvl w:val="0"/>
          <w:numId w:val="161"/>
        </w:numPr>
        <w:rPr>
          <w:rFonts w:ascii="Arial" w:cs="Arial" w:eastAsia="Arial" w:hAnsi="Arial"/>
          <w:sz w:val="15"/>
          <w:szCs w:val="15"/>
          <w:color w:val="auto"/>
        </w:rPr>
      </w:pPr>
      <w:r>
        <w:rPr>
          <w:rFonts w:ascii="Arial" w:cs="Arial" w:eastAsia="Arial" w:hAnsi="Arial"/>
          <w:sz w:val="16"/>
          <w:szCs w:val="16"/>
          <w:b w:val="1"/>
          <w:bCs w:val="1"/>
          <w:color w:val="auto"/>
        </w:rPr>
        <w:t>U.S. Government and Government-Sponsored Securities</w:t>
      </w:r>
    </w:p>
    <w:p>
      <w:pPr>
        <w:spacing w:after="0" w:line="183" w:lineRule="exact"/>
        <w:rPr>
          <w:rFonts w:ascii="Arial" w:cs="Arial" w:eastAsia="Arial" w:hAnsi="Arial"/>
          <w:sz w:val="15"/>
          <w:szCs w:val="15"/>
          <w:color w:val="auto"/>
        </w:rPr>
      </w:pPr>
    </w:p>
    <w:p>
      <w:pPr>
        <w:ind w:left="1060" w:hanging="258"/>
        <w:spacing w:after="0"/>
        <w:tabs>
          <w:tab w:leader="none" w:pos="1060" w:val="left"/>
        </w:tabs>
        <w:numPr>
          <w:ilvl w:val="1"/>
          <w:numId w:val="161"/>
        </w:numPr>
        <w:rPr>
          <w:rFonts w:ascii="Arial" w:cs="Arial" w:eastAsia="Arial" w:hAnsi="Arial"/>
          <w:sz w:val="15"/>
          <w:szCs w:val="15"/>
          <w:color w:val="auto"/>
        </w:rPr>
      </w:pPr>
      <w:r>
        <w:rPr>
          <w:rFonts w:ascii="Arial" w:cs="Arial" w:eastAsia="Arial" w:hAnsi="Arial"/>
          <w:sz w:val="16"/>
          <w:szCs w:val="16"/>
          <w:color w:val="auto"/>
        </w:rPr>
        <w:t>Direct obligations of the U.S. Government</w:t>
      </w:r>
    </w:p>
    <w:p>
      <w:pPr>
        <w:spacing w:after="0" w:line="17" w:lineRule="exact"/>
        <w:rPr>
          <w:rFonts w:ascii="Arial" w:cs="Arial" w:eastAsia="Arial" w:hAnsi="Arial"/>
          <w:sz w:val="15"/>
          <w:szCs w:val="15"/>
          <w:color w:val="auto"/>
        </w:rPr>
      </w:pPr>
    </w:p>
    <w:p>
      <w:pPr>
        <w:ind w:left="1600" w:right="5620" w:hanging="798"/>
        <w:spacing w:after="0" w:line="244" w:lineRule="auto"/>
        <w:tabs>
          <w:tab w:leader="none" w:pos="1071" w:val="left"/>
        </w:tabs>
        <w:numPr>
          <w:ilvl w:val="1"/>
          <w:numId w:val="161"/>
        </w:numPr>
        <w:rPr>
          <w:rFonts w:ascii="Arial" w:cs="Arial" w:eastAsia="Arial" w:hAnsi="Arial"/>
          <w:sz w:val="15"/>
          <w:szCs w:val="15"/>
          <w:color w:val="auto"/>
        </w:rPr>
      </w:pPr>
      <w:r>
        <w:rPr>
          <w:rFonts w:ascii="Arial" w:cs="Arial" w:eastAsia="Arial" w:hAnsi="Arial"/>
          <w:sz w:val="16"/>
          <w:szCs w:val="16"/>
          <w:color w:val="auto"/>
        </w:rPr>
        <w:t>Government-Sponsored Agency securities including, but not limited to: Federal National Mortgage Association (FNMA)</w:t>
      </w:r>
    </w:p>
    <w:p>
      <w:pPr>
        <w:ind w:left="1600" w:right="6740"/>
        <w:spacing w:after="0" w:line="244" w:lineRule="auto"/>
        <w:rPr>
          <w:rFonts w:ascii="Arial" w:cs="Arial" w:eastAsia="Arial" w:hAnsi="Arial"/>
          <w:sz w:val="15"/>
          <w:szCs w:val="15"/>
          <w:color w:val="auto"/>
        </w:rPr>
      </w:pPr>
      <w:r>
        <w:rPr>
          <w:rFonts w:ascii="Arial" w:cs="Arial" w:eastAsia="Arial" w:hAnsi="Arial"/>
          <w:sz w:val="16"/>
          <w:szCs w:val="16"/>
          <w:color w:val="auto"/>
        </w:rPr>
        <w:t>Student Loan Marketing Association (SLMA) Federal Home Loan Bank (FHLB)</w:t>
      </w:r>
    </w:p>
    <w:p>
      <w:pPr>
        <w:ind w:left="1600" w:right="6240"/>
        <w:spacing w:after="0" w:line="244" w:lineRule="auto"/>
        <w:rPr>
          <w:rFonts w:ascii="Arial" w:cs="Arial" w:eastAsia="Arial" w:hAnsi="Arial"/>
          <w:sz w:val="15"/>
          <w:szCs w:val="15"/>
          <w:color w:val="auto"/>
        </w:rPr>
      </w:pPr>
      <w:r>
        <w:rPr>
          <w:rFonts w:ascii="Arial" w:cs="Arial" w:eastAsia="Arial" w:hAnsi="Arial"/>
          <w:sz w:val="16"/>
          <w:szCs w:val="16"/>
          <w:color w:val="auto"/>
        </w:rPr>
        <w:t>Federal Home Loan Mortgage Corporation (FHLMC) Federal Farm Credit Banks (FFCB)</w:t>
      </w:r>
    </w:p>
    <w:p>
      <w:pPr>
        <w:ind w:left="1600"/>
        <w:spacing w:after="0"/>
        <w:rPr>
          <w:rFonts w:ascii="Arial" w:cs="Arial" w:eastAsia="Arial" w:hAnsi="Arial"/>
          <w:sz w:val="15"/>
          <w:szCs w:val="15"/>
          <w:color w:val="auto"/>
        </w:rPr>
      </w:pPr>
      <w:r>
        <w:rPr>
          <w:rFonts w:ascii="Arial" w:cs="Arial" w:eastAsia="Arial" w:hAnsi="Arial"/>
          <w:sz w:val="16"/>
          <w:szCs w:val="16"/>
          <w:color w:val="auto"/>
        </w:rPr>
        <w:t>Tennessee Valley Authority (TVA) Power Bonds and Notes</w:t>
      </w:r>
    </w:p>
    <w:p>
      <w:pPr>
        <w:spacing w:after="0" w:line="161" w:lineRule="exact"/>
        <w:rPr>
          <w:rFonts w:ascii="Arial" w:cs="Arial" w:eastAsia="Arial" w:hAnsi="Arial"/>
          <w:sz w:val="15"/>
          <w:szCs w:val="15"/>
          <w:color w:val="auto"/>
        </w:rPr>
      </w:pPr>
    </w:p>
    <w:p>
      <w:pPr>
        <w:ind w:left="800" w:hanging="263"/>
        <w:spacing w:after="0"/>
        <w:tabs>
          <w:tab w:leader="none" w:pos="800" w:val="left"/>
        </w:tabs>
        <w:numPr>
          <w:ilvl w:val="0"/>
          <w:numId w:val="161"/>
        </w:numPr>
        <w:rPr>
          <w:rFonts w:ascii="Arial" w:cs="Arial" w:eastAsia="Arial" w:hAnsi="Arial"/>
          <w:sz w:val="15"/>
          <w:szCs w:val="15"/>
          <w:color w:val="auto"/>
        </w:rPr>
      </w:pPr>
      <w:r>
        <w:rPr>
          <w:rFonts w:ascii="Arial" w:cs="Arial" w:eastAsia="Arial" w:hAnsi="Arial"/>
          <w:sz w:val="16"/>
          <w:szCs w:val="16"/>
          <w:b w:val="1"/>
          <w:bCs w:val="1"/>
          <w:color w:val="auto"/>
        </w:rPr>
        <w:t>Repurchase (Repo) Agreements</w:t>
      </w:r>
    </w:p>
    <w:p>
      <w:pPr>
        <w:spacing w:after="0" w:line="183" w:lineRule="exact"/>
        <w:rPr>
          <w:rFonts w:ascii="Arial" w:cs="Arial" w:eastAsia="Arial" w:hAnsi="Arial"/>
          <w:sz w:val="15"/>
          <w:szCs w:val="15"/>
          <w:color w:val="auto"/>
        </w:rPr>
      </w:pPr>
    </w:p>
    <w:p>
      <w:pPr>
        <w:ind w:left="1060" w:hanging="258"/>
        <w:spacing w:after="0"/>
        <w:tabs>
          <w:tab w:leader="none" w:pos="1060" w:val="left"/>
        </w:tabs>
        <w:numPr>
          <w:ilvl w:val="1"/>
          <w:numId w:val="161"/>
        </w:numPr>
        <w:rPr>
          <w:rFonts w:ascii="Arial" w:cs="Arial" w:eastAsia="Arial" w:hAnsi="Arial"/>
          <w:sz w:val="15"/>
          <w:szCs w:val="15"/>
          <w:color w:val="auto"/>
        </w:rPr>
      </w:pPr>
      <w:r>
        <w:rPr>
          <w:rFonts w:ascii="Arial" w:cs="Arial" w:eastAsia="Arial" w:hAnsi="Arial"/>
          <w:sz w:val="16"/>
          <w:szCs w:val="16"/>
          <w:color w:val="auto"/>
        </w:rPr>
        <w:t>The short-term rating of the counter-party broker, dealer or bank must be at least A1 by S&amp;P/Fitch and/or P1 by Moody’s.</w:t>
      </w:r>
    </w:p>
    <w:p>
      <w:pPr>
        <w:spacing w:after="0" w:line="17" w:lineRule="exact"/>
        <w:rPr>
          <w:rFonts w:ascii="Arial" w:cs="Arial" w:eastAsia="Arial" w:hAnsi="Arial"/>
          <w:sz w:val="15"/>
          <w:szCs w:val="15"/>
          <w:color w:val="auto"/>
        </w:rPr>
      </w:pPr>
    </w:p>
    <w:p>
      <w:pPr>
        <w:ind w:left="1060" w:hanging="258"/>
        <w:spacing w:after="0"/>
        <w:tabs>
          <w:tab w:leader="none" w:pos="1060" w:val="left"/>
        </w:tabs>
        <w:numPr>
          <w:ilvl w:val="1"/>
          <w:numId w:val="161"/>
        </w:numPr>
        <w:rPr>
          <w:rFonts w:ascii="Arial" w:cs="Arial" w:eastAsia="Arial" w:hAnsi="Arial"/>
          <w:sz w:val="15"/>
          <w:szCs w:val="15"/>
          <w:color w:val="auto"/>
        </w:rPr>
      </w:pPr>
      <w:r>
        <w:rPr>
          <w:rFonts w:ascii="Arial" w:cs="Arial" w:eastAsia="Arial" w:hAnsi="Arial"/>
          <w:sz w:val="16"/>
          <w:szCs w:val="16"/>
          <w:color w:val="auto"/>
        </w:rPr>
        <w:t>The only acceptable collateral is:</w:t>
      </w:r>
    </w:p>
    <w:p>
      <w:pPr>
        <w:spacing w:after="0" w:line="3" w:lineRule="exact"/>
        <w:rPr>
          <w:rFonts w:ascii="Arial" w:cs="Arial" w:eastAsia="Arial" w:hAnsi="Arial"/>
          <w:sz w:val="15"/>
          <w:szCs w:val="15"/>
          <w:color w:val="auto"/>
        </w:rPr>
      </w:pPr>
    </w:p>
    <w:p>
      <w:pPr>
        <w:ind w:left="1860" w:hanging="265"/>
        <w:spacing w:after="0"/>
        <w:tabs>
          <w:tab w:leader="none" w:pos="1860" w:val="left"/>
        </w:tabs>
        <w:numPr>
          <w:ilvl w:val="2"/>
          <w:numId w:val="161"/>
        </w:numPr>
        <w:rPr>
          <w:rFonts w:ascii="Arial" w:cs="Arial" w:eastAsia="Arial" w:hAnsi="Arial"/>
          <w:sz w:val="15"/>
          <w:szCs w:val="15"/>
          <w:color w:val="auto"/>
        </w:rPr>
      </w:pPr>
      <w:r>
        <w:rPr>
          <w:rFonts w:ascii="Arial" w:cs="Arial" w:eastAsia="Arial" w:hAnsi="Arial"/>
          <w:sz w:val="16"/>
          <w:szCs w:val="16"/>
          <w:color w:val="auto"/>
        </w:rPr>
        <w:t>United States Treasuries</w:t>
      </w:r>
    </w:p>
    <w:p>
      <w:pPr>
        <w:spacing w:after="0" w:line="3" w:lineRule="exact"/>
        <w:rPr>
          <w:rFonts w:ascii="Arial" w:cs="Arial" w:eastAsia="Arial" w:hAnsi="Arial"/>
          <w:sz w:val="15"/>
          <w:szCs w:val="15"/>
          <w:color w:val="auto"/>
        </w:rPr>
      </w:pPr>
    </w:p>
    <w:p>
      <w:pPr>
        <w:ind w:left="1860" w:hanging="265"/>
        <w:spacing w:after="0"/>
        <w:tabs>
          <w:tab w:leader="none" w:pos="1860" w:val="left"/>
        </w:tabs>
        <w:numPr>
          <w:ilvl w:val="2"/>
          <w:numId w:val="161"/>
        </w:numPr>
        <w:rPr>
          <w:rFonts w:ascii="Arial" w:cs="Arial" w:eastAsia="Arial" w:hAnsi="Arial"/>
          <w:sz w:val="15"/>
          <w:szCs w:val="15"/>
          <w:color w:val="auto"/>
        </w:rPr>
      </w:pPr>
      <w:r>
        <w:rPr>
          <w:rFonts w:ascii="Arial" w:cs="Arial" w:eastAsia="Arial" w:hAnsi="Arial"/>
          <w:sz w:val="16"/>
          <w:szCs w:val="16"/>
          <w:color w:val="auto"/>
        </w:rPr>
        <w:t>United States Agencies as defined in section V.A.2.</w:t>
      </w:r>
    </w:p>
    <w:p>
      <w:pPr>
        <w:spacing w:after="0" w:line="192"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154</w:t>
      </w:r>
    </w:p>
    <w:p>
      <w:pPr>
        <w:sectPr>
          <w:pgSz w:w="11900" w:h="16838" w:orient="portrait"/>
          <w:cols w:equalWidth="0" w:num="1">
            <w:col w:w="11320"/>
          </w:cols>
          <w:pgMar w:left="220" w:top="863" w:right="359" w:bottom="1440" w:gutter="0" w:footer="0" w:header="0"/>
        </w:sectPr>
      </w:pPr>
    </w:p>
    <w:bookmarkStart w:id="215" w:name="page216"/>
    <w:bookmarkEnd w:id="215"/>
    <w:p>
      <w:pPr>
        <w:ind w:left="800" w:hanging="263"/>
        <w:spacing w:after="0"/>
        <w:tabs>
          <w:tab w:leader="none" w:pos="800" w:val="left"/>
        </w:tabs>
        <w:numPr>
          <w:ilvl w:val="0"/>
          <w:numId w:val="162"/>
        </w:numPr>
        <w:rPr>
          <w:rFonts w:ascii="Arial" w:cs="Arial" w:eastAsia="Arial" w:hAnsi="Arial"/>
          <w:sz w:val="15"/>
          <w:szCs w:val="15"/>
          <w:color w:val="auto"/>
        </w:rPr>
      </w:pPr>
      <w:r>
        <w:rPr>
          <w:rFonts w:ascii="Arial" w:cs="Arial" w:eastAsia="Arial" w:hAnsi="Arial"/>
          <w:sz w:val="16"/>
          <w:szCs w:val="16"/>
          <w:b w:val="1"/>
          <w:bCs w:val="1"/>
          <w:color w:val="auto"/>
        </w:rPr>
        <w:t>Bank Related Securities</w:t>
      </w:r>
    </w:p>
    <w:p>
      <w:pPr>
        <w:spacing w:after="0" w:line="184"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Certificates of Deposit</w:t>
      </w:r>
    </w:p>
    <w:p>
      <w:pPr>
        <w:spacing w:after="0" w:line="17"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Time Deposits</w:t>
      </w:r>
    </w:p>
    <w:p>
      <w:pPr>
        <w:spacing w:after="0" w:line="3"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Bankers Acceptances</w:t>
      </w:r>
    </w:p>
    <w:p>
      <w:pPr>
        <w:spacing w:after="0" w:line="3"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Bank Deposit Notes</w:t>
      </w:r>
    </w:p>
    <w:p>
      <w:pPr>
        <w:spacing w:after="0" w:line="177"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Eurodollar Time Deposits</w:t>
      </w:r>
    </w:p>
    <w:p>
      <w:pPr>
        <w:spacing w:after="0" w:line="367" w:lineRule="exact"/>
        <w:rPr>
          <w:sz w:val="20"/>
          <w:szCs w:val="20"/>
          <w:color w:val="auto"/>
        </w:rPr>
      </w:pPr>
    </w:p>
    <w:p>
      <w:pPr>
        <w:ind w:left="1180" w:hanging="378"/>
        <w:spacing w:after="0"/>
        <w:tabs>
          <w:tab w:leader="none" w:pos="1180" w:val="left"/>
        </w:tabs>
        <w:numPr>
          <w:ilvl w:val="1"/>
          <w:numId w:val="163"/>
        </w:numPr>
        <w:rPr>
          <w:rFonts w:ascii="Arial" w:cs="Arial" w:eastAsia="Arial" w:hAnsi="Arial"/>
          <w:sz w:val="15"/>
          <w:szCs w:val="15"/>
          <w:color w:val="auto"/>
        </w:rPr>
      </w:pPr>
      <w:r>
        <w:rPr>
          <w:rFonts w:ascii="Arial" w:cs="Arial" w:eastAsia="Arial" w:hAnsi="Arial"/>
          <w:sz w:val="16"/>
          <w:szCs w:val="16"/>
          <w:color w:val="auto"/>
        </w:rPr>
        <w:t>Banks must carry a long-term rating of A+ by S&amp;P/Fitch and/or A1 by Moody’s.</w:t>
      </w:r>
    </w:p>
    <w:p>
      <w:pPr>
        <w:spacing w:after="0" w:line="186" w:lineRule="exact"/>
        <w:rPr>
          <w:rFonts w:ascii="Arial" w:cs="Arial" w:eastAsia="Arial" w:hAnsi="Arial"/>
          <w:sz w:val="15"/>
          <w:szCs w:val="15"/>
          <w:color w:val="auto"/>
        </w:rPr>
      </w:pPr>
    </w:p>
    <w:p>
      <w:pPr>
        <w:ind w:left="800" w:hanging="263"/>
        <w:spacing w:after="0"/>
        <w:tabs>
          <w:tab w:leader="none" w:pos="800" w:val="left"/>
        </w:tabs>
        <w:numPr>
          <w:ilvl w:val="0"/>
          <w:numId w:val="164"/>
        </w:numPr>
        <w:rPr>
          <w:rFonts w:ascii="Arial" w:cs="Arial" w:eastAsia="Arial" w:hAnsi="Arial"/>
          <w:sz w:val="15"/>
          <w:szCs w:val="15"/>
          <w:color w:val="auto"/>
        </w:rPr>
      </w:pPr>
      <w:r>
        <w:rPr>
          <w:rFonts w:ascii="Arial" w:cs="Arial" w:eastAsia="Arial" w:hAnsi="Arial"/>
          <w:sz w:val="16"/>
          <w:szCs w:val="16"/>
          <w:b w:val="1"/>
          <w:bCs w:val="1"/>
          <w:color w:val="auto"/>
        </w:rPr>
        <w:t>Corporate Debt Securities</w:t>
      </w:r>
    </w:p>
    <w:p>
      <w:pPr>
        <w:spacing w:after="0" w:line="183" w:lineRule="exact"/>
        <w:rPr>
          <w:rFonts w:ascii="Arial" w:cs="Arial" w:eastAsia="Arial" w:hAnsi="Arial"/>
          <w:sz w:val="15"/>
          <w:szCs w:val="15"/>
          <w:color w:val="auto"/>
        </w:rPr>
      </w:pPr>
    </w:p>
    <w:p>
      <w:pPr>
        <w:ind w:left="800" w:right="9460"/>
        <w:spacing w:after="0" w:line="312" w:lineRule="auto"/>
        <w:rPr>
          <w:rFonts w:ascii="Arial" w:cs="Arial" w:eastAsia="Arial" w:hAnsi="Arial"/>
          <w:sz w:val="15"/>
          <w:szCs w:val="15"/>
          <w:color w:val="auto"/>
        </w:rPr>
      </w:pPr>
      <w:r>
        <w:rPr>
          <w:rFonts w:ascii="Arial" w:cs="Arial" w:eastAsia="Arial" w:hAnsi="Arial"/>
          <w:sz w:val="14"/>
          <w:szCs w:val="14"/>
          <w:color w:val="auto"/>
        </w:rPr>
        <w:t>Commercial Paper Corporate Notes Corporate Bonds</w:t>
      </w:r>
    </w:p>
    <w:p>
      <w:pPr>
        <w:spacing w:after="0" w:line="110" w:lineRule="exact"/>
        <w:rPr>
          <w:rFonts w:ascii="Arial" w:cs="Arial" w:eastAsia="Arial" w:hAnsi="Arial"/>
          <w:sz w:val="15"/>
          <w:szCs w:val="15"/>
          <w:color w:val="auto"/>
        </w:rPr>
      </w:pPr>
    </w:p>
    <w:p>
      <w:pPr>
        <w:ind w:left="1060" w:hanging="258"/>
        <w:spacing w:after="0"/>
        <w:tabs>
          <w:tab w:leader="none" w:pos="1060" w:val="left"/>
        </w:tabs>
        <w:numPr>
          <w:ilvl w:val="1"/>
          <w:numId w:val="164"/>
        </w:numPr>
        <w:rPr>
          <w:rFonts w:ascii="Arial" w:cs="Arial" w:eastAsia="Arial" w:hAnsi="Arial"/>
          <w:sz w:val="15"/>
          <w:szCs w:val="15"/>
          <w:color w:val="auto"/>
        </w:rPr>
      </w:pPr>
      <w:r>
        <w:rPr>
          <w:rFonts w:ascii="Arial" w:cs="Arial" w:eastAsia="Arial" w:hAnsi="Arial"/>
          <w:sz w:val="16"/>
          <w:szCs w:val="16"/>
          <w:color w:val="auto"/>
        </w:rPr>
        <w:t>Corporate issues of commercial paper must have minimum rating ofA1 by S&amp;P/Fitch or P1 by Moody’s.</w:t>
      </w:r>
    </w:p>
    <w:p>
      <w:pPr>
        <w:spacing w:after="0" w:line="17" w:lineRule="exact"/>
        <w:rPr>
          <w:rFonts w:ascii="Arial" w:cs="Arial" w:eastAsia="Arial" w:hAnsi="Arial"/>
          <w:sz w:val="15"/>
          <w:szCs w:val="15"/>
          <w:color w:val="auto"/>
        </w:rPr>
      </w:pPr>
    </w:p>
    <w:p>
      <w:pPr>
        <w:ind w:left="1060" w:hanging="258"/>
        <w:spacing w:after="0"/>
        <w:tabs>
          <w:tab w:leader="none" w:pos="1060" w:val="left"/>
        </w:tabs>
        <w:numPr>
          <w:ilvl w:val="1"/>
          <w:numId w:val="164"/>
        </w:numPr>
        <w:rPr>
          <w:rFonts w:ascii="Arial" w:cs="Arial" w:eastAsia="Arial" w:hAnsi="Arial"/>
          <w:sz w:val="15"/>
          <w:szCs w:val="15"/>
          <w:color w:val="auto"/>
        </w:rPr>
      </w:pPr>
      <w:r>
        <w:rPr>
          <w:rFonts w:ascii="Arial" w:cs="Arial" w:eastAsia="Arial" w:hAnsi="Arial"/>
          <w:sz w:val="16"/>
          <w:szCs w:val="16"/>
          <w:color w:val="auto"/>
        </w:rPr>
        <w:t>Other corporate debt instruments must have a long-term debt rating of at least AA by S&amp;P/Fitch or Aa by Moody’s.</w:t>
      </w:r>
    </w:p>
    <w:p>
      <w:pPr>
        <w:spacing w:after="0" w:line="161" w:lineRule="exact"/>
        <w:rPr>
          <w:rFonts w:ascii="Arial" w:cs="Arial" w:eastAsia="Arial" w:hAnsi="Arial"/>
          <w:sz w:val="15"/>
          <w:szCs w:val="15"/>
          <w:color w:val="auto"/>
        </w:rPr>
      </w:pPr>
    </w:p>
    <w:p>
      <w:pPr>
        <w:ind w:left="800" w:hanging="263"/>
        <w:spacing w:after="0"/>
        <w:tabs>
          <w:tab w:leader="none" w:pos="800" w:val="left"/>
        </w:tabs>
        <w:numPr>
          <w:ilvl w:val="0"/>
          <w:numId w:val="164"/>
        </w:numPr>
        <w:rPr>
          <w:rFonts w:ascii="Arial" w:cs="Arial" w:eastAsia="Arial" w:hAnsi="Arial"/>
          <w:sz w:val="15"/>
          <w:szCs w:val="15"/>
          <w:color w:val="auto"/>
        </w:rPr>
      </w:pPr>
      <w:r>
        <w:rPr>
          <w:rFonts w:ascii="Arial" w:cs="Arial" w:eastAsia="Arial" w:hAnsi="Arial"/>
          <w:sz w:val="16"/>
          <w:szCs w:val="16"/>
          <w:b w:val="1"/>
          <w:bCs w:val="1"/>
          <w:color w:val="auto"/>
        </w:rPr>
        <w:t>Tax Exempt and Taxable Securities</w:t>
      </w:r>
    </w:p>
    <w:p>
      <w:pPr>
        <w:spacing w:after="0" w:line="183" w:lineRule="exact"/>
        <w:rPr>
          <w:rFonts w:ascii="Arial" w:cs="Arial" w:eastAsia="Arial" w:hAnsi="Arial"/>
          <w:sz w:val="15"/>
          <w:szCs w:val="15"/>
          <w:color w:val="auto"/>
        </w:rPr>
      </w:pPr>
    </w:p>
    <w:p>
      <w:pPr>
        <w:ind w:left="800" w:right="8020"/>
        <w:spacing w:after="0" w:line="273" w:lineRule="auto"/>
        <w:rPr>
          <w:rFonts w:ascii="Arial" w:cs="Arial" w:eastAsia="Arial" w:hAnsi="Arial"/>
          <w:sz w:val="15"/>
          <w:szCs w:val="15"/>
          <w:color w:val="auto"/>
        </w:rPr>
      </w:pPr>
      <w:r>
        <w:rPr>
          <w:rFonts w:ascii="Arial" w:cs="Arial" w:eastAsia="Arial" w:hAnsi="Arial"/>
          <w:sz w:val="16"/>
          <w:szCs w:val="16"/>
          <w:color w:val="auto"/>
        </w:rPr>
        <w:t>Municipal Notes &amp; Bonds Variable-Rate Demand Bonds (VRDN’s)</w:t>
      </w:r>
    </w:p>
    <w:p>
      <w:pPr>
        <w:spacing w:after="0" w:line="132" w:lineRule="exact"/>
        <w:rPr>
          <w:rFonts w:ascii="Arial" w:cs="Arial" w:eastAsia="Arial" w:hAnsi="Arial"/>
          <w:sz w:val="15"/>
          <w:szCs w:val="15"/>
          <w:color w:val="auto"/>
        </w:rPr>
      </w:pPr>
    </w:p>
    <w:p>
      <w:pPr>
        <w:ind w:left="1060" w:hanging="258"/>
        <w:spacing w:after="0"/>
        <w:tabs>
          <w:tab w:leader="none" w:pos="1060" w:val="left"/>
        </w:tabs>
        <w:numPr>
          <w:ilvl w:val="1"/>
          <w:numId w:val="164"/>
        </w:numPr>
        <w:rPr>
          <w:rFonts w:ascii="Arial" w:cs="Arial" w:eastAsia="Arial" w:hAnsi="Arial"/>
          <w:sz w:val="15"/>
          <w:szCs w:val="15"/>
          <w:color w:val="auto"/>
        </w:rPr>
      </w:pPr>
      <w:r>
        <w:rPr>
          <w:rFonts w:ascii="Arial" w:cs="Arial" w:eastAsia="Arial" w:hAnsi="Arial"/>
          <w:sz w:val="16"/>
          <w:szCs w:val="16"/>
          <w:color w:val="auto"/>
        </w:rPr>
        <w:t>Bonds must carry a rating of at least an A rating by S&amp;P/Fitch and A2 by Moody’s.</w:t>
      </w:r>
    </w:p>
    <w:p>
      <w:pPr>
        <w:spacing w:after="0" w:line="17" w:lineRule="exact"/>
        <w:rPr>
          <w:rFonts w:ascii="Arial" w:cs="Arial" w:eastAsia="Arial" w:hAnsi="Arial"/>
          <w:sz w:val="15"/>
          <w:szCs w:val="15"/>
          <w:color w:val="auto"/>
        </w:rPr>
      </w:pPr>
    </w:p>
    <w:p>
      <w:pPr>
        <w:ind w:left="1060" w:hanging="258"/>
        <w:spacing w:after="0"/>
        <w:tabs>
          <w:tab w:leader="none" w:pos="1060" w:val="left"/>
        </w:tabs>
        <w:numPr>
          <w:ilvl w:val="1"/>
          <w:numId w:val="164"/>
        </w:numPr>
        <w:rPr>
          <w:rFonts w:ascii="Arial" w:cs="Arial" w:eastAsia="Arial" w:hAnsi="Arial"/>
          <w:sz w:val="15"/>
          <w:szCs w:val="15"/>
          <w:color w:val="auto"/>
        </w:rPr>
      </w:pPr>
      <w:r>
        <w:rPr>
          <w:rFonts w:ascii="Arial" w:cs="Arial" w:eastAsia="Arial" w:hAnsi="Arial"/>
          <w:sz w:val="16"/>
          <w:szCs w:val="16"/>
          <w:color w:val="auto"/>
        </w:rPr>
        <w:t>Any supporting bank letters of credit or guarantees must be of an institution whose debt rating is at least A S&amp;P/Fitch or A2 by Moody’s.</w:t>
      </w:r>
    </w:p>
    <w:p>
      <w:pPr>
        <w:spacing w:after="0" w:line="161" w:lineRule="exact"/>
        <w:rPr>
          <w:rFonts w:ascii="Arial" w:cs="Arial" w:eastAsia="Arial" w:hAnsi="Arial"/>
          <w:sz w:val="15"/>
          <w:szCs w:val="15"/>
          <w:color w:val="auto"/>
        </w:rPr>
      </w:pPr>
    </w:p>
    <w:p>
      <w:pPr>
        <w:ind w:left="800" w:hanging="263"/>
        <w:spacing w:after="0"/>
        <w:tabs>
          <w:tab w:leader="none" w:pos="800" w:val="left"/>
        </w:tabs>
        <w:numPr>
          <w:ilvl w:val="0"/>
          <w:numId w:val="164"/>
        </w:numPr>
        <w:rPr>
          <w:rFonts w:ascii="Arial" w:cs="Arial" w:eastAsia="Arial" w:hAnsi="Arial"/>
          <w:sz w:val="15"/>
          <w:szCs w:val="15"/>
          <w:color w:val="auto"/>
        </w:rPr>
      </w:pPr>
      <w:r>
        <w:rPr>
          <w:rFonts w:ascii="Arial" w:cs="Arial" w:eastAsia="Arial" w:hAnsi="Arial"/>
          <w:sz w:val="16"/>
          <w:szCs w:val="16"/>
          <w:b w:val="1"/>
          <w:bCs w:val="1"/>
          <w:color w:val="auto"/>
        </w:rPr>
        <w:t>Money Market Funds</w:t>
      </w:r>
    </w:p>
    <w:p>
      <w:pPr>
        <w:spacing w:after="0" w:line="183" w:lineRule="exact"/>
        <w:rPr>
          <w:rFonts w:ascii="Arial" w:cs="Arial" w:eastAsia="Arial" w:hAnsi="Arial"/>
          <w:sz w:val="15"/>
          <w:szCs w:val="15"/>
          <w:color w:val="auto"/>
        </w:rPr>
      </w:pPr>
    </w:p>
    <w:p>
      <w:pPr>
        <w:ind w:left="1060" w:hanging="258"/>
        <w:spacing w:after="0"/>
        <w:tabs>
          <w:tab w:leader="none" w:pos="1060" w:val="left"/>
        </w:tabs>
        <w:numPr>
          <w:ilvl w:val="1"/>
          <w:numId w:val="164"/>
        </w:numPr>
        <w:rPr>
          <w:rFonts w:ascii="Arial" w:cs="Arial" w:eastAsia="Arial" w:hAnsi="Arial"/>
          <w:sz w:val="15"/>
          <w:szCs w:val="15"/>
          <w:color w:val="auto"/>
        </w:rPr>
      </w:pPr>
      <w:r>
        <w:rPr>
          <w:rFonts w:ascii="Arial" w:cs="Arial" w:eastAsia="Arial" w:hAnsi="Arial"/>
          <w:sz w:val="16"/>
          <w:szCs w:val="16"/>
          <w:color w:val="auto"/>
        </w:rPr>
        <w:t>Investment is restricted to any such fund that invests primarily in securities deemed acceptable for outright purchase.</w:t>
      </w:r>
    </w:p>
    <w:p>
      <w:pPr>
        <w:spacing w:after="0" w:line="17" w:lineRule="exact"/>
        <w:rPr>
          <w:rFonts w:ascii="Arial" w:cs="Arial" w:eastAsia="Arial" w:hAnsi="Arial"/>
          <w:sz w:val="15"/>
          <w:szCs w:val="15"/>
          <w:color w:val="auto"/>
        </w:rPr>
      </w:pPr>
    </w:p>
    <w:p>
      <w:pPr>
        <w:ind w:left="1060" w:hanging="258"/>
        <w:spacing w:after="0" w:line="244" w:lineRule="auto"/>
        <w:tabs>
          <w:tab w:leader="none" w:pos="1060" w:val="left"/>
        </w:tabs>
        <w:numPr>
          <w:ilvl w:val="1"/>
          <w:numId w:val="164"/>
        </w:numPr>
        <w:rPr>
          <w:rFonts w:ascii="Arial" w:cs="Arial" w:eastAsia="Arial" w:hAnsi="Arial"/>
          <w:sz w:val="15"/>
          <w:szCs w:val="15"/>
          <w:color w:val="auto"/>
        </w:rPr>
      </w:pPr>
      <w:r>
        <w:rPr>
          <w:rFonts w:ascii="Arial" w:cs="Arial" w:eastAsia="Arial" w:hAnsi="Arial"/>
          <w:sz w:val="16"/>
          <w:szCs w:val="16"/>
          <w:color w:val="auto"/>
        </w:rPr>
        <w:t>Domestic based money market funds shall be limited to 2a-7 funds. For additional diversification and liquidity, the fund shall have at least $5 Billion in assets as of the date the Company’s account is initially opened.</w:t>
      </w:r>
    </w:p>
    <w:p>
      <w:pPr>
        <w:ind w:left="1060" w:hanging="258"/>
        <w:spacing w:after="0"/>
        <w:tabs>
          <w:tab w:leader="none" w:pos="1060" w:val="left"/>
        </w:tabs>
        <w:numPr>
          <w:ilvl w:val="1"/>
          <w:numId w:val="164"/>
        </w:numPr>
        <w:rPr>
          <w:rFonts w:ascii="Arial" w:cs="Arial" w:eastAsia="Arial" w:hAnsi="Arial"/>
          <w:sz w:val="15"/>
          <w:szCs w:val="15"/>
          <w:color w:val="auto"/>
        </w:rPr>
      </w:pPr>
      <w:r>
        <w:rPr>
          <w:rFonts w:ascii="Arial" w:cs="Arial" w:eastAsia="Arial" w:hAnsi="Arial"/>
          <w:sz w:val="16"/>
          <w:szCs w:val="16"/>
          <w:color w:val="auto"/>
        </w:rPr>
        <w:t>Money Funds shall be rated AAA by S&amp;P/Fitch or Aaa by Moody’s.</w:t>
      </w:r>
    </w:p>
    <w:p>
      <w:pPr>
        <w:spacing w:after="0" w:line="162"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VI.</w:t>
      </w:r>
      <w:r>
        <w:rPr>
          <w:sz w:val="20"/>
          <w:szCs w:val="20"/>
          <w:color w:val="auto"/>
        </w:rPr>
        <w:tab/>
      </w:r>
      <w:r>
        <w:rPr>
          <w:rFonts w:ascii="Arial" w:cs="Arial" w:eastAsia="Arial" w:hAnsi="Arial"/>
          <w:sz w:val="14"/>
          <w:szCs w:val="14"/>
          <w:b w:val="1"/>
          <w:bCs w:val="1"/>
          <w:color w:val="auto"/>
        </w:rPr>
        <w:t>General Portfolio Parameters</w:t>
      </w:r>
    </w:p>
    <w:p>
      <w:pPr>
        <w:spacing w:after="0" w:line="184" w:lineRule="exact"/>
        <w:rPr>
          <w:sz w:val="20"/>
          <w:szCs w:val="20"/>
          <w:color w:val="auto"/>
        </w:rPr>
      </w:pPr>
    </w:p>
    <w:p>
      <w:pPr>
        <w:ind w:left="800" w:right="500" w:hanging="263"/>
        <w:spacing w:after="0" w:line="273" w:lineRule="auto"/>
        <w:tabs>
          <w:tab w:leader="none" w:pos="800" w:val="left"/>
        </w:tabs>
        <w:numPr>
          <w:ilvl w:val="0"/>
          <w:numId w:val="165"/>
        </w:numPr>
        <w:rPr>
          <w:rFonts w:ascii="Arial" w:cs="Arial" w:eastAsia="Arial" w:hAnsi="Arial"/>
          <w:sz w:val="15"/>
          <w:szCs w:val="15"/>
          <w:color w:val="auto"/>
        </w:rPr>
      </w:pPr>
      <w:r>
        <w:rPr>
          <w:rFonts w:ascii="Arial" w:cs="Arial" w:eastAsia="Arial" w:hAnsi="Arial"/>
          <w:sz w:val="16"/>
          <w:szCs w:val="16"/>
          <w:color w:val="auto"/>
        </w:rPr>
        <w:t>No security shall be of a maturity longer than two (2) years at date of purchase, with the exception of “put” bonds or other “option” securities whose ultimate maturity might exceed this restriction but whose option allows for redemption within this limit.</w:t>
      </w:r>
    </w:p>
    <w:p>
      <w:pPr>
        <w:spacing w:after="0" w:line="132" w:lineRule="exact"/>
        <w:rPr>
          <w:rFonts w:ascii="Arial" w:cs="Arial" w:eastAsia="Arial" w:hAnsi="Arial"/>
          <w:sz w:val="15"/>
          <w:szCs w:val="15"/>
          <w:color w:val="auto"/>
        </w:rPr>
      </w:pPr>
    </w:p>
    <w:p>
      <w:pPr>
        <w:ind w:left="800" w:right="80" w:hanging="263"/>
        <w:spacing w:after="0" w:line="273" w:lineRule="auto"/>
        <w:tabs>
          <w:tab w:leader="none" w:pos="800" w:val="left"/>
        </w:tabs>
        <w:numPr>
          <w:ilvl w:val="0"/>
          <w:numId w:val="165"/>
        </w:numPr>
        <w:rPr>
          <w:rFonts w:ascii="Arial" w:cs="Arial" w:eastAsia="Arial" w:hAnsi="Arial"/>
          <w:sz w:val="15"/>
          <w:szCs w:val="15"/>
          <w:color w:val="auto"/>
        </w:rPr>
      </w:pPr>
      <w:r>
        <w:rPr>
          <w:rFonts w:ascii="Arial" w:cs="Arial" w:eastAsia="Arial" w:hAnsi="Arial"/>
          <w:sz w:val="16"/>
          <w:szCs w:val="16"/>
          <w:color w:val="auto"/>
        </w:rPr>
        <w:t>The weighted-average maturity of the portfolio shall not exceed 12 months. The weighted-average maturity is the average length of time to maturity of investments in the portfolio weighted according to the face value of the investment.</w:t>
      </w:r>
    </w:p>
    <w:p>
      <w:pPr>
        <w:spacing w:after="0" w:line="132" w:lineRule="exact"/>
        <w:rPr>
          <w:rFonts w:ascii="Arial" w:cs="Arial" w:eastAsia="Arial" w:hAnsi="Arial"/>
          <w:sz w:val="15"/>
          <w:szCs w:val="15"/>
          <w:color w:val="auto"/>
        </w:rPr>
      </w:pPr>
    </w:p>
    <w:p>
      <w:pPr>
        <w:ind w:left="800" w:hanging="263"/>
        <w:spacing w:after="0"/>
        <w:tabs>
          <w:tab w:leader="none" w:pos="800" w:val="left"/>
        </w:tabs>
        <w:numPr>
          <w:ilvl w:val="0"/>
          <w:numId w:val="165"/>
        </w:numPr>
        <w:rPr>
          <w:rFonts w:ascii="Arial" w:cs="Arial" w:eastAsia="Arial" w:hAnsi="Arial"/>
          <w:sz w:val="15"/>
          <w:szCs w:val="15"/>
          <w:color w:val="auto"/>
        </w:rPr>
      </w:pPr>
      <w:r>
        <w:rPr>
          <w:rFonts w:ascii="Arial" w:cs="Arial" w:eastAsia="Arial" w:hAnsi="Arial"/>
          <w:sz w:val="16"/>
          <w:szCs w:val="16"/>
          <w:color w:val="auto"/>
        </w:rPr>
        <w:t>The portfolio shall at all times maintain an average credit quality of AA S&amp;P/Fitch or Aa by Moody’s.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155</w:t>
      </w:r>
    </w:p>
    <w:p>
      <w:pPr>
        <w:sectPr>
          <w:pgSz w:w="11900" w:h="16838" w:orient="portrait"/>
          <w:cols w:equalWidth="0" w:num="1">
            <w:col w:w="11460"/>
          </w:cols>
          <w:pgMar w:left="220" w:top="859" w:right="219" w:bottom="1440" w:gutter="0" w:footer="0" w:header="0"/>
        </w:sectPr>
      </w:pPr>
    </w:p>
    <w:bookmarkStart w:id="216" w:name="page217"/>
    <w:bookmarkEnd w:id="216"/>
    <w:p>
      <w:pPr>
        <w:ind w:left="800" w:hanging="263"/>
        <w:spacing w:after="0"/>
        <w:tabs>
          <w:tab w:leader="none" w:pos="800" w:val="left"/>
        </w:tabs>
        <w:numPr>
          <w:ilvl w:val="0"/>
          <w:numId w:val="166"/>
        </w:numPr>
        <w:rPr>
          <w:rFonts w:ascii="Arial" w:cs="Arial" w:eastAsia="Arial" w:hAnsi="Arial"/>
          <w:sz w:val="15"/>
          <w:szCs w:val="15"/>
          <w:color w:val="auto"/>
        </w:rPr>
      </w:pPr>
      <w:r>
        <w:rPr>
          <w:rFonts w:ascii="Arial" w:cs="Arial" w:eastAsia="Arial" w:hAnsi="Arial"/>
          <w:sz w:val="16"/>
          <w:szCs w:val="16"/>
          <w:color w:val="auto"/>
        </w:rPr>
        <w:t>No more than 30% of the portfolio is to be invested in any one issuer, excluding U.S. Treasury obligations and Government Sponsored Agencies.</w:t>
      </w:r>
    </w:p>
    <w:p>
      <w:pPr>
        <w:spacing w:after="0" w:line="179" w:lineRule="exact"/>
        <w:rPr>
          <w:rFonts w:ascii="Arial" w:cs="Arial" w:eastAsia="Arial" w:hAnsi="Arial"/>
          <w:sz w:val="15"/>
          <w:szCs w:val="15"/>
          <w:color w:val="auto"/>
        </w:rPr>
      </w:pPr>
    </w:p>
    <w:p>
      <w:pPr>
        <w:ind w:left="800" w:hanging="263"/>
        <w:spacing w:after="0"/>
        <w:tabs>
          <w:tab w:leader="none" w:pos="800" w:val="left"/>
        </w:tabs>
        <w:numPr>
          <w:ilvl w:val="0"/>
          <w:numId w:val="166"/>
        </w:numPr>
        <w:rPr>
          <w:rFonts w:ascii="Arial" w:cs="Arial" w:eastAsia="Arial" w:hAnsi="Arial"/>
          <w:sz w:val="15"/>
          <w:szCs w:val="15"/>
          <w:color w:val="auto"/>
        </w:rPr>
      </w:pPr>
      <w:r>
        <w:rPr>
          <w:rFonts w:ascii="Arial" w:cs="Arial" w:eastAsia="Arial" w:hAnsi="Arial"/>
          <w:sz w:val="16"/>
          <w:szCs w:val="16"/>
          <w:color w:val="auto"/>
        </w:rPr>
        <w:t>See Exhibit I for portfolio concentration limits and minimum credit ratings.</w:t>
      </w:r>
    </w:p>
    <w:p>
      <w:pPr>
        <w:spacing w:after="0" w:line="180"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All securities must carry the rating as outlined above at time of purchase. Should ratings fall below these acceptable levels, the Chief Financial Officer or their designee will be notified immediately and a decision will be made as to what appropriate action will be taken.</w:t>
      </w:r>
    </w:p>
    <w:p>
      <w:pPr>
        <w:spacing w:after="0" w:line="129"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b w:val="1"/>
          <w:bCs w:val="1"/>
          <w:color w:val="auto"/>
        </w:rPr>
        <w:t>VII.</w:t>
      </w:r>
      <w:r>
        <w:rPr>
          <w:sz w:val="20"/>
          <w:szCs w:val="20"/>
          <w:color w:val="auto"/>
        </w:rPr>
        <w:tab/>
      </w:r>
      <w:r>
        <w:rPr>
          <w:rFonts w:ascii="Arial" w:cs="Arial" w:eastAsia="Arial" w:hAnsi="Arial"/>
          <w:sz w:val="14"/>
          <w:szCs w:val="14"/>
          <w:b w:val="1"/>
          <w:bCs w:val="1"/>
          <w:color w:val="auto"/>
        </w:rPr>
        <w:t>Administration/Internal Controls</w:t>
      </w:r>
    </w:p>
    <w:p>
      <w:pPr>
        <w:spacing w:after="0" w:line="184" w:lineRule="exact"/>
        <w:rPr>
          <w:sz w:val="20"/>
          <w:szCs w:val="20"/>
          <w:color w:val="auto"/>
        </w:rPr>
      </w:pPr>
    </w:p>
    <w:p>
      <w:pPr>
        <w:ind w:left="800" w:hanging="263"/>
        <w:spacing w:after="0"/>
        <w:tabs>
          <w:tab w:leader="none" w:pos="800" w:val="left"/>
        </w:tabs>
        <w:numPr>
          <w:ilvl w:val="0"/>
          <w:numId w:val="167"/>
        </w:numPr>
        <w:rPr>
          <w:rFonts w:ascii="Arial" w:cs="Arial" w:eastAsia="Arial" w:hAnsi="Arial"/>
          <w:sz w:val="15"/>
          <w:szCs w:val="15"/>
          <w:color w:val="auto"/>
        </w:rPr>
      </w:pPr>
      <w:r>
        <w:rPr>
          <w:rFonts w:ascii="Arial" w:cs="Arial" w:eastAsia="Arial" w:hAnsi="Arial"/>
          <w:sz w:val="16"/>
          <w:szCs w:val="16"/>
          <w:color w:val="auto"/>
        </w:rPr>
        <w:t>Administration of the Investment Policy and execution of the investment strategy shall be the responsibility of the Chief Financial Officer.</w:t>
      </w:r>
    </w:p>
    <w:p>
      <w:pPr>
        <w:spacing w:after="0" w:line="179" w:lineRule="exact"/>
        <w:rPr>
          <w:rFonts w:ascii="Arial" w:cs="Arial" w:eastAsia="Arial" w:hAnsi="Arial"/>
          <w:sz w:val="15"/>
          <w:szCs w:val="15"/>
          <w:color w:val="auto"/>
        </w:rPr>
      </w:pPr>
    </w:p>
    <w:p>
      <w:pPr>
        <w:ind w:left="800" w:right="120" w:hanging="263"/>
        <w:spacing w:after="0" w:line="273" w:lineRule="auto"/>
        <w:tabs>
          <w:tab w:leader="none" w:pos="800" w:val="left"/>
        </w:tabs>
        <w:numPr>
          <w:ilvl w:val="0"/>
          <w:numId w:val="167"/>
        </w:numPr>
        <w:rPr>
          <w:rFonts w:ascii="Arial" w:cs="Arial" w:eastAsia="Arial" w:hAnsi="Arial"/>
          <w:sz w:val="15"/>
          <w:szCs w:val="15"/>
          <w:color w:val="auto"/>
        </w:rPr>
      </w:pPr>
      <w:r>
        <w:rPr>
          <w:rFonts w:ascii="Arial" w:cs="Arial" w:eastAsia="Arial" w:hAnsi="Arial"/>
          <w:sz w:val="16"/>
          <w:szCs w:val="16"/>
          <w:color w:val="auto"/>
        </w:rPr>
        <w:t>The Chief Financial Officer or their designee may authorize investments permitted by this policy. No other persons are authorized to make investments except for interest bearing deposits at the bank where the Company has its primary accounts.</w:t>
      </w:r>
    </w:p>
    <w:p>
      <w:pPr>
        <w:spacing w:after="0" w:line="132" w:lineRule="exact"/>
        <w:rPr>
          <w:rFonts w:ascii="Arial" w:cs="Arial" w:eastAsia="Arial" w:hAnsi="Arial"/>
          <w:sz w:val="15"/>
          <w:szCs w:val="15"/>
          <w:color w:val="auto"/>
        </w:rPr>
      </w:pPr>
    </w:p>
    <w:p>
      <w:pPr>
        <w:ind w:left="800" w:hanging="263"/>
        <w:spacing w:after="0"/>
        <w:tabs>
          <w:tab w:leader="none" w:pos="800" w:val="left"/>
        </w:tabs>
        <w:numPr>
          <w:ilvl w:val="0"/>
          <w:numId w:val="167"/>
        </w:numPr>
        <w:rPr>
          <w:rFonts w:ascii="Arial" w:cs="Arial" w:eastAsia="Arial" w:hAnsi="Arial"/>
          <w:sz w:val="15"/>
          <w:szCs w:val="15"/>
          <w:color w:val="auto"/>
        </w:rPr>
      </w:pPr>
      <w:r>
        <w:rPr>
          <w:rFonts w:ascii="Arial" w:cs="Arial" w:eastAsia="Arial" w:hAnsi="Arial"/>
          <w:sz w:val="16"/>
          <w:szCs w:val="16"/>
          <w:color w:val="auto"/>
        </w:rPr>
        <w:t>A Monthly Portfolio Report will be provided for management review.</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b w:val="1"/>
          <w:bCs w:val="1"/>
          <w:color w:val="auto"/>
        </w:rPr>
        <w:t>VIII.</w:t>
      </w:r>
      <w:r>
        <w:rPr>
          <w:sz w:val="20"/>
          <w:szCs w:val="20"/>
          <w:color w:val="auto"/>
        </w:rPr>
        <w:tab/>
      </w:r>
      <w:r>
        <w:rPr>
          <w:rFonts w:ascii="Arial" w:cs="Arial" w:eastAsia="Arial" w:hAnsi="Arial"/>
          <w:sz w:val="15"/>
          <w:szCs w:val="15"/>
          <w:b w:val="1"/>
          <w:bCs w:val="1"/>
          <w:color w:val="auto"/>
        </w:rPr>
        <w:t>Other</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Company’s Chief Financial Officer and Treasurer Director of Finance are authorized to administer and execute this Investment Policy to include:</w:t>
      </w:r>
    </w:p>
    <w:p>
      <w:pPr>
        <w:spacing w:after="0" w:line="180" w:lineRule="exact"/>
        <w:rPr>
          <w:sz w:val="20"/>
          <w:szCs w:val="20"/>
          <w:color w:val="auto"/>
        </w:rPr>
      </w:pPr>
    </w:p>
    <w:p>
      <w:pPr>
        <w:ind w:left="800" w:right="420" w:hanging="263"/>
        <w:spacing w:after="0" w:line="273" w:lineRule="auto"/>
        <w:tabs>
          <w:tab w:leader="none" w:pos="800" w:val="left"/>
        </w:tabs>
        <w:numPr>
          <w:ilvl w:val="0"/>
          <w:numId w:val="168"/>
        </w:numPr>
        <w:rPr>
          <w:rFonts w:ascii="Arial" w:cs="Arial" w:eastAsia="Arial" w:hAnsi="Arial"/>
          <w:sz w:val="15"/>
          <w:szCs w:val="15"/>
          <w:color w:val="auto"/>
        </w:rPr>
      </w:pPr>
      <w:r>
        <w:rPr>
          <w:rFonts w:ascii="Arial" w:cs="Arial" w:eastAsia="Arial" w:hAnsi="Arial"/>
          <w:sz w:val="16"/>
          <w:szCs w:val="16"/>
          <w:color w:val="auto"/>
        </w:rPr>
        <w:t>The establishment and maintenance of files for all accounts with broker-dealers or asset managers and related transaction confirmations and periodic account statements.</w:t>
      </w:r>
    </w:p>
    <w:p>
      <w:pPr>
        <w:spacing w:after="0" w:line="132" w:lineRule="exact"/>
        <w:rPr>
          <w:rFonts w:ascii="Arial" w:cs="Arial" w:eastAsia="Arial" w:hAnsi="Arial"/>
          <w:sz w:val="15"/>
          <w:szCs w:val="15"/>
          <w:color w:val="auto"/>
        </w:rPr>
      </w:pPr>
    </w:p>
    <w:p>
      <w:pPr>
        <w:ind w:left="800" w:hanging="263"/>
        <w:spacing w:after="0" w:line="273" w:lineRule="auto"/>
        <w:tabs>
          <w:tab w:leader="none" w:pos="800" w:val="left"/>
        </w:tabs>
        <w:numPr>
          <w:ilvl w:val="0"/>
          <w:numId w:val="168"/>
        </w:numPr>
        <w:rPr>
          <w:rFonts w:ascii="Arial" w:cs="Arial" w:eastAsia="Arial" w:hAnsi="Arial"/>
          <w:sz w:val="15"/>
          <w:szCs w:val="15"/>
          <w:color w:val="auto"/>
        </w:rPr>
      </w:pPr>
      <w:r>
        <w:rPr>
          <w:rFonts w:ascii="Arial" w:cs="Arial" w:eastAsia="Arial" w:hAnsi="Arial"/>
          <w:sz w:val="16"/>
          <w:szCs w:val="16"/>
          <w:color w:val="auto"/>
        </w:rPr>
        <w:t>The preparation of journal entries on a monthly basis to accrue investment income earned on investments, amortization of premiums or discounts, cash receipts and fund transfers.</w:t>
      </w:r>
    </w:p>
    <w:p>
      <w:pPr>
        <w:spacing w:after="0" w:line="132" w:lineRule="exact"/>
        <w:rPr>
          <w:rFonts w:ascii="Arial" w:cs="Arial" w:eastAsia="Arial" w:hAnsi="Arial"/>
          <w:sz w:val="15"/>
          <w:szCs w:val="15"/>
          <w:color w:val="auto"/>
        </w:rPr>
      </w:pPr>
    </w:p>
    <w:p>
      <w:pPr>
        <w:ind w:left="800" w:right="420" w:hanging="263"/>
        <w:spacing w:after="0" w:line="273" w:lineRule="auto"/>
        <w:tabs>
          <w:tab w:leader="none" w:pos="800" w:val="left"/>
        </w:tabs>
        <w:numPr>
          <w:ilvl w:val="0"/>
          <w:numId w:val="168"/>
        </w:numPr>
        <w:rPr>
          <w:rFonts w:ascii="Arial" w:cs="Arial" w:eastAsia="Arial" w:hAnsi="Arial"/>
          <w:sz w:val="15"/>
          <w:szCs w:val="15"/>
          <w:color w:val="auto"/>
        </w:rPr>
      </w:pPr>
      <w:r>
        <w:rPr>
          <w:rFonts w:ascii="Arial" w:cs="Arial" w:eastAsia="Arial" w:hAnsi="Arial"/>
          <w:sz w:val="16"/>
          <w:szCs w:val="16"/>
          <w:color w:val="auto"/>
        </w:rPr>
        <w:t>The reconciliation of all periodic account statements received from the organizations investing the company’s cash, and from the company’s custodian, to the general ledger.</w:t>
      </w:r>
    </w:p>
    <w:p>
      <w:pPr>
        <w:spacing w:after="0" w:line="132" w:lineRule="exact"/>
        <w:rPr>
          <w:rFonts w:ascii="Arial" w:cs="Arial" w:eastAsia="Arial" w:hAnsi="Arial"/>
          <w:sz w:val="15"/>
          <w:szCs w:val="15"/>
          <w:color w:val="auto"/>
        </w:rPr>
      </w:pPr>
    </w:p>
    <w:p>
      <w:pPr>
        <w:ind w:left="800" w:hanging="263"/>
        <w:spacing w:after="0"/>
        <w:tabs>
          <w:tab w:leader="none" w:pos="800" w:val="left"/>
        </w:tabs>
        <w:numPr>
          <w:ilvl w:val="0"/>
          <w:numId w:val="168"/>
        </w:numPr>
        <w:rPr>
          <w:rFonts w:ascii="Arial" w:cs="Arial" w:eastAsia="Arial" w:hAnsi="Arial"/>
          <w:sz w:val="14"/>
          <w:szCs w:val="14"/>
          <w:color w:val="auto"/>
        </w:rPr>
      </w:pPr>
      <w:r>
        <w:rPr>
          <w:rFonts w:ascii="Arial" w:cs="Arial" w:eastAsia="Arial" w:hAnsi="Arial"/>
          <w:sz w:val="15"/>
          <w:szCs w:val="15"/>
          <w:color w:val="auto"/>
        </w:rPr>
        <w:t>The notification to an investment provider in the event of any change in the Company’s Investment Policy objectives, authorized persons or income tax status.</w:t>
      </w:r>
    </w:p>
    <w:p>
      <w:pPr>
        <w:spacing w:after="0" w:line="191" w:lineRule="exact"/>
        <w:rPr>
          <w:rFonts w:ascii="Arial" w:cs="Arial" w:eastAsia="Arial" w:hAnsi="Arial"/>
          <w:sz w:val="14"/>
          <w:szCs w:val="14"/>
          <w:color w:val="auto"/>
        </w:rPr>
      </w:pPr>
    </w:p>
    <w:p>
      <w:pPr>
        <w:ind w:left="800" w:right="80" w:hanging="263"/>
        <w:spacing w:after="0" w:line="273" w:lineRule="auto"/>
        <w:tabs>
          <w:tab w:leader="none" w:pos="800" w:val="left"/>
        </w:tabs>
        <w:numPr>
          <w:ilvl w:val="0"/>
          <w:numId w:val="168"/>
        </w:numPr>
        <w:rPr>
          <w:rFonts w:ascii="Arial" w:cs="Arial" w:eastAsia="Arial" w:hAnsi="Arial"/>
          <w:sz w:val="15"/>
          <w:szCs w:val="15"/>
          <w:color w:val="auto"/>
        </w:rPr>
      </w:pPr>
      <w:r>
        <w:rPr>
          <w:rFonts w:ascii="Arial" w:cs="Arial" w:eastAsia="Arial" w:hAnsi="Arial"/>
          <w:sz w:val="16"/>
          <w:szCs w:val="16"/>
          <w:color w:val="auto"/>
        </w:rPr>
        <w:t>Confirming that an account at a broker-dealer or asset manager conforms to the terms of this Investment Policy statement and notifying the investment provider in the event of non-conformance.</w:t>
      </w:r>
    </w:p>
    <w:p>
      <w:pPr>
        <w:spacing w:after="0" w:line="132" w:lineRule="exact"/>
        <w:rPr>
          <w:rFonts w:ascii="Arial" w:cs="Arial" w:eastAsia="Arial" w:hAnsi="Arial"/>
          <w:sz w:val="15"/>
          <w:szCs w:val="15"/>
          <w:color w:val="auto"/>
        </w:rPr>
      </w:pPr>
    </w:p>
    <w:p>
      <w:pPr>
        <w:ind w:left="800" w:hanging="263"/>
        <w:spacing w:after="0"/>
        <w:tabs>
          <w:tab w:leader="none" w:pos="800" w:val="left"/>
        </w:tabs>
        <w:numPr>
          <w:ilvl w:val="0"/>
          <w:numId w:val="168"/>
        </w:numPr>
        <w:rPr>
          <w:rFonts w:ascii="Arial" w:cs="Arial" w:eastAsia="Arial" w:hAnsi="Arial"/>
          <w:sz w:val="15"/>
          <w:szCs w:val="15"/>
          <w:color w:val="auto"/>
        </w:rPr>
      </w:pPr>
      <w:r>
        <w:rPr>
          <w:rFonts w:ascii="Arial" w:cs="Arial" w:eastAsia="Arial" w:hAnsi="Arial"/>
          <w:sz w:val="16"/>
          <w:szCs w:val="16"/>
          <w:color w:val="auto"/>
        </w:rPr>
        <w:t>Provide updates SAS 70 on a yearly basis.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156</w:t>
      </w:r>
    </w:p>
    <w:p>
      <w:pPr>
        <w:sectPr>
          <w:pgSz w:w="11900" w:h="16838" w:orient="portrait"/>
          <w:cols w:equalWidth="0" w:num="1">
            <w:col w:w="11380"/>
          </w:cols>
          <w:pgMar w:left="220" w:top="500" w:right="299" w:bottom="1440" w:gutter="0" w:footer="0" w:header="0"/>
        </w:sectPr>
      </w:pPr>
    </w:p>
    <w:bookmarkStart w:id="217" w:name="page218"/>
    <w:bookmarkEnd w:id="217"/>
    <w:p>
      <w:pPr>
        <w:jc w:val="center"/>
        <w:ind w:right="20"/>
        <w:spacing w:after="0"/>
        <w:rPr>
          <w:sz w:val="20"/>
          <w:szCs w:val="20"/>
          <w:color w:val="auto"/>
        </w:rPr>
      </w:pPr>
      <w:r>
        <w:rPr>
          <w:rFonts w:ascii="Arial" w:cs="Arial" w:eastAsia="Arial" w:hAnsi="Arial"/>
          <w:sz w:val="21"/>
          <w:szCs w:val="21"/>
          <w:b w:val="1"/>
          <w:bCs w:val="1"/>
          <w:u w:val="single" w:color="auto"/>
          <w:color w:val="auto"/>
        </w:rPr>
        <w:t>EXHIBIT I</w:t>
      </w:r>
    </w:p>
    <w:p>
      <w:pPr>
        <w:spacing w:after="0" w:line="287" w:lineRule="exact"/>
        <w:rPr>
          <w:sz w:val="20"/>
          <w:szCs w:val="20"/>
          <w:color w:val="auto"/>
        </w:rPr>
      </w:pPr>
    </w:p>
    <w:tbl>
      <w:tblPr>
        <w:tblLayout w:type="fixed"/>
        <w:tblInd w:w="130" w:type="dxa"/>
        <w:tblCellMar>
          <w:top w:w="0" w:type="dxa"/>
          <w:left w:w="0" w:type="dxa"/>
          <w:bottom w:w="0" w:type="dxa"/>
          <w:right w:w="0" w:type="dxa"/>
        </w:tblCellMar>
      </w:tblPr>
      <w:tr>
        <w:trPr>
          <w:trHeight w:val="202"/>
        </w:trPr>
        <w:tc>
          <w:tcPr>
            <w:tcW w:w="3340" w:type="dxa"/>
            <w:vAlign w:val="bottom"/>
            <w:tcBorders>
              <w:top w:val="single" w:sz="8" w:color="auto"/>
              <w:left w:val="single" w:sz="8" w:color="auto"/>
              <w:right w:val="single" w:sz="8" w:color="auto"/>
            </w:tcBorders>
          </w:tcPr>
          <w:p>
            <w:pPr>
              <w:spacing w:after="0"/>
              <w:rPr>
                <w:sz w:val="17"/>
                <w:szCs w:val="17"/>
                <w:color w:val="auto"/>
              </w:rPr>
            </w:pPr>
          </w:p>
        </w:tc>
        <w:tc>
          <w:tcPr>
            <w:tcW w:w="1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Minimum Rating</w:t>
            </w:r>
          </w:p>
        </w:tc>
        <w:tc>
          <w:tcPr>
            <w:tcW w:w="1760" w:type="dxa"/>
            <w:vAlign w:val="bottom"/>
            <w:tcBorders>
              <w:top w:val="single" w:sz="8" w:color="auto"/>
              <w:right w:val="single" w:sz="8" w:color="auto"/>
            </w:tcBorders>
          </w:tcPr>
          <w:p>
            <w:pPr>
              <w:spacing w:after="0"/>
              <w:rPr>
                <w:sz w:val="17"/>
                <w:szCs w:val="17"/>
                <w:color w:val="auto"/>
              </w:rPr>
            </w:pPr>
          </w:p>
        </w:tc>
        <w:tc>
          <w:tcPr>
            <w:tcW w:w="1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Maximum %</w:t>
            </w:r>
          </w:p>
        </w:tc>
        <w:tc>
          <w:tcPr>
            <w:tcW w:w="1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Single Issuer %</w:t>
            </w:r>
          </w:p>
        </w:tc>
      </w:tr>
      <w:tr>
        <w:trPr>
          <w:trHeight w:val="219"/>
        </w:trPr>
        <w:tc>
          <w:tcPr>
            <w:tcW w:w="3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Security Type</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S&amp;P/Moody’s</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Maximum Maturity</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Portfolio</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Portfolio</w:t>
            </w:r>
          </w:p>
        </w:tc>
      </w:tr>
      <w:tr>
        <w:trPr>
          <w:trHeight w:val="265"/>
        </w:trPr>
        <w:tc>
          <w:tcPr>
            <w:tcW w:w="3340" w:type="dxa"/>
            <w:vAlign w:val="bottom"/>
            <w:tcBorders>
              <w:left w:val="single" w:sz="8" w:color="auto"/>
              <w:bottom w:val="single" w:sz="8" w:color="auto"/>
              <w:right w:val="single" w:sz="8" w:color="auto"/>
            </w:tcBorders>
          </w:tcPr>
          <w:p>
            <w:pPr>
              <w:spacing w:after="0"/>
              <w:rPr>
                <w:sz w:val="23"/>
                <w:szCs w:val="23"/>
                <w:color w:val="auto"/>
              </w:rPr>
            </w:pPr>
          </w:p>
        </w:tc>
        <w:tc>
          <w:tcPr>
            <w:tcW w:w="1780" w:type="dxa"/>
            <w:vAlign w:val="bottom"/>
            <w:tcBorders>
              <w:bottom w:val="single" w:sz="8" w:color="auto"/>
              <w:right w:val="single" w:sz="8" w:color="auto"/>
            </w:tcBorders>
          </w:tcPr>
          <w:p>
            <w:pPr>
              <w:spacing w:after="0"/>
              <w:rPr>
                <w:sz w:val="23"/>
                <w:szCs w:val="23"/>
                <w:color w:val="auto"/>
              </w:rPr>
            </w:pPr>
          </w:p>
        </w:tc>
        <w:tc>
          <w:tcPr>
            <w:tcW w:w="1760" w:type="dxa"/>
            <w:vAlign w:val="bottom"/>
            <w:tcBorders>
              <w:bottom w:val="single" w:sz="8" w:color="auto"/>
              <w:right w:val="single" w:sz="8" w:color="auto"/>
            </w:tcBorders>
          </w:tcPr>
          <w:p>
            <w:pPr>
              <w:spacing w:after="0"/>
              <w:rPr>
                <w:sz w:val="23"/>
                <w:szCs w:val="23"/>
                <w:color w:val="auto"/>
              </w:rPr>
            </w:pPr>
          </w:p>
        </w:tc>
        <w:tc>
          <w:tcPr>
            <w:tcW w:w="1760" w:type="dxa"/>
            <w:vAlign w:val="bottom"/>
            <w:tcBorders>
              <w:bottom w:val="single" w:sz="8" w:color="auto"/>
              <w:right w:val="single" w:sz="8" w:color="auto"/>
            </w:tcBorders>
          </w:tcPr>
          <w:p>
            <w:pPr>
              <w:spacing w:after="0"/>
              <w:rPr>
                <w:sz w:val="23"/>
                <w:szCs w:val="23"/>
                <w:color w:val="auto"/>
              </w:rPr>
            </w:pPr>
          </w:p>
        </w:tc>
        <w:tc>
          <w:tcPr>
            <w:tcW w:w="1780" w:type="dxa"/>
            <w:vAlign w:val="bottom"/>
            <w:tcBorders>
              <w:bottom w:val="single" w:sz="8" w:color="auto"/>
              <w:right w:val="single" w:sz="8" w:color="auto"/>
            </w:tcBorders>
          </w:tcPr>
          <w:p>
            <w:pPr>
              <w:spacing w:after="0"/>
              <w:rPr>
                <w:sz w:val="23"/>
                <w:szCs w:val="23"/>
                <w:color w:val="auto"/>
              </w:rPr>
            </w:pPr>
          </w:p>
        </w:tc>
      </w:tr>
      <w:tr>
        <w:trPr>
          <w:trHeight w:val="214"/>
        </w:trPr>
        <w:tc>
          <w:tcPr>
            <w:tcW w:w="3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U.S. Treasuries or Agencies</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A/A2</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2 years</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w:t>
            </w:r>
          </w:p>
        </w:tc>
      </w:tr>
      <w:tr>
        <w:trPr>
          <w:trHeight w:val="222"/>
        </w:trPr>
        <w:tc>
          <w:tcPr>
            <w:tcW w:w="3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Repurchase Agreements</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A1/P1</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2 years</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30%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30%</w:t>
            </w:r>
          </w:p>
        </w:tc>
      </w:tr>
      <w:tr>
        <w:trPr>
          <w:trHeight w:val="222"/>
        </w:trPr>
        <w:tc>
          <w:tcPr>
            <w:tcW w:w="3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CDs, Banker’s Acceptances, Bank Notes</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A1/P1</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 year</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30%</w:t>
            </w:r>
          </w:p>
        </w:tc>
      </w:tr>
      <w:tr>
        <w:trPr>
          <w:trHeight w:val="222"/>
        </w:trPr>
        <w:tc>
          <w:tcPr>
            <w:tcW w:w="3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Commercial Paper</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A1/P1</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270 days</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30%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30%</w:t>
            </w:r>
          </w:p>
        </w:tc>
      </w:tr>
      <w:tr>
        <w:trPr>
          <w:trHeight w:val="222"/>
        </w:trPr>
        <w:tc>
          <w:tcPr>
            <w:tcW w:w="3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Corporate Notes or Bonds</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AA/Aa</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2 years</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30%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30%</w:t>
            </w:r>
          </w:p>
        </w:tc>
      </w:tr>
      <w:tr>
        <w:trPr>
          <w:trHeight w:val="222"/>
        </w:trPr>
        <w:tc>
          <w:tcPr>
            <w:tcW w:w="3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Municipal Notes or Bonds</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A/A2</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2 years</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30%</w:t>
            </w:r>
          </w:p>
        </w:tc>
      </w:tr>
      <w:tr>
        <w:trPr>
          <w:trHeight w:val="222"/>
        </w:trPr>
        <w:tc>
          <w:tcPr>
            <w:tcW w:w="3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Floating Rate Securities</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A/A2</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2 years</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50%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30%</w:t>
            </w:r>
          </w:p>
        </w:tc>
      </w:tr>
      <w:tr>
        <w:trPr>
          <w:trHeight w:val="222"/>
        </w:trPr>
        <w:tc>
          <w:tcPr>
            <w:tcW w:w="3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Money Market Funds</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AAA/Aaa</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200" w:type="dxa"/>
            <w:vAlign w:val="bottom"/>
            <w:tcBorders>
              <w:top w:val="single" w:sz="8" w:color="auto"/>
              <w:left w:val="single" w:sz="8" w:color="auto"/>
              <w:bottom w:val="single" w:sz="8" w:color="auto"/>
            </w:tcBorders>
          </w:tcPr>
          <w:p>
            <w:pPr>
              <w:spacing w:after="0"/>
              <w:rPr>
                <w:sz w:val="20"/>
                <w:szCs w:val="20"/>
                <w:color w:val="auto"/>
              </w:rPr>
            </w:pPr>
          </w:p>
        </w:tc>
        <w:tc>
          <w:tcPr>
            <w:tcW w:w="1920" w:type="dxa"/>
            <w:vAlign w:val="bottom"/>
            <w:tcBorders>
              <w:top w:val="single" w:sz="8" w:color="auto"/>
              <w:bottom w:val="single" w:sz="8" w:color="auto"/>
              <w:right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Moody’s</w:t>
            </w:r>
          </w:p>
        </w:tc>
        <w:tc>
          <w:tcPr>
            <w:tcW w:w="1480" w:type="dxa"/>
            <w:vAlign w:val="bottom"/>
            <w:tcBorders>
              <w:top w:val="single" w:sz="8" w:color="auto"/>
              <w:bottom w:val="single" w:sz="8" w:color="auto"/>
            </w:tcBorders>
          </w:tcPr>
          <w:p>
            <w:pPr>
              <w:spacing w:after="0"/>
              <w:rPr>
                <w:sz w:val="20"/>
                <w:szCs w:val="20"/>
                <w:color w:val="auto"/>
              </w:rPr>
            </w:pPr>
          </w:p>
        </w:tc>
        <w:tc>
          <w:tcPr>
            <w:tcW w:w="2220" w:type="dxa"/>
            <w:vAlign w:val="bottom"/>
            <w:tcBorders>
              <w:top w:val="single" w:sz="8" w:color="auto"/>
              <w:bottom w:val="single" w:sz="8" w:color="auto"/>
              <w:right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S&amp;P</w:t>
            </w:r>
          </w:p>
        </w:tc>
        <w:tc>
          <w:tcPr>
            <w:tcW w:w="1560" w:type="dxa"/>
            <w:vAlign w:val="bottom"/>
            <w:tcBorders>
              <w:top w:val="single" w:sz="8" w:color="auto"/>
              <w:bottom w:val="single" w:sz="8" w:color="auto"/>
            </w:tcBorders>
          </w:tcPr>
          <w:p>
            <w:pPr>
              <w:spacing w:after="0"/>
              <w:rPr>
                <w:sz w:val="20"/>
                <w:szCs w:val="20"/>
                <w:color w:val="auto"/>
              </w:rPr>
            </w:pPr>
          </w:p>
        </w:tc>
        <w:tc>
          <w:tcPr>
            <w:tcW w:w="2280" w:type="dxa"/>
            <w:vAlign w:val="bottom"/>
            <w:tcBorders>
              <w:top w:val="single" w:sz="8" w:color="auto"/>
              <w:bottom w:val="single" w:sz="8" w:color="auto"/>
              <w:right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Fitch</w:t>
            </w:r>
          </w:p>
        </w:tc>
        <w:tc>
          <w:tcPr>
            <w:tcW w:w="0" w:type="dxa"/>
            <w:vAlign w:val="bottom"/>
          </w:tcPr>
          <w:p>
            <w:pPr>
              <w:spacing w:after="0"/>
              <w:rPr>
                <w:sz w:val="1"/>
                <w:szCs w:val="1"/>
                <w:color w:val="auto"/>
              </w:rPr>
            </w:pPr>
          </w:p>
        </w:tc>
      </w:tr>
      <w:tr>
        <w:trPr>
          <w:trHeight w:val="222"/>
        </w:trPr>
        <w:tc>
          <w:tcPr>
            <w:tcW w:w="1200" w:type="dxa"/>
            <w:vAlign w:val="bottom"/>
            <w:tcBorders>
              <w:left w:val="single" w:sz="8" w:color="auto"/>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w w:val="93"/>
              </w:rPr>
              <w:t>Long-Term</w:t>
            </w:r>
          </w:p>
        </w:tc>
        <w:tc>
          <w:tcPr>
            <w:tcW w:w="32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Short-Term</w:t>
            </w:r>
          </w:p>
        </w:tc>
        <w:tc>
          <w:tcPr>
            <w:tcW w:w="148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w w:val="93"/>
              </w:rPr>
              <w:t>Long-Term</w:t>
            </w:r>
          </w:p>
        </w:tc>
        <w:tc>
          <w:tcPr>
            <w:tcW w:w="320" w:type="dxa"/>
            <w:vAlign w:val="bottom"/>
            <w:tcBorders>
              <w:bottom w:val="single" w:sz="8" w:color="auto"/>
              <w:right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Short-Term</w:t>
            </w:r>
          </w:p>
        </w:tc>
        <w:tc>
          <w:tcPr>
            <w:tcW w:w="1560" w:type="dxa"/>
            <w:vAlign w:val="bottom"/>
            <w:tcBorders>
              <w:bottom w:val="single" w:sz="8" w:color="auto"/>
            </w:tcBorders>
          </w:tcPr>
          <w:p>
            <w:pPr>
              <w:jc w:val="center"/>
              <w:ind w:left="359"/>
              <w:spacing w:after="0"/>
              <w:rPr>
                <w:sz w:val="20"/>
                <w:szCs w:val="20"/>
                <w:color w:val="auto"/>
              </w:rPr>
            </w:pPr>
            <w:r>
              <w:rPr>
                <w:rFonts w:ascii="Arial" w:cs="Arial" w:eastAsia="Arial" w:hAnsi="Arial"/>
                <w:sz w:val="16"/>
                <w:szCs w:val="16"/>
                <w:b w:val="1"/>
                <w:bCs w:val="1"/>
                <w:color w:val="auto"/>
                <w:w w:val="95"/>
              </w:rPr>
              <w:t>Long-Term</w:t>
            </w:r>
          </w:p>
        </w:tc>
        <w:tc>
          <w:tcPr>
            <w:tcW w:w="46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Short-Term</w:t>
            </w:r>
          </w:p>
        </w:tc>
        <w:tc>
          <w:tcPr>
            <w:tcW w:w="0" w:type="dxa"/>
            <w:vAlign w:val="bottom"/>
          </w:tcPr>
          <w:p>
            <w:pPr>
              <w:spacing w:after="0"/>
              <w:rPr>
                <w:sz w:val="1"/>
                <w:szCs w:val="1"/>
                <w:color w:val="auto"/>
              </w:rPr>
            </w:pPr>
          </w:p>
        </w:tc>
      </w:tr>
      <w:tr>
        <w:trPr>
          <w:trHeight w:val="222"/>
        </w:trPr>
        <w:tc>
          <w:tcPr>
            <w:tcW w:w="1200" w:type="dxa"/>
            <w:vAlign w:val="bottom"/>
            <w:tcBorders>
              <w:left w:val="single" w:sz="8" w:color="auto"/>
              <w:bottom w:val="single" w:sz="8" w:color="auto"/>
            </w:tcBorders>
          </w:tcPr>
          <w:p>
            <w:pPr>
              <w:jc w:val="center"/>
              <w:ind w:left="219"/>
              <w:spacing w:after="0"/>
              <w:rPr>
                <w:sz w:val="20"/>
                <w:szCs w:val="20"/>
                <w:color w:val="auto"/>
              </w:rPr>
            </w:pPr>
            <w:r>
              <w:rPr>
                <w:rFonts w:ascii="Arial" w:cs="Arial" w:eastAsia="Arial" w:hAnsi="Arial"/>
                <w:sz w:val="16"/>
                <w:szCs w:val="16"/>
                <w:color w:val="auto"/>
                <w:w w:val="91"/>
              </w:rPr>
              <w:t>Aaa</w:t>
            </w:r>
          </w:p>
        </w:tc>
        <w:tc>
          <w:tcPr>
            <w:tcW w:w="320" w:type="dxa"/>
            <w:vAlign w:val="bottom"/>
            <w:tcBorders>
              <w:bottom w:val="single" w:sz="8" w:color="auto"/>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48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rPr>
              <w:t>AAA</w:t>
            </w:r>
          </w:p>
        </w:tc>
        <w:tc>
          <w:tcPr>
            <w:tcW w:w="320" w:type="dxa"/>
            <w:vAlign w:val="bottom"/>
            <w:tcBorders>
              <w:bottom w:val="single" w:sz="8" w:color="auto"/>
              <w:right w:val="single" w:sz="8" w:color="auto"/>
            </w:tcBorders>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1560" w:type="dxa"/>
            <w:vAlign w:val="bottom"/>
            <w:tcBorders>
              <w:bottom w:val="single" w:sz="8" w:color="auto"/>
            </w:tcBorders>
          </w:tcPr>
          <w:p>
            <w:pPr>
              <w:jc w:val="center"/>
              <w:ind w:left="359"/>
              <w:spacing w:after="0"/>
              <w:rPr>
                <w:sz w:val="20"/>
                <w:szCs w:val="20"/>
                <w:color w:val="auto"/>
              </w:rPr>
            </w:pPr>
            <w:r>
              <w:rPr>
                <w:rFonts w:ascii="Arial" w:cs="Arial" w:eastAsia="Arial" w:hAnsi="Arial"/>
                <w:sz w:val="16"/>
                <w:szCs w:val="16"/>
                <w:color w:val="auto"/>
              </w:rPr>
              <w:t>AAA</w:t>
            </w:r>
          </w:p>
        </w:tc>
        <w:tc>
          <w:tcPr>
            <w:tcW w:w="460" w:type="dxa"/>
            <w:vAlign w:val="bottom"/>
            <w:tcBorders>
              <w:bottom w:val="single" w:sz="8" w:color="auto"/>
              <w:right w:val="single" w:sz="8" w:color="auto"/>
            </w:tcBorders>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200" w:type="dxa"/>
            <w:vAlign w:val="bottom"/>
            <w:tcBorders>
              <w:left w:val="single" w:sz="8" w:color="auto"/>
              <w:bottom w:val="single" w:sz="8" w:color="auto"/>
            </w:tcBorders>
          </w:tcPr>
          <w:p>
            <w:pPr>
              <w:jc w:val="center"/>
              <w:ind w:left="219"/>
              <w:spacing w:after="0"/>
              <w:rPr>
                <w:sz w:val="20"/>
                <w:szCs w:val="20"/>
                <w:color w:val="auto"/>
              </w:rPr>
            </w:pPr>
            <w:r>
              <w:rPr>
                <w:rFonts w:ascii="Arial" w:cs="Arial" w:eastAsia="Arial" w:hAnsi="Arial"/>
                <w:sz w:val="16"/>
                <w:szCs w:val="16"/>
                <w:color w:val="auto"/>
                <w:w w:val="91"/>
              </w:rPr>
              <w:t>Aa1</w:t>
            </w:r>
          </w:p>
        </w:tc>
        <w:tc>
          <w:tcPr>
            <w:tcW w:w="320" w:type="dxa"/>
            <w:vAlign w:val="bottom"/>
            <w:tcBorders>
              <w:bottom w:val="single" w:sz="8" w:color="auto"/>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48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rPr>
              <w:t>AA+</w:t>
            </w:r>
          </w:p>
        </w:tc>
        <w:tc>
          <w:tcPr>
            <w:tcW w:w="320" w:type="dxa"/>
            <w:vAlign w:val="bottom"/>
            <w:tcBorders>
              <w:bottom w:val="single" w:sz="8" w:color="auto"/>
              <w:right w:val="single" w:sz="8" w:color="auto"/>
            </w:tcBorders>
          </w:tcPr>
          <w:p>
            <w:pPr>
              <w:spacing w:after="0"/>
              <w:rPr>
                <w:sz w:val="19"/>
                <w:szCs w:val="19"/>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6"/>
              </w:rPr>
              <w:t>A1+</w:t>
            </w:r>
          </w:p>
        </w:tc>
        <w:tc>
          <w:tcPr>
            <w:tcW w:w="1560" w:type="dxa"/>
            <w:vAlign w:val="bottom"/>
            <w:tcBorders>
              <w:bottom w:val="single" w:sz="8" w:color="auto"/>
            </w:tcBorders>
          </w:tcPr>
          <w:p>
            <w:pPr>
              <w:jc w:val="center"/>
              <w:ind w:left="359"/>
              <w:spacing w:after="0"/>
              <w:rPr>
                <w:sz w:val="20"/>
                <w:szCs w:val="20"/>
                <w:color w:val="auto"/>
              </w:rPr>
            </w:pPr>
            <w:r>
              <w:rPr>
                <w:rFonts w:ascii="Arial" w:cs="Arial" w:eastAsia="Arial" w:hAnsi="Arial"/>
                <w:sz w:val="16"/>
                <w:szCs w:val="16"/>
                <w:color w:val="auto"/>
              </w:rPr>
              <w:t>AA+</w:t>
            </w:r>
          </w:p>
        </w:tc>
        <w:tc>
          <w:tcPr>
            <w:tcW w:w="460" w:type="dxa"/>
            <w:vAlign w:val="bottom"/>
            <w:tcBorders>
              <w:bottom w:val="single" w:sz="8" w:color="auto"/>
              <w:right w:val="single" w:sz="8" w:color="auto"/>
            </w:tcBorders>
          </w:tcPr>
          <w:p>
            <w:pPr>
              <w:spacing w:after="0"/>
              <w:rPr>
                <w:sz w:val="19"/>
                <w:szCs w:val="19"/>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A1+</w:t>
            </w:r>
          </w:p>
        </w:tc>
        <w:tc>
          <w:tcPr>
            <w:tcW w:w="0" w:type="dxa"/>
            <w:vAlign w:val="bottom"/>
          </w:tcPr>
          <w:p>
            <w:pPr>
              <w:spacing w:after="0"/>
              <w:rPr>
                <w:sz w:val="1"/>
                <w:szCs w:val="1"/>
                <w:color w:val="auto"/>
              </w:rPr>
            </w:pPr>
          </w:p>
        </w:tc>
      </w:tr>
      <w:tr>
        <w:trPr>
          <w:trHeight w:val="92"/>
        </w:trPr>
        <w:tc>
          <w:tcPr>
            <w:tcW w:w="1200" w:type="dxa"/>
            <w:vAlign w:val="bottom"/>
            <w:tcBorders>
              <w:left w:val="single" w:sz="8" w:color="auto"/>
            </w:tcBorders>
            <w:vMerge w:val="restart"/>
          </w:tcPr>
          <w:p>
            <w:pPr>
              <w:jc w:val="center"/>
              <w:ind w:left="219"/>
              <w:spacing w:after="0"/>
              <w:rPr>
                <w:sz w:val="20"/>
                <w:szCs w:val="20"/>
                <w:color w:val="auto"/>
              </w:rPr>
            </w:pPr>
            <w:r>
              <w:rPr>
                <w:rFonts w:ascii="Arial" w:cs="Arial" w:eastAsia="Arial" w:hAnsi="Arial"/>
                <w:sz w:val="16"/>
                <w:szCs w:val="16"/>
                <w:color w:val="auto"/>
                <w:w w:val="91"/>
              </w:rPr>
              <w:t>Aa2</w:t>
            </w:r>
          </w:p>
        </w:tc>
        <w:tc>
          <w:tcPr>
            <w:tcW w:w="320" w:type="dxa"/>
            <w:vAlign w:val="bottom"/>
            <w:tcBorders>
              <w:right w:val="single" w:sz="8" w:color="auto"/>
            </w:tcBorders>
          </w:tcPr>
          <w:p>
            <w:pPr>
              <w:spacing w:after="0"/>
              <w:rPr>
                <w:sz w:val="8"/>
                <w:szCs w:val="8"/>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1"/>
              </w:rPr>
              <w:t>P1</w:t>
            </w:r>
          </w:p>
        </w:tc>
        <w:tc>
          <w:tcPr>
            <w:tcW w:w="1480" w:type="dxa"/>
            <w:vAlign w:val="bottom"/>
            <w:vMerge w:val="restart"/>
          </w:tcPr>
          <w:p>
            <w:pPr>
              <w:jc w:val="center"/>
              <w:ind w:left="199"/>
              <w:spacing w:after="0"/>
              <w:rPr>
                <w:sz w:val="20"/>
                <w:szCs w:val="20"/>
                <w:color w:val="auto"/>
              </w:rPr>
            </w:pPr>
            <w:r>
              <w:rPr>
                <w:rFonts w:ascii="Arial" w:cs="Arial" w:eastAsia="Arial" w:hAnsi="Arial"/>
                <w:sz w:val="16"/>
                <w:szCs w:val="16"/>
                <w:color w:val="auto"/>
              </w:rPr>
              <w:t>AA</w:t>
            </w:r>
          </w:p>
        </w:tc>
        <w:tc>
          <w:tcPr>
            <w:tcW w:w="32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vMerge w:val="continue"/>
          </w:tcPr>
          <w:p>
            <w:pPr>
              <w:spacing w:after="0"/>
              <w:rPr>
                <w:sz w:val="8"/>
                <w:szCs w:val="8"/>
                <w:color w:val="auto"/>
              </w:rPr>
            </w:pPr>
          </w:p>
        </w:tc>
        <w:tc>
          <w:tcPr>
            <w:tcW w:w="1560" w:type="dxa"/>
            <w:vAlign w:val="bottom"/>
            <w:vMerge w:val="restart"/>
          </w:tcPr>
          <w:p>
            <w:pPr>
              <w:jc w:val="center"/>
              <w:ind w:left="359"/>
              <w:spacing w:after="0"/>
              <w:rPr>
                <w:sz w:val="20"/>
                <w:szCs w:val="20"/>
                <w:color w:val="auto"/>
              </w:rPr>
            </w:pPr>
            <w:r>
              <w:rPr>
                <w:rFonts w:ascii="Arial" w:cs="Arial" w:eastAsia="Arial" w:hAnsi="Arial"/>
                <w:sz w:val="16"/>
                <w:szCs w:val="16"/>
                <w:color w:val="auto"/>
              </w:rPr>
              <w:t>AA</w:t>
            </w:r>
          </w:p>
        </w:tc>
        <w:tc>
          <w:tcPr>
            <w:tcW w:w="46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200" w:type="dxa"/>
            <w:vAlign w:val="bottom"/>
            <w:tcBorders>
              <w:left w:val="single" w:sz="8" w:color="auto"/>
              <w:bottom w:val="single" w:sz="8" w:color="auto"/>
            </w:tcBorders>
            <w:vMerge w:val="continue"/>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1600" w:type="dxa"/>
            <w:vAlign w:val="bottom"/>
            <w:tcBorders>
              <w:right w:val="single" w:sz="8" w:color="auto"/>
            </w:tcBorders>
            <w:vMerge w:val="continue"/>
          </w:tcPr>
          <w:p>
            <w:pPr>
              <w:spacing w:after="0"/>
              <w:rPr>
                <w:sz w:val="11"/>
                <w:szCs w:val="11"/>
                <w:color w:val="auto"/>
              </w:rPr>
            </w:pPr>
          </w:p>
        </w:tc>
        <w:tc>
          <w:tcPr>
            <w:tcW w:w="1480" w:type="dxa"/>
            <w:vAlign w:val="bottom"/>
            <w:tcBorders>
              <w:bottom w:val="single" w:sz="8" w:color="auto"/>
            </w:tcBorders>
            <w:vMerge w:val="continue"/>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1900" w:type="dxa"/>
            <w:vAlign w:val="bottom"/>
            <w:tcBorders>
              <w:right w:val="single" w:sz="8" w:color="auto"/>
            </w:tcBorders>
          </w:tcPr>
          <w:p>
            <w:pPr>
              <w:spacing w:after="0"/>
              <w:rPr>
                <w:sz w:val="11"/>
                <w:szCs w:val="11"/>
                <w:color w:val="auto"/>
              </w:rPr>
            </w:pPr>
          </w:p>
        </w:tc>
        <w:tc>
          <w:tcPr>
            <w:tcW w:w="1560" w:type="dxa"/>
            <w:vAlign w:val="bottom"/>
            <w:tcBorders>
              <w:bottom w:val="single" w:sz="8" w:color="auto"/>
            </w:tcBorders>
            <w:vMerge w:val="continue"/>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18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1200" w:type="dxa"/>
            <w:vAlign w:val="bottom"/>
            <w:tcBorders>
              <w:left w:val="single" w:sz="8" w:color="auto"/>
            </w:tcBorders>
            <w:vMerge w:val="restart"/>
          </w:tcPr>
          <w:p>
            <w:pPr>
              <w:jc w:val="center"/>
              <w:ind w:left="219"/>
              <w:spacing w:after="0"/>
              <w:rPr>
                <w:sz w:val="20"/>
                <w:szCs w:val="20"/>
                <w:color w:val="auto"/>
              </w:rPr>
            </w:pPr>
            <w:r>
              <w:rPr>
                <w:rFonts w:ascii="Arial" w:cs="Arial" w:eastAsia="Arial" w:hAnsi="Arial"/>
                <w:sz w:val="16"/>
                <w:szCs w:val="16"/>
                <w:color w:val="auto"/>
                <w:w w:val="91"/>
              </w:rPr>
              <w:t>Aa3</w:t>
            </w:r>
          </w:p>
        </w:tc>
        <w:tc>
          <w:tcPr>
            <w:tcW w:w="320" w:type="dxa"/>
            <w:vAlign w:val="bottom"/>
            <w:tcBorders>
              <w:right w:val="single" w:sz="8" w:color="auto"/>
            </w:tcBorders>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480" w:type="dxa"/>
            <w:vAlign w:val="bottom"/>
            <w:vMerge w:val="restart"/>
          </w:tcPr>
          <w:p>
            <w:pPr>
              <w:jc w:val="center"/>
              <w:ind w:left="199"/>
              <w:spacing w:after="0"/>
              <w:rPr>
                <w:sz w:val="20"/>
                <w:szCs w:val="20"/>
                <w:color w:val="auto"/>
              </w:rPr>
            </w:pPr>
            <w:r>
              <w:rPr>
                <w:rFonts w:ascii="Arial" w:cs="Arial" w:eastAsia="Arial" w:hAnsi="Arial"/>
                <w:sz w:val="16"/>
                <w:szCs w:val="16"/>
                <w:color w:val="auto"/>
              </w:rPr>
              <w:t>AA-</w:t>
            </w:r>
          </w:p>
        </w:tc>
        <w:tc>
          <w:tcPr>
            <w:tcW w:w="32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tcPr>
          <w:p>
            <w:pPr>
              <w:spacing w:after="0"/>
              <w:rPr>
                <w:sz w:val="8"/>
                <w:szCs w:val="8"/>
                <w:color w:val="auto"/>
              </w:rPr>
            </w:pPr>
          </w:p>
        </w:tc>
        <w:tc>
          <w:tcPr>
            <w:tcW w:w="1560" w:type="dxa"/>
            <w:vAlign w:val="bottom"/>
            <w:vMerge w:val="restart"/>
          </w:tcPr>
          <w:p>
            <w:pPr>
              <w:jc w:val="center"/>
              <w:ind w:left="359"/>
              <w:spacing w:after="0"/>
              <w:rPr>
                <w:sz w:val="20"/>
                <w:szCs w:val="20"/>
                <w:color w:val="auto"/>
              </w:rPr>
            </w:pPr>
            <w:r>
              <w:rPr>
                <w:rFonts w:ascii="Arial" w:cs="Arial" w:eastAsia="Arial" w:hAnsi="Arial"/>
                <w:sz w:val="16"/>
                <w:szCs w:val="16"/>
                <w:color w:val="auto"/>
              </w:rPr>
              <w:t>AA-</w:t>
            </w:r>
          </w:p>
        </w:tc>
        <w:tc>
          <w:tcPr>
            <w:tcW w:w="46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200" w:type="dxa"/>
            <w:vAlign w:val="bottom"/>
            <w:tcBorders>
              <w:left w:val="single" w:sz="8" w:color="auto"/>
              <w:bottom w:val="single" w:sz="8" w:color="auto"/>
            </w:tcBorders>
            <w:vMerge w:val="continue"/>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1480" w:type="dxa"/>
            <w:vAlign w:val="bottom"/>
            <w:tcBorders>
              <w:bottom w:val="single" w:sz="8" w:color="auto"/>
            </w:tcBorders>
            <w:vMerge w:val="continue"/>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1560" w:type="dxa"/>
            <w:vAlign w:val="bottom"/>
            <w:tcBorders>
              <w:bottom w:val="single" w:sz="8" w:color="auto"/>
            </w:tcBorders>
            <w:vMerge w:val="continue"/>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1200" w:type="dxa"/>
            <w:vAlign w:val="bottom"/>
            <w:tcBorders>
              <w:left w:val="single" w:sz="8" w:color="auto"/>
              <w:bottom w:val="single" w:sz="8" w:color="auto"/>
            </w:tcBorders>
          </w:tcPr>
          <w:p>
            <w:pPr>
              <w:jc w:val="center"/>
              <w:ind w:left="219"/>
              <w:spacing w:after="0"/>
              <w:rPr>
                <w:sz w:val="20"/>
                <w:szCs w:val="20"/>
                <w:color w:val="auto"/>
              </w:rPr>
            </w:pPr>
            <w:r>
              <w:rPr>
                <w:rFonts w:ascii="Arial" w:cs="Arial" w:eastAsia="Arial" w:hAnsi="Arial"/>
                <w:sz w:val="16"/>
                <w:szCs w:val="16"/>
                <w:color w:val="auto"/>
                <w:w w:val="91"/>
              </w:rPr>
              <w:t>A1</w:t>
            </w:r>
          </w:p>
        </w:tc>
        <w:tc>
          <w:tcPr>
            <w:tcW w:w="320" w:type="dxa"/>
            <w:vAlign w:val="bottom"/>
            <w:tcBorders>
              <w:bottom w:val="single" w:sz="8" w:color="auto"/>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48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w w:val="99"/>
              </w:rPr>
              <w:t>A+</w:t>
            </w:r>
          </w:p>
        </w:tc>
        <w:tc>
          <w:tcPr>
            <w:tcW w:w="320" w:type="dxa"/>
            <w:vAlign w:val="bottom"/>
            <w:tcBorders>
              <w:bottom w:val="single" w:sz="8" w:color="auto"/>
              <w:right w:val="single" w:sz="8" w:color="auto"/>
            </w:tcBorders>
          </w:tcPr>
          <w:p>
            <w:pPr>
              <w:spacing w:after="0"/>
              <w:rPr>
                <w:sz w:val="19"/>
                <w:szCs w:val="19"/>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A1</w:t>
            </w:r>
          </w:p>
        </w:tc>
        <w:tc>
          <w:tcPr>
            <w:tcW w:w="1560" w:type="dxa"/>
            <w:vAlign w:val="bottom"/>
            <w:tcBorders>
              <w:bottom w:val="single" w:sz="8" w:color="auto"/>
            </w:tcBorders>
          </w:tcPr>
          <w:p>
            <w:pPr>
              <w:jc w:val="center"/>
              <w:ind w:left="359"/>
              <w:spacing w:after="0"/>
              <w:rPr>
                <w:sz w:val="20"/>
                <w:szCs w:val="20"/>
                <w:color w:val="auto"/>
              </w:rPr>
            </w:pPr>
            <w:r>
              <w:rPr>
                <w:rFonts w:ascii="Arial" w:cs="Arial" w:eastAsia="Arial" w:hAnsi="Arial"/>
                <w:sz w:val="16"/>
                <w:szCs w:val="16"/>
                <w:color w:val="auto"/>
                <w:w w:val="99"/>
              </w:rPr>
              <w:t>A+</w:t>
            </w:r>
          </w:p>
        </w:tc>
        <w:tc>
          <w:tcPr>
            <w:tcW w:w="460" w:type="dxa"/>
            <w:vAlign w:val="bottom"/>
            <w:tcBorders>
              <w:bottom w:val="single" w:sz="8" w:color="auto"/>
              <w:right w:val="single" w:sz="8" w:color="auto"/>
            </w:tcBorders>
          </w:tcPr>
          <w:p>
            <w:pPr>
              <w:spacing w:after="0"/>
              <w:rPr>
                <w:sz w:val="19"/>
                <w:szCs w:val="19"/>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A1</w:t>
            </w:r>
          </w:p>
        </w:tc>
        <w:tc>
          <w:tcPr>
            <w:tcW w:w="0" w:type="dxa"/>
            <w:vAlign w:val="bottom"/>
          </w:tcPr>
          <w:p>
            <w:pPr>
              <w:spacing w:after="0"/>
              <w:rPr>
                <w:sz w:val="1"/>
                <w:szCs w:val="1"/>
                <w:color w:val="auto"/>
              </w:rPr>
            </w:pPr>
          </w:p>
        </w:tc>
      </w:tr>
      <w:tr>
        <w:trPr>
          <w:trHeight w:val="92"/>
        </w:trPr>
        <w:tc>
          <w:tcPr>
            <w:tcW w:w="1200" w:type="dxa"/>
            <w:vAlign w:val="bottom"/>
            <w:tcBorders>
              <w:left w:val="single" w:sz="8" w:color="auto"/>
            </w:tcBorders>
            <w:vMerge w:val="restart"/>
          </w:tcPr>
          <w:p>
            <w:pPr>
              <w:jc w:val="center"/>
              <w:ind w:left="219"/>
              <w:spacing w:after="0"/>
              <w:rPr>
                <w:sz w:val="20"/>
                <w:szCs w:val="20"/>
                <w:color w:val="auto"/>
              </w:rPr>
            </w:pPr>
            <w:r>
              <w:rPr>
                <w:rFonts w:ascii="Arial" w:cs="Arial" w:eastAsia="Arial" w:hAnsi="Arial"/>
                <w:sz w:val="16"/>
                <w:szCs w:val="16"/>
                <w:color w:val="auto"/>
                <w:w w:val="91"/>
              </w:rPr>
              <w:t>A2</w:t>
            </w:r>
          </w:p>
        </w:tc>
        <w:tc>
          <w:tcPr>
            <w:tcW w:w="320" w:type="dxa"/>
            <w:vAlign w:val="bottom"/>
            <w:tcBorders>
              <w:right w:val="single" w:sz="8" w:color="auto"/>
            </w:tcBorders>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1480" w:type="dxa"/>
            <w:vAlign w:val="bottom"/>
            <w:vMerge w:val="restart"/>
          </w:tcPr>
          <w:p>
            <w:pPr>
              <w:jc w:val="center"/>
              <w:ind w:left="199"/>
              <w:spacing w:after="0"/>
              <w:rPr>
                <w:sz w:val="20"/>
                <w:szCs w:val="20"/>
                <w:color w:val="auto"/>
              </w:rPr>
            </w:pPr>
            <w:r>
              <w:rPr>
                <w:rFonts w:ascii="Arial" w:cs="Arial" w:eastAsia="Arial" w:hAnsi="Arial"/>
                <w:sz w:val="16"/>
                <w:szCs w:val="16"/>
                <w:color w:val="auto"/>
              </w:rPr>
              <w:t>A</w:t>
            </w:r>
          </w:p>
        </w:tc>
        <w:tc>
          <w:tcPr>
            <w:tcW w:w="32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vMerge w:val="continue"/>
          </w:tcPr>
          <w:p>
            <w:pPr>
              <w:spacing w:after="0"/>
              <w:rPr>
                <w:sz w:val="8"/>
                <w:szCs w:val="8"/>
                <w:color w:val="auto"/>
              </w:rPr>
            </w:pPr>
          </w:p>
        </w:tc>
        <w:tc>
          <w:tcPr>
            <w:tcW w:w="1560" w:type="dxa"/>
            <w:vAlign w:val="bottom"/>
            <w:vMerge w:val="restart"/>
          </w:tcPr>
          <w:p>
            <w:pPr>
              <w:jc w:val="center"/>
              <w:ind w:left="359"/>
              <w:spacing w:after="0"/>
              <w:rPr>
                <w:sz w:val="20"/>
                <w:szCs w:val="20"/>
                <w:color w:val="auto"/>
              </w:rPr>
            </w:pPr>
            <w:r>
              <w:rPr>
                <w:rFonts w:ascii="Arial" w:cs="Arial" w:eastAsia="Arial" w:hAnsi="Arial"/>
                <w:sz w:val="16"/>
                <w:szCs w:val="16"/>
                <w:color w:val="auto"/>
              </w:rPr>
              <w:t>A</w:t>
            </w:r>
          </w:p>
        </w:tc>
        <w:tc>
          <w:tcPr>
            <w:tcW w:w="46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200" w:type="dxa"/>
            <w:vAlign w:val="bottom"/>
            <w:tcBorders>
              <w:left w:val="single" w:sz="8" w:color="auto"/>
              <w:bottom w:val="single" w:sz="8" w:color="auto"/>
            </w:tcBorders>
            <w:vMerge w:val="continue"/>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1600" w:type="dxa"/>
            <w:vAlign w:val="bottom"/>
            <w:tcBorders>
              <w:bottom w:val="single" w:sz="8" w:color="auto"/>
              <w:right w:val="single" w:sz="8" w:color="auto"/>
            </w:tcBorders>
          </w:tcPr>
          <w:p>
            <w:pPr>
              <w:spacing w:after="0"/>
              <w:rPr>
                <w:sz w:val="11"/>
                <w:szCs w:val="11"/>
                <w:color w:val="auto"/>
              </w:rPr>
            </w:pPr>
          </w:p>
        </w:tc>
        <w:tc>
          <w:tcPr>
            <w:tcW w:w="1480" w:type="dxa"/>
            <w:vAlign w:val="bottom"/>
            <w:tcBorders>
              <w:bottom w:val="single" w:sz="8" w:color="auto"/>
            </w:tcBorders>
            <w:vMerge w:val="continue"/>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1560" w:type="dxa"/>
            <w:vAlign w:val="bottom"/>
            <w:tcBorders>
              <w:bottom w:val="single" w:sz="8" w:color="auto"/>
            </w:tcBorders>
            <w:vMerge w:val="continue"/>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1200" w:type="dxa"/>
            <w:vAlign w:val="bottom"/>
            <w:tcBorders>
              <w:left w:val="single" w:sz="8" w:color="auto"/>
              <w:bottom w:val="single" w:sz="8" w:color="auto"/>
            </w:tcBorders>
          </w:tcPr>
          <w:p>
            <w:pPr>
              <w:jc w:val="center"/>
              <w:ind w:left="219"/>
              <w:spacing w:after="0"/>
              <w:rPr>
                <w:sz w:val="20"/>
                <w:szCs w:val="20"/>
                <w:color w:val="auto"/>
              </w:rPr>
            </w:pPr>
            <w:r>
              <w:rPr>
                <w:rFonts w:ascii="Arial" w:cs="Arial" w:eastAsia="Arial" w:hAnsi="Arial"/>
                <w:sz w:val="16"/>
                <w:szCs w:val="16"/>
                <w:color w:val="auto"/>
                <w:w w:val="91"/>
              </w:rPr>
              <w:t>A3</w:t>
            </w:r>
          </w:p>
        </w:tc>
        <w:tc>
          <w:tcPr>
            <w:tcW w:w="320" w:type="dxa"/>
            <w:vAlign w:val="bottom"/>
            <w:tcBorders>
              <w:bottom w:val="single" w:sz="8" w:color="auto"/>
              <w:right w:val="single" w:sz="8" w:color="auto"/>
            </w:tcBorders>
          </w:tcPr>
          <w:p>
            <w:pPr>
              <w:spacing w:after="0"/>
              <w:rPr>
                <w:sz w:val="19"/>
                <w:szCs w:val="1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1"/>
              </w:rPr>
              <w:t>P2</w:t>
            </w:r>
          </w:p>
        </w:tc>
        <w:tc>
          <w:tcPr>
            <w:tcW w:w="148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w w:val="99"/>
              </w:rPr>
              <w:t>A-</w:t>
            </w:r>
          </w:p>
        </w:tc>
        <w:tc>
          <w:tcPr>
            <w:tcW w:w="320" w:type="dxa"/>
            <w:vAlign w:val="bottom"/>
            <w:tcBorders>
              <w:bottom w:val="single" w:sz="8" w:color="auto"/>
              <w:right w:val="single" w:sz="8" w:color="auto"/>
            </w:tcBorders>
          </w:tcPr>
          <w:p>
            <w:pPr>
              <w:spacing w:after="0"/>
              <w:rPr>
                <w:sz w:val="19"/>
                <w:szCs w:val="19"/>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A2</w:t>
            </w:r>
          </w:p>
        </w:tc>
        <w:tc>
          <w:tcPr>
            <w:tcW w:w="1560" w:type="dxa"/>
            <w:vAlign w:val="bottom"/>
            <w:tcBorders>
              <w:bottom w:val="single" w:sz="8" w:color="auto"/>
            </w:tcBorders>
          </w:tcPr>
          <w:p>
            <w:pPr>
              <w:jc w:val="center"/>
              <w:ind w:left="359"/>
              <w:spacing w:after="0"/>
              <w:rPr>
                <w:sz w:val="20"/>
                <w:szCs w:val="20"/>
                <w:color w:val="auto"/>
              </w:rPr>
            </w:pPr>
            <w:r>
              <w:rPr>
                <w:rFonts w:ascii="Arial" w:cs="Arial" w:eastAsia="Arial" w:hAnsi="Arial"/>
                <w:sz w:val="16"/>
                <w:szCs w:val="16"/>
                <w:color w:val="auto"/>
                <w:w w:val="99"/>
              </w:rPr>
              <w:t>A-</w:t>
            </w:r>
          </w:p>
        </w:tc>
        <w:tc>
          <w:tcPr>
            <w:tcW w:w="460" w:type="dxa"/>
            <w:vAlign w:val="bottom"/>
            <w:tcBorders>
              <w:bottom w:val="single" w:sz="8" w:color="auto"/>
              <w:right w:val="single" w:sz="8" w:color="auto"/>
            </w:tcBorders>
          </w:tcPr>
          <w:p>
            <w:pPr>
              <w:spacing w:after="0"/>
              <w:rPr>
                <w:sz w:val="19"/>
                <w:szCs w:val="19"/>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A2</w:t>
            </w:r>
          </w:p>
        </w:tc>
        <w:tc>
          <w:tcPr>
            <w:tcW w:w="0" w:type="dxa"/>
            <w:vAlign w:val="bottom"/>
          </w:tcPr>
          <w:p>
            <w:pPr>
              <w:spacing w:after="0"/>
              <w:rPr>
                <w:sz w:val="1"/>
                <w:szCs w:val="1"/>
                <w:color w:val="auto"/>
              </w:rPr>
            </w:pPr>
          </w:p>
        </w:tc>
      </w:tr>
      <w:tr>
        <w:trPr>
          <w:trHeight w:val="92"/>
        </w:trPr>
        <w:tc>
          <w:tcPr>
            <w:tcW w:w="1200" w:type="dxa"/>
            <w:vAlign w:val="bottom"/>
            <w:tcBorders>
              <w:left w:val="single" w:sz="8" w:color="auto"/>
            </w:tcBorders>
            <w:vMerge w:val="restart"/>
          </w:tcPr>
          <w:p>
            <w:pPr>
              <w:jc w:val="center"/>
              <w:ind w:left="219"/>
              <w:spacing w:after="0"/>
              <w:rPr>
                <w:sz w:val="20"/>
                <w:szCs w:val="20"/>
                <w:color w:val="auto"/>
              </w:rPr>
            </w:pPr>
            <w:r>
              <w:rPr>
                <w:rFonts w:ascii="Arial" w:cs="Arial" w:eastAsia="Arial" w:hAnsi="Arial"/>
                <w:sz w:val="16"/>
                <w:szCs w:val="16"/>
                <w:color w:val="auto"/>
                <w:w w:val="90"/>
              </w:rPr>
              <w:t>Baa1</w:t>
            </w:r>
          </w:p>
        </w:tc>
        <w:tc>
          <w:tcPr>
            <w:tcW w:w="320" w:type="dxa"/>
            <w:vAlign w:val="bottom"/>
            <w:tcBorders>
              <w:right w:val="single" w:sz="8" w:color="auto"/>
            </w:tcBorders>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480" w:type="dxa"/>
            <w:vAlign w:val="bottom"/>
            <w:vMerge w:val="restart"/>
          </w:tcPr>
          <w:p>
            <w:pPr>
              <w:jc w:val="center"/>
              <w:ind w:left="199"/>
              <w:spacing w:after="0"/>
              <w:rPr>
                <w:sz w:val="20"/>
                <w:szCs w:val="20"/>
                <w:color w:val="auto"/>
              </w:rPr>
            </w:pPr>
            <w:r>
              <w:rPr>
                <w:rFonts w:ascii="Arial" w:cs="Arial" w:eastAsia="Arial" w:hAnsi="Arial"/>
                <w:sz w:val="16"/>
                <w:szCs w:val="16"/>
                <w:color w:val="auto"/>
                <w:w w:val="96"/>
              </w:rPr>
              <w:t>BBB+</w:t>
            </w:r>
          </w:p>
        </w:tc>
        <w:tc>
          <w:tcPr>
            <w:tcW w:w="32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vMerge w:val="continue"/>
          </w:tcPr>
          <w:p>
            <w:pPr>
              <w:spacing w:after="0"/>
              <w:rPr>
                <w:sz w:val="8"/>
                <w:szCs w:val="8"/>
                <w:color w:val="auto"/>
              </w:rPr>
            </w:pPr>
          </w:p>
        </w:tc>
        <w:tc>
          <w:tcPr>
            <w:tcW w:w="1560" w:type="dxa"/>
            <w:vAlign w:val="bottom"/>
            <w:vMerge w:val="restart"/>
          </w:tcPr>
          <w:p>
            <w:pPr>
              <w:jc w:val="center"/>
              <w:ind w:left="359"/>
              <w:spacing w:after="0"/>
              <w:rPr>
                <w:sz w:val="20"/>
                <w:szCs w:val="20"/>
                <w:color w:val="auto"/>
              </w:rPr>
            </w:pPr>
            <w:r>
              <w:rPr>
                <w:rFonts w:ascii="Arial" w:cs="Arial" w:eastAsia="Arial" w:hAnsi="Arial"/>
                <w:sz w:val="16"/>
                <w:szCs w:val="16"/>
                <w:color w:val="auto"/>
                <w:w w:val="96"/>
              </w:rPr>
              <w:t>BBB+</w:t>
            </w:r>
          </w:p>
        </w:tc>
        <w:tc>
          <w:tcPr>
            <w:tcW w:w="46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200" w:type="dxa"/>
            <w:vAlign w:val="bottom"/>
            <w:tcBorders>
              <w:left w:val="single" w:sz="8" w:color="auto"/>
              <w:bottom w:val="single" w:sz="8" w:color="auto"/>
            </w:tcBorders>
            <w:vMerge w:val="continue"/>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1600" w:type="dxa"/>
            <w:vAlign w:val="bottom"/>
            <w:tcBorders>
              <w:bottom w:val="single" w:sz="8" w:color="auto"/>
              <w:right w:val="single" w:sz="8" w:color="auto"/>
            </w:tcBorders>
          </w:tcPr>
          <w:p>
            <w:pPr>
              <w:spacing w:after="0"/>
              <w:rPr>
                <w:sz w:val="11"/>
                <w:szCs w:val="11"/>
                <w:color w:val="auto"/>
              </w:rPr>
            </w:pPr>
          </w:p>
        </w:tc>
        <w:tc>
          <w:tcPr>
            <w:tcW w:w="1480" w:type="dxa"/>
            <w:vAlign w:val="bottom"/>
            <w:tcBorders>
              <w:bottom w:val="single" w:sz="8" w:color="auto"/>
            </w:tcBorders>
            <w:vMerge w:val="continue"/>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1560" w:type="dxa"/>
            <w:vAlign w:val="bottom"/>
            <w:tcBorders>
              <w:bottom w:val="single" w:sz="8" w:color="auto"/>
            </w:tcBorders>
            <w:vMerge w:val="continue"/>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1200" w:type="dxa"/>
            <w:vAlign w:val="bottom"/>
            <w:tcBorders>
              <w:left w:val="single" w:sz="8" w:color="auto"/>
              <w:bottom w:val="single" w:sz="8" w:color="auto"/>
            </w:tcBorders>
          </w:tcPr>
          <w:p>
            <w:pPr>
              <w:jc w:val="center"/>
              <w:ind w:left="219"/>
              <w:spacing w:after="0"/>
              <w:rPr>
                <w:sz w:val="20"/>
                <w:szCs w:val="20"/>
                <w:color w:val="auto"/>
              </w:rPr>
            </w:pPr>
            <w:r>
              <w:rPr>
                <w:rFonts w:ascii="Arial" w:cs="Arial" w:eastAsia="Arial" w:hAnsi="Arial"/>
                <w:sz w:val="16"/>
                <w:szCs w:val="16"/>
                <w:color w:val="auto"/>
                <w:w w:val="90"/>
              </w:rPr>
              <w:t>Baa2</w:t>
            </w:r>
          </w:p>
        </w:tc>
        <w:tc>
          <w:tcPr>
            <w:tcW w:w="320" w:type="dxa"/>
            <w:vAlign w:val="bottom"/>
            <w:tcBorders>
              <w:bottom w:val="single" w:sz="8" w:color="auto"/>
              <w:right w:val="single" w:sz="8" w:color="auto"/>
            </w:tcBorders>
          </w:tcPr>
          <w:p>
            <w:pPr>
              <w:spacing w:after="0"/>
              <w:rPr>
                <w:sz w:val="19"/>
                <w:szCs w:val="1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1"/>
              </w:rPr>
              <w:t>P3</w:t>
            </w:r>
          </w:p>
        </w:tc>
        <w:tc>
          <w:tcPr>
            <w:tcW w:w="148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w w:val="99"/>
              </w:rPr>
              <w:t>BBB</w:t>
            </w:r>
          </w:p>
        </w:tc>
        <w:tc>
          <w:tcPr>
            <w:tcW w:w="320" w:type="dxa"/>
            <w:vAlign w:val="bottom"/>
            <w:tcBorders>
              <w:bottom w:val="single" w:sz="8" w:color="auto"/>
              <w:right w:val="single" w:sz="8" w:color="auto"/>
            </w:tcBorders>
          </w:tcPr>
          <w:p>
            <w:pPr>
              <w:spacing w:after="0"/>
              <w:rPr>
                <w:sz w:val="19"/>
                <w:szCs w:val="19"/>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A3</w:t>
            </w:r>
          </w:p>
        </w:tc>
        <w:tc>
          <w:tcPr>
            <w:tcW w:w="1560" w:type="dxa"/>
            <w:vAlign w:val="bottom"/>
            <w:tcBorders>
              <w:bottom w:val="single" w:sz="8" w:color="auto"/>
            </w:tcBorders>
          </w:tcPr>
          <w:p>
            <w:pPr>
              <w:jc w:val="center"/>
              <w:ind w:left="359"/>
              <w:spacing w:after="0"/>
              <w:rPr>
                <w:sz w:val="20"/>
                <w:szCs w:val="20"/>
                <w:color w:val="auto"/>
              </w:rPr>
            </w:pPr>
            <w:r>
              <w:rPr>
                <w:rFonts w:ascii="Arial" w:cs="Arial" w:eastAsia="Arial" w:hAnsi="Arial"/>
                <w:sz w:val="16"/>
                <w:szCs w:val="16"/>
                <w:color w:val="auto"/>
                <w:w w:val="99"/>
              </w:rPr>
              <w:t>BBB</w:t>
            </w:r>
          </w:p>
        </w:tc>
        <w:tc>
          <w:tcPr>
            <w:tcW w:w="460" w:type="dxa"/>
            <w:vAlign w:val="bottom"/>
            <w:tcBorders>
              <w:bottom w:val="single" w:sz="8" w:color="auto"/>
              <w:right w:val="single" w:sz="8" w:color="auto"/>
            </w:tcBorders>
          </w:tcPr>
          <w:p>
            <w:pPr>
              <w:spacing w:after="0"/>
              <w:rPr>
                <w:sz w:val="19"/>
                <w:szCs w:val="19"/>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A3</w:t>
            </w:r>
          </w:p>
        </w:tc>
        <w:tc>
          <w:tcPr>
            <w:tcW w:w="0" w:type="dxa"/>
            <w:vAlign w:val="bottom"/>
          </w:tcPr>
          <w:p>
            <w:pPr>
              <w:spacing w:after="0"/>
              <w:rPr>
                <w:sz w:val="1"/>
                <w:szCs w:val="1"/>
                <w:color w:val="auto"/>
              </w:rPr>
            </w:pPr>
          </w:p>
        </w:tc>
      </w:tr>
      <w:tr>
        <w:trPr>
          <w:trHeight w:val="92"/>
        </w:trPr>
        <w:tc>
          <w:tcPr>
            <w:tcW w:w="1200" w:type="dxa"/>
            <w:vAlign w:val="bottom"/>
            <w:tcBorders>
              <w:left w:val="single" w:sz="8" w:color="auto"/>
            </w:tcBorders>
            <w:vMerge w:val="restart"/>
          </w:tcPr>
          <w:p>
            <w:pPr>
              <w:jc w:val="center"/>
              <w:ind w:left="219"/>
              <w:spacing w:after="0"/>
              <w:rPr>
                <w:sz w:val="20"/>
                <w:szCs w:val="20"/>
                <w:color w:val="auto"/>
              </w:rPr>
            </w:pPr>
            <w:r>
              <w:rPr>
                <w:rFonts w:ascii="Arial" w:cs="Arial" w:eastAsia="Arial" w:hAnsi="Arial"/>
                <w:sz w:val="16"/>
                <w:szCs w:val="16"/>
                <w:color w:val="auto"/>
                <w:w w:val="90"/>
              </w:rPr>
              <w:t>Baa3</w:t>
            </w:r>
          </w:p>
        </w:tc>
        <w:tc>
          <w:tcPr>
            <w:tcW w:w="320" w:type="dxa"/>
            <w:vAlign w:val="bottom"/>
            <w:tcBorders>
              <w:right w:val="single" w:sz="8" w:color="auto"/>
            </w:tcBorders>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480" w:type="dxa"/>
            <w:vAlign w:val="bottom"/>
            <w:vMerge w:val="restart"/>
          </w:tcPr>
          <w:p>
            <w:pPr>
              <w:jc w:val="center"/>
              <w:ind w:left="219"/>
              <w:spacing w:after="0"/>
              <w:rPr>
                <w:sz w:val="20"/>
                <w:szCs w:val="20"/>
                <w:color w:val="auto"/>
              </w:rPr>
            </w:pPr>
            <w:r>
              <w:rPr>
                <w:rFonts w:ascii="Arial" w:cs="Arial" w:eastAsia="Arial" w:hAnsi="Arial"/>
                <w:sz w:val="16"/>
                <w:szCs w:val="16"/>
                <w:color w:val="auto"/>
              </w:rPr>
              <w:t>BBB-</w:t>
            </w:r>
          </w:p>
        </w:tc>
        <w:tc>
          <w:tcPr>
            <w:tcW w:w="32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vMerge w:val="continue"/>
          </w:tcPr>
          <w:p>
            <w:pPr>
              <w:spacing w:after="0"/>
              <w:rPr>
                <w:sz w:val="8"/>
                <w:szCs w:val="8"/>
                <w:color w:val="auto"/>
              </w:rPr>
            </w:pPr>
          </w:p>
        </w:tc>
        <w:tc>
          <w:tcPr>
            <w:tcW w:w="1560" w:type="dxa"/>
            <w:vAlign w:val="bottom"/>
            <w:vMerge w:val="restart"/>
          </w:tcPr>
          <w:p>
            <w:pPr>
              <w:jc w:val="center"/>
              <w:ind w:left="379"/>
              <w:spacing w:after="0"/>
              <w:rPr>
                <w:sz w:val="20"/>
                <w:szCs w:val="20"/>
                <w:color w:val="auto"/>
              </w:rPr>
            </w:pPr>
            <w:r>
              <w:rPr>
                <w:rFonts w:ascii="Arial" w:cs="Arial" w:eastAsia="Arial" w:hAnsi="Arial"/>
                <w:sz w:val="16"/>
                <w:szCs w:val="16"/>
                <w:color w:val="auto"/>
              </w:rPr>
              <w:t>BBB-</w:t>
            </w:r>
          </w:p>
        </w:tc>
        <w:tc>
          <w:tcPr>
            <w:tcW w:w="46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200" w:type="dxa"/>
            <w:vAlign w:val="bottom"/>
            <w:tcBorders>
              <w:left w:val="single" w:sz="8" w:color="auto"/>
              <w:bottom w:val="single" w:sz="8" w:color="auto"/>
            </w:tcBorders>
            <w:vMerge w:val="continue"/>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1600" w:type="dxa"/>
            <w:vAlign w:val="bottom"/>
            <w:tcBorders>
              <w:bottom w:val="single" w:sz="8" w:color="auto"/>
              <w:right w:val="single" w:sz="8" w:color="auto"/>
            </w:tcBorders>
          </w:tcPr>
          <w:p>
            <w:pPr>
              <w:spacing w:after="0"/>
              <w:rPr>
                <w:sz w:val="11"/>
                <w:szCs w:val="11"/>
                <w:color w:val="auto"/>
              </w:rPr>
            </w:pPr>
          </w:p>
        </w:tc>
        <w:tc>
          <w:tcPr>
            <w:tcW w:w="1480" w:type="dxa"/>
            <w:vAlign w:val="bottom"/>
            <w:tcBorders>
              <w:bottom w:val="single" w:sz="8" w:color="auto"/>
            </w:tcBorders>
            <w:vMerge w:val="continue"/>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1560" w:type="dxa"/>
            <w:vAlign w:val="bottom"/>
            <w:tcBorders>
              <w:bottom w:val="single" w:sz="8" w:color="auto"/>
            </w:tcBorders>
            <w:vMerge w:val="continue"/>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1200" w:type="dxa"/>
            <w:vAlign w:val="bottom"/>
            <w:tcBorders>
              <w:left w:val="single" w:sz="8" w:color="auto"/>
              <w:bottom w:val="single" w:sz="8" w:color="auto"/>
            </w:tcBorders>
          </w:tcPr>
          <w:p>
            <w:pPr>
              <w:jc w:val="center"/>
              <w:ind w:left="219"/>
              <w:spacing w:after="0"/>
              <w:rPr>
                <w:sz w:val="20"/>
                <w:szCs w:val="20"/>
                <w:color w:val="auto"/>
              </w:rPr>
            </w:pPr>
            <w:r>
              <w:rPr>
                <w:rFonts w:ascii="Arial" w:cs="Arial" w:eastAsia="Arial" w:hAnsi="Arial"/>
                <w:sz w:val="16"/>
                <w:szCs w:val="16"/>
                <w:color w:val="auto"/>
                <w:w w:val="91"/>
              </w:rPr>
              <w:t>Ba1</w:t>
            </w:r>
          </w:p>
        </w:tc>
        <w:tc>
          <w:tcPr>
            <w:tcW w:w="320" w:type="dxa"/>
            <w:vAlign w:val="bottom"/>
            <w:tcBorders>
              <w:bottom w:val="single" w:sz="8" w:color="auto"/>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48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rPr>
              <w:t>BB+</w:t>
            </w:r>
          </w:p>
        </w:tc>
        <w:tc>
          <w:tcPr>
            <w:tcW w:w="320" w:type="dxa"/>
            <w:vAlign w:val="bottom"/>
            <w:tcBorders>
              <w:bottom w:val="single" w:sz="8" w:color="auto"/>
              <w:right w:val="single" w:sz="8" w:color="auto"/>
            </w:tcBorders>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1560" w:type="dxa"/>
            <w:vAlign w:val="bottom"/>
            <w:tcBorders>
              <w:bottom w:val="single" w:sz="8" w:color="auto"/>
            </w:tcBorders>
          </w:tcPr>
          <w:p>
            <w:pPr>
              <w:jc w:val="center"/>
              <w:ind w:left="359"/>
              <w:spacing w:after="0"/>
              <w:rPr>
                <w:sz w:val="20"/>
                <w:szCs w:val="20"/>
                <w:color w:val="auto"/>
              </w:rPr>
            </w:pPr>
            <w:r>
              <w:rPr>
                <w:rFonts w:ascii="Arial" w:cs="Arial" w:eastAsia="Arial" w:hAnsi="Arial"/>
                <w:sz w:val="16"/>
                <w:szCs w:val="16"/>
                <w:color w:val="auto"/>
              </w:rPr>
              <w:t>BB+</w:t>
            </w:r>
          </w:p>
        </w:tc>
        <w:tc>
          <w:tcPr>
            <w:tcW w:w="460" w:type="dxa"/>
            <w:vAlign w:val="bottom"/>
            <w:tcBorders>
              <w:bottom w:val="single" w:sz="8" w:color="auto"/>
              <w:right w:val="single" w:sz="8" w:color="auto"/>
            </w:tcBorders>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200" w:type="dxa"/>
            <w:vAlign w:val="bottom"/>
            <w:tcBorders>
              <w:left w:val="single" w:sz="8" w:color="auto"/>
              <w:bottom w:val="single" w:sz="8" w:color="auto"/>
            </w:tcBorders>
          </w:tcPr>
          <w:p>
            <w:pPr>
              <w:jc w:val="center"/>
              <w:ind w:left="219"/>
              <w:spacing w:after="0"/>
              <w:rPr>
                <w:sz w:val="20"/>
                <w:szCs w:val="20"/>
                <w:color w:val="auto"/>
              </w:rPr>
            </w:pPr>
            <w:r>
              <w:rPr>
                <w:rFonts w:ascii="Arial" w:cs="Arial" w:eastAsia="Arial" w:hAnsi="Arial"/>
                <w:sz w:val="16"/>
                <w:szCs w:val="16"/>
                <w:color w:val="auto"/>
                <w:w w:val="91"/>
              </w:rPr>
              <w:t>Ba2</w:t>
            </w:r>
          </w:p>
        </w:tc>
        <w:tc>
          <w:tcPr>
            <w:tcW w:w="320" w:type="dxa"/>
            <w:vAlign w:val="bottom"/>
            <w:tcBorders>
              <w:bottom w:val="single" w:sz="8" w:color="auto"/>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48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color w:val="auto"/>
              </w:rPr>
              <w:t>BB</w:t>
            </w:r>
          </w:p>
        </w:tc>
        <w:tc>
          <w:tcPr>
            <w:tcW w:w="320" w:type="dxa"/>
            <w:vAlign w:val="bottom"/>
            <w:tcBorders>
              <w:bottom w:val="single" w:sz="8" w:color="auto"/>
              <w:right w:val="single" w:sz="8" w:color="auto"/>
            </w:tcBorders>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1560" w:type="dxa"/>
            <w:vAlign w:val="bottom"/>
            <w:tcBorders>
              <w:bottom w:val="single" w:sz="8" w:color="auto"/>
            </w:tcBorders>
          </w:tcPr>
          <w:p>
            <w:pPr>
              <w:jc w:val="center"/>
              <w:ind w:left="359"/>
              <w:spacing w:after="0"/>
              <w:rPr>
                <w:sz w:val="20"/>
                <w:szCs w:val="20"/>
                <w:color w:val="auto"/>
              </w:rPr>
            </w:pPr>
            <w:r>
              <w:rPr>
                <w:rFonts w:ascii="Arial" w:cs="Arial" w:eastAsia="Arial" w:hAnsi="Arial"/>
                <w:sz w:val="16"/>
                <w:szCs w:val="16"/>
                <w:color w:val="auto"/>
                <w:w w:val="93"/>
              </w:rPr>
              <w:t>BB</w:t>
            </w:r>
          </w:p>
        </w:tc>
        <w:tc>
          <w:tcPr>
            <w:tcW w:w="460" w:type="dxa"/>
            <w:vAlign w:val="bottom"/>
            <w:tcBorders>
              <w:bottom w:val="single" w:sz="8" w:color="auto"/>
              <w:right w:val="single" w:sz="8" w:color="auto"/>
            </w:tcBorders>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200" w:type="dxa"/>
            <w:vAlign w:val="bottom"/>
            <w:tcBorders>
              <w:left w:val="single" w:sz="8" w:color="auto"/>
              <w:bottom w:val="single" w:sz="8" w:color="auto"/>
            </w:tcBorders>
          </w:tcPr>
          <w:p>
            <w:pPr>
              <w:jc w:val="center"/>
              <w:ind w:left="219"/>
              <w:spacing w:after="0"/>
              <w:rPr>
                <w:sz w:val="20"/>
                <w:szCs w:val="20"/>
                <w:color w:val="auto"/>
              </w:rPr>
            </w:pPr>
            <w:r>
              <w:rPr>
                <w:rFonts w:ascii="Arial" w:cs="Arial" w:eastAsia="Arial" w:hAnsi="Arial"/>
                <w:sz w:val="16"/>
                <w:szCs w:val="16"/>
                <w:color w:val="auto"/>
                <w:w w:val="91"/>
              </w:rPr>
              <w:t>Ba3</w:t>
            </w:r>
          </w:p>
        </w:tc>
        <w:tc>
          <w:tcPr>
            <w:tcW w:w="320" w:type="dxa"/>
            <w:vAlign w:val="bottom"/>
            <w:tcBorders>
              <w:bottom w:val="single" w:sz="8" w:color="auto"/>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48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rPr>
              <w:t>BB-</w:t>
            </w:r>
          </w:p>
        </w:tc>
        <w:tc>
          <w:tcPr>
            <w:tcW w:w="320" w:type="dxa"/>
            <w:vAlign w:val="bottom"/>
            <w:tcBorders>
              <w:bottom w:val="single" w:sz="8" w:color="auto"/>
              <w:right w:val="single" w:sz="8" w:color="auto"/>
            </w:tcBorders>
          </w:tcPr>
          <w:p>
            <w:pPr>
              <w:spacing w:after="0"/>
              <w:rPr>
                <w:sz w:val="19"/>
                <w:szCs w:val="19"/>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B</w:t>
            </w:r>
          </w:p>
        </w:tc>
        <w:tc>
          <w:tcPr>
            <w:tcW w:w="1560" w:type="dxa"/>
            <w:vAlign w:val="bottom"/>
            <w:tcBorders>
              <w:bottom w:val="single" w:sz="8" w:color="auto"/>
            </w:tcBorders>
          </w:tcPr>
          <w:p>
            <w:pPr>
              <w:jc w:val="center"/>
              <w:ind w:left="359"/>
              <w:spacing w:after="0"/>
              <w:rPr>
                <w:sz w:val="20"/>
                <w:szCs w:val="20"/>
                <w:color w:val="auto"/>
              </w:rPr>
            </w:pPr>
            <w:r>
              <w:rPr>
                <w:rFonts w:ascii="Arial" w:cs="Arial" w:eastAsia="Arial" w:hAnsi="Arial"/>
                <w:sz w:val="16"/>
                <w:szCs w:val="16"/>
                <w:color w:val="auto"/>
              </w:rPr>
              <w:t>BB-</w:t>
            </w:r>
          </w:p>
        </w:tc>
        <w:tc>
          <w:tcPr>
            <w:tcW w:w="460" w:type="dxa"/>
            <w:vAlign w:val="bottom"/>
            <w:tcBorders>
              <w:bottom w:val="single" w:sz="8" w:color="auto"/>
              <w:right w:val="single" w:sz="8" w:color="auto"/>
            </w:tcBorders>
          </w:tcPr>
          <w:p>
            <w:pPr>
              <w:spacing w:after="0"/>
              <w:rPr>
                <w:sz w:val="19"/>
                <w:szCs w:val="19"/>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B</w:t>
            </w:r>
          </w:p>
        </w:tc>
        <w:tc>
          <w:tcPr>
            <w:tcW w:w="0" w:type="dxa"/>
            <w:vAlign w:val="bottom"/>
          </w:tcPr>
          <w:p>
            <w:pPr>
              <w:spacing w:after="0"/>
              <w:rPr>
                <w:sz w:val="1"/>
                <w:szCs w:val="1"/>
                <w:color w:val="auto"/>
              </w:rPr>
            </w:pPr>
          </w:p>
        </w:tc>
      </w:tr>
      <w:tr>
        <w:trPr>
          <w:trHeight w:val="92"/>
        </w:trPr>
        <w:tc>
          <w:tcPr>
            <w:tcW w:w="1200" w:type="dxa"/>
            <w:vAlign w:val="bottom"/>
            <w:tcBorders>
              <w:left w:val="single" w:sz="8" w:color="auto"/>
            </w:tcBorders>
            <w:vMerge w:val="restart"/>
          </w:tcPr>
          <w:p>
            <w:pPr>
              <w:jc w:val="center"/>
              <w:ind w:left="219"/>
              <w:spacing w:after="0"/>
              <w:rPr>
                <w:sz w:val="20"/>
                <w:szCs w:val="20"/>
                <w:color w:val="auto"/>
              </w:rPr>
            </w:pPr>
            <w:r>
              <w:rPr>
                <w:rFonts w:ascii="Arial" w:cs="Arial" w:eastAsia="Arial" w:hAnsi="Arial"/>
                <w:sz w:val="16"/>
                <w:szCs w:val="16"/>
                <w:color w:val="auto"/>
                <w:w w:val="91"/>
              </w:rPr>
              <w:t>B1</w:t>
            </w:r>
          </w:p>
        </w:tc>
        <w:tc>
          <w:tcPr>
            <w:tcW w:w="320" w:type="dxa"/>
            <w:vAlign w:val="bottom"/>
            <w:tcBorders>
              <w:right w:val="single" w:sz="8" w:color="auto"/>
            </w:tcBorders>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1480" w:type="dxa"/>
            <w:vAlign w:val="bottom"/>
            <w:vMerge w:val="restart"/>
          </w:tcPr>
          <w:p>
            <w:pPr>
              <w:jc w:val="center"/>
              <w:ind w:left="199"/>
              <w:spacing w:after="0"/>
              <w:rPr>
                <w:sz w:val="20"/>
                <w:szCs w:val="20"/>
                <w:color w:val="auto"/>
              </w:rPr>
            </w:pPr>
            <w:r>
              <w:rPr>
                <w:rFonts w:ascii="Arial" w:cs="Arial" w:eastAsia="Arial" w:hAnsi="Arial"/>
                <w:sz w:val="16"/>
                <w:szCs w:val="16"/>
                <w:color w:val="auto"/>
                <w:w w:val="99"/>
              </w:rPr>
              <w:t>B+</w:t>
            </w:r>
          </w:p>
        </w:tc>
        <w:tc>
          <w:tcPr>
            <w:tcW w:w="32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vMerge w:val="continue"/>
          </w:tcPr>
          <w:p>
            <w:pPr>
              <w:spacing w:after="0"/>
              <w:rPr>
                <w:sz w:val="8"/>
                <w:szCs w:val="8"/>
                <w:color w:val="auto"/>
              </w:rPr>
            </w:pPr>
          </w:p>
        </w:tc>
        <w:tc>
          <w:tcPr>
            <w:tcW w:w="1560" w:type="dxa"/>
            <w:vAlign w:val="bottom"/>
            <w:vMerge w:val="restart"/>
          </w:tcPr>
          <w:p>
            <w:pPr>
              <w:jc w:val="center"/>
              <w:ind w:left="359"/>
              <w:spacing w:after="0"/>
              <w:rPr>
                <w:sz w:val="20"/>
                <w:szCs w:val="20"/>
                <w:color w:val="auto"/>
              </w:rPr>
            </w:pPr>
            <w:r>
              <w:rPr>
                <w:rFonts w:ascii="Arial" w:cs="Arial" w:eastAsia="Arial" w:hAnsi="Arial"/>
                <w:sz w:val="16"/>
                <w:szCs w:val="16"/>
                <w:color w:val="auto"/>
                <w:w w:val="99"/>
              </w:rPr>
              <w:t>B+</w:t>
            </w:r>
          </w:p>
        </w:tc>
        <w:tc>
          <w:tcPr>
            <w:tcW w:w="46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200" w:type="dxa"/>
            <w:vAlign w:val="bottom"/>
            <w:tcBorders>
              <w:left w:val="single" w:sz="8" w:color="auto"/>
              <w:bottom w:val="single" w:sz="8" w:color="auto"/>
            </w:tcBorders>
            <w:vMerge w:val="continue"/>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1480" w:type="dxa"/>
            <w:vAlign w:val="bottom"/>
            <w:tcBorders>
              <w:bottom w:val="single" w:sz="8" w:color="auto"/>
            </w:tcBorders>
            <w:vMerge w:val="continue"/>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1900" w:type="dxa"/>
            <w:vAlign w:val="bottom"/>
            <w:tcBorders>
              <w:right w:val="single" w:sz="8" w:color="auto"/>
            </w:tcBorders>
          </w:tcPr>
          <w:p>
            <w:pPr>
              <w:spacing w:after="0"/>
              <w:rPr>
                <w:sz w:val="11"/>
                <w:szCs w:val="11"/>
                <w:color w:val="auto"/>
              </w:rPr>
            </w:pPr>
          </w:p>
        </w:tc>
        <w:tc>
          <w:tcPr>
            <w:tcW w:w="1560" w:type="dxa"/>
            <w:vAlign w:val="bottom"/>
            <w:tcBorders>
              <w:bottom w:val="single" w:sz="8" w:color="auto"/>
            </w:tcBorders>
            <w:vMerge w:val="continue"/>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18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1200" w:type="dxa"/>
            <w:vAlign w:val="bottom"/>
            <w:tcBorders>
              <w:left w:val="single" w:sz="8" w:color="auto"/>
              <w:bottom w:val="single" w:sz="8" w:color="auto"/>
            </w:tcBorders>
          </w:tcPr>
          <w:p>
            <w:pPr>
              <w:jc w:val="center"/>
              <w:ind w:left="219"/>
              <w:spacing w:after="0"/>
              <w:rPr>
                <w:sz w:val="20"/>
                <w:szCs w:val="20"/>
                <w:color w:val="auto"/>
              </w:rPr>
            </w:pPr>
            <w:r>
              <w:rPr>
                <w:rFonts w:ascii="Arial" w:cs="Arial" w:eastAsia="Arial" w:hAnsi="Arial"/>
                <w:sz w:val="16"/>
                <w:szCs w:val="16"/>
                <w:color w:val="auto"/>
                <w:w w:val="91"/>
              </w:rPr>
              <w:t>B2</w:t>
            </w:r>
          </w:p>
        </w:tc>
        <w:tc>
          <w:tcPr>
            <w:tcW w:w="320" w:type="dxa"/>
            <w:vAlign w:val="bottom"/>
            <w:tcBorders>
              <w:bottom w:val="single" w:sz="8" w:color="auto"/>
              <w:right w:val="single" w:sz="8" w:color="auto"/>
            </w:tcBorders>
          </w:tcPr>
          <w:p>
            <w:pPr>
              <w:spacing w:after="0"/>
              <w:rPr>
                <w:sz w:val="19"/>
                <w:szCs w:val="1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5"/>
              </w:rPr>
              <w:t>Not Prime</w:t>
            </w:r>
          </w:p>
        </w:tc>
        <w:tc>
          <w:tcPr>
            <w:tcW w:w="148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rPr>
              <w:t>B</w:t>
            </w:r>
          </w:p>
        </w:tc>
        <w:tc>
          <w:tcPr>
            <w:tcW w:w="320" w:type="dxa"/>
            <w:vAlign w:val="bottom"/>
            <w:tcBorders>
              <w:bottom w:val="single" w:sz="8" w:color="auto"/>
              <w:right w:val="single" w:sz="8" w:color="auto"/>
            </w:tcBorders>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1560" w:type="dxa"/>
            <w:vAlign w:val="bottom"/>
            <w:tcBorders>
              <w:bottom w:val="single" w:sz="8" w:color="auto"/>
            </w:tcBorders>
          </w:tcPr>
          <w:p>
            <w:pPr>
              <w:jc w:val="center"/>
              <w:ind w:left="359"/>
              <w:spacing w:after="0"/>
              <w:rPr>
                <w:sz w:val="20"/>
                <w:szCs w:val="20"/>
                <w:color w:val="auto"/>
              </w:rPr>
            </w:pPr>
            <w:r>
              <w:rPr>
                <w:rFonts w:ascii="Arial" w:cs="Arial" w:eastAsia="Arial" w:hAnsi="Arial"/>
                <w:sz w:val="16"/>
                <w:szCs w:val="16"/>
                <w:color w:val="auto"/>
              </w:rPr>
              <w:t>B</w:t>
            </w:r>
          </w:p>
        </w:tc>
        <w:tc>
          <w:tcPr>
            <w:tcW w:w="460" w:type="dxa"/>
            <w:vAlign w:val="bottom"/>
            <w:tcBorders>
              <w:bottom w:val="single" w:sz="8" w:color="auto"/>
              <w:right w:val="single" w:sz="8" w:color="auto"/>
            </w:tcBorders>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1200" w:type="dxa"/>
            <w:vAlign w:val="bottom"/>
            <w:tcBorders>
              <w:left w:val="single" w:sz="8" w:color="auto"/>
            </w:tcBorders>
            <w:vMerge w:val="restart"/>
          </w:tcPr>
          <w:p>
            <w:pPr>
              <w:jc w:val="center"/>
              <w:ind w:left="219"/>
              <w:spacing w:after="0"/>
              <w:rPr>
                <w:sz w:val="20"/>
                <w:szCs w:val="20"/>
                <w:color w:val="auto"/>
              </w:rPr>
            </w:pPr>
            <w:r>
              <w:rPr>
                <w:rFonts w:ascii="Arial" w:cs="Arial" w:eastAsia="Arial" w:hAnsi="Arial"/>
                <w:sz w:val="16"/>
                <w:szCs w:val="16"/>
                <w:color w:val="auto"/>
                <w:w w:val="91"/>
              </w:rPr>
              <w:t>B3</w:t>
            </w:r>
          </w:p>
        </w:tc>
        <w:tc>
          <w:tcPr>
            <w:tcW w:w="320" w:type="dxa"/>
            <w:vAlign w:val="bottom"/>
            <w:tcBorders>
              <w:right w:val="single" w:sz="8" w:color="auto"/>
            </w:tcBorders>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480" w:type="dxa"/>
            <w:vAlign w:val="bottom"/>
            <w:vMerge w:val="restart"/>
          </w:tcPr>
          <w:p>
            <w:pPr>
              <w:jc w:val="center"/>
              <w:ind w:left="199"/>
              <w:spacing w:after="0"/>
              <w:rPr>
                <w:sz w:val="20"/>
                <w:szCs w:val="20"/>
                <w:color w:val="auto"/>
              </w:rPr>
            </w:pPr>
            <w:r>
              <w:rPr>
                <w:rFonts w:ascii="Arial" w:cs="Arial" w:eastAsia="Arial" w:hAnsi="Arial"/>
                <w:sz w:val="16"/>
                <w:szCs w:val="16"/>
                <w:color w:val="auto"/>
                <w:w w:val="99"/>
              </w:rPr>
              <w:t>B-</w:t>
            </w:r>
          </w:p>
        </w:tc>
        <w:tc>
          <w:tcPr>
            <w:tcW w:w="32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tcPr>
          <w:p>
            <w:pPr>
              <w:spacing w:after="0"/>
              <w:rPr>
                <w:sz w:val="8"/>
                <w:szCs w:val="8"/>
                <w:color w:val="auto"/>
              </w:rPr>
            </w:pPr>
          </w:p>
        </w:tc>
        <w:tc>
          <w:tcPr>
            <w:tcW w:w="1560" w:type="dxa"/>
            <w:vAlign w:val="bottom"/>
            <w:vMerge w:val="restart"/>
          </w:tcPr>
          <w:p>
            <w:pPr>
              <w:jc w:val="center"/>
              <w:ind w:left="359"/>
              <w:spacing w:after="0"/>
              <w:rPr>
                <w:sz w:val="20"/>
                <w:szCs w:val="20"/>
                <w:color w:val="auto"/>
              </w:rPr>
            </w:pPr>
            <w:r>
              <w:rPr>
                <w:rFonts w:ascii="Arial" w:cs="Arial" w:eastAsia="Arial" w:hAnsi="Arial"/>
                <w:sz w:val="16"/>
                <w:szCs w:val="16"/>
                <w:color w:val="auto"/>
                <w:w w:val="99"/>
              </w:rPr>
              <w:t>B-</w:t>
            </w:r>
          </w:p>
        </w:tc>
        <w:tc>
          <w:tcPr>
            <w:tcW w:w="46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200" w:type="dxa"/>
            <w:vAlign w:val="bottom"/>
            <w:tcBorders>
              <w:left w:val="single" w:sz="8" w:color="auto"/>
              <w:bottom w:val="single" w:sz="8" w:color="auto"/>
            </w:tcBorders>
            <w:vMerge w:val="continue"/>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1480" w:type="dxa"/>
            <w:vAlign w:val="bottom"/>
            <w:tcBorders>
              <w:bottom w:val="single" w:sz="8" w:color="auto"/>
            </w:tcBorders>
            <w:vMerge w:val="continue"/>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1560" w:type="dxa"/>
            <w:vAlign w:val="bottom"/>
            <w:tcBorders>
              <w:bottom w:val="single" w:sz="8" w:color="auto"/>
            </w:tcBorders>
            <w:vMerge w:val="continue"/>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1200" w:type="dxa"/>
            <w:vAlign w:val="bottom"/>
            <w:tcBorders>
              <w:left w:val="single" w:sz="8" w:color="auto"/>
              <w:bottom w:val="single" w:sz="8" w:color="auto"/>
            </w:tcBorders>
          </w:tcPr>
          <w:p>
            <w:pPr>
              <w:jc w:val="center"/>
              <w:ind w:left="219"/>
              <w:spacing w:after="0"/>
              <w:rPr>
                <w:sz w:val="20"/>
                <w:szCs w:val="20"/>
                <w:color w:val="auto"/>
              </w:rPr>
            </w:pPr>
            <w:r>
              <w:rPr>
                <w:rFonts w:ascii="Arial" w:cs="Arial" w:eastAsia="Arial" w:hAnsi="Arial"/>
                <w:sz w:val="16"/>
                <w:szCs w:val="16"/>
                <w:color w:val="auto"/>
                <w:w w:val="88"/>
              </w:rPr>
              <w:t>Caa</w:t>
            </w:r>
          </w:p>
        </w:tc>
        <w:tc>
          <w:tcPr>
            <w:tcW w:w="320" w:type="dxa"/>
            <w:vAlign w:val="bottom"/>
            <w:tcBorders>
              <w:bottom w:val="single" w:sz="8" w:color="auto"/>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48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w w:val="92"/>
              </w:rPr>
              <w:t>CCC</w:t>
            </w:r>
          </w:p>
        </w:tc>
        <w:tc>
          <w:tcPr>
            <w:tcW w:w="320" w:type="dxa"/>
            <w:vAlign w:val="bottom"/>
            <w:tcBorders>
              <w:bottom w:val="single" w:sz="8" w:color="auto"/>
              <w:right w:val="single" w:sz="8" w:color="auto"/>
            </w:tcBorders>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156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200" w:type="dxa"/>
            <w:vAlign w:val="bottom"/>
            <w:tcBorders>
              <w:left w:val="single" w:sz="8" w:color="auto"/>
              <w:bottom w:val="single" w:sz="8" w:color="auto"/>
            </w:tcBorders>
          </w:tcPr>
          <w:p>
            <w:pPr>
              <w:jc w:val="center"/>
              <w:ind w:left="219"/>
              <w:spacing w:after="0"/>
              <w:rPr>
                <w:sz w:val="20"/>
                <w:szCs w:val="20"/>
                <w:color w:val="auto"/>
              </w:rPr>
            </w:pPr>
            <w:r>
              <w:rPr>
                <w:rFonts w:ascii="Arial" w:cs="Arial" w:eastAsia="Arial" w:hAnsi="Arial"/>
                <w:sz w:val="16"/>
                <w:szCs w:val="16"/>
                <w:color w:val="auto"/>
                <w:w w:val="87"/>
              </w:rPr>
              <w:t>Ca</w:t>
            </w:r>
          </w:p>
        </w:tc>
        <w:tc>
          <w:tcPr>
            <w:tcW w:w="320" w:type="dxa"/>
            <w:vAlign w:val="bottom"/>
            <w:tcBorders>
              <w:bottom w:val="single" w:sz="8" w:color="auto"/>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48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color w:val="auto"/>
                <w:w w:val="95"/>
              </w:rPr>
              <w:t>CC</w:t>
            </w:r>
          </w:p>
        </w:tc>
        <w:tc>
          <w:tcPr>
            <w:tcW w:w="320" w:type="dxa"/>
            <w:vAlign w:val="bottom"/>
            <w:tcBorders>
              <w:bottom w:val="single" w:sz="8" w:color="auto"/>
              <w:right w:val="single" w:sz="8" w:color="auto"/>
            </w:tcBorders>
          </w:tcPr>
          <w:p>
            <w:pPr>
              <w:spacing w:after="0"/>
              <w:rPr>
                <w:sz w:val="19"/>
                <w:szCs w:val="19"/>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w:t>
            </w:r>
          </w:p>
        </w:tc>
        <w:tc>
          <w:tcPr>
            <w:tcW w:w="1560" w:type="dxa"/>
            <w:vAlign w:val="bottom"/>
          </w:tcPr>
          <w:p>
            <w:pPr>
              <w:jc w:val="center"/>
              <w:ind w:left="359"/>
              <w:spacing w:after="0"/>
              <w:rPr>
                <w:sz w:val="20"/>
                <w:szCs w:val="20"/>
                <w:color w:val="auto"/>
              </w:rPr>
            </w:pPr>
            <w:r>
              <w:rPr>
                <w:rFonts w:ascii="Arial" w:cs="Arial" w:eastAsia="Arial" w:hAnsi="Arial"/>
                <w:sz w:val="16"/>
                <w:szCs w:val="16"/>
                <w:color w:val="auto"/>
                <w:w w:val="92"/>
              </w:rPr>
              <w:t>CCC</w:t>
            </w:r>
          </w:p>
        </w:tc>
        <w:tc>
          <w:tcPr>
            <w:tcW w:w="46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6"/>
              </w:rPr>
              <w:t>C</w:t>
            </w:r>
          </w:p>
        </w:tc>
        <w:tc>
          <w:tcPr>
            <w:tcW w:w="0" w:type="dxa"/>
            <w:vAlign w:val="bottom"/>
          </w:tcPr>
          <w:p>
            <w:pPr>
              <w:spacing w:after="0"/>
              <w:rPr>
                <w:sz w:val="1"/>
                <w:szCs w:val="1"/>
                <w:color w:val="auto"/>
              </w:rPr>
            </w:pPr>
          </w:p>
        </w:tc>
      </w:tr>
      <w:tr>
        <w:trPr>
          <w:trHeight w:val="222"/>
        </w:trPr>
        <w:tc>
          <w:tcPr>
            <w:tcW w:w="1200" w:type="dxa"/>
            <w:vAlign w:val="bottom"/>
            <w:tcBorders>
              <w:left w:val="single" w:sz="8" w:color="auto"/>
              <w:bottom w:val="single" w:sz="8" w:color="auto"/>
            </w:tcBorders>
          </w:tcPr>
          <w:p>
            <w:pPr>
              <w:jc w:val="center"/>
              <w:ind w:left="219"/>
              <w:spacing w:after="0"/>
              <w:rPr>
                <w:sz w:val="20"/>
                <w:szCs w:val="20"/>
                <w:color w:val="auto"/>
              </w:rPr>
            </w:pPr>
            <w:r>
              <w:rPr>
                <w:rFonts w:ascii="Arial" w:cs="Arial" w:eastAsia="Arial" w:hAnsi="Arial"/>
                <w:sz w:val="16"/>
                <w:szCs w:val="16"/>
                <w:color w:val="auto"/>
                <w:w w:val="86"/>
              </w:rPr>
              <w:t>C</w:t>
            </w:r>
          </w:p>
        </w:tc>
        <w:tc>
          <w:tcPr>
            <w:tcW w:w="320" w:type="dxa"/>
            <w:vAlign w:val="bottom"/>
            <w:tcBorders>
              <w:bottom w:val="single" w:sz="8" w:color="auto"/>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48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rPr>
              <w:t>C</w:t>
            </w:r>
          </w:p>
        </w:tc>
        <w:tc>
          <w:tcPr>
            <w:tcW w:w="320" w:type="dxa"/>
            <w:vAlign w:val="bottom"/>
            <w:tcBorders>
              <w:bottom w:val="single" w:sz="8" w:color="auto"/>
              <w:right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200" w:type="dxa"/>
            <w:vAlign w:val="bottom"/>
            <w:tcBorders>
              <w:left w:val="single" w:sz="8" w:color="auto"/>
              <w:bottom w:val="single" w:sz="8" w:color="auto"/>
            </w:tcBorders>
          </w:tcPr>
          <w:p>
            <w:pPr>
              <w:jc w:val="center"/>
              <w:ind w:left="239"/>
              <w:spacing w:after="0"/>
              <w:rPr>
                <w:sz w:val="20"/>
                <w:szCs w:val="20"/>
                <w:color w:val="auto"/>
              </w:rPr>
            </w:pPr>
            <w:r>
              <w:rPr>
                <w:rFonts w:ascii="Arial" w:cs="Arial" w:eastAsia="Arial" w:hAnsi="Arial"/>
                <w:sz w:val="16"/>
                <w:szCs w:val="16"/>
                <w:color w:val="auto"/>
              </w:rPr>
              <w:t>N/A</w:t>
            </w:r>
          </w:p>
        </w:tc>
        <w:tc>
          <w:tcPr>
            <w:tcW w:w="32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rPr>
              <w:t>D</w:t>
            </w:r>
          </w:p>
        </w:tc>
        <w:tc>
          <w:tcPr>
            <w:tcW w:w="320" w:type="dxa"/>
            <w:vAlign w:val="bottom"/>
            <w:tcBorders>
              <w:bottom w:val="single" w:sz="8" w:color="auto"/>
              <w:right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560" w:type="dxa"/>
            <w:vAlign w:val="bottom"/>
            <w:tcBorders>
              <w:bottom w:val="single" w:sz="8" w:color="auto"/>
            </w:tcBorders>
          </w:tcPr>
          <w:p>
            <w:pPr>
              <w:jc w:val="center"/>
              <w:ind w:left="359"/>
              <w:spacing w:after="0"/>
              <w:rPr>
                <w:sz w:val="20"/>
                <w:szCs w:val="20"/>
                <w:color w:val="auto"/>
              </w:rPr>
            </w:pPr>
            <w:r>
              <w:rPr>
                <w:rFonts w:ascii="Arial" w:cs="Arial" w:eastAsia="Arial" w:hAnsi="Arial"/>
                <w:sz w:val="16"/>
                <w:szCs w:val="16"/>
                <w:color w:val="auto"/>
              </w:rPr>
              <w:t>D</w:t>
            </w:r>
          </w:p>
        </w:tc>
        <w:tc>
          <w:tcPr>
            <w:tcW w:w="46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157</w:t>
      </w:r>
    </w:p>
    <w:p>
      <w:pPr>
        <w:sectPr>
          <w:pgSz w:w="11900" w:h="16838" w:orient="portrait"/>
          <w:cols w:equalWidth="0" w:num="1">
            <w:col w:w="10640"/>
          </w:cols>
          <w:pgMar w:left="640" w:top="494" w:right="619" w:bottom="1440" w:gutter="0" w:footer="0" w:header="0"/>
        </w:sectPr>
      </w:pPr>
    </w:p>
    <w:bookmarkStart w:id="218" w:name="page219"/>
    <w:bookmarkEnd w:id="218"/>
    <w:p>
      <w:pPr>
        <w:spacing w:after="0"/>
        <w:rPr>
          <w:sz w:val="20"/>
          <w:szCs w:val="20"/>
          <w:color w:val="auto"/>
        </w:rPr>
      </w:pPr>
      <w:r>
        <w:rPr>
          <w:rFonts w:ascii="Arial" w:cs="Arial" w:eastAsia="Arial" w:hAnsi="Arial"/>
          <w:sz w:val="12"/>
          <w:szCs w:val="12"/>
          <w:color w:val="FFFFFF"/>
        </w:rPr>
        <w:t>HOU:3756061.4</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u w:val="single" w:color="auto"/>
          <w:color w:val="auto"/>
        </w:rPr>
        <w:t>Exhibit F</w:t>
      </w:r>
    </w:p>
    <w:p>
      <w:pPr>
        <w:spacing w:after="0" w:line="166"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u w:val="single" w:color="auto"/>
          <w:color w:val="auto"/>
        </w:rPr>
        <w:t>FORMS OF SUBSIDIARY GUARANTIES</w:t>
      </w:r>
    </w:p>
    <w:p>
      <w:pPr>
        <w:spacing w:after="0" w:line="196"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(See attached)</w:t>
      </w:r>
    </w:p>
    <w:p>
      <w:pPr>
        <w:spacing w:after="0" w:line="372"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158</w:t>
      </w:r>
    </w:p>
    <w:p>
      <w:pPr>
        <w:sectPr>
          <w:pgSz w:w="11900" w:h="16838" w:orient="portrait"/>
          <w:cols w:equalWidth="0" w:num="1">
            <w:col w:w="10239"/>
          </w:cols>
          <w:pgMar w:left="220" w:top="499" w:right="1440" w:bottom="1440" w:gutter="0" w:footer="0" w:header="0"/>
        </w:sectPr>
      </w:pPr>
    </w:p>
    <w:bookmarkStart w:id="219" w:name="page220"/>
    <w:bookmarkEnd w:id="219"/>
    <w:p>
      <w:pPr>
        <w:jc w:val="center"/>
        <w:spacing w:after="0"/>
        <w:rPr>
          <w:sz w:val="20"/>
          <w:szCs w:val="20"/>
          <w:color w:val="auto"/>
        </w:rPr>
      </w:pPr>
      <w:r>
        <w:rPr>
          <w:rFonts w:ascii="Arial" w:cs="Arial" w:eastAsia="Arial" w:hAnsi="Arial"/>
          <w:sz w:val="18"/>
          <w:szCs w:val="18"/>
          <w:b w:val="1"/>
          <w:bCs w:val="1"/>
          <w:u w:val="single" w:color="auto"/>
          <w:color w:val="auto"/>
        </w:rPr>
        <w:t>Exhibit F-1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SUBSIDIARY GUARANTY</w:t>
      </w:r>
    </w:p>
    <w:p>
      <w:pPr>
        <w:spacing w:after="0" w:line="179" w:lineRule="exact"/>
        <w:rPr>
          <w:sz w:val="20"/>
          <w:szCs w:val="20"/>
          <w:color w:val="auto"/>
        </w:rPr>
      </w:pPr>
    </w:p>
    <w:p>
      <w:pPr>
        <w:jc w:val="both"/>
        <w:ind w:firstLine="529"/>
        <w:spacing w:after="0" w:line="251" w:lineRule="auto"/>
        <w:rPr>
          <w:sz w:val="20"/>
          <w:szCs w:val="20"/>
          <w:color w:val="auto"/>
        </w:rPr>
      </w:pPr>
      <w:r>
        <w:rPr>
          <w:rFonts w:ascii="Arial" w:cs="Arial" w:eastAsia="Arial" w:hAnsi="Arial"/>
          <w:sz w:val="18"/>
          <w:szCs w:val="18"/>
          <w:b w:val="1"/>
          <w:bCs w:val="1"/>
          <w:color w:val="auto"/>
        </w:rPr>
        <w:t xml:space="preserve">THIS SUBSIDIARY GUARANTY </w:t>
      </w:r>
      <w:r>
        <w:rPr>
          <w:rFonts w:ascii="Arial" w:cs="Arial" w:eastAsia="Arial" w:hAnsi="Arial"/>
          <w:sz w:val="18"/>
          <w:szCs w:val="18"/>
          <w:color w:val="auto"/>
        </w:rPr>
        <w:t>(this “</w:t>
      </w:r>
      <w:r>
        <w:rPr>
          <w:rFonts w:ascii="Arial" w:cs="Arial" w:eastAsia="Arial" w:hAnsi="Arial"/>
          <w:sz w:val="18"/>
          <w:szCs w:val="18"/>
          <w:u w:val="single" w:color="auto"/>
          <w:color w:val="auto"/>
        </w:rPr>
        <w:t>Guaranty</w:t>
      </w:r>
      <w:r>
        <w:rPr>
          <w:rFonts w:ascii="Arial" w:cs="Arial" w:eastAsia="Arial" w:hAnsi="Arial"/>
          <w:sz w:val="18"/>
          <w:szCs w:val="18"/>
          <w:color w:val="auto"/>
        </w:rPr>
        <w:t>”) is made as of February 8, 2017, by each of the undersigned Subsidiaries of the Parent along with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any additional Subsidiaries of the Parent that become parties to this Guaranty by executing an addendum hereto in the form attached hereto as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(each a “</w:t>
      </w:r>
      <w:r>
        <w:rPr>
          <w:rFonts w:ascii="Arial" w:cs="Arial" w:eastAsia="Arial" w:hAnsi="Arial"/>
          <w:sz w:val="18"/>
          <w:szCs w:val="18"/>
          <w:u w:val="single" w:color="auto"/>
          <w:color w:val="auto"/>
        </w:rPr>
        <w:t>Subsidiary Guarantor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Subsidiary Guarantors</w:t>
      </w:r>
      <w:r>
        <w:rPr>
          <w:rFonts w:ascii="Arial" w:cs="Arial" w:eastAsia="Arial" w:hAnsi="Arial"/>
          <w:sz w:val="18"/>
          <w:szCs w:val="18"/>
          <w:color w:val="auto"/>
        </w:rPr>
        <w:t>”), in favor of the Agent, for the benefit of the Secured Parties (as such terms are defined herein).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85" w:lineRule="exact"/>
        <w:rPr>
          <w:sz w:val="20"/>
          <w:szCs w:val="20"/>
          <w:color w:val="auto"/>
        </w:rPr>
      </w:pPr>
    </w:p>
    <w:p>
      <w:pPr>
        <w:ind w:left="860" w:hanging="323"/>
        <w:spacing w:after="0"/>
        <w:tabs>
          <w:tab w:leader="none" w:pos="8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Subsidiary Guarantors are direct and/or indirect subsidiaries of Matrix Service Company, a Delaware corporation (the “</w:t>
      </w:r>
      <w:r>
        <w:rPr>
          <w:rFonts w:ascii="Arial" w:cs="Arial" w:eastAsia="Arial" w:hAnsi="Arial"/>
          <w:sz w:val="18"/>
          <w:szCs w:val="18"/>
          <w:u w:val="single" w:color="auto"/>
          <w:color w:val="auto"/>
        </w:rPr>
        <w:t>Parent</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jc w:val="both"/>
        <w:ind w:firstLine="537"/>
        <w:spacing w:after="0" w:line="334" w:lineRule="auto"/>
        <w:tabs>
          <w:tab w:leader="none" w:pos="893" w:val="left"/>
        </w:tabs>
        <w:numPr>
          <w:ilvl w:val="0"/>
          <w:numId w:val="169"/>
        </w:numPr>
        <w:rPr>
          <w:rFonts w:ascii="Arial" w:cs="Arial" w:eastAsia="Arial" w:hAnsi="Arial"/>
          <w:sz w:val="15"/>
          <w:szCs w:val="15"/>
          <w:color w:val="auto"/>
        </w:rPr>
      </w:pPr>
      <w:r>
        <w:rPr>
          <w:rFonts w:ascii="Arial" w:cs="Arial" w:eastAsia="Arial" w:hAnsi="Arial"/>
          <w:sz w:val="15"/>
          <w:szCs w:val="15"/>
          <w:color w:val="auto"/>
        </w:rPr>
        <w:t>The Parent is a party to that certain Fourth Amended and Restated Credit Agreement dated as of the date hereof (as may be amended, restated or modified from time to time hereafter in accordance with its terms,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 by and among the Parent, the other Borrowers party thereto (together with the Parent, the “</w:t>
      </w:r>
      <w:r>
        <w:rPr>
          <w:rFonts w:ascii="Arial" w:cs="Arial" w:eastAsia="Arial" w:hAnsi="Arial"/>
          <w:sz w:val="15"/>
          <w:szCs w:val="15"/>
          <w:u w:val="single" w:color="auto"/>
          <w:color w:val="auto"/>
        </w:rPr>
        <w:t>Borrowers</w:t>
      </w:r>
      <w:r>
        <w:rPr>
          <w:rFonts w:ascii="Arial" w:cs="Arial" w:eastAsia="Arial" w:hAnsi="Arial"/>
          <w:sz w:val="15"/>
          <w:szCs w:val="15"/>
          <w:color w:val="auto"/>
        </w:rPr>
        <w:t>”), the Lenders signatory thereto (the “</w:t>
      </w:r>
      <w:r>
        <w:rPr>
          <w:rFonts w:ascii="Arial" w:cs="Arial" w:eastAsia="Arial" w:hAnsi="Arial"/>
          <w:sz w:val="15"/>
          <w:szCs w:val="15"/>
          <w:u w:val="single" w:color="auto"/>
          <w:color w:val="auto"/>
        </w:rPr>
        <w:t>Lenders</w:t>
      </w:r>
      <w:r>
        <w:rPr>
          <w:rFonts w:ascii="Arial" w:cs="Arial" w:eastAsia="Arial" w:hAnsi="Arial"/>
          <w:sz w:val="15"/>
          <w:szCs w:val="15"/>
          <w:color w:val="auto"/>
        </w:rPr>
        <w:t>”) and JPMorgan Chase Bank, N.A., as Administrative Agent (the “</w:t>
      </w:r>
      <w:r>
        <w:rPr>
          <w:rFonts w:ascii="Arial" w:cs="Arial" w:eastAsia="Arial" w:hAnsi="Arial"/>
          <w:sz w:val="15"/>
          <w:szCs w:val="15"/>
          <w:u w:val="single" w:color="auto"/>
          <w:color w:val="auto"/>
        </w:rPr>
        <w:t>Agent</w:t>
      </w:r>
      <w:r>
        <w:rPr>
          <w:rFonts w:ascii="Arial" w:cs="Arial" w:eastAsia="Arial" w:hAnsi="Arial"/>
          <w:sz w:val="15"/>
          <w:szCs w:val="15"/>
          <w:color w:val="auto"/>
        </w:rPr>
        <w:t>”).</w:t>
      </w:r>
    </w:p>
    <w:p>
      <w:pPr>
        <w:spacing w:after="0" w:line="95" w:lineRule="exact"/>
        <w:rPr>
          <w:rFonts w:ascii="Arial" w:cs="Arial" w:eastAsia="Arial" w:hAnsi="Arial"/>
          <w:sz w:val="15"/>
          <w:szCs w:val="15"/>
          <w:color w:val="auto"/>
        </w:rPr>
      </w:pPr>
    </w:p>
    <w:p>
      <w:pPr>
        <w:ind w:left="980" w:hanging="443"/>
        <w:spacing w:after="0"/>
        <w:tabs>
          <w:tab w:leader="none" w:pos="980" w:val="left"/>
        </w:tabs>
        <w:numPr>
          <w:ilvl w:val="0"/>
          <w:numId w:val="169"/>
        </w:numPr>
        <w:rPr>
          <w:rFonts w:ascii="Arial" w:cs="Arial" w:eastAsia="Arial" w:hAnsi="Arial"/>
          <w:sz w:val="15"/>
          <w:szCs w:val="15"/>
          <w:color w:val="auto"/>
        </w:rPr>
      </w:pPr>
      <w:r>
        <w:rPr>
          <w:rFonts w:ascii="Arial" w:cs="Arial" w:eastAsia="Arial" w:hAnsi="Arial"/>
          <w:sz w:val="15"/>
          <w:szCs w:val="15"/>
          <w:color w:val="auto"/>
        </w:rPr>
        <w:t>In accordance with the Credit Agreement, the Agent requires that the Subsidiary Guarantors execute a guaranty agreement guaranteeing the</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Obligations.</w:t>
      </w:r>
    </w:p>
    <w:p>
      <w:pPr>
        <w:spacing w:after="0" w:line="170" w:lineRule="exact"/>
        <w:rPr>
          <w:sz w:val="20"/>
          <w:szCs w:val="20"/>
          <w:color w:val="auto"/>
        </w:rPr>
      </w:pPr>
    </w:p>
    <w:p>
      <w:pPr>
        <w:jc w:val="both"/>
        <w:ind w:firstLine="529"/>
        <w:spacing w:after="0" w:line="255"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other good and valuable consideration, the receipt and sufficiency of which are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and in order to induce the Lenders to make the Loans and other extensions of credit pursuant to the Credit Agreement, the Subsidiary Guarantors hereby agree as follows:</w:t>
      </w:r>
    </w:p>
    <w:p>
      <w:pPr>
        <w:spacing w:after="0" w:line="151" w:lineRule="exact"/>
        <w:rPr>
          <w:sz w:val="20"/>
          <w:szCs w:val="20"/>
          <w:color w:val="auto"/>
        </w:rPr>
      </w:pPr>
    </w:p>
    <w:p>
      <w:pPr>
        <w:ind w:firstLine="537"/>
        <w:spacing w:after="0" w:line="274" w:lineRule="auto"/>
        <w:tabs>
          <w:tab w:leader="none" w:pos="830"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All definitions in the foregoing recitals are incorporated herein by reference. All capitalized terms used but not defined in this Guaranty have the meanings assigned to them in the Credit Agreement. In addition, the following terms have the following meanings:</w:t>
      </w:r>
    </w:p>
    <w:p>
      <w:pPr>
        <w:spacing w:after="0" w:line="13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below.</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Guarantors</w:t>
      </w:r>
      <w:r>
        <w:rPr>
          <w:rFonts w:ascii="Arial" w:cs="Arial" w:eastAsia="Arial" w:hAnsi="Arial"/>
          <w:sz w:val="18"/>
          <w:szCs w:val="18"/>
          <w:color w:val="auto"/>
        </w:rPr>
        <w:t>” means all Guarantors other than the Subsidiary Guarantors.</w:t>
      </w:r>
    </w:p>
    <w:p>
      <w:pPr>
        <w:spacing w:after="0" w:line="179" w:lineRule="exact"/>
        <w:rPr>
          <w:sz w:val="20"/>
          <w:szCs w:val="20"/>
          <w:color w:val="auto"/>
        </w:rPr>
      </w:pPr>
    </w:p>
    <w:p>
      <w:pPr>
        <w:jc w:val="both"/>
        <w:ind w:firstLine="529"/>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means, collectively, (a) each Lender and each Issuing Bank in respect of their Loans and LC Exposure, (b) the Agent, the Issuing Banks and the Lenders in respect of all other present and future obligations and liabilities of the Credit Parties of every type and description arising under or in connection with the Credit Agreement or any other Loan Document, (c) each Lender or Affiliate of a Lender party to a Lender Swap Agreement or Cash Management Agreement, (d) each indemnified party under Section 9.03 of the Credit Agreement in respect of the obligations and liabilities of the Credit Parties to such Person thereunder and under the other Loan Documents, and (e) the respective successors and (in the case of a Lender, permitted) transferees and assigns of the foregoing Persons.</w:t>
      </w:r>
    </w:p>
    <w:p>
      <w:pPr>
        <w:spacing w:after="0" w:line="160" w:lineRule="exact"/>
        <w:rPr>
          <w:sz w:val="20"/>
          <w:szCs w:val="20"/>
          <w:color w:val="auto"/>
        </w:rPr>
      </w:pPr>
    </w:p>
    <w:p>
      <w:pPr>
        <w:ind w:firstLine="537"/>
        <w:spacing w:after="0" w:line="274" w:lineRule="auto"/>
        <w:tabs>
          <w:tab w:leader="none" w:pos="808"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Subsidiary Guarantors represent and warrant (which representations and warranties shall be deemed to have been renewed upon each Borrowing under the Credit Agreement) that:</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159</w:t>
      </w:r>
    </w:p>
    <w:p>
      <w:pPr>
        <w:sectPr>
          <w:pgSz w:w="11900" w:h="16838" w:orient="portrait"/>
          <w:cols w:equalWidth="0" w:num="1">
            <w:col w:w="11460"/>
          </w:cols>
          <w:pgMar w:left="220" w:top="503" w:right="219" w:bottom="1440" w:gutter="0" w:footer="0" w:header="0"/>
        </w:sectPr>
      </w:pPr>
    </w:p>
    <w:bookmarkStart w:id="220" w:name="page221"/>
    <w:bookmarkEnd w:id="220"/>
    <w:p>
      <w:pPr>
        <w:ind w:left="540" w:firstLine="526"/>
        <w:spacing w:after="0" w:line="274" w:lineRule="auto"/>
        <w:tabs>
          <w:tab w:leader="none" w:pos="1494" w:val="left"/>
        </w:tabs>
        <w:numPr>
          <w:ilvl w:val="1"/>
          <w:numId w:val="172"/>
        </w:numPr>
        <w:rPr>
          <w:rFonts w:ascii="Arial" w:cs="Arial" w:eastAsia="Arial" w:hAnsi="Arial"/>
          <w:sz w:val="16"/>
          <w:szCs w:val="16"/>
          <w:color w:val="auto"/>
        </w:rPr>
      </w:pPr>
      <w:r>
        <w:rPr>
          <w:rFonts w:ascii="Arial" w:cs="Arial" w:eastAsia="Arial" w:hAnsi="Arial"/>
          <w:sz w:val="18"/>
          <w:szCs w:val="18"/>
          <w:color w:val="auto"/>
        </w:rPr>
        <w:t>They are duly and properly incorporated or organized, validly existing and in good standing under the laws of the jurisdiction of their organization and have all requisite authority to conduct their business in each jurisdiction in which their business is conducted.</w:t>
      </w:r>
    </w:p>
    <w:p>
      <w:pPr>
        <w:spacing w:after="0" w:line="133" w:lineRule="exact"/>
        <w:rPr>
          <w:rFonts w:ascii="Arial" w:cs="Arial" w:eastAsia="Arial" w:hAnsi="Arial"/>
          <w:sz w:val="16"/>
          <w:szCs w:val="16"/>
          <w:color w:val="auto"/>
        </w:rPr>
      </w:pPr>
    </w:p>
    <w:p>
      <w:pPr>
        <w:jc w:val="both"/>
        <w:ind w:left="540" w:firstLine="526"/>
        <w:spacing w:after="0" w:line="250" w:lineRule="auto"/>
        <w:tabs>
          <w:tab w:leader="none" w:pos="1481" w:val="left"/>
        </w:tabs>
        <w:numPr>
          <w:ilvl w:val="1"/>
          <w:numId w:val="172"/>
        </w:numPr>
        <w:rPr>
          <w:rFonts w:ascii="Arial" w:cs="Arial" w:eastAsia="Arial" w:hAnsi="Arial"/>
          <w:sz w:val="16"/>
          <w:szCs w:val="16"/>
          <w:color w:val="auto"/>
        </w:rPr>
      </w:pPr>
      <w:r>
        <w:rPr>
          <w:rFonts w:ascii="Arial" w:cs="Arial" w:eastAsia="Arial" w:hAnsi="Arial"/>
          <w:sz w:val="18"/>
          <w:szCs w:val="18"/>
          <w:color w:val="auto"/>
        </w:rPr>
        <w:t>They have the power and authority and legal right to execute and deliver this Guaranty and to perform their obligations hereunder. The execution and delivery by them of this Guaranty and the performance of its obligations hereunder have been duly authorized by proper corporate or similar proceedings, and this Guaranty constitutes a legal, valid and binding obligation of the Subsidiary Guarantors enforceable against them in accordance with its terms, except as enforceability may be limited by bankruptcy, insolvency or similar laws affecting the enforcement of creditors’ rights generally.</w:t>
      </w:r>
    </w:p>
    <w:p>
      <w:pPr>
        <w:spacing w:after="0" w:line="156" w:lineRule="exact"/>
        <w:rPr>
          <w:rFonts w:ascii="Arial" w:cs="Arial" w:eastAsia="Arial" w:hAnsi="Arial"/>
          <w:sz w:val="16"/>
          <w:szCs w:val="16"/>
          <w:color w:val="auto"/>
        </w:rPr>
      </w:pPr>
    </w:p>
    <w:p>
      <w:pPr>
        <w:jc w:val="both"/>
        <w:ind w:left="540" w:firstLine="526"/>
        <w:spacing w:after="0" w:line="262" w:lineRule="auto"/>
        <w:tabs>
          <w:tab w:leader="none" w:pos="1417" w:val="left"/>
        </w:tabs>
        <w:numPr>
          <w:ilvl w:val="1"/>
          <w:numId w:val="172"/>
        </w:numPr>
        <w:rPr>
          <w:rFonts w:ascii="Arial" w:cs="Arial" w:eastAsia="Arial" w:hAnsi="Arial"/>
          <w:sz w:val="15"/>
          <w:szCs w:val="15"/>
          <w:color w:val="auto"/>
        </w:rPr>
      </w:pPr>
      <w:r>
        <w:rPr>
          <w:rFonts w:ascii="Arial" w:cs="Arial" w:eastAsia="Arial" w:hAnsi="Arial"/>
          <w:sz w:val="17"/>
          <w:szCs w:val="17"/>
          <w:color w:val="auto"/>
        </w:rPr>
        <w:t>Neither the execution and delivery by them of this Guaranty, nor the consummation of the transactions herein contemplated, nor compliance with the provisions hereof will violate (i) any law, rule, regulation, order, writ, judgment, injunction, decree or award binding on them or any of their subsidiaries or (ii) their articles or certificate of incorporation or organization or by-laws or operating agreement, or (iii) the provisions of any indenture, instrument or agreement to which they or any of their subsidiaries is a party or is subject, or by which they, or their Property, is bound, or conflict with or constitute a default thereunder, or result in, or require, the creation or imposition of any Lien in, of or on the Property of the Subsidiary Guarantors or a subsidiary thereof pursuant to the terms of any such indenture, instrument or agreement. No order, consent, adjudication, approval, license, authorization, or validation of, or filing, recording or registration with, or exemption by, or other action in respect of any governmental or public body or authority, or any subdivision thereof, which has not been obtained by them or any of their subsidiaries, is required to be obtained by them or any of their subsidiaries in connection with the execution and delivery of this Guaranty or the performance by them of their obligations hereunder or the legality, validity, binding effect or enforceability of this Guaranty.</w:t>
      </w:r>
    </w:p>
    <w:p>
      <w:pPr>
        <w:spacing w:after="0" w:line="147" w:lineRule="exact"/>
        <w:rPr>
          <w:rFonts w:ascii="Arial" w:cs="Arial" w:eastAsia="Arial" w:hAnsi="Arial"/>
          <w:sz w:val="15"/>
          <w:szCs w:val="15"/>
          <w:color w:val="auto"/>
        </w:rPr>
      </w:pPr>
    </w:p>
    <w:p>
      <w:pPr>
        <w:ind w:firstLine="537"/>
        <w:spacing w:after="0" w:line="377" w:lineRule="auto"/>
        <w:tabs>
          <w:tab w:leader="none" w:pos="819" w:val="left"/>
        </w:tabs>
        <w:numPr>
          <w:ilvl w:val="0"/>
          <w:numId w:val="173"/>
        </w:numPr>
        <w:rPr>
          <w:rFonts w:ascii="Arial" w:cs="Arial" w:eastAsia="Arial" w:hAnsi="Arial"/>
          <w:sz w:val="15"/>
          <w:szCs w:val="15"/>
          <w:color w:val="auto"/>
        </w:rPr>
      </w:pPr>
      <w:r>
        <w:rPr>
          <w:rFonts w:ascii="Arial" w:cs="Arial" w:eastAsia="Arial" w:hAnsi="Arial"/>
          <w:sz w:val="15"/>
          <w:szCs w:val="15"/>
          <w:u w:val="single" w:color="auto"/>
          <w:color w:val="auto"/>
        </w:rPr>
        <w:t>Covenants</w:t>
      </w:r>
      <w:r>
        <w:rPr>
          <w:rFonts w:ascii="Arial" w:cs="Arial" w:eastAsia="Arial" w:hAnsi="Arial"/>
          <w:sz w:val="15"/>
          <w:szCs w:val="15"/>
          <w:color w:val="auto"/>
        </w:rPr>
        <w:t>. The Subsidiary Guarantors covenant that, until Payment in Full (as defined below), they will, and, if necessary, will enable the Parent and the other Borrowers to, fully comply with those covenants and agreements of the Parent and the other Borrowers set forth in the Credit Agreement.</w:t>
      </w:r>
    </w:p>
    <w:p>
      <w:pPr>
        <w:spacing w:after="0" w:line="64" w:lineRule="exact"/>
        <w:rPr>
          <w:rFonts w:ascii="Arial" w:cs="Arial" w:eastAsia="Arial" w:hAnsi="Arial"/>
          <w:sz w:val="15"/>
          <w:szCs w:val="15"/>
          <w:color w:val="auto"/>
        </w:rPr>
      </w:pPr>
    </w:p>
    <w:p>
      <w:pPr>
        <w:jc w:val="both"/>
        <w:ind w:firstLine="537"/>
        <w:spacing w:after="0" w:line="302" w:lineRule="auto"/>
        <w:tabs>
          <w:tab w:leader="none" w:pos="918" w:val="left"/>
        </w:tabs>
        <w:numPr>
          <w:ilvl w:val="0"/>
          <w:numId w:val="173"/>
        </w:numPr>
        <w:rPr>
          <w:rFonts w:ascii="Arial" w:cs="Arial" w:eastAsia="Arial" w:hAnsi="Arial"/>
          <w:sz w:val="15"/>
          <w:szCs w:val="15"/>
          <w:color w:val="auto"/>
        </w:rPr>
      </w:pPr>
      <w:r>
        <w:rPr>
          <w:rFonts w:ascii="Arial" w:cs="Arial" w:eastAsia="Arial" w:hAnsi="Arial"/>
          <w:sz w:val="15"/>
          <w:szCs w:val="15"/>
          <w:u w:val="single" w:color="auto"/>
          <w:color w:val="auto"/>
        </w:rPr>
        <w:t>The Guaranty</w:t>
      </w:r>
      <w:r>
        <w:rPr>
          <w:rFonts w:ascii="Arial" w:cs="Arial" w:eastAsia="Arial" w:hAnsi="Arial"/>
          <w:sz w:val="15"/>
          <w:szCs w:val="15"/>
          <w:color w:val="auto"/>
        </w:rPr>
        <w:t xml:space="preserve">. Subject to </w:t>
      </w:r>
      <w:r>
        <w:rPr>
          <w:rFonts w:ascii="Arial" w:cs="Arial" w:eastAsia="Arial" w:hAnsi="Arial"/>
          <w:sz w:val="15"/>
          <w:szCs w:val="15"/>
          <w:u w:val="single" w:color="auto"/>
          <w:color w:val="auto"/>
        </w:rPr>
        <w:t>Section 10</w:t>
      </w:r>
      <w:r>
        <w:rPr>
          <w:rFonts w:ascii="Arial" w:cs="Arial" w:eastAsia="Arial" w:hAnsi="Arial"/>
          <w:sz w:val="15"/>
          <w:szCs w:val="15"/>
          <w:color w:val="auto"/>
        </w:rPr>
        <w:t xml:space="preserve"> hereof, each Subsidiary Guarantor hereby jointly, severally, absolutely and unconditionally guarantees, as primary obligor and not as surety, the full and punctual payment (whether at stated maturity, upon acceleration or early termination or otherwise, and at all times thereafter) and performance of the Obligations, other than any Excluded Swap Obligation, but including without limitation any such Obligations, other than any Excluded Swap Obligation, incurred or accrued during the pendency of any bankruptcy, insolvency, receivership or other similar proceeding, whether or not allowed or allowable in such proceeding (collectively, subject to the provisions of </w:t>
      </w:r>
      <w:r>
        <w:rPr>
          <w:rFonts w:ascii="Arial" w:cs="Arial" w:eastAsia="Arial" w:hAnsi="Arial"/>
          <w:sz w:val="15"/>
          <w:szCs w:val="15"/>
          <w:u w:val="single" w:color="auto"/>
          <w:color w:val="auto"/>
        </w:rPr>
        <w:t>Section 10</w:t>
      </w:r>
      <w:r>
        <w:rPr>
          <w:rFonts w:ascii="Arial" w:cs="Arial" w:eastAsia="Arial" w:hAnsi="Arial"/>
          <w:sz w:val="15"/>
          <w:szCs w:val="15"/>
          <w:color w:val="auto"/>
        </w:rPr>
        <w:t xml:space="preserve"> hereof, being referred to collectively as the “</w:t>
      </w:r>
      <w:r>
        <w:rPr>
          <w:rFonts w:ascii="Arial" w:cs="Arial" w:eastAsia="Arial" w:hAnsi="Arial"/>
          <w:sz w:val="15"/>
          <w:szCs w:val="15"/>
          <w:u w:val="single" w:color="auto"/>
          <w:color w:val="auto"/>
        </w:rPr>
        <w:t>Guaranteed</w:t>
      </w:r>
      <w:r>
        <w:rPr>
          <w:rFonts w:ascii="Arial" w:cs="Arial" w:eastAsia="Arial" w:hAnsi="Arial"/>
          <w:sz w:val="15"/>
          <w:szCs w:val="15"/>
          <w:color w:val="auto"/>
        </w:rPr>
        <w:t xml:space="preserve"> </w:t>
      </w:r>
      <w:r>
        <w:rPr>
          <w:rFonts w:ascii="Arial" w:cs="Arial" w:eastAsia="Arial" w:hAnsi="Arial"/>
          <w:sz w:val="15"/>
          <w:szCs w:val="15"/>
          <w:u w:val="single" w:color="auto"/>
          <w:color w:val="auto"/>
        </w:rPr>
        <w:t>Obligations</w:t>
      </w:r>
      <w:r>
        <w:rPr>
          <w:rFonts w:ascii="Arial" w:cs="Arial" w:eastAsia="Arial" w:hAnsi="Arial"/>
          <w:sz w:val="15"/>
          <w:szCs w:val="15"/>
          <w:color w:val="auto"/>
        </w:rPr>
        <w:t>”). If any such amounts shall become due and payable under the Credit Agreement, any Note, any Cash Management Agreement, any Lender Swap Agreement and/or any Loan Document, the Subsidiary Guarantors agree, jointly and severally, that they shall forthwith on demand pay to the Agent for the benefit of the applicable Secured Party, the amount not so paid at the place and in the manner specified in the Credit Agreement, Note, Cash Management Agreement, Lender Swap Agreement or the relevant Loan Document, as the case may be. This Guaranty is a guaranty of payment and not of collection.</w:t>
      </w:r>
    </w:p>
    <w:p>
      <w:pPr>
        <w:spacing w:after="0" w:line="118" w:lineRule="exact"/>
        <w:rPr>
          <w:rFonts w:ascii="Arial" w:cs="Arial" w:eastAsia="Arial" w:hAnsi="Arial"/>
          <w:sz w:val="15"/>
          <w:szCs w:val="15"/>
          <w:color w:val="auto"/>
        </w:rPr>
      </w:pPr>
    </w:p>
    <w:p>
      <w:pPr>
        <w:ind w:firstLine="537"/>
        <w:spacing w:after="0" w:line="274" w:lineRule="auto"/>
        <w:tabs>
          <w:tab w:leader="none" w:pos="808"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Guaranty Unconditional</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hereof, the obligations of the Subsidiary Guarantors hereunder shall be unconditional and absolute and, without limiting the generality of the foregoing, shall not be released, discharged or otherwise affected by:</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160</w:t>
      </w:r>
    </w:p>
    <w:p>
      <w:pPr>
        <w:sectPr>
          <w:pgSz w:w="11900" w:h="16838" w:orient="portrait"/>
          <w:cols w:equalWidth="0" w:num="1">
            <w:col w:w="11460"/>
          </w:cols>
          <w:pgMar w:left="220" w:top="509" w:right="219" w:bottom="1440" w:gutter="0" w:footer="0" w:header="0"/>
        </w:sectPr>
      </w:pPr>
    </w:p>
    <w:bookmarkStart w:id="221" w:name="page222"/>
    <w:bookmarkEnd w:id="221"/>
    <w:p>
      <w:pPr>
        <w:jc w:val="both"/>
        <w:ind w:firstLine="526"/>
        <w:spacing w:after="0" w:line="258" w:lineRule="auto"/>
        <w:tabs>
          <w:tab w:leader="none" w:pos="910" w:val="left"/>
        </w:tabs>
        <w:numPr>
          <w:ilvl w:val="0"/>
          <w:numId w:val="174"/>
        </w:numPr>
        <w:rPr>
          <w:rFonts w:ascii="Arial" w:cs="Arial" w:eastAsia="Arial" w:hAnsi="Arial"/>
          <w:sz w:val="16"/>
          <w:szCs w:val="16"/>
          <w:color w:val="auto"/>
        </w:rPr>
      </w:pPr>
      <w:r>
        <w:rPr>
          <w:rFonts w:ascii="Arial" w:cs="Arial" w:eastAsia="Arial" w:hAnsi="Arial"/>
          <w:sz w:val="18"/>
          <w:szCs w:val="18"/>
          <w:color w:val="auto"/>
        </w:rPr>
        <w:t>any extension, renewal, settlement, compromise, waiver or release in respect of any of the Guaranteed Obligations, by operation of law or otherwise, or any obligation of any other guarantor of any of the Guaranteed Obligations, or any default, failure or delay, willful or otherwise, in the payment or performance of the Guaranteed Obligations;</w:t>
      </w:r>
    </w:p>
    <w:p>
      <w:pPr>
        <w:spacing w:after="0" w:line="148" w:lineRule="exact"/>
        <w:rPr>
          <w:rFonts w:ascii="Arial" w:cs="Arial" w:eastAsia="Arial" w:hAnsi="Arial"/>
          <w:sz w:val="16"/>
          <w:szCs w:val="16"/>
          <w:color w:val="auto"/>
        </w:rPr>
      </w:pPr>
    </w:p>
    <w:p>
      <w:pPr>
        <w:ind w:firstLine="526"/>
        <w:spacing w:after="0" w:line="274" w:lineRule="auto"/>
        <w:tabs>
          <w:tab w:leader="none" w:pos="897" w:val="left"/>
        </w:tabs>
        <w:numPr>
          <w:ilvl w:val="0"/>
          <w:numId w:val="174"/>
        </w:numPr>
        <w:rPr>
          <w:rFonts w:ascii="Arial" w:cs="Arial" w:eastAsia="Arial" w:hAnsi="Arial"/>
          <w:sz w:val="16"/>
          <w:szCs w:val="16"/>
          <w:color w:val="auto"/>
        </w:rPr>
      </w:pPr>
      <w:r>
        <w:rPr>
          <w:rFonts w:ascii="Arial" w:cs="Arial" w:eastAsia="Arial" w:hAnsi="Arial"/>
          <w:sz w:val="18"/>
          <w:szCs w:val="18"/>
          <w:color w:val="auto"/>
        </w:rPr>
        <w:t>any modification or amendment of or supplement to the Credit Agreement, any Note, any Cash Management Agreement, any Lender Swap Agreement or any other Loan Document;</w:t>
      </w:r>
    </w:p>
    <w:p>
      <w:pPr>
        <w:spacing w:after="0" w:line="133" w:lineRule="exact"/>
        <w:rPr>
          <w:rFonts w:ascii="Arial" w:cs="Arial" w:eastAsia="Arial" w:hAnsi="Arial"/>
          <w:sz w:val="16"/>
          <w:szCs w:val="16"/>
          <w:color w:val="auto"/>
        </w:rPr>
      </w:pPr>
    </w:p>
    <w:p>
      <w:pPr>
        <w:ind w:firstLine="526"/>
        <w:spacing w:after="0" w:line="304" w:lineRule="auto"/>
        <w:tabs>
          <w:tab w:leader="none" w:pos="877" w:val="left"/>
        </w:tabs>
        <w:numPr>
          <w:ilvl w:val="0"/>
          <w:numId w:val="174"/>
        </w:numPr>
        <w:rPr>
          <w:rFonts w:ascii="Arial" w:cs="Arial" w:eastAsia="Arial" w:hAnsi="Arial"/>
          <w:sz w:val="15"/>
          <w:szCs w:val="15"/>
          <w:color w:val="auto"/>
        </w:rPr>
      </w:pPr>
      <w:r>
        <w:rPr>
          <w:rFonts w:ascii="Arial" w:cs="Arial" w:eastAsia="Arial" w:hAnsi="Arial"/>
          <w:sz w:val="17"/>
          <w:szCs w:val="17"/>
          <w:color w:val="auto"/>
        </w:rPr>
        <w:t>any release, nonperfection or invalidity of any direct or indirect security for any Obligation, or any action or failure to act by the Agent, any Secured Party or any Affiliate of any Secured Party with respect to any collateral securing all or any part of the Guaranteed Obligations;</w:t>
      </w:r>
    </w:p>
    <w:p>
      <w:pPr>
        <w:spacing w:after="0" w:line="110" w:lineRule="exact"/>
        <w:rPr>
          <w:rFonts w:ascii="Arial" w:cs="Arial" w:eastAsia="Arial" w:hAnsi="Arial"/>
          <w:sz w:val="15"/>
          <w:szCs w:val="15"/>
          <w:color w:val="auto"/>
        </w:rPr>
      </w:pPr>
    </w:p>
    <w:p>
      <w:pPr>
        <w:jc w:val="both"/>
        <w:ind w:firstLine="526"/>
        <w:spacing w:after="0" w:line="253" w:lineRule="auto"/>
        <w:tabs>
          <w:tab w:leader="none" w:pos="974" w:val="left"/>
        </w:tabs>
        <w:numPr>
          <w:ilvl w:val="0"/>
          <w:numId w:val="174"/>
        </w:numPr>
        <w:rPr>
          <w:rFonts w:ascii="Arial" w:cs="Arial" w:eastAsia="Arial" w:hAnsi="Arial"/>
          <w:sz w:val="16"/>
          <w:szCs w:val="16"/>
          <w:color w:val="auto"/>
        </w:rPr>
      </w:pPr>
      <w:r>
        <w:rPr>
          <w:rFonts w:ascii="Arial" w:cs="Arial" w:eastAsia="Arial" w:hAnsi="Arial"/>
          <w:sz w:val="18"/>
          <w:szCs w:val="18"/>
          <w:color w:val="auto"/>
        </w:rPr>
        <w:t>any change in the corporate existence, structure or ownership of the Parent, any Borrower or any guarantor of any of the Guaranteed Obligations, or any insolvency, bankruptcy, reorganization or other similar proceeding affecting the Parent, any other Borrower or any other guarantor of the Guaranteed Obligations, or its assets or any resulting release or discharge of any obligation of the Parent, any Borrower or any guarantor of any of the Guaranteed Obligations;</w:t>
      </w:r>
    </w:p>
    <w:p>
      <w:pPr>
        <w:spacing w:after="0" w:line="152" w:lineRule="exact"/>
        <w:rPr>
          <w:rFonts w:ascii="Arial" w:cs="Arial" w:eastAsia="Arial" w:hAnsi="Arial"/>
          <w:sz w:val="16"/>
          <w:szCs w:val="16"/>
          <w:color w:val="auto"/>
        </w:rPr>
      </w:pPr>
    </w:p>
    <w:p>
      <w:pPr>
        <w:jc w:val="both"/>
        <w:ind w:right="20" w:firstLine="526"/>
        <w:spacing w:after="0" w:line="258" w:lineRule="auto"/>
        <w:tabs>
          <w:tab w:leader="none" w:pos="866" w:val="left"/>
        </w:tabs>
        <w:numPr>
          <w:ilvl w:val="0"/>
          <w:numId w:val="174"/>
        </w:numPr>
        <w:rPr>
          <w:rFonts w:ascii="Arial" w:cs="Arial" w:eastAsia="Arial" w:hAnsi="Arial"/>
          <w:sz w:val="16"/>
          <w:szCs w:val="16"/>
          <w:color w:val="auto"/>
        </w:rPr>
      </w:pPr>
      <w:r>
        <w:rPr>
          <w:rFonts w:ascii="Arial" w:cs="Arial" w:eastAsia="Arial" w:hAnsi="Arial"/>
          <w:sz w:val="18"/>
          <w:szCs w:val="18"/>
          <w:color w:val="auto"/>
        </w:rPr>
        <w:t>the existence of any claim, setoff or other rights which the Subsidiary Guarantors may have at any time against the Parent, any Borrower, any guarantor of any of the Guaranteed Obligations, the Agent, any Secured Party or any other Person, whether in connection herewith or any unrelated transactions;</w:t>
      </w:r>
    </w:p>
    <w:p>
      <w:pPr>
        <w:spacing w:after="0" w:line="148" w:lineRule="exact"/>
        <w:rPr>
          <w:rFonts w:ascii="Arial" w:cs="Arial" w:eastAsia="Arial" w:hAnsi="Arial"/>
          <w:sz w:val="16"/>
          <w:szCs w:val="16"/>
          <w:color w:val="auto"/>
        </w:rPr>
      </w:pPr>
    </w:p>
    <w:p>
      <w:pPr>
        <w:jc w:val="both"/>
        <w:ind w:firstLine="526"/>
        <w:spacing w:after="0" w:line="319" w:lineRule="auto"/>
        <w:tabs>
          <w:tab w:leader="none" w:pos="870" w:val="left"/>
        </w:tabs>
        <w:numPr>
          <w:ilvl w:val="0"/>
          <w:numId w:val="174"/>
        </w:numPr>
        <w:rPr>
          <w:rFonts w:ascii="Arial" w:cs="Arial" w:eastAsia="Arial" w:hAnsi="Arial"/>
          <w:sz w:val="14"/>
          <w:szCs w:val="14"/>
          <w:color w:val="auto"/>
        </w:rPr>
      </w:pPr>
      <w:r>
        <w:rPr>
          <w:rFonts w:ascii="Arial" w:cs="Arial" w:eastAsia="Arial" w:hAnsi="Arial"/>
          <w:sz w:val="15"/>
          <w:szCs w:val="15"/>
          <w:color w:val="auto"/>
        </w:rPr>
        <w:t>any invalidity or unenforceability relating to or against the Parent, any Borrower or any guarantor of any of the Guaranteed Obligations, for any reason related to the Credit Agreement, any Note, any Cash Management Agreement, any Lender Swap Agreement or any other Loan Document, or any provision of applicable law or regulation purporting to prohibit the payment by the Parent, any Borrower or any guarantor of the Guaranteed Obligations, of the principal of or interest on any Note or any other amount payable by the Credit Parties in respect of the Obligations;</w:t>
      </w:r>
    </w:p>
    <w:p>
      <w:pPr>
        <w:spacing w:after="0" w:line="107" w:lineRule="exact"/>
        <w:rPr>
          <w:rFonts w:ascii="Arial" w:cs="Arial" w:eastAsia="Arial" w:hAnsi="Arial"/>
          <w:sz w:val="14"/>
          <w:szCs w:val="14"/>
          <w:color w:val="auto"/>
        </w:rPr>
      </w:pPr>
    </w:p>
    <w:p>
      <w:pPr>
        <w:jc w:val="both"/>
        <w:ind w:firstLine="526"/>
        <w:spacing w:after="0" w:line="258" w:lineRule="auto"/>
        <w:tabs>
          <w:tab w:leader="none" w:pos="864" w:val="left"/>
        </w:tabs>
        <w:numPr>
          <w:ilvl w:val="0"/>
          <w:numId w:val="174"/>
        </w:numPr>
        <w:rPr>
          <w:rFonts w:ascii="Arial" w:cs="Arial" w:eastAsia="Arial" w:hAnsi="Arial"/>
          <w:sz w:val="16"/>
          <w:szCs w:val="16"/>
          <w:color w:val="auto"/>
        </w:rPr>
      </w:pPr>
      <w:r>
        <w:rPr>
          <w:rFonts w:ascii="Arial" w:cs="Arial" w:eastAsia="Arial" w:hAnsi="Arial"/>
          <w:sz w:val="18"/>
          <w:szCs w:val="18"/>
          <w:color w:val="auto"/>
        </w:rPr>
        <w:t>the election by, or on behalf of, any one or more of the Secured Parties, in any proceeding instituted under Chapter 11 of Title 11 of the United States Code (11 U.S.C. 101 et seq.) (such statute and any successor statute, as in effect from time to time, the “Bankruptcy Code”), of the application of Section 1111(b)(2) of the Bankruptcy Code;</w:t>
      </w:r>
    </w:p>
    <w:p>
      <w:pPr>
        <w:spacing w:after="0" w:line="148" w:lineRule="exact"/>
        <w:rPr>
          <w:rFonts w:ascii="Arial" w:cs="Arial" w:eastAsia="Arial" w:hAnsi="Arial"/>
          <w:sz w:val="16"/>
          <w:szCs w:val="16"/>
          <w:color w:val="auto"/>
        </w:rPr>
      </w:pPr>
    </w:p>
    <w:p>
      <w:pPr>
        <w:ind w:left="860" w:hanging="334"/>
        <w:spacing w:after="0"/>
        <w:tabs>
          <w:tab w:leader="none" w:pos="860" w:val="left"/>
        </w:tabs>
        <w:numPr>
          <w:ilvl w:val="0"/>
          <w:numId w:val="174"/>
        </w:numPr>
        <w:rPr>
          <w:rFonts w:ascii="Arial" w:cs="Arial" w:eastAsia="Arial" w:hAnsi="Arial"/>
          <w:sz w:val="15"/>
          <w:szCs w:val="15"/>
          <w:color w:val="auto"/>
        </w:rPr>
      </w:pPr>
      <w:r>
        <w:rPr>
          <w:rFonts w:ascii="Arial" w:cs="Arial" w:eastAsia="Arial" w:hAnsi="Arial"/>
          <w:sz w:val="17"/>
          <w:szCs w:val="17"/>
          <w:color w:val="auto"/>
        </w:rPr>
        <w:t>any borrowing or grant of a security interest by any Borrower, as debtor-in-possession, under Section 364 of the Bankruptcy Code;</w:t>
      </w:r>
    </w:p>
    <w:p>
      <w:pPr>
        <w:spacing w:after="0" w:line="201" w:lineRule="exact"/>
        <w:rPr>
          <w:rFonts w:ascii="Arial" w:cs="Arial" w:eastAsia="Arial" w:hAnsi="Arial"/>
          <w:sz w:val="15"/>
          <w:szCs w:val="15"/>
          <w:color w:val="auto"/>
        </w:rPr>
      </w:pPr>
    </w:p>
    <w:p>
      <w:pPr>
        <w:ind w:firstLine="526"/>
        <w:spacing w:after="0" w:line="274" w:lineRule="auto"/>
        <w:tabs>
          <w:tab w:leader="none" w:pos="861" w:val="left"/>
        </w:tabs>
        <w:numPr>
          <w:ilvl w:val="0"/>
          <w:numId w:val="174"/>
        </w:numPr>
        <w:rPr>
          <w:rFonts w:ascii="Arial" w:cs="Arial" w:eastAsia="Arial" w:hAnsi="Arial"/>
          <w:sz w:val="16"/>
          <w:szCs w:val="16"/>
          <w:color w:val="auto"/>
        </w:rPr>
      </w:pPr>
      <w:r>
        <w:rPr>
          <w:rFonts w:ascii="Arial" w:cs="Arial" w:eastAsia="Arial" w:hAnsi="Arial"/>
          <w:sz w:val="18"/>
          <w:szCs w:val="18"/>
          <w:color w:val="auto"/>
        </w:rPr>
        <w:t>the disallowance, under Section 502 of the Bankruptcy Code, of all or any portion of the claims of the Agent or any other Secured Party for repayment of all or any part of the Guaranteed Obligations;</w:t>
      </w:r>
    </w:p>
    <w:p>
      <w:pPr>
        <w:spacing w:after="0" w:line="133" w:lineRule="exact"/>
        <w:rPr>
          <w:rFonts w:ascii="Arial" w:cs="Arial" w:eastAsia="Arial" w:hAnsi="Arial"/>
          <w:sz w:val="16"/>
          <w:szCs w:val="16"/>
          <w:color w:val="auto"/>
        </w:rPr>
      </w:pPr>
    </w:p>
    <w:p>
      <w:pPr>
        <w:ind w:left="820" w:hanging="294"/>
        <w:spacing w:after="0"/>
        <w:tabs>
          <w:tab w:leader="none" w:pos="820" w:val="left"/>
        </w:tabs>
        <w:numPr>
          <w:ilvl w:val="0"/>
          <w:numId w:val="174"/>
        </w:numPr>
        <w:rPr>
          <w:rFonts w:ascii="Arial" w:cs="Arial" w:eastAsia="Arial" w:hAnsi="Arial"/>
          <w:sz w:val="15"/>
          <w:szCs w:val="15"/>
          <w:color w:val="auto"/>
        </w:rPr>
      </w:pPr>
      <w:r>
        <w:rPr>
          <w:rFonts w:ascii="Arial" w:cs="Arial" w:eastAsia="Arial" w:hAnsi="Arial"/>
          <w:sz w:val="17"/>
          <w:szCs w:val="17"/>
          <w:color w:val="auto"/>
        </w:rPr>
        <w:t>the failure of any other guarantor to sign or become party to this Guaranty or any amendment, change, or reaffirmation hereof; or</w:t>
      </w:r>
    </w:p>
    <w:p>
      <w:pPr>
        <w:spacing w:after="0" w:line="201" w:lineRule="exact"/>
        <w:rPr>
          <w:rFonts w:ascii="Arial" w:cs="Arial" w:eastAsia="Arial" w:hAnsi="Arial"/>
          <w:sz w:val="15"/>
          <w:szCs w:val="15"/>
          <w:color w:val="auto"/>
        </w:rPr>
      </w:pPr>
    </w:p>
    <w:p>
      <w:pPr>
        <w:jc w:val="both"/>
        <w:ind w:firstLine="526"/>
        <w:spacing w:after="0" w:line="258" w:lineRule="auto"/>
        <w:tabs>
          <w:tab w:leader="none" w:pos="897" w:val="left"/>
        </w:tabs>
        <w:numPr>
          <w:ilvl w:val="0"/>
          <w:numId w:val="174"/>
        </w:numPr>
        <w:rPr>
          <w:rFonts w:ascii="Arial" w:cs="Arial" w:eastAsia="Arial" w:hAnsi="Arial"/>
          <w:sz w:val="16"/>
          <w:szCs w:val="16"/>
          <w:color w:val="auto"/>
        </w:rPr>
      </w:pPr>
      <w:r>
        <w:rPr>
          <w:rFonts w:ascii="Arial" w:cs="Arial" w:eastAsia="Arial" w:hAnsi="Arial"/>
          <w:sz w:val="18"/>
          <w:szCs w:val="18"/>
          <w:color w:val="auto"/>
        </w:rPr>
        <w:t>any other act or omission to act or delay of any kind by the Parent, any Borrower, any guarantor of the Guaranteed Obligations, the Agent, any Secured Party or any other Person or any other circumstance whatsoever which might, but for the provisions of this paragraph, constitute a legal or equitable discharge of any of Subsidiary Guarantors’ obligations hereunder.</w:t>
      </w:r>
    </w:p>
    <w:p>
      <w:pPr>
        <w:spacing w:after="0" w:line="342"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161</w:t>
      </w:r>
    </w:p>
    <w:p>
      <w:pPr>
        <w:sectPr>
          <w:pgSz w:w="11900" w:h="16838" w:orient="portrait"/>
          <w:cols w:equalWidth="0" w:num="1">
            <w:col w:w="10920"/>
          </w:cols>
          <w:pgMar w:left="760" w:top="509" w:right="219" w:bottom="1440" w:gutter="0" w:footer="0" w:header="0"/>
        </w:sectPr>
      </w:pPr>
    </w:p>
    <w:bookmarkStart w:id="222" w:name="page223"/>
    <w:bookmarkEnd w:id="222"/>
    <w:p>
      <w:pPr>
        <w:jc w:val="both"/>
        <w:ind w:firstLine="537"/>
        <w:spacing w:after="0" w:line="299" w:lineRule="auto"/>
        <w:tabs>
          <w:tab w:leader="none" w:pos="852" w:val="left"/>
        </w:tabs>
        <w:numPr>
          <w:ilvl w:val="0"/>
          <w:numId w:val="175"/>
        </w:numPr>
        <w:rPr>
          <w:rFonts w:ascii="Arial" w:cs="Arial" w:eastAsia="Arial" w:hAnsi="Arial"/>
          <w:sz w:val="15"/>
          <w:szCs w:val="15"/>
          <w:color w:val="auto"/>
        </w:rPr>
      </w:pPr>
      <w:r>
        <w:rPr>
          <w:rFonts w:ascii="Arial" w:cs="Arial" w:eastAsia="Arial" w:hAnsi="Arial"/>
          <w:sz w:val="15"/>
          <w:szCs w:val="15"/>
          <w:u w:val="single" w:color="auto"/>
          <w:color w:val="auto"/>
        </w:rPr>
        <w:t>Discharge Only Upon Payment In Full; Reinstatement In Certain Circumstances</w:t>
      </w:r>
      <w:r>
        <w:rPr>
          <w:rFonts w:ascii="Arial" w:cs="Arial" w:eastAsia="Arial" w:hAnsi="Arial"/>
          <w:sz w:val="15"/>
          <w:szCs w:val="15"/>
          <w:color w:val="auto"/>
        </w:rPr>
        <w:t>. The Subsidiary Guarantors’ obligations hereunder shall remain in full force and effect until all Guaranteed Obligations have been indefeasibly paid in full, the Revolving Commitments shall have terminated or expired and all Letters of Credit (other than Letters of Credit as to which other arrangements satisfactory to the Agent and the Issuing Bank have been made) shall have terminated or expired (collectively, “</w:t>
      </w:r>
      <w:r>
        <w:rPr>
          <w:rFonts w:ascii="Arial" w:cs="Arial" w:eastAsia="Arial" w:hAnsi="Arial"/>
          <w:sz w:val="15"/>
          <w:szCs w:val="15"/>
          <w:u w:val="single" w:color="auto"/>
          <w:color w:val="auto"/>
        </w:rPr>
        <w:t>Paid in Full</w:t>
      </w:r>
      <w:r>
        <w:rPr>
          <w:rFonts w:ascii="Arial" w:cs="Arial" w:eastAsia="Arial" w:hAnsi="Arial"/>
          <w:sz w:val="15"/>
          <w:szCs w:val="15"/>
          <w:color w:val="auto"/>
        </w:rPr>
        <w:t>” or “</w:t>
      </w:r>
      <w:r>
        <w:rPr>
          <w:rFonts w:ascii="Arial" w:cs="Arial" w:eastAsia="Arial" w:hAnsi="Arial"/>
          <w:sz w:val="15"/>
          <w:szCs w:val="15"/>
          <w:u w:val="single" w:color="auto"/>
          <w:color w:val="auto"/>
        </w:rPr>
        <w:t>Payment in Full</w:t>
      </w:r>
      <w:r>
        <w:rPr>
          <w:rFonts w:ascii="Arial" w:cs="Arial" w:eastAsia="Arial" w:hAnsi="Arial"/>
          <w:sz w:val="15"/>
          <w:szCs w:val="15"/>
          <w:color w:val="auto"/>
        </w:rPr>
        <w:t>”). If at any time any payment of the principal of or interest on any Note or any other amount payable by the Parent, any Borrower or any other Credit Party under the Credit Agreement, any Note, any Cash Management Agreement, any Lender Swap Agreement or any other Loan Document is rescinded or must be otherwise restored or returned upon the insolvency, bankruptcy or reorganization of such Credit Party or otherwise, the Subsidiary Guarantors’ obligations hereunder with respect to such payment shall be reinstated as though such payment had been due but not made at such time. The parties hereto acknowledge and agree that each of the Guaranteed Obligations shall be due and payable in the same currency as such Guaranteed Obligation is denominated, but if currency control or exchange regulations are imposed in the country which issues such currency with the result such currency no longer exists or the relevant Subsidiary Guarantor is not able to make payment in such currency, then all payments to be made by such Subsidiary Guarantor hereunder in such currency shall instead be made when due in the Equivalent Amount of U.S. Dollars (as of the date of payment) of such payment due, it being the intention of the parties hereto that each Guarantor takes all risks of the imposition of any such currency control or exchange regulations.</w:t>
      </w:r>
    </w:p>
    <w:p>
      <w:pPr>
        <w:spacing w:after="0" w:line="121" w:lineRule="exact"/>
        <w:rPr>
          <w:rFonts w:ascii="Arial" w:cs="Arial" w:eastAsia="Arial" w:hAnsi="Arial"/>
          <w:sz w:val="15"/>
          <w:szCs w:val="15"/>
          <w:color w:val="auto"/>
        </w:rPr>
      </w:pPr>
    </w:p>
    <w:p>
      <w:pPr>
        <w:ind w:left="820" w:hanging="283"/>
        <w:spacing w:after="0"/>
        <w:tabs>
          <w:tab w:leader="none" w:pos="820"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Waivers</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jc w:val="both"/>
        <w:ind w:left="540" w:firstLine="526"/>
        <w:spacing w:after="0" w:line="258" w:lineRule="auto"/>
        <w:tabs>
          <w:tab w:leader="none" w:pos="1406" w:val="left"/>
        </w:tabs>
        <w:numPr>
          <w:ilvl w:val="1"/>
          <w:numId w:val="175"/>
        </w:numPr>
        <w:rPr>
          <w:rFonts w:ascii="Arial" w:cs="Arial" w:eastAsia="Arial" w:hAnsi="Arial"/>
          <w:sz w:val="16"/>
          <w:szCs w:val="16"/>
          <w:color w:val="auto"/>
        </w:rPr>
      </w:pPr>
      <w:r>
        <w:rPr>
          <w:rFonts w:ascii="Arial" w:cs="Arial" w:eastAsia="Arial" w:hAnsi="Arial"/>
          <w:sz w:val="18"/>
          <w:szCs w:val="18"/>
          <w:color w:val="auto"/>
        </w:rPr>
        <w:t>The Subsidiary Guarantors irrevocably waive acceptance hereof, presentment, demand, protest and, to the fullest extent permitted by law, any notice not provided for herein, as well as any requirement that at any time any action be taken by any Person against the Parent, any Borrower or any guarantor of any of the Guaranteed Obligations, or any other Person.</w:t>
      </w:r>
    </w:p>
    <w:p>
      <w:pPr>
        <w:spacing w:after="0" w:line="148" w:lineRule="exact"/>
        <w:rPr>
          <w:rFonts w:ascii="Arial" w:cs="Arial" w:eastAsia="Arial" w:hAnsi="Arial"/>
          <w:sz w:val="16"/>
          <w:szCs w:val="16"/>
          <w:color w:val="auto"/>
        </w:rPr>
      </w:pPr>
    </w:p>
    <w:p>
      <w:pPr>
        <w:jc w:val="both"/>
        <w:ind w:left="540" w:firstLine="526"/>
        <w:spacing w:after="0" w:line="258" w:lineRule="auto"/>
        <w:tabs>
          <w:tab w:leader="none" w:pos="1415" w:val="left"/>
        </w:tabs>
        <w:numPr>
          <w:ilvl w:val="1"/>
          <w:numId w:val="175"/>
        </w:numPr>
        <w:rPr>
          <w:rFonts w:ascii="Arial" w:cs="Arial" w:eastAsia="Arial" w:hAnsi="Arial"/>
          <w:sz w:val="16"/>
          <w:szCs w:val="16"/>
          <w:color w:val="auto"/>
        </w:rPr>
      </w:pPr>
      <w:r>
        <w:rPr>
          <w:rFonts w:ascii="Arial" w:cs="Arial" w:eastAsia="Arial" w:hAnsi="Arial"/>
          <w:sz w:val="18"/>
          <w:szCs w:val="18"/>
          <w:color w:val="auto"/>
        </w:rPr>
        <w:t>The Subsidiary Guarantors waive any right to require the Agent or the Secured Parties to sue the Parent, any Borrower, any Other Guarantor, or any other person obligated for all or any part of the Guaranteed Obligations, or otherwise to enforce its payment against any collateral securing all or any part of the Guaranteed Obligations.</w:t>
      </w:r>
    </w:p>
    <w:p>
      <w:pPr>
        <w:spacing w:after="0" w:line="148" w:lineRule="exact"/>
        <w:rPr>
          <w:rFonts w:ascii="Arial" w:cs="Arial" w:eastAsia="Arial" w:hAnsi="Arial"/>
          <w:sz w:val="16"/>
          <w:szCs w:val="16"/>
          <w:color w:val="auto"/>
        </w:rPr>
      </w:pPr>
    </w:p>
    <w:p>
      <w:pPr>
        <w:jc w:val="both"/>
        <w:ind w:left="540" w:firstLine="526"/>
        <w:spacing w:after="0" w:line="272" w:lineRule="auto"/>
        <w:tabs>
          <w:tab w:leader="none" w:pos="1439" w:val="left"/>
        </w:tabs>
        <w:numPr>
          <w:ilvl w:val="1"/>
          <w:numId w:val="175"/>
        </w:numPr>
        <w:rPr>
          <w:rFonts w:ascii="Arial" w:cs="Arial" w:eastAsia="Arial" w:hAnsi="Arial"/>
          <w:sz w:val="15"/>
          <w:szCs w:val="15"/>
          <w:color w:val="auto"/>
        </w:rPr>
      </w:pPr>
      <w:r>
        <w:rPr>
          <w:rFonts w:ascii="Arial" w:cs="Arial" w:eastAsia="Arial" w:hAnsi="Arial"/>
          <w:sz w:val="17"/>
          <w:szCs w:val="17"/>
          <w:color w:val="auto"/>
        </w:rPr>
        <w:t>The Subsidiary Guarantors waive any and all rights or defenses arising by reason of (i) any defense given to guarantors at law or in equity other than actual payment and performance of the indebtedness or (ii) by any failure, neglect or omission by the Agent or the Secured Parties to perfect in any manner the collection of the Guaranteed Obligations or the security given therefore, including the failure or omission to seek a deficiency judgment against the Parent, the Subsidiary Guarantors, any Borrower, any guarantor, or any person.</w:t>
      </w:r>
    </w:p>
    <w:p>
      <w:pPr>
        <w:spacing w:after="0" w:line="138" w:lineRule="exact"/>
        <w:rPr>
          <w:rFonts w:ascii="Arial" w:cs="Arial" w:eastAsia="Arial" w:hAnsi="Arial"/>
          <w:sz w:val="15"/>
          <w:szCs w:val="15"/>
          <w:color w:val="auto"/>
        </w:rPr>
      </w:pPr>
    </w:p>
    <w:p>
      <w:pPr>
        <w:jc w:val="both"/>
        <w:ind w:left="540" w:firstLine="526"/>
        <w:spacing w:after="0" w:line="258" w:lineRule="auto"/>
        <w:tabs>
          <w:tab w:leader="none" w:pos="1459" w:val="left"/>
        </w:tabs>
        <w:numPr>
          <w:ilvl w:val="1"/>
          <w:numId w:val="175"/>
        </w:numPr>
        <w:rPr>
          <w:rFonts w:ascii="Arial" w:cs="Arial" w:eastAsia="Arial" w:hAnsi="Arial"/>
          <w:sz w:val="16"/>
          <w:szCs w:val="16"/>
          <w:color w:val="auto"/>
        </w:rPr>
      </w:pPr>
      <w:r>
        <w:rPr>
          <w:rFonts w:ascii="Arial" w:cs="Arial" w:eastAsia="Arial" w:hAnsi="Arial"/>
          <w:sz w:val="18"/>
          <w:szCs w:val="18"/>
          <w:color w:val="auto"/>
        </w:rPr>
        <w:t>The Subsidiary Guarantors further waive and agree not to assert or claim at any time any deductions to the amount guaranteed under this Guaranty for any claim of setoff, counterclaim, counter demand, recoupment or similar right, whether such claim, demand or right may be asserted by any Borrower, other Credit Party and/or the Subsidiary Guarantors.</w:t>
      </w:r>
    </w:p>
    <w:p>
      <w:pPr>
        <w:spacing w:after="0" w:line="148" w:lineRule="exact"/>
        <w:rPr>
          <w:rFonts w:ascii="Arial" w:cs="Arial" w:eastAsia="Arial" w:hAnsi="Arial"/>
          <w:sz w:val="16"/>
          <w:szCs w:val="16"/>
          <w:color w:val="auto"/>
        </w:rPr>
      </w:pPr>
    </w:p>
    <w:p>
      <w:pPr>
        <w:jc w:val="both"/>
        <w:ind w:left="540" w:firstLine="526"/>
        <w:spacing w:after="0" w:line="299" w:lineRule="auto"/>
        <w:tabs>
          <w:tab w:leader="none" w:pos="1406" w:val="left"/>
        </w:tabs>
        <w:numPr>
          <w:ilvl w:val="1"/>
          <w:numId w:val="175"/>
        </w:numPr>
        <w:rPr>
          <w:rFonts w:ascii="Arial" w:cs="Arial" w:eastAsia="Arial" w:hAnsi="Arial"/>
          <w:sz w:val="14"/>
          <w:szCs w:val="14"/>
          <w:color w:val="auto"/>
        </w:rPr>
      </w:pPr>
      <w:r>
        <w:rPr>
          <w:rFonts w:ascii="Arial" w:cs="Arial" w:eastAsia="Arial" w:hAnsi="Arial"/>
          <w:sz w:val="15"/>
          <w:szCs w:val="15"/>
          <w:color w:val="auto"/>
        </w:rPr>
        <w:t>The Subsidiary Guarantors waive and agree not to assert: (i) the benefit of any statute of limitations affecting Subsidiary Guarantors’ liability hereunder or the enforcement hereof; (ii) the benefits of any statutory provision limiting the liability of a surety, including without limitation the provisions of Sections 334, 337, 338 and 344 of Title 15 of the Oklahoma Statutes; (iii) the benefits of any statutory provision limiting the right of the Agent to any foreclosure or trustee’s sale of any security for the indebtedness, including without limitation, any right to set off under Section 686 of Title</w:t>
      </w:r>
    </w:p>
    <w:p>
      <w:pPr>
        <w:spacing w:after="0" w:line="2" w:lineRule="exact"/>
        <w:rPr>
          <w:rFonts w:ascii="Arial" w:cs="Arial" w:eastAsia="Arial" w:hAnsi="Arial"/>
          <w:sz w:val="14"/>
          <w:szCs w:val="14"/>
          <w:color w:val="auto"/>
        </w:rPr>
      </w:pPr>
    </w:p>
    <w:p>
      <w:pPr>
        <w:ind w:left="760" w:hanging="223"/>
        <w:spacing w:after="0"/>
        <w:tabs>
          <w:tab w:leader="none" w:pos="7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of the Oklahoma Statutes.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162</w:t>
      </w:r>
    </w:p>
    <w:p>
      <w:pPr>
        <w:sectPr>
          <w:pgSz w:w="11900" w:h="16838" w:orient="portrait"/>
          <w:cols w:equalWidth="0" w:num="1">
            <w:col w:w="11460"/>
          </w:cols>
          <w:pgMar w:left="220" w:top="509" w:right="219" w:bottom="1440" w:gutter="0" w:footer="0" w:header="0"/>
        </w:sectPr>
      </w:pPr>
    </w:p>
    <w:bookmarkStart w:id="223" w:name="page224"/>
    <w:bookmarkEnd w:id="223"/>
    <w:p>
      <w:pPr>
        <w:jc w:val="both"/>
        <w:ind w:firstLine="537"/>
        <w:spacing w:after="0" w:line="253" w:lineRule="auto"/>
        <w:tabs>
          <w:tab w:leader="none" w:pos="885"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Subrogation</w:t>
      </w:r>
      <w:r>
        <w:rPr>
          <w:rFonts w:ascii="Arial" w:cs="Arial" w:eastAsia="Arial" w:hAnsi="Arial"/>
          <w:sz w:val="18"/>
          <w:szCs w:val="18"/>
          <w:color w:val="auto"/>
        </w:rPr>
        <w:t>. The Subsidiary Guarantors hereby agree not to assert any right, claim or cause of action, including, without limitation, a claim for subrogation, reimbursement, indemnification or otherwise, against the Parent or any Borrower arising out of or by reason of this Guaranty or the obligations hereunder, including, without limitation, the payment or securing or purchasing of any of the Guaranteed Obligations by Subsidiary Guarantors unless and until Payment in Full.</w:t>
      </w:r>
    </w:p>
    <w:p>
      <w:pPr>
        <w:spacing w:after="0" w:line="152" w:lineRule="exact"/>
        <w:rPr>
          <w:rFonts w:ascii="Arial" w:cs="Arial" w:eastAsia="Arial" w:hAnsi="Arial"/>
          <w:sz w:val="18"/>
          <w:szCs w:val="18"/>
          <w:color w:val="auto"/>
        </w:rPr>
      </w:pPr>
    </w:p>
    <w:p>
      <w:pPr>
        <w:jc w:val="both"/>
        <w:ind w:firstLine="537"/>
        <w:spacing w:after="0" w:line="253" w:lineRule="auto"/>
        <w:tabs>
          <w:tab w:leader="none" w:pos="885"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Stay of Acceleration</w:t>
      </w:r>
      <w:r>
        <w:rPr>
          <w:rFonts w:ascii="Arial" w:cs="Arial" w:eastAsia="Arial" w:hAnsi="Arial"/>
          <w:sz w:val="18"/>
          <w:szCs w:val="18"/>
          <w:color w:val="auto"/>
        </w:rPr>
        <w:t>. If acceleration of the time for payment of any of the Guaranteed Obligations is stayed upon the insolvency, bankruptcy or reorganization of the Parent or any Borrower, all such amounts otherwise subject to acceleration under the terms of the Credit Agreement, any Note, any Cash Management Agreement, any Lender Swap Agreement or any other Loan Document shall nonetheless be payable by the Subsidiary Guarantors hereunder forthwith on demand by the Agent.</w:t>
      </w:r>
    </w:p>
    <w:p>
      <w:pPr>
        <w:spacing w:after="0" w:line="152" w:lineRule="exact"/>
        <w:rPr>
          <w:rFonts w:ascii="Arial" w:cs="Arial" w:eastAsia="Arial" w:hAnsi="Arial"/>
          <w:sz w:val="18"/>
          <w:szCs w:val="18"/>
          <w:color w:val="auto"/>
        </w:rPr>
      </w:pPr>
    </w:p>
    <w:p>
      <w:pPr>
        <w:ind w:left="900" w:hanging="363"/>
        <w:spacing w:after="0"/>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Limitation on Obligations; Keepwell</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jc w:val="both"/>
        <w:ind w:left="540" w:firstLine="526"/>
        <w:spacing w:after="0" w:line="300" w:lineRule="auto"/>
        <w:tabs>
          <w:tab w:leader="none" w:pos="1428" w:val="left"/>
        </w:tabs>
        <w:numPr>
          <w:ilvl w:val="1"/>
          <w:numId w:val="177"/>
        </w:numPr>
        <w:rPr>
          <w:rFonts w:ascii="Arial" w:cs="Arial" w:eastAsia="Arial" w:hAnsi="Arial"/>
          <w:sz w:val="14"/>
          <w:szCs w:val="14"/>
          <w:color w:val="auto"/>
        </w:rPr>
      </w:pPr>
      <w:r>
        <w:rPr>
          <w:rFonts w:ascii="Arial" w:cs="Arial" w:eastAsia="Arial" w:hAnsi="Arial"/>
          <w:sz w:val="15"/>
          <w:szCs w:val="15"/>
          <w:color w:val="auto"/>
        </w:rPr>
        <w:t>The provisions of this Guaranty are severable, and in any action or proceeding involving any state or provincial corporate or similar law, or any state, federal or foreign bankruptcy, insolvency, reorganization or other law affecting the rights of creditors generally, if the obligations of Subsidiary Guarantors under this Guaranty would otherwise be held or determined to be avoidable, invalid or unenforceable on account of the amount of any Subsidiary Guarantor’s liability under this Guaranty, then, notwithstanding any other provision of this Guaranty to the contrary, the amount of such liability shall, without any further action by the Subsidiary Guarantors, the Agent or any Secured Party, be automatically limited and reduced to the highest amount that is valid and enforceable as determined in such action or proceeding (such highest amount determined hereunder being such Subsidiary Guarantor’s “</w:t>
      </w:r>
      <w:r>
        <w:rPr>
          <w:rFonts w:ascii="Arial" w:cs="Arial" w:eastAsia="Arial" w:hAnsi="Arial"/>
          <w:sz w:val="15"/>
          <w:szCs w:val="15"/>
          <w:u w:val="single" w:color="auto"/>
          <w:color w:val="auto"/>
        </w:rPr>
        <w:t>Maximum Liability</w:t>
      </w:r>
      <w:r>
        <w:rPr>
          <w:rFonts w:ascii="Arial" w:cs="Arial" w:eastAsia="Arial" w:hAnsi="Arial"/>
          <w:sz w:val="15"/>
          <w:szCs w:val="15"/>
          <w:color w:val="auto"/>
        </w:rPr>
        <w:t xml:space="preserve">”). This </w:t>
      </w:r>
      <w:r>
        <w:rPr>
          <w:rFonts w:ascii="Arial" w:cs="Arial" w:eastAsia="Arial" w:hAnsi="Arial"/>
          <w:sz w:val="15"/>
          <w:szCs w:val="15"/>
          <w:u w:val="single" w:color="auto"/>
          <w:color w:val="auto"/>
        </w:rPr>
        <w:t>Section 10(a)</w:t>
      </w:r>
      <w:r>
        <w:rPr>
          <w:rFonts w:ascii="Arial" w:cs="Arial" w:eastAsia="Arial" w:hAnsi="Arial"/>
          <w:sz w:val="15"/>
          <w:szCs w:val="15"/>
          <w:color w:val="auto"/>
        </w:rPr>
        <w:t xml:space="preserve"> with respect to the Maximum Liability of the Subsidiary Guarantors is intended solely to preserve the rights of the Agent hereunder to the maximum extent not subject to avoidance under applicable law, and neither any Subsidiary Guarantor nor any other person or entity shall have any right or claim under this </w:t>
      </w:r>
      <w:r>
        <w:rPr>
          <w:rFonts w:ascii="Arial" w:cs="Arial" w:eastAsia="Arial" w:hAnsi="Arial"/>
          <w:sz w:val="15"/>
          <w:szCs w:val="15"/>
          <w:u w:val="single" w:color="auto"/>
          <w:color w:val="auto"/>
        </w:rPr>
        <w:t>Section 10(a)</w:t>
      </w:r>
      <w:r>
        <w:rPr>
          <w:rFonts w:ascii="Arial" w:cs="Arial" w:eastAsia="Arial" w:hAnsi="Arial"/>
          <w:sz w:val="15"/>
          <w:szCs w:val="15"/>
          <w:color w:val="auto"/>
        </w:rPr>
        <w:t xml:space="preserve"> with respect to the Maximum Liability, except to the extent necessary so that the obligations of any Subsidiary Guarantor hereunder shall not be rendered voidable under applicable law.</w:t>
      </w:r>
    </w:p>
    <w:p>
      <w:pPr>
        <w:spacing w:after="0" w:line="125" w:lineRule="exact"/>
        <w:rPr>
          <w:rFonts w:ascii="Arial" w:cs="Arial" w:eastAsia="Arial" w:hAnsi="Arial"/>
          <w:sz w:val="14"/>
          <w:szCs w:val="14"/>
          <w:color w:val="auto"/>
        </w:rPr>
      </w:pPr>
    </w:p>
    <w:p>
      <w:pPr>
        <w:jc w:val="both"/>
        <w:ind w:left="540" w:firstLine="526"/>
        <w:spacing w:after="0" w:line="272" w:lineRule="auto"/>
        <w:tabs>
          <w:tab w:leader="none" w:pos="1437" w:val="left"/>
        </w:tabs>
        <w:numPr>
          <w:ilvl w:val="1"/>
          <w:numId w:val="177"/>
        </w:numPr>
        <w:rPr>
          <w:rFonts w:ascii="Arial" w:cs="Arial" w:eastAsia="Arial" w:hAnsi="Arial"/>
          <w:sz w:val="15"/>
          <w:szCs w:val="15"/>
          <w:color w:val="auto"/>
        </w:rPr>
      </w:pPr>
      <w:r>
        <w:rPr>
          <w:rFonts w:ascii="Arial" w:cs="Arial" w:eastAsia="Arial" w:hAnsi="Arial"/>
          <w:sz w:val="17"/>
          <w:szCs w:val="17"/>
          <w:color w:val="auto"/>
        </w:rPr>
        <w:t xml:space="preserve">The Subsidiary Guarantors agree that the Guaranteed Obligations may at any time and from time to time exceed the Maximum Liability of any Subsidiary Guarantor, and may exceed the aggregate of the Maximum Liability of Subsidiary Guarantors and the maximum lawful amount of the liability of all Other Guarantors, without impairing this Guaranty or affecting the rights and remedies of the Agent hereunder. Nothing in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10(b)</w:t>
      </w:r>
      <w:r>
        <w:rPr>
          <w:rFonts w:ascii="Arial" w:cs="Arial" w:eastAsia="Arial" w:hAnsi="Arial"/>
          <w:sz w:val="17"/>
          <w:szCs w:val="17"/>
          <w:color w:val="auto"/>
        </w:rPr>
        <w:t xml:space="preserve"> shall be construed to increase Subsidiary Guarantors’ obligations hereunder beyond its Maximum Liability.</w:t>
      </w:r>
    </w:p>
    <w:p>
      <w:pPr>
        <w:spacing w:after="0" w:line="138" w:lineRule="exact"/>
        <w:rPr>
          <w:rFonts w:ascii="Arial" w:cs="Arial" w:eastAsia="Arial" w:hAnsi="Arial"/>
          <w:sz w:val="15"/>
          <w:szCs w:val="15"/>
          <w:color w:val="auto"/>
        </w:rPr>
      </w:pPr>
    </w:p>
    <w:p>
      <w:pPr>
        <w:jc w:val="both"/>
        <w:ind w:left="540" w:firstLine="526"/>
        <w:spacing w:after="0" w:line="263" w:lineRule="auto"/>
        <w:tabs>
          <w:tab w:leader="none" w:pos="1439" w:val="left"/>
        </w:tabs>
        <w:numPr>
          <w:ilvl w:val="1"/>
          <w:numId w:val="177"/>
        </w:numPr>
        <w:rPr>
          <w:rFonts w:ascii="Arial" w:cs="Arial" w:eastAsia="Arial" w:hAnsi="Arial"/>
          <w:sz w:val="15"/>
          <w:szCs w:val="15"/>
          <w:color w:val="auto"/>
        </w:rPr>
      </w:pPr>
      <w:r>
        <w:rPr>
          <w:rFonts w:ascii="Arial" w:cs="Arial" w:eastAsia="Arial" w:hAnsi="Arial"/>
          <w:sz w:val="17"/>
          <w:szCs w:val="17"/>
          <w:color w:val="auto"/>
        </w:rPr>
        <w:t>If any Other Guarantor makes any payment or payments under its Guarantee of any of the Guaranteed Obligations or suffers any loss as a result of any realization upon any collateral granted by them to secure the Guaranteed Obligations, each Subsidiary Guarantor (each a “</w:t>
      </w:r>
      <w:r>
        <w:rPr>
          <w:rFonts w:ascii="Arial" w:cs="Arial" w:eastAsia="Arial" w:hAnsi="Arial"/>
          <w:sz w:val="17"/>
          <w:szCs w:val="17"/>
          <w:u w:val="single" w:color="auto"/>
          <w:color w:val="auto"/>
        </w:rPr>
        <w:t>Non-Paying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Subsidiary Guarantor</w:t>
      </w:r>
      <w:r>
        <w:rPr>
          <w:rFonts w:ascii="Arial" w:cs="Arial" w:eastAsia="Arial" w:hAnsi="Arial"/>
          <w:sz w:val="17"/>
          <w:szCs w:val="17"/>
          <w:color w:val="auto"/>
        </w:rPr>
        <w:t>”) shall contribute to the Other Guarantor an amount equal to such Non-Paying Subsidiary Guarantor’s “Pro Rata Share” of such payment or payments made, or losses suffered, by the Other Guarantor. For purposes hereof, each Non-Paying Subsidiary Guarantor’s “Pro Rata Share” with respect to any such payment or loss by an Other Guarantor will be determined as of the date on which such payment or loss was made by reference to the ratio of (i) such Non-Paying Subsidiary Guarantor’s Maximum Liability as of such date (without giving effect to any right to receive, or obligation to make, any contribution hereunder) or, if such Non-Paying Subsidiary Guarantor’s Maximum Liability has not been determined, the aggregate amount of all monies received by such Non-Paying Subsidiary Guarantor from the Parent after the date hereof (whether by loan, capital infusion or by other means) to (ii) the aggregate Maximum Liability of all Guarantors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163</w:t>
      </w:r>
    </w:p>
    <w:p>
      <w:pPr>
        <w:sectPr>
          <w:pgSz w:w="11900" w:h="16838" w:orient="portrait"/>
          <w:cols w:equalWidth="0" w:num="1">
            <w:col w:w="11460"/>
          </w:cols>
          <w:pgMar w:left="220" w:top="509" w:right="219" w:bottom="1440" w:gutter="0" w:footer="0" w:header="0"/>
        </w:sectPr>
      </w:pPr>
    </w:p>
    <w:bookmarkStart w:id="224" w:name="page225"/>
    <w:bookmarkEnd w:id="224"/>
    <w:p>
      <w:pPr>
        <w:jc w:val="both"/>
        <w:ind w:left="540"/>
        <w:spacing w:after="0" w:line="262" w:lineRule="auto"/>
        <w:rPr>
          <w:sz w:val="20"/>
          <w:szCs w:val="20"/>
          <w:color w:val="auto"/>
        </w:rPr>
      </w:pPr>
      <w:r>
        <w:rPr>
          <w:rFonts w:ascii="Arial" w:cs="Arial" w:eastAsia="Arial" w:hAnsi="Arial"/>
          <w:sz w:val="17"/>
          <w:szCs w:val="17"/>
          <w:color w:val="auto"/>
        </w:rPr>
        <w:t xml:space="preserve">(including Subsidiary Guarantors) as of such date (without giving effect to any right to receive, or obligation to make, any contribution hereunder), or to the extent that a Maximum Liability has not been determined for any Guarantor, the aggregate amount of all monies received by such Guarantor from the Parent after the date hereof (whether by loan, capital infusion or by other means). Nothing in this </w:t>
      </w:r>
      <w:r>
        <w:rPr>
          <w:rFonts w:ascii="Arial" w:cs="Arial" w:eastAsia="Arial" w:hAnsi="Arial"/>
          <w:sz w:val="17"/>
          <w:szCs w:val="17"/>
          <w:u w:val="single" w:color="auto"/>
          <w:color w:val="auto"/>
        </w:rPr>
        <w:t>Section 10(c)</w:t>
      </w:r>
      <w:r>
        <w:rPr>
          <w:rFonts w:ascii="Arial" w:cs="Arial" w:eastAsia="Arial" w:hAnsi="Arial"/>
          <w:sz w:val="17"/>
          <w:szCs w:val="17"/>
          <w:color w:val="auto"/>
        </w:rPr>
        <w:t xml:space="preserve"> shall affect any Guarantor’s several liability for the entire amount of the Guaranteed Obligations (up to the Guarantor’s Maximum Liability). The Subsidiary Guarantors covenant and agree that its right to receive any contribution under this Guaranty from a Non-Paying Subsidiary Guarantor shall be subordinate and junior in right of payment to all the Guaranteed Obligations. The provisions of this </w:t>
      </w:r>
      <w:r>
        <w:rPr>
          <w:rFonts w:ascii="Arial" w:cs="Arial" w:eastAsia="Arial" w:hAnsi="Arial"/>
          <w:sz w:val="17"/>
          <w:szCs w:val="17"/>
          <w:u w:val="single" w:color="auto"/>
          <w:color w:val="auto"/>
        </w:rPr>
        <w:t>Section 10(c)</w:t>
      </w:r>
      <w:r>
        <w:rPr>
          <w:rFonts w:ascii="Arial" w:cs="Arial" w:eastAsia="Arial" w:hAnsi="Arial"/>
          <w:sz w:val="17"/>
          <w:szCs w:val="17"/>
          <w:color w:val="auto"/>
        </w:rPr>
        <w:t xml:space="preserve"> are for the benefit of both the Agent and the Other Guarantors and may be enforced by any one, or more, or all of them in accordance with the terms hereof.</w:t>
      </w:r>
    </w:p>
    <w:p>
      <w:pPr>
        <w:spacing w:after="0" w:line="149" w:lineRule="exact"/>
        <w:rPr>
          <w:sz w:val="20"/>
          <w:szCs w:val="20"/>
          <w:color w:val="auto"/>
        </w:rPr>
      </w:pPr>
    </w:p>
    <w:p>
      <w:pPr>
        <w:jc w:val="both"/>
        <w:ind w:left="540" w:firstLine="526"/>
        <w:spacing w:after="0" w:line="263" w:lineRule="auto"/>
        <w:tabs>
          <w:tab w:leader="none" w:pos="1437" w:val="left"/>
        </w:tabs>
        <w:numPr>
          <w:ilvl w:val="1"/>
          <w:numId w:val="178"/>
        </w:numPr>
        <w:rPr>
          <w:rFonts w:ascii="Arial" w:cs="Arial" w:eastAsia="Arial" w:hAnsi="Arial"/>
          <w:sz w:val="15"/>
          <w:szCs w:val="15"/>
          <w:color w:val="auto"/>
        </w:rPr>
      </w:pPr>
      <w:r>
        <w:rPr>
          <w:rFonts w:ascii="Arial" w:cs="Arial" w:eastAsia="Arial" w:hAnsi="Arial"/>
          <w:sz w:val="17"/>
          <w:szCs w:val="17"/>
          <w:color w:val="auto"/>
        </w:rPr>
        <w:t xml:space="preserve">Each Qualified ECP Guarantor hereby jointly and severally absolutely, unconditionally and irrevocably undertakes to provide such funds or other support as may be needed from time to time by each other Subsidiary Guarantor to honor all of its obligations under this Guaranty in respect of Swap Obligations (provided, however, that each Qualified ECP Guarantor shall only be liable under this </w:t>
      </w:r>
      <w:r>
        <w:rPr>
          <w:rFonts w:ascii="Arial" w:cs="Arial" w:eastAsia="Arial" w:hAnsi="Arial"/>
          <w:sz w:val="17"/>
          <w:szCs w:val="17"/>
          <w:u w:val="single" w:color="auto"/>
          <w:color w:val="auto"/>
        </w:rPr>
        <w:t>Section 10(d)</w:t>
      </w:r>
      <w:r>
        <w:rPr>
          <w:rFonts w:ascii="Arial" w:cs="Arial" w:eastAsia="Arial" w:hAnsi="Arial"/>
          <w:sz w:val="17"/>
          <w:szCs w:val="17"/>
          <w:color w:val="auto"/>
        </w:rPr>
        <w:t xml:space="preserve"> for the maximum amount of such liability that can be hereby incurred without rendering its obligations under this </w:t>
      </w:r>
      <w:r>
        <w:rPr>
          <w:rFonts w:ascii="Arial" w:cs="Arial" w:eastAsia="Arial" w:hAnsi="Arial"/>
          <w:sz w:val="17"/>
          <w:szCs w:val="17"/>
          <w:u w:val="single" w:color="auto"/>
          <w:color w:val="auto"/>
        </w:rPr>
        <w:t>Section 10(d)</w:t>
      </w:r>
      <w:r>
        <w:rPr>
          <w:rFonts w:ascii="Arial" w:cs="Arial" w:eastAsia="Arial" w:hAnsi="Arial"/>
          <w:sz w:val="17"/>
          <w:szCs w:val="17"/>
          <w:color w:val="auto"/>
        </w:rPr>
        <w:t xml:space="preserve"> or otherwise under this Guaranty voidable under applicable law relating to fraudulent conveyance or fraudulent transfer, and not for any greater amount). The obligations of each Qualified ECP Guarantor under this </w:t>
      </w:r>
      <w:r>
        <w:rPr>
          <w:rFonts w:ascii="Arial" w:cs="Arial" w:eastAsia="Arial" w:hAnsi="Arial"/>
          <w:sz w:val="17"/>
          <w:szCs w:val="17"/>
          <w:u w:val="single" w:color="auto"/>
          <w:color w:val="auto"/>
        </w:rPr>
        <w:t>Section 10(d)</w:t>
      </w:r>
      <w:r>
        <w:rPr>
          <w:rFonts w:ascii="Arial" w:cs="Arial" w:eastAsia="Arial" w:hAnsi="Arial"/>
          <w:sz w:val="17"/>
          <w:szCs w:val="17"/>
          <w:color w:val="auto"/>
        </w:rPr>
        <w:t xml:space="preserve"> shall remain in full force and effect until Payment in Full. Each Qualified ECP Guarantor intends that this </w:t>
      </w:r>
      <w:r>
        <w:rPr>
          <w:rFonts w:ascii="Arial" w:cs="Arial" w:eastAsia="Arial" w:hAnsi="Arial"/>
          <w:sz w:val="17"/>
          <w:szCs w:val="17"/>
          <w:u w:val="single" w:color="auto"/>
          <w:color w:val="auto"/>
        </w:rPr>
        <w:t>Section 10(d)</w:t>
      </w:r>
      <w:r>
        <w:rPr>
          <w:rFonts w:ascii="Arial" w:cs="Arial" w:eastAsia="Arial" w:hAnsi="Arial"/>
          <w:sz w:val="17"/>
          <w:szCs w:val="17"/>
          <w:color w:val="auto"/>
        </w:rPr>
        <w:t xml:space="preserve"> constitute, and this </w:t>
      </w:r>
      <w:r>
        <w:rPr>
          <w:rFonts w:ascii="Arial" w:cs="Arial" w:eastAsia="Arial" w:hAnsi="Arial"/>
          <w:sz w:val="17"/>
          <w:szCs w:val="17"/>
          <w:u w:val="single" w:color="auto"/>
          <w:color w:val="auto"/>
        </w:rPr>
        <w:t>Section 10(d)</w:t>
      </w:r>
      <w:r>
        <w:rPr>
          <w:rFonts w:ascii="Arial" w:cs="Arial" w:eastAsia="Arial" w:hAnsi="Arial"/>
          <w:sz w:val="17"/>
          <w:szCs w:val="17"/>
          <w:color w:val="auto"/>
        </w:rPr>
        <w:t xml:space="preserve"> shall be deemed to constitute, a “keepwell, support, or other agreement” for the benefit of each other Credit Party for all purposes of Section 1a(18)(A)(v)(II) of the Commodity Exchange Act.</w:t>
      </w:r>
    </w:p>
    <w:p>
      <w:pPr>
        <w:spacing w:after="0" w:line="149" w:lineRule="exact"/>
        <w:rPr>
          <w:rFonts w:ascii="Arial" w:cs="Arial" w:eastAsia="Arial" w:hAnsi="Arial"/>
          <w:sz w:val="15"/>
          <w:szCs w:val="15"/>
          <w:color w:val="auto"/>
        </w:rPr>
      </w:pPr>
    </w:p>
    <w:p>
      <w:pPr>
        <w:ind w:firstLine="537"/>
        <w:spacing w:after="0" w:line="274" w:lineRule="auto"/>
        <w:tabs>
          <w:tab w:leader="none" w:pos="901"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Application of Payments</w:t>
      </w:r>
      <w:r>
        <w:rPr>
          <w:rFonts w:ascii="Arial" w:cs="Arial" w:eastAsia="Arial" w:hAnsi="Arial"/>
          <w:sz w:val="18"/>
          <w:szCs w:val="18"/>
          <w:color w:val="auto"/>
        </w:rPr>
        <w:t>. All payments received by the Agent hereunder shall be applied by the Agent to payment of the Guaranteed Obligations in the following order unless a court of competent jurisdiction shall otherwise direct:</w:t>
      </w:r>
    </w:p>
    <w:p>
      <w:pPr>
        <w:spacing w:after="0" w:line="133" w:lineRule="exact"/>
        <w:rPr>
          <w:rFonts w:ascii="Arial" w:cs="Arial" w:eastAsia="Arial" w:hAnsi="Arial"/>
          <w:sz w:val="18"/>
          <w:szCs w:val="18"/>
          <w:color w:val="auto"/>
        </w:rPr>
      </w:pPr>
    </w:p>
    <w:p>
      <w:pPr>
        <w:ind w:left="540" w:firstLine="526"/>
        <w:spacing w:after="0" w:line="304" w:lineRule="auto"/>
        <w:tabs>
          <w:tab w:leader="none" w:pos="1472" w:val="left"/>
        </w:tabs>
        <w:numPr>
          <w:ilvl w:val="1"/>
          <w:numId w:val="179"/>
        </w:numPr>
        <w:rPr>
          <w:rFonts w:ascii="Arial" w:cs="Arial" w:eastAsia="Arial" w:hAnsi="Arial"/>
          <w:sz w:val="15"/>
          <w:szCs w:val="15"/>
          <w:color w:val="auto"/>
        </w:rPr>
      </w:pPr>
      <w:r>
        <w:rPr>
          <w:rFonts w:ascii="Arial" w:cs="Arial" w:eastAsia="Arial" w:hAnsi="Arial"/>
          <w:sz w:val="17"/>
          <w:szCs w:val="17"/>
          <w:color w:val="auto"/>
        </w:rPr>
        <w:t>FIRST, to payment of all costs and expenses of the Agent incurred in connection with the collection and enforcement of the Guaranteed Obligations or of any security interest granted to the Agent in connection with any collateral securing the Guaranteed Obligations;</w:t>
      </w:r>
    </w:p>
    <w:p>
      <w:pPr>
        <w:spacing w:after="0" w:line="110" w:lineRule="exact"/>
        <w:rPr>
          <w:rFonts w:ascii="Arial" w:cs="Arial" w:eastAsia="Arial" w:hAnsi="Arial"/>
          <w:sz w:val="15"/>
          <w:szCs w:val="15"/>
          <w:color w:val="auto"/>
        </w:rPr>
      </w:pPr>
    </w:p>
    <w:p>
      <w:pPr>
        <w:jc w:val="both"/>
        <w:ind w:left="540" w:firstLine="526"/>
        <w:spacing w:after="0" w:line="258" w:lineRule="auto"/>
        <w:tabs>
          <w:tab w:leader="none" w:pos="1426" w:val="left"/>
        </w:tabs>
        <w:numPr>
          <w:ilvl w:val="1"/>
          <w:numId w:val="179"/>
        </w:numPr>
        <w:rPr>
          <w:rFonts w:ascii="Arial" w:cs="Arial" w:eastAsia="Arial" w:hAnsi="Arial"/>
          <w:sz w:val="16"/>
          <w:szCs w:val="16"/>
          <w:color w:val="auto"/>
        </w:rPr>
      </w:pPr>
      <w:r>
        <w:rPr>
          <w:rFonts w:ascii="Arial" w:cs="Arial" w:eastAsia="Arial" w:hAnsi="Arial"/>
          <w:sz w:val="18"/>
          <w:szCs w:val="18"/>
          <w:color w:val="auto"/>
        </w:rPr>
        <w:t>SECOND, to payment of that portion of the Guaranteed Obligations constituting accrued and unpaid interest and fees in respect of the Loan Documents, pro rata among the Lenders, the Issuing Bank and their Affiliates in accordance with the amount of such accrued and unpaid interest and fees owing to them;</w:t>
      </w:r>
    </w:p>
    <w:p>
      <w:pPr>
        <w:spacing w:after="0" w:line="148" w:lineRule="exact"/>
        <w:rPr>
          <w:rFonts w:ascii="Arial" w:cs="Arial" w:eastAsia="Arial" w:hAnsi="Arial"/>
          <w:sz w:val="16"/>
          <w:szCs w:val="16"/>
          <w:color w:val="auto"/>
        </w:rPr>
      </w:pPr>
    </w:p>
    <w:p>
      <w:pPr>
        <w:jc w:val="both"/>
        <w:ind w:left="540" w:firstLine="526"/>
        <w:spacing w:after="0" w:line="319" w:lineRule="auto"/>
        <w:tabs>
          <w:tab w:leader="none" w:pos="1450" w:val="left"/>
        </w:tabs>
        <w:numPr>
          <w:ilvl w:val="1"/>
          <w:numId w:val="179"/>
        </w:numPr>
        <w:rPr>
          <w:rFonts w:ascii="Arial" w:cs="Arial" w:eastAsia="Arial" w:hAnsi="Arial"/>
          <w:sz w:val="14"/>
          <w:szCs w:val="14"/>
          <w:color w:val="auto"/>
        </w:rPr>
      </w:pPr>
      <w:r>
        <w:rPr>
          <w:rFonts w:ascii="Arial" w:cs="Arial" w:eastAsia="Arial" w:hAnsi="Arial"/>
          <w:sz w:val="15"/>
          <w:szCs w:val="15"/>
          <w:color w:val="auto"/>
        </w:rPr>
        <w:t>THIRD, to payment of the principal of the Guaranteed Obligations and net early termination payments and that portion of the Guaranteed Obligations in respect of the Lender Swap Agreements then due and unpaid from the Credit Parties to any of the Secured Parties or their Affiliates, pro rata among the Secured Parties and their Affiliates in accordance with the amount of such principal and such net early termination payments and such portion of the Guaranteed Obligations in respect of the Lender Swap Agreements then due and unpaid owing to them; and</w:t>
      </w:r>
    </w:p>
    <w:p>
      <w:pPr>
        <w:spacing w:after="0" w:line="107" w:lineRule="exact"/>
        <w:rPr>
          <w:rFonts w:ascii="Arial" w:cs="Arial" w:eastAsia="Arial" w:hAnsi="Arial"/>
          <w:sz w:val="14"/>
          <w:szCs w:val="14"/>
          <w:color w:val="auto"/>
        </w:rPr>
      </w:pPr>
    </w:p>
    <w:p>
      <w:pPr>
        <w:ind w:left="540" w:firstLine="526"/>
        <w:spacing w:after="0" w:line="274" w:lineRule="auto"/>
        <w:tabs>
          <w:tab w:leader="none" w:pos="1426" w:val="left"/>
        </w:tabs>
        <w:numPr>
          <w:ilvl w:val="1"/>
          <w:numId w:val="179"/>
        </w:numPr>
        <w:rPr>
          <w:rFonts w:ascii="Arial" w:cs="Arial" w:eastAsia="Arial" w:hAnsi="Arial"/>
          <w:sz w:val="16"/>
          <w:szCs w:val="16"/>
          <w:color w:val="auto"/>
        </w:rPr>
      </w:pPr>
      <w:r>
        <w:rPr>
          <w:rFonts w:ascii="Arial" w:cs="Arial" w:eastAsia="Arial" w:hAnsi="Arial"/>
          <w:sz w:val="18"/>
          <w:szCs w:val="18"/>
          <w:color w:val="auto"/>
        </w:rPr>
        <w:t>FOURTH, to payment of any Guaranteed Obligations (other than those listed above) pro rata among those parties to whom such Guaranteed Obligations are due in accordance with the amounts owing to them.</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164</w:t>
      </w:r>
    </w:p>
    <w:p>
      <w:pPr>
        <w:sectPr>
          <w:pgSz w:w="11900" w:h="16838" w:orient="portrait"/>
          <w:cols w:equalWidth="0" w:num="1">
            <w:col w:w="11460"/>
          </w:cols>
          <w:pgMar w:left="220" w:top="508" w:right="219" w:bottom="1440" w:gutter="0" w:footer="0" w:header="0"/>
        </w:sectPr>
      </w:pPr>
    </w:p>
    <w:bookmarkStart w:id="225" w:name="page226"/>
    <w:bookmarkEnd w:id="225"/>
    <w:p>
      <w:pPr>
        <w:ind w:left="540" w:right="20" w:firstLine="526"/>
        <w:spacing w:after="0" w:line="274" w:lineRule="auto"/>
        <w:tabs>
          <w:tab w:leader="none" w:pos="1395" w:val="left"/>
        </w:tabs>
        <w:numPr>
          <w:ilvl w:val="1"/>
          <w:numId w:val="180"/>
        </w:numPr>
        <w:rPr>
          <w:rFonts w:ascii="Arial" w:cs="Arial" w:eastAsia="Arial" w:hAnsi="Arial"/>
          <w:sz w:val="16"/>
          <w:szCs w:val="16"/>
          <w:color w:val="auto"/>
        </w:rPr>
      </w:pPr>
      <w:r>
        <w:rPr>
          <w:rFonts w:ascii="Arial" w:cs="Arial" w:eastAsia="Arial" w:hAnsi="Arial"/>
          <w:sz w:val="18"/>
          <w:szCs w:val="18"/>
          <w:color w:val="auto"/>
        </w:rPr>
        <w:t>Notwithstanding the foregoing, amounts received from any Subsidiary Guarantor that is not a Qualified ECP Guarantor shall not be applied to the Guaranteed Obligations that are Excluded Swap Obligations of such Subsidiary Guarantor.</w:t>
      </w:r>
    </w:p>
    <w:p>
      <w:pPr>
        <w:spacing w:after="0" w:line="133" w:lineRule="exact"/>
        <w:rPr>
          <w:rFonts w:ascii="Arial" w:cs="Arial" w:eastAsia="Arial" w:hAnsi="Arial"/>
          <w:sz w:val="16"/>
          <w:szCs w:val="16"/>
          <w:color w:val="auto"/>
        </w:rPr>
      </w:pPr>
    </w:p>
    <w:p>
      <w:pPr>
        <w:ind w:firstLine="537"/>
        <w:spacing w:after="0" w:line="304" w:lineRule="auto"/>
        <w:tabs>
          <w:tab w:leader="none" w:pos="985" w:val="left"/>
        </w:tabs>
        <w:numPr>
          <w:ilvl w:val="0"/>
          <w:numId w:val="181"/>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All notices, requests and other communications to any party hereunder shall be sent (and deemed received) in the manner and to the addresses set forth in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of the Credit Agreement, with notices to the Subsidiary Guarantors to be sent to the address provided for the Parent.</w:t>
      </w:r>
    </w:p>
    <w:p>
      <w:pPr>
        <w:spacing w:after="0" w:line="110" w:lineRule="exact"/>
        <w:rPr>
          <w:rFonts w:ascii="Arial" w:cs="Arial" w:eastAsia="Arial" w:hAnsi="Arial"/>
          <w:sz w:val="17"/>
          <w:szCs w:val="17"/>
          <w:color w:val="auto"/>
        </w:rPr>
      </w:pPr>
    </w:p>
    <w:p>
      <w:pPr>
        <w:jc w:val="both"/>
        <w:ind w:firstLine="537"/>
        <w:spacing w:after="0" w:line="272" w:lineRule="auto"/>
        <w:tabs>
          <w:tab w:leader="none" w:pos="918" w:val="left"/>
        </w:tabs>
        <w:numPr>
          <w:ilvl w:val="0"/>
          <w:numId w:val="181"/>
        </w:numPr>
        <w:rPr>
          <w:rFonts w:ascii="Arial" w:cs="Arial" w:eastAsia="Arial" w:hAnsi="Arial"/>
          <w:sz w:val="17"/>
          <w:szCs w:val="17"/>
          <w:color w:val="auto"/>
        </w:rPr>
      </w:pPr>
      <w:r>
        <w:rPr>
          <w:rFonts w:ascii="Arial" w:cs="Arial" w:eastAsia="Arial" w:hAnsi="Arial"/>
          <w:sz w:val="17"/>
          <w:szCs w:val="17"/>
          <w:u w:val="single" w:color="auto"/>
          <w:color w:val="auto"/>
        </w:rPr>
        <w:t>No Waivers</w:t>
      </w:r>
      <w:r>
        <w:rPr>
          <w:rFonts w:ascii="Arial" w:cs="Arial" w:eastAsia="Arial" w:hAnsi="Arial"/>
          <w:sz w:val="17"/>
          <w:szCs w:val="17"/>
          <w:color w:val="auto"/>
        </w:rPr>
        <w:t>. No failure or delay by the Agent or any Secured Parties in exercising any right, power or privilege hereunder shall operate as a waiver thereof nor shall any single or partial exercise thereof preclude any other or further exercise thereof or the exercise of any other right, power or privilege. The rights and remedies provided in this Guaranty, the Credit Agreement, any Note, any Cash Management Agreement, any Lender Swap Agreement or any other Loan Document shall be cumulative and not exclusive of any rights or remedies provided by law.</w:t>
      </w:r>
    </w:p>
    <w:p>
      <w:pPr>
        <w:spacing w:after="0" w:line="138" w:lineRule="exact"/>
        <w:rPr>
          <w:rFonts w:ascii="Arial" w:cs="Arial" w:eastAsia="Arial" w:hAnsi="Arial"/>
          <w:sz w:val="17"/>
          <w:szCs w:val="17"/>
          <w:color w:val="auto"/>
        </w:rPr>
      </w:pPr>
    </w:p>
    <w:p>
      <w:pPr>
        <w:jc w:val="both"/>
        <w:ind w:firstLine="537"/>
        <w:spacing w:after="0" w:line="272" w:lineRule="auto"/>
        <w:tabs>
          <w:tab w:leader="none" w:pos="929" w:val="left"/>
        </w:tabs>
        <w:numPr>
          <w:ilvl w:val="0"/>
          <w:numId w:val="181"/>
        </w:numPr>
        <w:rPr>
          <w:rFonts w:ascii="Arial" w:cs="Arial" w:eastAsia="Arial" w:hAnsi="Arial"/>
          <w:sz w:val="17"/>
          <w:szCs w:val="17"/>
          <w:color w:val="auto"/>
        </w:rPr>
      </w:pPr>
      <w:r>
        <w:rPr>
          <w:rFonts w:ascii="Arial" w:cs="Arial" w:eastAsia="Arial" w:hAnsi="Arial"/>
          <w:sz w:val="17"/>
          <w:szCs w:val="17"/>
          <w:u w:val="single" w:color="auto"/>
          <w:color w:val="auto"/>
        </w:rPr>
        <w:t>No Duty to Advise</w:t>
      </w:r>
      <w:r>
        <w:rPr>
          <w:rFonts w:ascii="Arial" w:cs="Arial" w:eastAsia="Arial" w:hAnsi="Arial"/>
          <w:sz w:val="17"/>
          <w:szCs w:val="17"/>
          <w:color w:val="auto"/>
        </w:rPr>
        <w:t>. The Subsidiary Guarantors assume all responsibility for being and keeping themselves informed of the Parent’s and any other Borrower’s financial condition and assets, and of all other circumstances bearing upon the risk of nonpayment of the Guaranteed Obligations and the nature, scope and extent of the risks that the Subsidiary Guarantors assume and incur under this Guaranty, and agrees that neither the Agent nor any Secured Party has any duty to advise the Subsidiary Guarantors of information known to it regarding those circumstances or risks.</w:t>
      </w:r>
    </w:p>
    <w:p>
      <w:pPr>
        <w:spacing w:after="0" w:line="138" w:lineRule="exact"/>
        <w:rPr>
          <w:rFonts w:ascii="Arial" w:cs="Arial" w:eastAsia="Arial" w:hAnsi="Arial"/>
          <w:sz w:val="17"/>
          <w:szCs w:val="17"/>
          <w:color w:val="auto"/>
        </w:rPr>
      </w:pPr>
    </w:p>
    <w:p>
      <w:pPr>
        <w:jc w:val="both"/>
        <w:ind w:firstLine="537"/>
        <w:spacing w:after="0" w:line="319" w:lineRule="auto"/>
        <w:tabs>
          <w:tab w:leader="none" w:pos="918" w:val="left"/>
        </w:tabs>
        <w:numPr>
          <w:ilvl w:val="0"/>
          <w:numId w:val="181"/>
        </w:numPr>
        <w:rPr>
          <w:rFonts w:ascii="Arial" w:cs="Arial" w:eastAsia="Arial" w:hAnsi="Arial"/>
          <w:sz w:val="15"/>
          <w:szCs w:val="15"/>
          <w:color w:val="auto"/>
        </w:rPr>
      </w:pPr>
      <w:r>
        <w:rPr>
          <w:rFonts w:ascii="Arial" w:cs="Arial" w:eastAsia="Arial" w:hAnsi="Arial"/>
          <w:sz w:val="15"/>
          <w:szCs w:val="15"/>
          <w:u w:val="single" w:color="auto"/>
          <w:color w:val="auto"/>
        </w:rPr>
        <w:t>Successors and Assigns</w:t>
      </w:r>
      <w:r>
        <w:rPr>
          <w:rFonts w:ascii="Arial" w:cs="Arial" w:eastAsia="Arial" w:hAnsi="Arial"/>
          <w:sz w:val="15"/>
          <w:szCs w:val="15"/>
          <w:color w:val="auto"/>
        </w:rPr>
        <w:t>. This Guaranty is for the benefit of the Agent and the Secured Parties and their respective successors and permitted assigns and in the event of an assignment of any amounts payable under the Credit Agreement, any Note, any Cash Management Agreement, any Lender Swap Agreement or any other Loan Document, the rights hereunder, to the extent applicable to the indebtedness so assigned, shall be transferred with such indebtedness. This Guaranty shall be binding upon the Subsidiary Guarantors and their respective successors and permitted assigns.</w:t>
      </w:r>
    </w:p>
    <w:p>
      <w:pPr>
        <w:spacing w:after="0" w:line="107" w:lineRule="exact"/>
        <w:rPr>
          <w:rFonts w:ascii="Arial" w:cs="Arial" w:eastAsia="Arial" w:hAnsi="Arial"/>
          <w:sz w:val="15"/>
          <w:szCs w:val="15"/>
          <w:color w:val="auto"/>
        </w:rPr>
      </w:pPr>
    </w:p>
    <w:p>
      <w:pPr>
        <w:ind w:firstLine="537"/>
        <w:spacing w:after="0" w:line="274" w:lineRule="auto"/>
        <w:tabs>
          <w:tab w:leader="none" w:pos="94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Changes in Writing</w:t>
      </w:r>
      <w:r>
        <w:rPr>
          <w:rFonts w:ascii="Arial" w:cs="Arial" w:eastAsia="Arial" w:hAnsi="Arial"/>
          <w:sz w:val="18"/>
          <w:szCs w:val="18"/>
          <w:color w:val="auto"/>
        </w:rPr>
        <w:t>. Neither this Guaranty nor any provision hereof may be changed, waived, discharged or terminated orally, but only in writing signed by the Subsidiary Guarantors and the Agent with the consent of the Required Lenders.</w:t>
      </w:r>
    </w:p>
    <w:p>
      <w:pPr>
        <w:spacing w:after="0" w:line="133" w:lineRule="exact"/>
        <w:rPr>
          <w:rFonts w:ascii="Arial" w:cs="Arial" w:eastAsia="Arial" w:hAnsi="Arial"/>
          <w:sz w:val="18"/>
          <w:szCs w:val="18"/>
          <w:color w:val="auto"/>
        </w:rPr>
      </w:pPr>
    </w:p>
    <w:p>
      <w:pPr>
        <w:jc w:val="both"/>
        <w:ind w:firstLine="537"/>
        <w:spacing w:after="0" w:line="253" w:lineRule="auto"/>
        <w:tabs>
          <w:tab w:leader="none" w:pos="94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Costs of Enforcement</w:t>
      </w:r>
      <w:r>
        <w:rPr>
          <w:rFonts w:ascii="Arial" w:cs="Arial" w:eastAsia="Arial" w:hAnsi="Arial"/>
          <w:sz w:val="18"/>
          <w:szCs w:val="18"/>
          <w:color w:val="auto"/>
        </w:rPr>
        <w:t>. The Subsidiary Guarantors agree to pay all costs and expenses including, without limitation, all court costs and reasonable attorneys’ fees and expenses actually paid or incurred by the Agent or any Secured Parties or any Affiliate of any Secured Party in endeavoring to collect all or any part of the Guaranteed Obligations from, or in prosecuting any action against, the Parent, the Borrowers, the Subsidiary Guarantors or any other guarantor of all or any part of the Guaranteed Obligations.</w:t>
      </w:r>
    </w:p>
    <w:p>
      <w:pPr>
        <w:spacing w:after="0" w:line="152" w:lineRule="exact"/>
        <w:rPr>
          <w:rFonts w:ascii="Arial" w:cs="Arial" w:eastAsia="Arial" w:hAnsi="Arial"/>
          <w:sz w:val="18"/>
          <w:szCs w:val="18"/>
          <w:color w:val="auto"/>
        </w:rPr>
      </w:pPr>
    </w:p>
    <w:p>
      <w:pPr>
        <w:ind w:left="900" w:hanging="363"/>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 Consent to Service of Process</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1400" w:hanging="334"/>
        <w:spacing w:after="0"/>
        <w:tabs>
          <w:tab w:leader="none" w:pos="1400" w:val="left"/>
        </w:tabs>
        <w:numPr>
          <w:ilvl w:val="1"/>
          <w:numId w:val="181"/>
        </w:numPr>
        <w:rPr>
          <w:rFonts w:ascii="Arial" w:cs="Arial" w:eastAsia="Arial" w:hAnsi="Arial"/>
          <w:sz w:val="16"/>
          <w:szCs w:val="16"/>
          <w:color w:val="auto"/>
        </w:rPr>
      </w:pPr>
      <w:r>
        <w:rPr>
          <w:rFonts w:ascii="Arial" w:cs="Arial" w:eastAsia="Arial" w:hAnsi="Arial"/>
          <w:sz w:val="18"/>
          <w:szCs w:val="18"/>
          <w:color w:val="auto"/>
        </w:rPr>
        <w:t>This Security Agreement shall be construed in accordance with and governed by the law of the State of Oklahoma.</w:t>
      </w:r>
    </w:p>
    <w:p>
      <w:pPr>
        <w:spacing w:after="0" w:line="189" w:lineRule="exact"/>
        <w:rPr>
          <w:rFonts w:ascii="Arial" w:cs="Arial" w:eastAsia="Arial" w:hAnsi="Arial"/>
          <w:sz w:val="16"/>
          <w:szCs w:val="16"/>
          <w:color w:val="auto"/>
        </w:rPr>
      </w:pPr>
    </w:p>
    <w:p>
      <w:pPr>
        <w:jc w:val="both"/>
        <w:ind w:left="540" w:firstLine="526"/>
        <w:spacing w:after="0" w:line="319" w:lineRule="auto"/>
        <w:tabs>
          <w:tab w:leader="none" w:pos="1437" w:val="left"/>
        </w:tabs>
        <w:numPr>
          <w:ilvl w:val="1"/>
          <w:numId w:val="181"/>
        </w:numPr>
        <w:rPr>
          <w:rFonts w:ascii="Arial" w:cs="Arial" w:eastAsia="Arial" w:hAnsi="Arial"/>
          <w:sz w:val="14"/>
          <w:szCs w:val="14"/>
          <w:color w:val="auto"/>
        </w:rPr>
      </w:pPr>
      <w:r>
        <w:rPr>
          <w:rFonts w:ascii="Arial" w:cs="Arial" w:eastAsia="Arial" w:hAnsi="Arial"/>
          <w:sz w:val="15"/>
          <w:szCs w:val="15"/>
          <w:color w:val="auto"/>
        </w:rPr>
        <w:t>Subsidiary Guarantors hereby irrevocably and unconditionally submit, for themselves and their property, to the nonexclusive jurisdiction of any United States federal court or Oklahoma state court sitting in Tulsa, Oklahoma, and any appellate court from any thereof, in any action or proceeding arising out of or relating to this Guaranty, or for recognition or enforcement of any judgment, and each of the parties hereto hereby irrevocably and unconditionally agrees that all claims in respect of any such action or proceeding may be heard and determined in such state or, to the extent</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165</w:t>
      </w:r>
    </w:p>
    <w:p>
      <w:pPr>
        <w:sectPr>
          <w:pgSz w:w="11900" w:h="16838" w:orient="portrait"/>
          <w:cols w:equalWidth="0" w:num="1">
            <w:col w:w="11460"/>
          </w:cols>
          <w:pgMar w:left="220" w:top="508" w:right="219" w:bottom="1440" w:gutter="0" w:footer="0" w:header="0"/>
        </w:sectPr>
      </w:pPr>
    </w:p>
    <w:bookmarkStart w:id="226" w:name="page227"/>
    <w:bookmarkEnd w:id="226"/>
    <w:p>
      <w:pPr>
        <w:jc w:val="both"/>
        <w:ind w:left="540"/>
        <w:spacing w:after="0" w:line="249" w:lineRule="auto"/>
        <w:rPr>
          <w:sz w:val="20"/>
          <w:szCs w:val="20"/>
          <w:color w:val="auto"/>
        </w:rPr>
      </w:pPr>
      <w:r>
        <w:rPr>
          <w:rFonts w:ascii="Arial" w:cs="Arial" w:eastAsia="Arial" w:hAnsi="Arial"/>
          <w:sz w:val="18"/>
          <w:szCs w:val="18"/>
          <w:color w:val="auto"/>
        </w:rPr>
        <w:t>permitted by law, in such federal court. Each of the parties hereto agrees that a final judgment in any such action or proceeding shall be conclusive and may be enforced in other jurisdictions by suit on the judgment or in any other manner provided by law. Nothing in this Guaranty shall affect any right that the Agent, the Issuing Bank or any Secured Party may otherwise have to bring any action or proceeding relating to this Guaranty against the Subsidiary Guarantors or their properties in the courts of any jurisdiction.</w:t>
      </w:r>
    </w:p>
    <w:p>
      <w:pPr>
        <w:spacing w:after="0" w:line="155" w:lineRule="exact"/>
        <w:rPr>
          <w:sz w:val="20"/>
          <w:szCs w:val="20"/>
          <w:color w:val="auto"/>
        </w:rPr>
      </w:pPr>
    </w:p>
    <w:p>
      <w:pPr>
        <w:jc w:val="both"/>
        <w:ind w:left="540" w:firstLine="526"/>
        <w:spacing w:after="0" w:line="253" w:lineRule="auto"/>
        <w:tabs>
          <w:tab w:leader="none" w:pos="1516" w:val="left"/>
        </w:tabs>
        <w:numPr>
          <w:ilvl w:val="1"/>
          <w:numId w:val="182"/>
        </w:numPr>
        <w:rPr>
          <w:rFonts w:ascii="Arial" w:cs="Arial" w:eastAsia="Arial" w:hAnsi="Arial"/>
          <w:sz w:val="16"/>
          <w:szCs w:val="16"/>
          <w:color w:val="auto"/>
        </w:rPr>
      </w:pPr>
      <w:r>
        <w:rPr>
          <w:rFonts w:ascii="Arial" w:cs="Arial" w:eastAsia="Arial" w:hAnsi="Arial"/>
          <w:sz w:val="18"/>
          <w:szCs w:val="18"/>
          <w:color w:val="auto"/>
        </w:rPr>
        <w:t>Subsidiary Guarantors hereby irrevocably and unconditionally waive, to the fullest extent they may legally and effectively do so, any objection which they may now or hereafter have to the laying of venue of any suit, action or proceeding arising out of or relating to this Guaranty in any court referred to in paragraph (b) of this Section. Each of the parties hereby irrevocably waives, to the fullest extent permitted by law, the defense of an inconvenient forum to the maintenance of such action or proceeding in any such court.</w:t>
      </w:r>
    </w:p>
    <w:p>
      <w:pPr>
        <w:spacing w:after="0" w:line="152" w:lineRule="exact"/>
        <w:rPr>
          <w:rFonts w:ascii="Arial" w:cs="Arial" w:eastAsia="Arial" w:hAnsi="Arial"/>
          <w:sz w:val="16"/>
          <w:szCs w:val="16"/>
          <w:color w:val="auto"/>
        </w:rPr>
      </w:pPr>
    </w:p>
    <w:p>
      <w:pPr>
        <w:ind w:left="540" w:firstLine="526"/>
        <w:spacing w:after="0" w:line="377" w:lineRule="auto"/>
        <w:tabs>
          <w:tab w:leader="none" w:pos="1492" w:val="left"/>
        </w:tabs>
        <w:numPr>
          <w:ilvl w:val="1"/>
          <w:numId w:val="182"/>
        </w:numPr>
        <w:rPr>
          <w:rFonts w:ascii="Arial" w:cs="Arial" w:eastAsia="Arial" w:hAnsi="Arial"/>
          <w:sz w:val="14"/>
          <w:szCs w:val="14"/>
          <w:color w:val="auto"/>
        </w:rPr>
      </w:pPr>
      <w:r>
        <w:rPr>
          <w:rFonts w:ascii="Arial" w:cs="Arial" w:eastAsia="Arial" w:hAnsi="Arial"/>
          <w:sz w:val="15"/>
          <w:szCs w:val="15"/>
          <w:color w:val="auto"/>
        </w:rPr>
        <w:t xml:space="preserve">Each party to this Guaranty irrevocably consents to service of process in the manner provided for notices in </w:t>
      </w:r>
      <w:r>
        <w:rPr>
          <w:rFonts w:ascii="Arial" w:cs="Arial" w:eastAsia="Arial" w:hAnsi="Arial"/>
          <w:sz w:val="15"/>
          <w:szCs w:val="15"/>
          <w:u w:val="single" w:color="auto"/>
          <w:color w:val="auto"/>
        </w:rPr>
        <w:t>Section 9.01</w:t>
      </w:r>
      <w:r>
        <w:rPr>
          <w:rFonts w:ascii="Arial" w:cs="Arial" w:eastAsia="Arial" w:hAnsi="Arial"/>
          <w:sz w:val="15"/>
          <w:szCs w:val="15"/>
          <w:color w:val="auto"/>
        </w:rPr>
        <w:t xml:space="preserve"> of the Credit Agreement. Nothing in this Guaranty will affect the right of any party to this Guaranty to serve process in any other manner permitted by law.</w:t>
      </w:r>
    </w:p>
    <w:p>
      <w:pPr>
        <w:spacing w:after="0" w:line="64" w:lineRule="exact"/>
        <w:rPr>
          <w:rFonts w:ascii="Arial" w:cs="Arial" w:eastAsia="Arial" w:hAnsi="Arial"/>
          <w:sz w:val="14"/>
          <w:szCs w:val="14"/>
          <w:color w:val="auto"/>
        </w:rPr>
      </w:pPr>
    </w:p>
    <w:p>
      <w:pPr>
        <w:jc w:val="both"/>
        <w:ind w:left="540" w:firstLine="526"/>
        <w:spacing w:after="0" w:line="247" w:lineRule="auto"/>
        <w:tabs>
          <w:tab w:leader="none" w:pos="1395" w:val="left"/>
        </w:tabs>
        <w:numPr>
          <w:ilvl w:val="1"/>
          <w:numId w:val="182"/>
        </w:numPr>
        <w:rPr>
          <w:rFonts w:ascii="Arial" w:cs="Arial" w:eastAsia="Arial" w:hAnsi="Arial"/>
          <w:sz w:val="16"/>
          <w:szCs w:val="16"/>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HEREBY WAIVES, TO THE FULLEST EXTENT PERMITTED BY APPLICABLE LAW, ANY RIGHT IT MAY HAVE TO A TRIAL BY JURY IN ANY LEGAL PROCEEDING DIRECTLY OR INDIRECTLY ARISING OUT OF OR RELATING TO THIS GUARANTY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GUARANTY BY, AMONG OTHER THINGS, THE MUTUAL WAIVERS AND CERTIFICATIONS IN THIS SECTION.</w:t>
      </w:r>
    </w:p>
    <w:p>
      <w:pPr>
        <w:spacing w:after="0" w:line="158" w:lineRule="exact"/>
        <w:rPr>
          <w:rFonts w:ascii="Arial" w:cs="Arial" w:eastAsia="Arial" w:hAnsi="Arial"/>
          <w:sz w:val="16"/>
          <w:szCs w:val="16"/>
          <w:color w:val="auto"/>
        </w:rPr>
      </w:pPr>
    </w:p>
    <w:p>
      <w:pPr>
        <w:jc w:val="both"/>
        <w:ind w:firstLine="537"/>
        <w:spacing w:after="0" w:line="263" w:lineRule="auto"/>
        <w:tabs>
          <w:tab w:leader="none" w:pos="896"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t>Taxes, etc.</w:t>
      </w:r>
      <w:r>
        <w:rPr>
          <w:rFonts w:ascii="Arial" w:cs="Arial" w:eastAsia="Arial" w:hAnsi="Arial"/>
          <w:sz w:val="17"/>
          <w:szCs w:val="17"/>
          <w:color w:val="auto"/>
        </w:rPr>
        <w:t xml:space="preserve"> All payments required to be made by the Subsidiary Guarantors hereunder shall be made without setoff or counterclaim and free and clear of and without deduction or withholding for or on account of, any present or future taxes, levies, imposts, duties or other charges of whatsoever nature imposed by any government or any political or taxing authority thereof (but excluding Excluded Taxes), provided, however, that if the Subsidiary Guarantors are required by law to make such deduction or withholding, the Subsidiary Guarantors shall forthwith (i) pay to the Agent or any Secured Party, as applicable, such additional amount as results in the net amount received by the Agent or any Secured Party, as applicable, equaling the full amount which would have been received by the Agent or any Secured Party, as applicable, had no such deduction or withholding been made, (ii) pay the full amount deducted to the relevant authority in accordance with applicable law, and (iii) furnish to the Agent or any Secured Party, as applicable, certified copies of official receipts evidencing payment of such withholding taxes within 30 days after such payment is made.</w:t>
      </w:r>
    </w:p>
    <w:p>
      <w:pPr>
        <w:spacing w:after="0" w:line="149" w:lineRule="exact"/>
        <w:rPr>
          <w:rFonts w:ascii="Arial" w:cs="Arial" w:eastAsia="Arial" w:hAnsi="Arial"/>
          <w:sz w:val="17"/>
          <w:szCs w:val="17"/>
          <w:color w:val="auto"/>
        </w:rPr>
      </w:pPr>
    </w:p>
    <w:p>
      <w:pPr>
        <w:jc w:val="both"/>
        <w:ind w:firstLine="537"/>
        <w:spacing w:after="0" w:line="334" w:lineRule="auto"/>
        <w:tabs>
          <w:tab w:leader="none" w:pos="918" w:val="left"/>
        </w:tabs>
        <w:numPr>
          <w:ilvl w:val="0"/>
          <w:numId w:val="183"/>
        </w:numPr>
        <w:rPr>
          <w:rFonts w:ascii="Arial" w:cs="Arial" w:eastAsia="Arial" w:hAnsi="Arial"/>
          <w:sz w:val="15"/>
          <w:szCs w:val="15"/>
          <w:color w:val="auto"/>
        </w:rPr>
      </w:pPr>
      <w:r>
        <w:rPr>
          <w:rFonts w:ascii="Arial" w:cs="Arial" w:eastAsia="Arial" w:hAnsi="Arial"/>
          <w:sz w:val="15"/>
          <w:szCs w:val="15"/>
          <w:u w:val="single" w:color="auto"/>
          <w:color w:val="auto"/>
        </w:rPr>
        <w:t>Setoff.</w:t>
      </w:r>
      <w:r>
        <w:rPr>
          <w:rFonts w:ascii="Arial" w:cs="Arial" w:eastAsia="Arial" w:hAnsi="Arial"/>
          <w:sz w:val="15"/>
          <w:szCs w:val="15"/>
          <w:color w:val="auto"/>
        </w:rPr>
        <w:t xml:space="preserve"> Without limiting the rights of the Agent or the Secured Parties under applicable law, if all or any part of the Guaranteed Obligations is then due, whether pursuant to the occurrence of a Default or otherwise, then the Subsidiary Guarantors authorize the Agent and the Secured Parties to apply any sums standing to the credit of the Subsidiary Guarantors with the Agent, any Secured Party or their Affiliates toward the payment of the Guaranteed Obligations.</w:t>
      </w:r>
    </w:p>
    <w:p>
      <w:pPr>
        <w:spacing w:after="0" w:line="95" w:lineRule="exact"/>
        <w:rPr>
          <w:rFonts w:ascii="Arial" w:cs="Arial" w:eastAsia="Arial" w:hAnsi="Arial"/>
          <w:sz w:val="15"/>
          <w:szCs w:val="15"/>
          <w:color w:val="auto"/>
        </w:rPr>
      </w:pPr>
    </w:p>
    <w:p>
      <w:pPr>
        <w:ind w:firstLine="537"/>
        <w:spacing w:after="0" w:line="274" w:lineRule="auto"/>
        <w:tabs>
          <w:tab w:leader="none" w:pos="962"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Joinder of Additional Subsidiary Guarantors</w:t>
      </w:r>
      <w:r>
        <w:rPr>
          <w:rFonts w:ascii="Arial" w:cs="Arial" w:eastAsia="Arial" w:hAnsi="Arial"/>
          <w:sz w:val="18"/>
          <w:szCs w:val="18"/>
          <w:color w:val="auto"/>
        </w:rPr>
        <w:t>. Upon execution and delivery by any Domestic Subsidiary to the Agent after the date hereof of an addendum and joinder hereto in the form attached hereto</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166</w:t>
      </w:r>
    </w:p>
    <w:p>
      <w:pPr>
        <w:sectPr>
          <w:pgSz w:w="11900" w:h="16838" w:orient="portrait"/>
          <w:cols w:equalWidth="0" w:num="1">
            <w:col w:w="11460"/>
          </w:cols>
          <w:pgMar w:left="220" w:top="508" w:right="219" w:bottom="1440" w:gutter="0" w:footer="0" w:header="0"/>
        </w:sectPr>
      </w:pPr>
    </w:p>
    <w:bookmarkStart w:id="227" w:name="page228"/>
    <w:bookmarkEnd w:id="227"/>
    <w:p>
      <w:pPr>
        <w:jc w:val="both"/>
        <w:spacing w:after="0" w:line="268" w:lineRule="auto"/>
        <w:rPr>
          <w:sz w:val="20"/>
          <w:szCs w:val="20"/>
          <w:color w:val="auto"/>
        </w:rPr>
      </w:pPr>
      <w:r>
        <w:rPr>
          <w:rFonts w:ascii="Arial" w:cs="Arial" w:eastAsia="Arial" w:hAnsi="Arial"/>
          <w:sz w:val="17"/>
          <w:szCs w:val="17"/>
          <w:color w:val="auto"/>
        </w:rPr>
        <w:t xml:space="preserve">as </w:t>
      </w:r>
      <w:r>
        <w:rPr>
          <w:rFonts w:ascii="Arial" w:cs="Arial" w:eastAsia="Arial" w:hAnsi="Arial"/>
          <w:sz w:val="17"/>
          <w:szCs w:val="17"/>
          <w:u w:val="single" w:color="auto"/>
          <w:color w:val="auto"/>
        </w:rPr>
        <w:t>Annex I</w:t>
      </w:r>
      <w:r>
        <w:rPr>
          <w:rFonts w:ascii="Arial" w:cs="Arial" w:eastAsia="Arial" w:hAnsi="Arial"/>
          <w:sz w:val="17"/>
          <w:szCs w:val="17"/>
          <w:color w:val="auto"/>
        </w:rPr>
        <w:t>, such Subsidiary shall become a Subsidiary Guarantor hereunder with the same force and effect as if originally named herein as a Subsidiary Guarantor upon acceptance by the Agent of such addendum and joinder. The execution and delivery of any document adding an additional Subsidiary Guarantor as a party to this Guaranty shall not require the consent of any other Subsidiary Guarantor hereunder. The rights and obligations of each Subsidiary Guarantor shall remain in full force and effect notwithstanding the addition of any new Subsidiary Guarantor as a party to this Guaranty.</w:t>
      </w:r>
    </w:p>
    <w:p>
      <w:pPr>
        <w:spacing w:after="0" w:line="141" w:lineRule="exact"/>
        <w:rPr>
          <w:sz w:val="20"/>
          <w:szCs w:val="20"/>
          <w:color w:val="auto"/>
        </w:rPr>
      </w:pPr>
    </w:p>
    <w:p>
      <w:pPr>
        <w:ind w:left="4760" w:right="2240" w:hanging="4223"/>
        <w:spacing w:after="0" w:line="463" w:lineRule="auto"/>
        <w:tabs>
          <w:tab w:leader="none" w:pos="902"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Joint and Several Obligations</w:t>
      </w:r>
      <w:r>
        <w:rPr>
          <w:rFonts w:ascii="Arial" w:cs="Arial" w:eastAsia="Arial" w:hAnsi="Arial"/>
          <w:sz w:val="18"/>
          <w:szCs w:val="18"/>
          <w:color w:val="auto"/>
        </w:rPr>
        <w:t>. The obligations of the Subsidiary Guarantors under this Guaranty are joint and several. [</w:t>
      </w:r>
      <w:r>
        <w:rPr>
          <w:rFonts w:ascii="Arial" w:cs="Arial" w:eastAsia="Arial" w:hAnsi="Arial"/>
          <w:sz w:val="18"/>
          <w:szCs w:val="18"/>
          <w:i w:val="1"/>
          <w:iCs w:val="1"/>
          <w:color w:val="auto"/>
        </w:rPr>
        <w:t>Signature Pages Attached</w:t>
      </w:r>
      <w:r>
        <w:rPr>
          <w:rFonts w:ascii="Arial" w:cs="Arial" w:eastAsia="Arial" w:hAnsi="Arial"/>
          <w:sz w:val="18"/>
          <w:szCs w:val="18"/>
          <w:color w:val="auto"/>
        </w:rPr>
        <w: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167</w:t>
      </w:r>
    </w:p>
    <w:p>
      <w:pPr>
        <w:sectPr>
          <w:pgSz w:w="11900" w:h="16838" w:orient="portrait"/>
          <w:cols w:equalWidth="0" w:num="1">
            <w:col w:w="11460"/>
          </w:cols>
          <w:pgMar w:left="220" w:top="509" w:right="219" w:bottom="1440" w:gutter="0" w:footer="0" w:header="0"/>
        </w:sectPr>
      </w:pPr>
    </w:p>
    <w:bookmarkStart w:id="228" w:name="page229"/>
    <w:bookmarkEnd w:id="228"/>
    <w:p>
      <w:pPr>
        <w:spacing w:after="0"/>
        <w:rPr>
          <w:sz w:val="20"/>
          <w:szCs w:val="20"/>
          <w:color w:val="auto"/>
        </w:rPr>
      </w:pPr>
      <w:r>
        <w:rPr>
          <w:rFonts w:ascii="Arial" w:cs="Arial" w:eastAsia="Arial" w:hAnsi="Arial"/>
          <w:sz w:val="12"/>
          <w:szCs w:val="12"/>
          <w:color w:val="FFFFFF"/>
        </w:rPr>
        <w:t>HOU:3756061.4</w:t>
      </w:r>
    </w:p>
    <w:p>
      <w:pPr>
        <w:spacing w:after="0" w:line="1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IN WITNESS WHEREOF, the Subsidiary Guarantors have caused this Guaranty to be duly executed as of the day and year first above written.</w:t>
      </w:r>
    </w:p>
    <w:p>
      <w:pPr>
        <w:spacing w:after="0" w:line="200" w:lineRule="exact"/>
        <w:rPr>
          <w:sz w:val="20"/>
          <w:szCs w:val="20"/>
          <w:color w:val="auto"/>
        </w:rPr>
      </w:pPr>
    </w:p>
    <w:p>
      <w:pPr>
        <w:spacing w:after="0" w:line="242" w:lineRule="exact"/>
        <w:rPr>
          <w:sz w:val="20"/>
          <w:szCs w:val="20"/>
          <w:color w:val="auto"/>
        </w:rPr>
      </w:pPr>
    </w:p>
    <w:p>
      <w:pPr>
        <w:ind w:left="3440"/>
        <w:spacing w:after="0" w:line="255" w:lineRule="auto"/>
        <w:rPr>
          <w:sz w:val="20"/>
          <w:szCs w:val="20"/>
          <w:color w:val="auto"/>
        </w:rPr>
      </w:pPr>
      <w:r>
        <w:rPr>
          <w:rFonts w:ascii="Arial" w:cs="Arial" w:eastAsia="Arial" w:hAnsi="Arial"/>
          <w:sz w:val="18"/>
          <w:szCs w:val="18"/>
          <w:b w:val="1"/>
          <w:bCs w:val="1"/>
          <w:color w:val="auto"/>
        </w:rPr>
        <w:t>MATRIX SERVICE INC</w:t>
      </w:r>
      <w:r>
        <w:rPr>
          <w:rFonts w:ascii="Arial" w:cs="Arial" w:eastAsia="Arial" w:hAnsi="Arial"/>
          <w:sz w:val="18"/>
          <w:szCs w:val="18"/>
          <w:color w:val="auto"/>
        </w:rPr>
        <w:t>., an Oklahoma corporation;</w:t>
      </w:r>
      <w:r>
        <w:rPr>
          <w:rFonts w:ascii="Arial" w:cs="Arial" w:eastAsia="Arial" w:hAnsi="Arial"/>
          <w:sz w:val="18"/>
          <w:szCs w:val="18"/>
          <w:b w:val="1"/>
          <w:bCs w:val="1"/>
          <w:color w:val="auto"/>
        </w:rPr>
        <w:t xml:space="preserve"> MATRIX PDM ENGINEERING, INC.</w:t>
      </w:r>
      <w:r>
        <w:rPr>
          <w:rFonts w:ascii="Arial" w:cs="Arial" w:eastAsia="Arial" w:hAnsi="Arial"/>
          <w:sz w:val="18"/>
          <w:szCs w:val="18"/>
          <w:color w:val="auto"/>
        </w:rPr>
        <w:t>, a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corporation; </w:t>
      </w:r>
      <w:r>
        <w:rPr>
          <w:rFonts w:ascii="Arial" w:cs="Arial" w:eastAsia="Arial" w:hAnsi="Arial"/>
          <w:sz w:val="18"/>
          <w:szCs w:val="18"/>
          <w:b w:val="1"/>
          <w:bCs w:val="1"/>
          <w:color w:val="auto"/>
        </w:rPr>
        <w:t>MATRIX NORTH AMERICAN CONSTRUCTION, INC.</w:t>
      </w:r>
      <w:r>
        <w:rPr>
          <w:rFonts w:ascii="Arial" w:cs="Arial" w:eastAsia="Arial" w:hAnsi="Arial"/>
          <w:sz w:val="18"/>
          <w:szCs w:val="18"/>
          <w:color w:val="auto"/>
        </w:rPr>
        <w:t xml:space="preserve">, a Delaware corporation; </w:t>
      </w:r>
      <w:r>
        <w:rPr>
          <w:rFonts w:ascii="Arial" w:cs="Arial" w:eastAsia="Arial" w:hAnsi="Arial"/>
          <w:sz w:val="18"/>
          <w:szCs w:val="18"/>
          <w:b w:val="1"/>
          <w:bCs w:val="1"/>
          <w:color w:val="auto"/>
        </w:rPr>
        <w:t>HOUSTON</w:t>
      </w:r>
      <w:r>
        <w:rPr>
          <w:rFonts w:ascii="Arial" w:cs="Arial" w:eastAsia="Arial" w:hAnsi="Arial"/>
          <w:sz w:val="18"/>
          <w:szCs w:val="18"/>
          <w:color w:val="auto"/>
        </w:rPr>
        <w:t xml:space="preserve"> </w:t>
      </w:r>
      <w:r>
        <w:rPr>
          <w:rFonts w:ascii="Arial" w:cs="Arial" w:eastAsia="Arial" w:hAnsi="Arial"/>
          <w:sz w:val="18"/>
          <w:szCs w:val="18"/>
          <w:b w:val="1"/>
          <w:bCs w:val="1"/>
          <w:color w:val="auto"/>
        </w:rPr>
        <w:t>INTERESTS, LLC</w:t>
      </w:r>
      <w:r>
        <w:rPr>
          <w:rFonts w:ascii="Arial" w:cs="Arial" w:eastAsia="Arial" w:hAnsi="Arial"/>
          <w:sz w:val="18"/>
          <w:szCs w:val="18"/>
          <w:color w:val="auto"/>
        </w:rPr>
        <w:t>, an Oklahoma limited liability company</w:t>
      </w:r>
    </w:p>
    <w:p>
      <w:pPr>
        <w:spacing w:after="0" w:line="395" w:lineRule="exact"/>
        <w:rPr>
          <w:sz w:val="20"/>
          <w:szCs w:val="20"/>
          <w:color w:val="auto"/>
        </w:rPr>
      </w:pPr>
    </w:p>
    <w:p>
      <w:pPr>
        <w:ind w:left="3440"/>
        <w:spacing w:after="0"/>
        <w:tabs>
          <w:tab w:leader="none" w:pos="3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___________________________________________</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Kevin S. Cavanah,</w:t>
      </w:r>
    </w:p>
    <w:p>
      <w:pPr>
        <w:spacing w:after="0" w:line="1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Vice President or Treasurer</w:t>
      </w:r>
    </w:p>
    <w:p>
      <w:pPr>
        <w:spacing w:after="0" w:line="182"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168</w:t>
      </w:r>
    </w:p>
    <w:p>
      <w:pPr>
        <w:sectPr>
          <w:pgSz w:w="11900" w:h="16838" w:orient="portrait"/>
          <w:cols w:equalWidth="0" w:num="1">
            <w:col w:w="11440"/>
          </w:cols>
          <w:pgMar w:left="220" w:top="708" w:right="239"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color w:val="auto"/>
        </w:rPr>
        <w:t>ACCEPTED as of the day and year first written on the first page hereto.</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 xml:space="preserve">JPMORGAN CHASE BANK, N.A., </w:t>
      </w:r>
      <w:r>
        <w:rPr>
          <w:rFonts w:ascii="Arial" w:cs="Arial" w:eastAsia="Arial" w:hAnsi="Arial"/>
          <w:sz w:val="17"/>
          <w:szCs w:val="17"/>
          <w:color w:val="auto"/>
        </w:rPr>
        <w:t>as Agent</w:t>
      </w:r>
    </w:p>
    <w:p>
      <w:pPr>
        <w:sectPr>
          <w:pgSz w:w="11900" w:h="16838" w:orient="portrait"/>
          <w:cols w:equalWidth="0" w:num="1">
            <w:col w:w="10239"/>
          </w:cols>
          <w:pgMar w:left="220" w:top="508"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By:</w:t>
      </w:r>
    </w:p>
    <w:p>
      <w:pPr>
        <w:spacing w:after="0" w:line="16" w:lineRule="exact"/>
        <w:rPr>
          <w:sz w:val="20"/>
          <w:szCs w:val="20"/>
          <w:color w:val="auto"/>
        </w:rPr>
      </w:pPr>
    </w:p>
    <w:p>
      <w:pPr>
        <w:ind w:left="3440"/>
        <w:spacing w:after="0"/>
        <w:rPr>
          <w:sz w:val="20"/>
          <w:szCs w:val="20"/>
          <w:color w:val="auto"/>
        </w:rPr>
      </w:pPr>
      <w:r>
        <w:rPr>
          <w:rFonts w:ascii="Arial" w:cs="Arial" w:eastAsia="Arial" w:hAnsi="Arial"/>
          <w:sz w:val="15"/>
          <w:szCs w:val="15"/>
          <w:color w:val="auto"/>
        </w:rPr>
        <w:t>Name:</w:t>
      </w:r>
    </w:p>
    <w:p>
      <w:pPr>
        <w:spacing w:after="0" w:line="48"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Arial" w:cs="Arial" w:eastAsia="Arial" w:hAnsi="Arial"/>
          <w:sz w:val="13"/>
          <w:szCs w:val="13"/>
          <w:color w:val="auto"/>
        </w:rPr>
        <w:t>___________________________________</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3"/>
          <w:szCs w:val="13"/>
          <w:color w:val="auto"/>
        </w:rPr>
        <w:t>___________________________________</w:t>
      </w:r>
    </w:p>
    <w:p>
      <w:pPr>
        <w:spacing w:after="0" w:line="71"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w:t>
      </w:r>
    </w:p>
    <w:p>
      <w:pPr>
        <w:spacing w:after="0" w:line="231" w:lineRule="exact"/>
        <w:rPr>
          <w:sz w:val="20"/>
          <w:szCs w:val="20"/>
          <w:color w:val="auto"/>
        </w:rPr>
      </w:pPr>
    </w:p>
    <w:p>
      <w:pPr>
        <w:sectPr>
          <w:pgSz w:w="11900" w:h="16838" w:orient="portrait"/>
          <w:cols w:equalWidth="0" w:num="2">
            <w:col w:w="3920" w:space="40"/>
            <w:col w:w="6279"/>
          </w:cols>
          <w:pgMar w:left="220" w:top="508" w:right="1440" w:bottom="1440" w:gutter="0" w:footer="0" w:header="0"/>
          <w:type w:val="continuous"/>
        </w:sectPr>
      </w:pPr>
    </w:p>
    <w:p>
      <w:pPr>
        <w:spacing w:after="0" w:line="242" w:lineRule="exact"/>
        <w:rPr>
          <w:sz w:val="20"/>
          <w:szCs w:val="20"/>
          <w:color w:val="auto"/>
        </w:rPr>
      </w:pPr>
    </w:p>
    <w:p>
      <w:pPr>
        <w:spacing w:after="0"/>
        <w:rPr>
          <w:sz w:val="20"/>
          <w:szCs w:val="20"/>
          <w:color w:val="auto"/>
        </w:rPr>
      </w:pPr>
      <w:r>
        <w:rPr>
          <w:rFonts w:ascii="Arial" w:cs="Arial" w:eastAsia="Arial" w:hAnsi="Arial"/>
          <w:sz w:val="12"/>
          <w:szCs w:val="12"/>
          <w:color w:val="FFFFFF"/>
        </w:rPr>
        <w:t>HOU:3756061.4</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169</w:t>
      </w:r>
    </w:p>
    <w:p>
      <w:pPr>
        <w:sectPr>
          <w:pgSz w:w="11900" w:h="16838" w:orient="portrait"/>
          <w:cols w:equalWidth="0" w:num="1">
            <w:col w:w="10239"/>
          </w:cols>
          <w:pgMar w:left="220" w:top="508" w:right="1440" w:bottom="1440" w:gutter="0" w:footer="0" w:header="0"/>
          <w:type w:val="continuous"/>
        </w:sectPr>
      </w:pPr>
    </w:p>
    <w:bookmarkStart w:id="230" w:name="page231"/>
    <w:bookmarkEnd w:id="230"/>
    <w:p>
      <w:pPr>
        <w:jc w:val="center"/>
        <w:spacing w:after="0"/>
        <w:rPr>
          <w:sz w:val="20"/>
          <w:szCs w:val="20"/>
          <w:color w:val="auto"/>
        </w:rPr>
      </w:pPr>
      <w:r>
        <w:rPr>
          <w:rFonts w:ascii="Arial" w:cs="Arial" w:eastAsia="Arial" w:hAnsi="Arial"/>
          <w:sz w:val="18"/>
          <w:szCs w:val="18"/>
          <w:b w:val="1"/>
          <w:bCs w:val="1"/>
          <w:u w:val="single" w:color="auto"/>
          <w:color w:val="auto"/>
        </w:rPr>
        <w:t>Annex I</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Addendum and Joinder</w:t>
      </w:r>
    </w:p>
    <w:p>
      <w:pPr>
        <w:spacing w:after="0" w:line="36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Reference is hereby made to the Subsidiary Guaranty (the “</w:t>
      </w:r>
      <w:r>
        <w:rPr>
          <w:rFonts w:ascii="Arial" w:cs="Arial" w:eastAsia="Arial" w:hAnsi="Arial"/>
          <w:sz w:val="17"/>
          <w:szCs w:val="17"/>
          <w:u w:val="single" w:color="auto"/>
          <w:color w:val="auto"/>
        </w:rPr>
        <w:t>Guaranty</w:t>
      </w:r>
      <w:r>
        <w:rPr>
          <w:rFonts w:ascii="Arial" w:cs="Arial" w:eastAsia="Arial" w:hAnsi="Arial"/>
          <w:sz w:val="17"/>
          <w:szCs w:val="17"/>
          <w:color w:val="auto"/>
        </w:rPr>
        <w:t>”) made as of [____________], 20[__], by and among [NAMES OF INITIAL</w:t>
      </w:r>
    </w:p>
    <w:p>
      <w:pPr>
        <w:spacing w:after="0" w:line="2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SUBSIDIARY GUARANTORS] (together with any additional Domestic Subsidiaries which become parties thereto and together with the undersigned, collectively, the “</w:t>
      </w:r>
      <w:r>
        <w:rPr>
          <w:rFonts w:ascii="Arial" w:cs="Arial" w:eastAsia="Arial" w:hAnsi="Arial"/>
          <w:sz w:val="18"/>
          <w:szCs w:val="18"/>
          <w:u w:val="single" w:color="auto"/>
          <w:color w:val="auto"/>
        </w:rPr>
        <w:t>Subsidiary Guarantors</w:t>
      </w:r>
      <w:r>
        <w:rPr>
          <w:rFonts w:ascii="Arial" w:cs="Arial" w:eastAsia="Arial" w:hAnsi="Arial"/>
          <w:sz w:val="18"/>
          <w:szCs w:val="18"/>
          <w:color w:val="auto"/>
        </w:rPr>
        <w:t>”), in favor of the Agent, for the ratable benefit of the Secured Parties. Capitalized terms used herein and not defined herein shall have the meanings given to them in the Guaranty.</w:t>
      </w:r>
    </w:p>
    <w:p>
      <w:pPr>
        <w:spacing w:after="0" w:line="160" w:lineRule="exact"/>
        <w:rPr>
          <w:sz w:val="20"/>
          <w:szCs w:val="20"/>
          <w:color w:val="auto"/>
        </w:rPr>
      </w:pPr>
    </w:p>
    <w:p>
      <w:pPr>
        <w:jc w:val="both"/>
        <w:ind w:firstLine="529"/>
        <w:spacing w:after="0" w:line="268" w:lineRule="auto"/>
        <w:rPr>
          <w:sz w:val="20"/>
          <w:szCs w:val="20"/>
          <w:color w:val="auto"/>
        </w:rPr>
      </w:pPr>
      <w:r>
        <w:rPr>
          <w:rFonts w:ascii="Arial" w:cs="Arial" w:eastAsia="Arial" w:hAnsi="Arial"/>
          <w:sz w:val="17"/>
          <w:szCs w:val="17"/>
          <w:color w:val="auto"/>
        </w:rPr>
        <w:t>By its execution below, the undersigned [NAME OF NEW SUBSIDIARY GUARANTOR], a [state of incorporation/organization] [corporation] [partnership] [limited liability company], agrees to become, and does hereby become, a Subsidiary Guarantor under the Guaranty and agrees to be bound by such Guaranty as if originally a party thereto. By its execution below, the undersigned represents and warrants as to itself that all of the representations and warranties contained in Section 2 of the Guaranty are true and correct in all respects as of the date hereof.</w:t>
      </w:r>
    </w:p>
    <w:p>
      <w:pPr>
        <w:spacing w:after="0" w:line="141"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IN WITNESS WHEREOF, [NAME OF NEW SUBSIDIARY GUARANTOR] has executed and delivered this Annex I counterpart to the Guaranty as of this ______ day of ________________, 20___.</w:t>
      </w:r>
    </w:p>
    <w:p>
      <w:pPr>
        <w:spacing w:after="0" w:line="200" w:lineRule="exact"/>
        <w:rPr>
          <w:sz w:val="20"/>
          <w:szCs w:val="20"/>
          <w:color w:val="auto"/>
        </w:rPr>
      </w:pPr>
    </w:p>
    <w:p>
      <w:pPr>
        <w:spacing w:after="0" w:line="298"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[NAME OF NEW SUBSIDIARY GUARANTOR]</w:t>
      </w:r>
    </w:p>
    <w:p>
      <w:pPr>
        <w:sectPr>
          <w:pgSz w:w="11900" w:h="16838" w:orient="portrait"/>
          <w:cols w:equalWidth="0" w:num="1">
            <w:col w:w="11460"/>
          </w:cols>
          <w:pgMar w:left="220" w:top="503" w:right="219" w:bottom="1440" w:gutter="0" w:footer="0" w:header="0"/>
        </w:sectPr>
      </w:pPr>
    </w:p>
    <w:p>
      <w:pPr>
        <w:spacing w:after="0" w:line="355" w:lineRule="exact"/>
        <w:rPr>
          <w:sz w:val="20"/>
          <w:szCs w:val="20"/>
          <w:color w:val="auto"/>
        </w:rPr>
      </w:pPr>
    </w:p>
    <w:p>
      <w:pPr>
        <w:ind w:left="37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w:t>
      </w:r>
    </w:p>
    <w:p>
      <w:pPr>
        <w:spacing w:after="0" w:line="51" w:lineRule="exact"/>
        <w:rPr>
          <w:sz w:val="20"/>
          <w:szCs w:val="20"/>
          <w:color w:val="auto"/>
        </w:rPr>
      </w:pPr>
    </w:p>
    <w:p>
      <w:pPr>
        <w:sectPr>
          <w:pgSz w:w="11900" w:h="16838" w:orient="portrait"/>
          <w:cols w:equalWidth="0" w:num="4">
            <w:col w:w="3960" w:space="180"/>
            <w:col w:w="3080" w:space="300"/>
            <w:col w:w="480" w:space="160"/>
            <w:col w:w="3300"/>
          </w:cols>
          <w:pgMar w:left="220" w:top="503" w:right="219" w:bottom="1440" w:gutter="0" w:footer="0" w:header="0"/>
          <w:type w:val="continuous"/>
        </w:sectPr>
      </w:pPr>
    </w:p>
    <w:p>
      <w:pPr>
        <w:ind w:left="372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___________________________________</w:t>
      </w:r>
    </w:p>
    <w:p>
      <w:pPr>
        <w:spacing w:after="0" w:line="46" w:lineRule="exact"/>
        <w:rPr>
          <w:sz w:val="20"/>
          <w:szCs w:val="20"/>
          <w:color w:val="auto"/>
        </w:rPr>
      </w:pPr>
    </w:p>
    <w:p>
      <w:pPr>
        <w:sectPr>
          <w:pgSz w:w="11900" w:h="16838" w:orient="portrait"/>
          <w:cols w:equalWidth="0" w:num="2">
            <w:col w:w="4080" w:space="180"/>
            <w:col w:w="7200"/>
          </w:cols>
          <w:pgMar w:left="220" w:top="503" w:right="219" w:bottom="1440" w:gutter="0" w:footer="0" w:header="0"/>
          <w:type w:val="continuous"/>
        </w:sectPr>
      </w:pPr>
    </w:p>
    <w:p>
      <w:pPr>
        <w:spacing w:after="0"/>
        <w:rPr>
          <w:sz w:val="20"/>
          <w:szCs w:val="20"/>
          <w:color w:val="auto"/>
        </w:rPr>
      </w:pPr>
      <w:r>
        <w:rPr>
          <w:rFonts w:ascii="Arial" w:cs="Arial" w:eastAsia="Arial" w:hAnsi="Arial"/>
          <w:sz w:val="12"/>
          <w:szCs w:val="12"/>
          <w:color w:val="FFFFFF"/>
        </w:rPr>
        <w:t>HOU:3756061.4</w:t>
      </w:r>
    </w:p>
    <w:p>
      <w:pPr>
        <w:spacing w:after="0" w:line="336" w:lineRule="exact"/>
        <w:rPr>
          <w:sz w:val="20"/>
          <w:szCs w:val="20"/>
          <w:color w:val="auto"/>
        </w:rPr>
      </w:pPr>
    </w:p>
    <w:p>
      <w:pPr>
        <w:spacing w:after="0"/>
        <w:rPr>
          <w:sz w:val="20"/>
          <w:szCs w:val="20"/>
          <w:color w:val="auto"/>
        </w:rPr>
      </w:pPr>
      <w:r>
        <w:rPr>
          <w:rFonts w:ascii="Arial" w:cs="Arial" w:eastAsia="Arial" w:hAnsi="Arial"/>
          <w:sz w:val="12"/>
          <w:szCs w:val="12"/>
          <w:color w:val="FFFFFF"/>
        </w:rPr>
        <w:t>HOU:3756061.4</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170</w:t>
      </w:r>
    </w:p>
    <w:p>
      <w:pPr>
        <w:sectPr>
          <w:pgSz w:w="11900" w:h="16838" w:orient="portrait"/>
          <w:cols w:equalWidth="0" w:num="1">
            <w:col w:w="11460"/>
          </w:cols>
          <w:pgMar w:left="220" w:top="503" w:right="219" w:bottom="1440" w:gutter="0" w:footer="0" w:header="0"/>
          <w:type w:val="continuous"/>
        </w:sectPr>
      </w:pPr>
    </w:p>
    <w:bookmarkStart w:id="231" w:name="page232"/>
    <w:bookmarkEnd w:id="231"/>
    <w:p>
      <w:pPr>
        <w:jc w:val="center"/>
        <w:spacing w:after="0"/>
        <w:rPr>
          <w:sz w:val="20"/>
          <w:szCs w:val="20"/>
          <w:color w:val="auto"/>
        </w:rPr>
      </w:pPr>
      <w:r>
        <w:rPr>
          <w:rFonts w:ascii="Arial" w:cs="Arial" w:eastAsia="Arial" w:hAnsi="Arial"/>
          <w:sz w:val="18"/>
          <w:szCs w:val="18"/>
          <w:b w:val="1"/>
          <w:bCs w:val="1"/>
          <w:u w:val="single" w:color="auto"/>
          <w:color w:val="auto"/>
        </w:rPr>
        <w:t>Exhibit F-2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SUBSIDIARY GUARANTY</w:t>
      </w:r>
    </w:p>
    <w:p>
      <w:pPr>
        <w:spacing w:after="0" w:line="179" w:lineRule="exact"/>
        <w:rPr>
          <w:sz w:val="20"/>
          <w:szCs w:val="20"/>
          <w:color w:val="auto"/>
        </w:rPr>
      </w:pPr>
    </w:p>
    <w:p>
      <w:pPr>
        <w:jc w:val="both"/>
        <w:ind w:firstLine="529"/>
        <w:spacing w:after="0" w:line="330" w:lineRule="auto"/>
        <w:rPr>
          <w:sz w:val="20"/>
          <w:szCs w:val="20"/>
          <w:color w:val="auto"/>
        </w:rPr>
      </w:pPr>
      <w:r>
        <w:rPr>
          <w:rFonts w:ascii="Arial" w:cs="Arial" w:eastAsia="Arial" w:hAnsi="Arial"/>
          <w:sz w:val="15"/>
          <w:szCs w:val="15"/>
          <w:b w:val="1"/>
          <w:bCs w:val="1"/>
          <w:color w:val="auto"/>
        </w:rPr>
        <w:t xml:space="preserve">THIS SUBSIDIARY GUARANTY </w:t>
      </w:r>
      <w:r>
        <w:rPr>
          <w:rFonts w:ascii="Arial" w:cs="Arial" w:eastAsia="Arial" w:hAnsi="Arial"/>
          <w:sz w:val="15"/>
          <w:szCs w:val="15"/>
          <w:color w:val="auto"/>
        </w:rPr>
        <w:t>(this “</w:t>
      </w:r>
      <w:r>
        <w:rPr>
          <w:rFonts w:ascii="Arial" w:cs="Arial" w:eastAsia="Arial" w:hAnsi="Arial"/>
          <w:sz w:val="15"/>
          <w:szCs w:val="15"/>
          <w:u w:val="single" w:color="auto"/>
          <w:color w:val="auto"/>
        </w:rPr>
        <w:t>Guaranty</w:t>
      </w:r>
      <w:r>
        <w:rPr>
          <w:rFonts w:ascii="Arial" w:cs="Arial" w:eastAsia="Arial" w:hAnsi="Arial"/>
          <w:sz w:val="15"/>
          <w:szCs w:val="15"/>
          <w:color w:val="auto"/>
        </w:rPr>
        <w:t>”) is made as of , 20, by each of the undersigned Subsidiaries of the Parent along with any additional</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Subsidiaries of the Parent that become parties to this Guaranty by executing an addendum hereto in the form attached hereto as </w:t>
      </w:r>
      <w:r>
        <w:rPr>
          <w:rFonts w:ascii="Arial" w:cs="Arial" w:eastAsia="Arial" w:hAnsi="Arial"/>
          <w:sz w:val="15"/>
          <w:szCs w:val="15"/>
          <w:u w:val="single" w:color="auto"/>
          <w:color w:val="auto"/>
        </w:rPr>
        <w:t>Annex I</w:t>
      </w:r>
      <w:r>
        <w:rPr>
          <w:rFonts w:ascii="Arial" w:cs="Arial" w:eastAsia="Arial" w:hAnsi="Arial"/>
          <w:sz w:val="15"/>
          <w:szCs w:val="15"/>
          <w:color w:val="auto"/>
        </w:rPr>
        <w:t xml:space="preserve"> (each a “</w:t>
      </w:r>
      <w:r>
        <w:rPr>
          <w:rFonts w:ascii="Arial" w:cs="Arial" w:eastAsia="Arial" w:hAnsi="Arial"/>
          <w:sz w:val="15"/>
          <w:szCs w:val="15"/>
          <w:u w:val="single" w:color="auto"/>
          <w:color w:val="auto"/>
        </w:rPr>
        <w:t>Subsidiary</w:t>
      </w:r>
      <w:r>
        <w:rPr>
          <w:rFonts w:ascii="Arial" w:cs="Arial" w:eastAsia="Arial" w:hAnsi="Arial"/>
          <w:sz w:val="15"/>
          <w:szCs w:val="15"/>
          <w:color w:val="auto"/>
        </w:rPr>
        <w:t xml:space="preserve"> </w:t>
      </w:r>
      <w:r>
        <w:rPr>
          <w:rFonts w:ascii="Arial" w:cs="Arial" w:eastAsia="Arial" w:hAnsi="Arial"/>
          <w:sz w:val="15"/>
          <w:szCs w:val="15"/>
          <w:u w:val="single" w:color="auto"/>
          <w:color w:val="auto"/>
        </w:rPr>
        <w:t>Guarantor</w:t>
      </w:r>
      <w:r>
        <w:rPr>
          <w:rFonts w:ascii="Arial" w:cs="Arial" w:eastAsia="Arial" w:hAnsi="Arial"/>
          <w:sz w:val="15"/>
          <w:szCs w:val="15"/>
          <w:color w:val="auto"/>
        </w:rPr>
        <w:t>”, and collectively the “</w:t>
      </w:r>
      <w:r>
        <w:rPr>
          <w:rFonts w:ascii="Arial" w:cs="Arial" w:eastAsia="Arial" w:hAnsi="Arial"/>
          <w:sz w:val="15"/>
          <w:szCs w:val="15"/>
          <w:u w:val="single" w:color="auto"/>
          <w:color w:val="auto"/>
        </w:rPr>
        <w:t>Subsidiary Guarantors</w:t>
      </w:r>
      <w:r>
        <w:rPr>
          <w:rFonts w:ascii="Arial" w:cs="Arial" w:eastAsia="Arial" w:hAnsi="Arial"/>
          <w:sz w:val="15"/>
          <w:szCs w:val="15"/>
          <w:color w:val="auto"/>
        </w:rPr>
        <w:t>”), in favor of the Agent, for the benefit of the Secured Parties (as such terms are defined herein).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85" w:lineRule="exact"/>
        <w:rPr>
          <w:sz w:val="20"/>
          <w:szCs w:val="20"/>
          <w:color w:val="auto"/>
        </w:rPr>
      </w:pPr>
    </w:p>
    <w:p>
      <w:pPr>
        <w:ind w:left="860" w:hanging="323"/>
        <w:spacing w:after="0"/>
        <w:tabs>
          <w:tab w:leader="none" w:pos="8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Subsidiary Guarantors are direct and/or indirect subsidiaries of Matrix Service Company, a Delaware corporation (the “</w:t>
      </w:r>
      <w:r>
        <w:rPr>
          <w:rFonts w:ascii="Arial" w:cs="Arial" w:eastAsia="Arial" w:hAnsi="Arial"/>
          <w:sz w:val="18"/>
          <w:szCs w:val="18"/>
          <w:u w:val="single" w:color="auto"/>
          <w:color w:val="auto"/>
        </w:rPr>
        <w:t>Parent</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jc w:val="both"/>
        <w:ind w:firstLine="537"/>
        <w:spacing w:after="0" w:line="334" w:lineRule="auto"/>
        <w:tabs>
          <w:tab w:leader="none" w:pos="893" w:val="left"/>
        </w:tabs>
        <w:numPr>
          <w:ilvl w:val="0"/>
          <w:numId w:val="185"/>
        </w:numPr>
        <w:rPr>
          <w:rFonts w:ascii="Arial" w:cs="Arial" w:eastAsia="Arial" w:hAnsi="Arial"/>
          <w:sz w:val="15"/>
          <w:szCs w:val="15"/>
          <w:color w:val="auto"/>
        </w:rPr>
      </w:pPr>
      <w:r>
        <w:rPr>
          <w:rFonts w:ascii="Arial" w:cs="Arial" w:eastAsia="Arial" w:hAnsi="Arial"/>
          <w:sz w:val="15"/>
          <w:szCs w:val="15"/>
          <w:color w:val="auto"/>
        </w:rPr>
        <w:t>The Parent is a party to that certain Fourth Amended and Restated Credit Agreement dated as of the date hereof (as may be amended, restated or modified from time to time hereafter in accordance with its terms,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 by and among the Parent, the other Borrowers party thereto (together with the Parent, the “</w:t>
      </w:r>
      <w:r>
        <w:rPr>
          <w:rFonts w:ascii="Arial" w:cs="Arial" w:eastAsia="Arial" w:hAnsi="Arial"/>
          <w:sz w:val="15"/>
          <w:szCs w:val="15"/>
          <w:u w:val="single" w:color="auto"/>
          <w:color w:val="auto"/>
        </w:rPr>
        <w:t>Borrowers</w:t>
      </w:r>
      <w:r>
        <w:rPr>
          <w:rFonts w:ascii="Arial" w:cs="Arial" w:eastAsia="Arial" w:hAnsi="Arial"/>
          <w:sz w:val="15"/>
          <w:szCs w:val="15"/>
          <w:color w:val="auto"/>
        </w:rPr>
        <w:t>”), the Lenders signatory thereto (the “</w:t>
      </w:r>
      <w:r>
        <w:rPr>
          <w:rFonts w:ascii="Arial" w:cs="Arial" w:eastAsia="Arial" w:hAnsi="Arial"/>
          <w:sz w:val="15"/>
          <w:szCs w:val="15"/>
          <w:u w:val="single" w:color="auto"/>
          <w:color w:val="auto"/>
        </w:rPr>
        <w:t>Lenders</w:t>
      </w:r>
      <w:r>
        <w:rPr>
          <w:rFonts w:ascii="Arial" w:cs="Arial" w:eastAsia="Arial" w:hAnsi="Arial"/>
          <w:sz w:val="15"/>
          <w:szCs w:val="15"/>
          <w:color w:val="auto"/>
        </w:rPr>
        <w:t>”) and JPMorgan Chase Bank, N.A., as Administrative Agent (the “</w:t>
      </w:r>
      <w:r>
        <w:rPr>
          <w:rFonts w:ascii="Arial" w:cs="Arial" w:eastAsia="Arial" w:hAnsi="Arial"/>
          <w:sz w:val="15"/>
          <w:szCs w:val="15"/>
          <w:u w:val="single" w:color="auto"/>
          <w:color w:val="auto"/>
        </w:rPr>
        <w:t>Agent</w:t>
      </w:r>
      <w:r>
        <w:rPr>
          <w:rFonts w:ascii="Arial" w:cs="Arial" w:eastAsia="Arial" w:hAnsi="Arial"/>
          <w:sz w:val="15"/>
          <w:szCs w:val="15"/>
          <w:color w:val="auto"/>
        </w:rPr>
        <w:t>”).</w:t>
      </w:r>
    </w:p>
    <w:p>
      <w:pPr>
        <w:spacing w:after="0" w:line="95" w:lineRule="exact"/>
        <w:rPr>
          <w:rFonts w:ascii="Arial" w:cs="Arial" w:eastAsia="Arial" w:hAnsi="Arial"/>
          <w:sz w:val="15"/>
          <w:szCs w:val="15"/>
          <w:color w:val="auto"/>
        </w:rPr>
      </w:pPr>
    </w:p>
    <w:p>
      <w:pPr>
        <w:ind w:firstLine="537"/>
        <w:spacing w:after="0" w:line="274" w:lineRule="auto"/>
        <w:tabs>
          <w:tab w:leader="none" w:pos="97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 accordance with the Credit Agreement, the Agent requires that the Subsidiary Guarantors execute a guaranty agreement guaranteeing the Obligations of the Foreign Borrowers and Foreign Subsidiaries.</w:t>
      </w:r>
    </w:p>
    <w:p>
      <w:pPr>
        <w:spacing w:after="0" w:line="128" w:lineRule="exact"/>
        <w:rPr>
          <w:sz w:val="20"/>
          <w:szCs w:val="20"/>
          <w:color w:val="auto"/>
        </w:rPr>
      </w:pPr>
    </w:p>
    <w:p>
      <w:pPr>
        <w:jc w:val="both"/>
        <w:ind w:firstLine="529"/>
        <w:spacing w:after="0" w:line="255"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other good and valuable consideration, the receipt and sufficiency of which are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and in order to induce the Lenders to make the Loans and other extensions of credit pursuant to the Credit Agreement, the Subsidiary Guarantors hereby agree as follows:</w:t>
      </w:r>
    </w:p>
    <w:p>
      <w:pPr>
        <w:spacing w:after="0" w:line="151" w:lineRule="exact"/>
        <w:rPr>
          <w:sz w:val="20"/>
          <w:szCs w:val="20"/>
          <w:color w:val="auto"/>
        </w:rPr>
      </w:pPr>
    </w:p>
    <w:p>
      <w:pPr>
        <w:ind w:firstLine="537"/>
        <w:spacing w:after="0" w:line="274" w:lineRule="auto"/>
        <w:tabs>
          <w:tab w:leader="none" w:pos="830"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All definitions in the foregoing recitals are incorporated herein by reference. All capitalized terms used but not defined in this Guaranty have the meanings assigned to them in the Credit Agreement. In addition, the following terms have the following meanings:</w:t>
      </w:r>
    </w:p>
    <w:p>
      <w:pPr>
        <w:spacing w:after="0" w:line="13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below.</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Guarantors</w:t>
      </w:r>
      <w:r>
        <w:rPr>
          <w:rFonts w:ascii="Arial" w:cs="Arial" w:eastAsia="Arial" w:hAnsi="Arial"/>
          <w:sz w:val="18"/>
          <w:szCs w:val="18"/>
          <w:color w:val="auto"/>
        </w:rPr>
        <w:t>” means all Guarantors other than the Subsidiary Guarantors.</w:t>
      </w:r>
    </w:p>
    <w:p>
      <w:pPr>
        <w:spacing w:after="0" w:line="179" w:lineRule="exact"/>
        <w:rPr>
          <w:sz w:val="20"/>
          <w:szCs w:val="20"/>
          <w:color w:val="auto"/>
        </w:rPr>
      </w:pPr>
    </w:p>
    <w:p>
      <w:pPr>
        <w:jc w:val="both"/>
        <w:ind w:firstLine="529"/>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means, collectively, (a) each Lender and each Issuing Bank in respect of their Loans and LC Exposure to the Foreign Borrowers and Foreign Subsidiaries, (b) the Agent, the Issuing Banks and the Lenders in respect of all other present and future obligations and liabilities of the Foreign Borrowers and Foreign Subsidiaries of every type and description arising under or in connection with the Credit Agreement or any other Loan Document, (c) each Lender or Affiliate of a Lender party to a Lender Swap Agreement or Cash Management Agreement with a Foreign Borrower or Foreign Subsidiary, (d) each indemnified party under Section 9.03 of the Credit Agreement in respect of the obligations and liabilities of the Foreign Borrowers and Foreign Subsidiaries to such Person thereunder and under the other Loan Documents, and (e) the respective successors and (in the case of a Lender, permitted) transferees and assigns of the foregoing Persons.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171</w:t>
      </w:r>
    </w:p>
    <w:p>
      <w:pPr>
        <w:sectPr>
          <w:pgSz w:w="11900" w:h="16838" w:orient="portrait"/>
          <w:cols w:equalWidth="0" w:num="1">
            <w:col w:w="11460"/>
          </w:cols>
          <w:pgMar w:left="220" w:top="503" w:right="219" w:bottom="1440" w:gutter="0" w:footer="0" w:header="0"/>
        </w:sectPr>
      </w:pPr>
    </w:p>
    <w:bookmarkStart w:id="232" w:name="page233"/>
    <w:bookmarkEnd w:id="232"/>
    <w:p>
      <w:pPr>
        <w:ind w:firstLine="537"/>
        <w:spacing w:after="0" w:line="274" w:lineRule="auto"/>
        <w:tabs>
          <w:tab w:leader="none" w:pos="808"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Subsidiary Guarantors represent and warrant (which representations and warranties shall be deemed to have been renewed upon each Borrowing under the Credit Agreement) that:</w:t>
      </w:r>
    </w:p>
    <w:p>
      <w:pPr>
        <w:spacing w:after="0" w:line="133" w:lineRule="exact"/>
        <w:rPr>
          <w:rFonts w:ascii="Arial" w:cs="Arial" w:eastAsia="Arial" w:hAnsi="Arial"/>
          <w:sz w:val="18"/>
          <w:szCs w:val="18"/>
          <w:color w:val="auto"/>
        </w:rPr>
      </w:pPr>
    </w:p>
    <w:p>
      <w:pPr>
        <w:ind w:left="540" w:firstLine="526"/>
        <w:spacing w:after="0" w:line="377" w:lineRule="auto"/>
        <w:tabs>
          <w:tab w:leader="none" w:pos="1439" w:val="left"/>
        </w:tabs>
        <w:numPr>
          <w:ilvl w:val="1"/>
          <w:numId w:val="187"/>
        </w:numPr>
        <w:rPr>
          <w:rFonts w:ascii="Arial" w:cs="Arial" w:eastAsia="Arial" w:hAnsi="Arial"/>
          <w:sz w:val="14"/>
          <w:szCs w:val="14"/>
          <w:color w:val="auto"/>
        </w:rPr>
      </w:pPr>
      <w:r>
        <w:rPr>
          <w:rFonts w:ascii="Arial" w:cs="Arial" w:eastAsia="Arial" w:hAnsi="Arial"/>
          <w:sz w:val="15"/>
          <w:szCs w:val="15"/>
          <w:color w:val="auto"/>
        </w:rPr>
        <w:t>They are duly and properly incorporated or organized, validly existing and, to the extent applicable, in good standing under the laws of the jurisdiction of their organization and have all requisite authority to conduct their business in each jurisdiction in which their business is conducted.</w:t>
      </w:r>
    </w:p>
    <w:p>
      <w:pPr>
        <w:spacing w:after="0" w:line="64" w:lineRule="exact"/>
        <w:rPr>
          <w:rFonts w:ascii="Arial" w:cs="Arial" w:eastAsia="Arial" w:hAnsi="Arial"/>
          <w:sz w:val="14"/>
          <w:szCs w:val="14"/>
          <w:color w:val="auto"/>
        </w:rPr>
      </w:pPr>
    </w:p>
    <w:p>
      <w:pPr>
        <w:jc w:val="both"/>
        <w:ind w:left="540" w:firstLine="526"/>
        <w:spacing w:after="0" w:line="250" w:lineRule="auto"/>
        <w:tabs>
          <w:tab w:leader="none" w:pos="1481" w:val="left"/>
        </w:tabs>
        <w:numPr>
          <w:ilvl w:val="1"/>
          <w:numId w:val="187"/>
        </w:numPr>
        <w:rPr>
          <w:rFonts w:ascii="Arial" w:cs="Arial" w:eastAsia="Arial" w:hAnsi="Arial"/>
          <w:sz w:val="16"/>
          <w:szCs w:val="16"/>
          <w:color w:val="auto"/>
        </w:rPr>
      </w:pPr>
      <w:r>
        <w:rPr>
          <w:rFonts w:ascii="Arial" w:cs="Arial" w:eastAsia="Arial" w:hAnsi="Arial"/>
          <w:sz w:val="18"/>
          <w:szCs w:val="18"/>
          <w:color w:val="auto"/>
        </w:rPr>
        <w:t>They have the power and authority and legal right to execute and deliver this Guaranty and to perform their obligations hereunder. The execution and delivery by them of this Guaranty and the performance of its obligations hereunder have been duly authorized by proper corporate or similar proceedings, and this Guaranty constitutes a legal, valid and binding obligation of the Subsidiary Guarantors enforceable against them in accordance with its terms, except as enforceability may be limited by bankruptcy, insolvency or similar laws affecting the enforcement of creditors’ rights generally.</w:t>
      </w:r>
    </w:p>
    <w:p>
      <w:pPr>
        <w:spacing w:after="0" w:line="156" w:lineRule="exact"/>
        <w:rPr>
          <w:rFonts w:ascii="Arial" w:cs="Arial" w:eastAsia="Arial" w:hAnsi="Arial"/>
          <w:sz w:val="16"/>
          <w:szCs w:val="16"/>
          <w:color w:val="auto"/>
        </w:rPr>
      </w:pPr>
    </w:p>
    <w:p>
      <w:pPr>
        <w:jc w:val="both"/>
        <w:ind w:left="540" w:firstLine="526"/>
        <w:spacing w:after="0" w:line="262" w:lineRule="auto"/>
        <w:tabs>
          <w:tab w:leader="none" w:pos="1417" w:val="left"/>
        </w:tabs>
        <w:numPr>
          <w:ilvl w:val="1"/>
          <w:numId w:val="187"/>
        </w:numPr>
        <w:rPr>
          <w:rFonts w:ascii="Arial" w:cs="Arial" w:eastAsia="Arial" w:hAnsi="Arial"/>
          <w:sz w:val="15"/>
          <w:szCs w:val="15"/>
          <w:color w:val="auto"/>
        </w:rPr>
      </w:pPr>
      <w:r>
        <w:rPr>
          <w:rFonts w:ascii="Arial" w:cs="Arial" w:eastAsia="Arial" w:hAnsi="Arial"/>
          <w:sz w:val="17"/>
          <w:szCs w:val="17"/>
          <w:color w:val="auto"/>
        </w:rPr>
        <w:t>Neither the execution and delivery by them of this Guaranty, nor the consummation of the transactions herein contemplated, nor compliance with the provisions hereof will violate (i) any law, rule, regulation, order, writ, judgment, injunction, decree or award binding on them or any of their subsidiaries or (ii) their articles or certificate of incorporation or organization or by-laws or operating agreement, or (iii) the provisions of any indenture, instrument or agreement to which they or any of their subsidiaries is a party or is subject, or by which they, or their Property, is bound, or conflict with or constitute a default thereunder, or result in, or require, the creation or imposition of any Lien in, of or on the Property of the Subsidiary Guarantors or a subsidiary thereof pursuant to the terms of any such indenture, instrument or agreement. No order, consent, adjudication, approval, license, authorization, or validation of, or filing, recording or registration with, or exemption by, or other action in respect of any governmental or public body or authority, or any subdivision thereof, which has not been obtained by them or any of their subsidiaries, is required to be obtained by them or any of their subsidiaries in connection with the execution and delivery of this Guaranty or the performance by them of their obligations hereunder or the legality, validity, binding effect or enforceability of this Guaranty.</w:t>
      </w:r>
    </w:p>
    <w:p>
      <w:pPr>
        <w:spacing w:after="0" w:line="147" w:lineRule="exact"/>
        <w:rPr>
          <w:rFonts w:ascii="Arial" w:cs="Arial" w:eastAsia="Arial" w:hAnsi="Arial"/>
          <w:sz w:val="15"/>
          <w:szCs w:val="15"/>
          <w:color w:val="auto"/>
        </w:rPr>
      </w:pPr>
    </w:p>
    <w:p>
      <w:pPr>
        <w:ind w:firstLine="537"/>
        <w:spacing w:after="0" w:line="377" w:lineRule="auto"/>
        <w:tabs>
          <w:tab w:leader="none" w:pos="819" w:val="left"/>
        </w:tabs>
        <w:numPr>
          <w:ilvl w:val="0"/>
          <w:numId w:val="187"/>
        </w:numPr>
        <w:rPr>
          <w:rFonts w:ascii="Arial" w:cs="Arial" w:eastAsia="Arial" w:hAnsi="Arial"/>
          <w:sz w:val="15"/>
          <w:szCs w:val="15"/>
          <w:color w:val="auto"/>
        </w:rPr>
      </w:pPr>
      <w:r>
        <w:rPr>
          <w:rFonts w:ascii="Arial" w:cs="Arial" w:eastAsia="Arial" w:hAnsi="Arial"/>
          <w:sz w:val="15"/>
          <w:szCs w:val="15"/>
          <w:u w:val="single" w:color="auto"/>
          <w:color w:val="auto"/>
        </w:rPr>
        <w:t>Covenants</w:t>
      </w:r>
      <w:r>
        <w:rPr>
          <w:rFonts w:ascii="Arial" w:cs="Arial" w:eastAsia="Arial" w:hAnsi="Arial"/>
          <w:sz w:val="15"/>
          <w:szCs w:val="15"/>
          <w:color w:val="auto"/>
        </w:rPr>
        <w:t>. The Subsidiary Guarantors covenant that, until Payment in Full (as defined below), they will, and, if necessary, will enable the Parent and the other Borrowers to, fully comply with those covenants and agreements of the Parent and the other Borrowers set forth in the Credit Agreement.</w:t>
      </w:r>
    </w:p>
    <w:p>
      <w:pPr>
        <w:spacing w:after="0" w:line="64" w:lineRule="exact"/>
        <w:rPr>
          <w:rFonts w:ascii="Arial" w:cs="Arial" w:eastAsia="Arial" w:hAnsi="Arial"/>
          <w:sz w:val="15"/>
          <w:szCs w:val="15"/>
          <w:color w:val="auto"/>
        </w:rPr>
      </w:pPr>
    </w:p>
    <w:p>
      <w:pPr>
        <w:jc w:val="both"/>
        <w:ind w:firstLine="537"/>
        <w:spacing w:after="0" w:line="302" w:lineRule="auto"/>
        <w:tabs>
          <w:tab w:leader="none" w:pos="918" w:val="left"/>
        </w:tabs>
        <w:numPr>
          <w:ilvl w:val="0"/>
          <w:numId w:val="187"/>
        </w:numPr>
        <w:rPr>
          <w:rFonts w:ascii="Arial" w:cs="Arial" w:eastAsia="Arial" w:hAnsi="Arial"/>
          <w:sz w:val="15"/>
          <w:szCs w:val="15"/>
          <w:color w:val="auto"/>
        </w:rPr>
      </w:pPr>
      <w:r>
        <w:rPr>
          <w:rFonts w:ascii="Arial" w:cs="Arial" w:eastAsia="Arial" w:hAnsi="Arial"/>
          <w:sz w:val="15"/>
          <w:szCs w:val="15"/>
          <w:u w:val="single" w:color="auto"/>
          <w:color w:val="auto"/>
        </w:rPr>
        <w:t>The Guaranty</w:t>
      </w:r>
      <w:r>
        <w:rPr>
          <w:rFonts w:ascii="Arial" w:cs="Arial" w:eastAsia="Arial" w:hAnsi="Arial"/>
          <w:sz w:val="15"/>
          <w:szCs w:val="15"/>
          <w:color w:val="auto"/>
        </w:rPr>
        <w:t xml:space="preserve">. Subject to </w:t>
      </w:r>
      <w:r>
        <w:rPr>
          <w:rFonts w:ascii="Arial" w:cs="Arial" w:eastAsia="Arial" w:hAnsi="Arial"/>
          <w:sz w:val="15"/>
          <w:szCs w:val="15"/>
          <w:u w:val="single" w:color="auto"/>
          <w:color w:val="auto"/>
        </w:rPr>
        <w:t>Section 10</w:t>
      </w:r>
      <w:r>
        <w:rPr>
          <w:rFonts w:ascii="Arial" w:cs="Arial" w:eastAsia="Arial" w:hAnsi="Arial"/>
          <w:sz w:val="15"/>
          <w:szCs w:val="15"/>
          <w:color w:val="auto"/>
        </w:rPr>
        <w:t xml:space="preserve"> hereof, each Subsidiary Guarantor hereby jointly, severally, absolutely and unconditionally guarantees, as primary obligor and not as surety, the full and punctual payment (whether at stated maturity, upon acceleration or early termination or otherwise, and at all times thereafter) and performance of the Obligations of the Foreign Borrowers and the Foreign Subsidiaries, other than any Excluded Swap Obligation, but including without limitation any such Obligations of the Foreign Borrowers and the Foreign Subsidiaries, other than any Excluded Swap Obligation, incurred or accrued during the pendency of any bankruptcy, insolvency, receivership or other similar proceeding, whether or not allowed or allowable in such proceeding (collectively, subject to the provisions of </w:t>
      </w:r>
      <w:r>
        <w:rPr>
          <w:rFonts w:ascii="Arial" w:cs="Arial" w:eastAsia="Arial" w:hAnsi="Arial"/>
          <w:sz w:val="15"/>
          <w:szCs w:val="15"/>
          <w:u w:val="single" w:color="auto"/>
          <w:color w:val="auto"/>
        </w:rPr>
        <w:t>Section 10</w:t>
      </w:r>
      <w:r>
        <w:rPr>
          <w:rFonts w:ascii="Arial" w:cs="Arial" w:eastAsia="Arial" w:hAnsi="Arial"/>
          <w:sz w:val="15"/>
          <w:szCs w:val="15"/>
          <w:color w:val="auto"/>
        </w:rPr>
        <w:t xml:space="preserve"> hereof, being referred to collectively as the “</w:t>
      </w:r>
      <w:r>
        <w:rPr>
          <w:rFonts w:ascii="Arial" w:cs="Arial" w:eastAsia="Arial" w:hAnsi="Arial"/>
          <w:sz w:val="15"/>
          <w:szCs w:val="15"/>
          <w:u w:val="single" w:color="auto"/>
          <w:color w:val="auto"/>
        </w:rPr>
        <w:t>Guaranteed Obligations</w:t>
      </w:r>
      <w:r>
        <w:rPr>
          <w:rFonts w:ascii="Arial" w:cs="Arial" w:eastAsia="Arial" w:hAnsi="Arial"/>
          <w:sz w:val="15"/>
          <w:szCs w:val="15"/>
          <w:color w:val="auto"/>
        </w:rPr>
        <w:t>”). If any such amounts shall become due and payable under the Credit Agreement, any Note, any Cash Management Agreement, any Lender Swap Agreement and/or any Loan Document, the Subsidiary Guarantors agree, jointly and severally, that they shall forthwith on demand pay to the Agent for the benefit of the applicable Secured Party, the amount not so paid at the place and in the manner specified in the Credit Agreement, Note, Cash Management Agreement, Lender Swap</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172</w:t>
      </w:r>
    </w:p>
    <w:p>
      <w:pPr>
        <w:sectPr>
          <w:pgSz w:w="11900" w:h="16838" w:orient="portrait"/>
          <w:cols w:equalWidth="0" w:num="1">
            <w:col w:w="11460"/>
          </w:cols>
          <w:pgMar w:left="220" w:top="508" w:right="21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color w:val="auto"/>
        </w:rPr>
        <w:t>Agreement or the relevant Loan Document, as the case may be. This Guaranty is a guaranty of payment and not of collection.</w:t>
      </w:r>
    </w:p>
    <w:p>
      <w:pPr>
        <w:spacing w:after="0" w:line="179" w:lineRule="exact"/>
        <w:rPr>
          <w:sz w:val="20"/>
          <w:szCs w:val="20"/>
          <w:color w:val="auto"/>
        </w:rPr>
      </w:pPr>
    </w:p>
    <w:p>
      <w:pPr>
        <w:ind w:firstLine="537"/>
        <w:spacing w:after="0" w:line="274" w:lineRule="auto"/>
        <w:tabs>
          <w:tab w:leader="none" w:pos="808"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Guaranty Unconditional</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hereof, the obligations of the Subsidiary Guarantors hereunder shall be unconditional and absolute and, without limiting the generality of the foregoing, shall not be released, discharged or otherwise affected by:</w:t>
      </w:r>
    </w:p>
    <w:p>
      <w:pPr>
        <w:spacing w:after="0" w:line="133" w:lineRule="exact"/>
        <w:rPr>
          <w:rFonts w:ascii="Arial" w:cs="Arial" w:eastAsia="Arial" w:hAnsi="Arial"/>
          <w:sz w:val="18"/>
          <w:szCs w:val="18"/>
          <w:color w:val="auto"/>
        </w:rPr>
      </w:pPr>
    </w:p>
    <w:p>
      <w:pPr>
        <w:jc w:val="both"/>
        <w:ind w:left="540" w:firstLine="526"/>
        <w:spacing w:after="0" w:line="258" w:lineRule="auto"/>
        <w:tabs>
          <w:tab w:leader="none" w:pos="1450" w:val="left"/>
        </w:tabs>
        <w:numPr>
          <w:ilvl w:val="1"/>
          <w:numId w:val="188"/>
        </w:numPr>
        <w:rPr>
          <w:rFonts w:ascii="Arial" w:cs="Arial" w:eastAsia="Arial" w:hAnsi="Arial"/>
          <w:sz w:val="16"/>
          <w:szCs w:val="16"/>
          <w:color w:val="auto"/>
        </w:rPr>
      </w:pPr>
      <w:r>
        <w:rPr>
          <w:rFonts w:ascii="Arial" w:cs="Arial" w:eastAsia="Arial" w:hAnsi="Arial"/>
          <w:sz w:val="18"/>
          <w:szCs w:val="18"/>
          <w:color w:val="auto"/>
        </w:rPr>
        <w:t>any extension, renewal, settlement, compromise, waiver or release in respect of any of the Guaranteed Obligations, by operation of law or otherwise, or any obligation of any other guarantor of any of the Guaranteed Obligations, or any default, failure or delay, willful or otherwise, in the payment or performance of the Guaranteed Obligations;</w:t>
      </w:r>
    </w:p>
    <w:p>
      <w:pPr>
        <w:spacing w:after="0" w:line="148" w:lineRule="exact"/>
        <w:rPr>
          <w:rFonts w:ascii="Arial" w:cs="Arial" w:eastAsia="Arial" w:hAnsi="Arial"/>
          <w:sz w:val="16"/>
          <w:szCs w:val="16"/>
          <w:color w:val="auto"/>
        </w:rPr>
      </w:pPr>
    </w:p>
    <w:p>
      <w:pPr>
        <w:ind w:left="540" w:firstLine="526"/>
        <w:spacing w:after="0" w:line="274" w:lineRule="auto"/>
        <w:tabs>
          <w:tab w:leader="none" w:pos="1437" w:val="left"/>
        </w:tabs>
        <w:numPr>
          <w:ilvl w:val="1"/>
          <w:numId w:val="188"/>
        </w:numPr>
        <w:rPr>
          <w:rFonts w:ascii="Arial" w:cs="Arial" w:eastAsia="Arial" w:hAnsi="Arial"/>
          <w:sz w:val="16"/>
          <w:szCs w:val="16"/>
          <w:color w:val="auto"/>
        </w:rPr>
      </w:pPr>
      <w:r>
        <w:rPr>
          <w:rFonts w:ascii="Arial" w:cs="Arial" w:eastAsia="Arial" w:hAnsi="Arial"/>
          <w:sz w:val="18"/>
          <w:szCs w:val="18"/>
          <w:color w:val="auto"/>
        </w:rPr>
        <w:t>any modification or amendment of or supplement to the Credit Agreement, any Note, any Cash Management Agreement, any Lender Swap Agreement or any other Loan Document;</w:t>
      </w:r>
    </w:p>
    <w:p>
      <w:pPr>
        <w:spacing w:after="0" w:line="133" w:lineRule="exact"/>
        <w:rPr>
          <w:rFonts w:ascii="Arial" w:cs="Arial" w:eastAsia="Arial" w:hAnsi="Arial"/>
          <w:sz w:val="16"/>
          <w:szCs w:val="16"/>
          <w:color w:val="auto"/>
        </w:rPr>
      </w:pPr>
    </w:p>
    <w:p>
      <w:pPr>
        <w:ind w:left="540" w:firstLine="526"/>
        <w:spacing w:after="0" w:line="304" w:lineRule="auto"/>
        <w:tabs>
          <w:tab w:leader="none" w:pos="1417" w:val="left"/>
        </w:tabs>
        <w:numPr>
          <w:ilvl w:val="1"/>
          <w:numId w:val="188"/>
        </w:numPr>
        <w:rPr>
          <w:rFonts w:ascii="Arial" w:cs="Arial" w:eastAsia="Arial" w:hAnsi="Arial"/>
          <w:sz w:val="15"/>
          <w:szCs w:val="15"/>
          <w:color w:val="auto"/>
        </w:rPr>
      </w:pPr>
      <w:r>
        <w:rPr>
          <w:rFonts w:ascii="Arial" w:cs="Arial" w:eastAsia="Arial" w:hAnsi="Arial"/>
          <w:sz w:val="17"/>
          <w:szCs w:val="17"/>
          <w:color w:val="auto"/>
        </w:rPr>
        <w:t>any release, nonperfection or invalidity of any direct or indirect security for any Obligation, or any action or failure to act by the Agent, any Secured Party or any Affiliate of any Secured Party with respect to any collateral securing all or any part of the Guaranteed Obligations;</w:t>
      </w:r>
    </w:p>
    <w:p>
      <w:pPr>
        <w:spacing w:after="0" w:line="110" w:lineRule="exact"/>
        <w:rPr>
          <w:rFonts w:ascii="Arial" w:cs="Arial" w:eastAsia="Arial" w:hAnsi="Arial"/>
          <w:sz w:val="15"/>
          <w:szCs w:val="15"/>
          <w:color w:val="auto"/>
        </w:rPr>
      </w:pPr>
    </w:p>
    <w:p>
      <w:pPr>
        <w:jc w:val="both"/>
        <w:ind w:left="540" w:firstLine="526"/>
        <w:spacing w:after="0" w:line="253" w:lineRule="auto"/>
        <w:tabs>
          <w:tab w:leader="none" w:pos="1514" w:val="left"/>
        </w:tabs>
        <w:numPr>
          <w:ilvl w:val="1"/>
          <w:numId w:val="188"/>
        </w:numPr>
        <w:rPr>
          <w:rFonts w:ascii="Arial" w:cs="Arial" w:eastAsia="Arial" w:hAnsi="Arial"/>
          <w:sz w:val="16"/>
          <w:szCs w:val="16"/>
          <w:color w:val="auto"/>
        </w:rPr>
      </w:pPr>
      <w:r>
        <w:rPr>
          <w:rFonts w:ascii="Arial" w:cs="Arial" w:eastAsia="Arial" w:hAnsi="Arial"/>
          <w:sz w:val="18"/>
          <w:szCs w:val="18"/>
          <w:color w:val="auto"/>
        </w:rPr>
        <w:t>any change in the corporate existence, structure or ownership of the Parent, any Borrower or any guarantor of any of the Guaranteed Obligations, or any insolvency, bankruptcy, reorganization or other similar proceeding affecting the Parent, any other Borrower or any other guarantor of the Guaranteed Obligations, or its assets or any resulting release or discharge of any obligation of the Parent, any Borrower or any guarantor of any of the Guaranteed Obligations;</w:t>
      </w:r>
    </w:p>
    <w:p>
      <w:pPr>
        <w:spacing w:after="0" w:line="152" w:lineRule="exact"/>
        <w:rPr>
          <w:rFonts w:ascii="Arial" w:cs="Arial" w:eastAsia="Arial" w:hAnsi="Arial"/>
          <w:sz w:val="16"/>
          <w:szCs w:val="16"/>
          <w:color w:val="auto"/>
        </w:rPr>
      </w:pPr>
    </w:p>
    <w:p>
      <w:pPr>
        <w:jc w:val="both"/>
        <w:ind w:left="540" w:right="20" w:firstLine="526"/>
        <w:spacing w:after="0" w:line="258" w:lineRule="auto"/>
        <w:tabs>
          <w:tab w:leader="none" w:pos="1406" w:val="left"/>
        </w:tabs>
        <w:numPr>
          <w:ilvl w:val="1"/>
          <w:numId w:val="188"/>
        </w:numPr>
        <w:rPr>
          <w:rFonts w:ascii="Arial" w:cs="Arial" w:eastAsia="Arial" w:hAnsi="Arial"/>
          <w:sz w:val="16"/>
          <w:szCs w:val="16"/>
          <w:color w:val="auto"/>
        </w:rPr>
      </w:pPr>
      <w:r>
        <w:rPr>
          <w:rFonts w:ascii="Arial" w:cs="Arial" w:eastAsia="Arial" w:hAnsi="Arial"/>
          <w:sz w:val="18"/>
          <w:szCs w:val="18"/>
          <w:color w:val="auto"/>
        </w:rPr>
        <w:t>the existence of any claim, setoff or other rights which the Subsidiary Guarantors may have at any time against the Parent, any Borrower, any guarantor of any of the Guaranteed Obligations, the Agent, any Secured Party or any other Person, whether in connection herewith or any unrelated transactions;</w:t>
      </w:r>
    </w:p>
    <w:p>
      <w:pPr>
        <w:spacing w:after="0" w:line="148" w:lineRule="exact"/>
        <w:rPr>
          <w:rFonts w:ascii="Arial" w:cs="Arial" w:eastAsia="Arial" w:hAnsi="Arial"/>
          <w:sz w:val="16"/>
          <w:szCs w:val="16"/>
          <w:color w:val="auto"/>
        </w:rPr>
      </w:pPr>
    </w:p>
    <w:p>
      <w:pPr>
        <w:jc w:val="both"/>
        <w:ind w:left="540" w:firstLine="526"/>
        <w:spacing w:after="0" w:line="319" w:lineRule="auto"/>
        <w:tabs>
          <w:tab w:leader="none" w:pos="1410" w:val="left"/>
        </w:tabs>
        <w:numPr>
          <w:ilvl w:val="1"/>
          <w:numId w:val="188"/>
        </w:numPr>
        <w:rPr>
          <w:rFonts w:ascii="Arial" w:cs="Arial" w:eastAsia="Arial" w:hAnsi="Arial"/>
          <w:sz w:val="14"/>
          <w:szCs w:val="14"/>
          <w:color w:val="auto"/>
        </w:rPr>
      </w:pPr>
      <w:r>
        <w:rPr>
          <w:rFonts w:ascii="Arial" w:cs="Arial" w:eastAsia="Arial" w:hAnsi="Arial"/>
          <w:sz w:val="15"/>
          <w:szCs w:val="15"/>
          <w:color w:val="auto"/>
        </w:rPr>
        <w:t>any invalidity or unenforceability relating to or against the Parent, any Borrower or any guarantor of any of the Guaranteed Obligations, for any reason related to the Credit Agreement, any Note, any Cash Management Agreement, any Lender Swap Agreement or any other Loan Document, or any provision of applicable law or regulation purporting to prohibit the payment by the Parent, any Borrower or any guarantor of the Guaranteed Obligations, of the principal of or interest on any Note or any other amount payable by the Credit Parties in respect of the Obligations;</w:t>
      </w:r>
    </w:p>
    <w:p>
      <w:pPr>
        <w:spacing w:after="0" w:line="107" w:lineRule="exact"/>
        <w:rPr>
          <w:rFonts w:ascii="Arial" w:cs="Arial" w:eastAsia="Arial" w:hAnsi="Arial"/>
          <w:sz w:val="14"/>
          <w:szCs w:val="14"/>
          <w:color w:val="auto"/>
        </w:rPr>
      </w:pPr>
    </w:p>
    <w:p>
      <w:pPr>
        <w:jc w:val="both"/>
        <w:ind w:left="540" w:firstLine="526"/>
        <w:spacing w:after="0" w:line="258" w:lineRule="auto"/>
        <w:tabs>
          <w:tab w:leader="none" w:pos="1404" w:val="left"/>
        </w:tabs>
        <w:numPr>
          <w:ilvl w:val="1"/>
          <w:numId w:val="188"/>
        </w:numPr>
        <w:rPr>
          <w:rFonts w:ascii="Arial" w:cs="Arial" w:eastAsia="Arial" w:hAnsi="Arial"/>
          <w:sz w:val="16"/>
          <w:szCs w:val="16"/>
          <w:color w:val="auto"/>
        </w:rPr>
      </w:pPr>
      <w:r>
        <w:rPr>
          <w:rFonts w:ascii="Arial" w:cs="Arial" w:eastAsia="Arial" w:hAnsi="Arial"/>
          <w:sz w:val="18"/>
          <w:szCs w:val="18"/>
          <w:color w:val="auto"/>
        </w:rPr>
        <w:t>the election by, or on behalf of, any one or more of the Secured Parties, in any proceeding instituted under Chapter 11 of Title 11 of the United States Code (11 U.S.C. 101 et seq.) (such statute and any successor statute, as in effect from time to time, the “Bankruptcy Code”), of the application of Section 1111(b)(2) of the Bankruptcy Code;</w:t>
      </w:r>
    </w:p>
    <w:p>
      <w:pPr>
        <w:spacing w:after="0" w:line="148" w:lineRule="exact"/>
        <w:rPr>
          <w:rFonts w:ascii="Arial" w:cs="Arial" w:eastAsia="Arial" w:hAnsi="Arial"/>
          <w:sz w:val="16"/>
          <w:szCs w:val="16"/>
          <w:color w:val="auto"/>
        </w:rPr>
      </w:pPr>
    </w:p>
    <w:p>
      <w:pPr>
        <w:ind w:left="1400" w:hanging="334"/>
        <w:spacing w:after="0"/>
        <w:tabs>
          <w:tab w:leader="none" w:pos="1400" w:val="left"/>
        </w:tabs>
        <w:numPr>
          <w:ilvl w:val="1"/>
          <w:numId w:val="188"/>
        </w:numPr>
        <w:rPr>
          <w:rFonts w:ascii="Arial" w:cs="Arial" w:eastAsia="Arial" w:hAnsi="Arial"/>
          <w:sz w:val="15"/>
          <w:szCs w:val="15"/>
          <w:color w:val="auto"/>
        </w:rPr>
      </w:pPr>
      <w:r>
        <w:rPr>
          <w:rFonts w:ascii="Arial" w:cs="Arial" w:eastAsia="Arial" w:hAnsi="Arial"/>
          <w:sz w:val="17"/>
          <w:szCs w:val="17"/>
          <w:color w:val="auto"/>
        </w:rPr>
        <w:t>any borrowing or grant of a security interest by any Borrower, as debtor-in-possession, under Section 364 of the Bankruptcy Code;</w:t>
      </w:r>
    </w:p>
    <w:p>
      <w:pPr>
        <w:spacing w:after="0" w:line="201" w:lineRule="exact"/>
        <w:rPr>
          <w:rFonts w:ascii="Arial" w:cs="Arial" w:eastAsia="Arial" w:hAnsi="Arial"/>
          <w:sz w:val="15"/>
          <w:szCs w:val="15"/>
          <w:color w:val="auto"/>
        </w:rPr>
      </w:pPr>
    </w:p>
    <w:p>
      <w:pPr>
        <w:ind w:left="540" w:firstLine="526"/>
        <w:spacing w:after="0" w:line="274" w:lineRule="auto"/>
        <w:tabs>
          <w:tab w:leader="none" w:pos="1401" w:val="left"/>
        </w:tabs>
        <w:numPr>
          <w:ilvl w:val="1"/>
          <w:numId w:val="188"/>
        </w:numPr>
        <w:rPr>
          <w:rFonts w:ascii="Arial" w:cs="Arial" w:eastAsia="Arial" w:hAnsi="Arial"/>
          <w:sz w:val="16"/>
          <w:szCs w:val="16"/>
          <w:color w:val="auto"/>
        </w:rPr>
      </w:pPr>
      <w:r>
        <w:rPr>
          <w:rFonts w:ascii="Arial" w:cs="Arial" w:eastAsia="Arial" w:hAnsi="Arial"/>
          <w:sz w:val="18"/>
          <w:szCs w:val="18"/>
          <w:color w:val="auto"/>
        </w:rPr>
        <w:t>the disallowance, under Section 502 of the Bankruptcy Code, of all or any portion of the claims of the Agent or any other Secured Party for repayment of all or any part of the Guaranteed Obligations;</w:t>
      </w:r>
    </w:p>
    <w:p>
      <w:pPr>
        <w:spacing w:after="0" w:line="133" w:lineRule="exact"/>
        <w:rPr>
          <w:rFonts w:ascii="Arial" w:cs="Arial" w:eastAsia="Arial" w:hAnsi="Arial"/>
          <w:sz w:val="16"/>
          <w:szCs w:val="16"/>
          <w:color w:val="auto"/>
        </w:rPr>
      </w:pPr>
    </w:p>
    <w:p>
      <w:pPr>
        <w:ind w:left="1360" w:hanging="294"/>
        <w:spacing w:after="0"/>
        <w:tabs>
          <w:tab w:leader="none" w:pos="1360" w:val="left"/>
        </w:tabs>
        <w:numPr>
          <w:ilvl w:val="1"/>
          <w:numId w:val="188"/>
        </w:numPr>
        <w:rPr>
          <w:rFonts w:ascii="Arial" w:cs="Arial" w:eastAsia="Arial" w:hAnsi="Arial"/>
          <w:sz w:val="15"/>
          <w:szCs w:val="15"/>
          <w:color w:val="auto"/>
        </w:rPr>
      </w:pPr>
      <w:r>
        <w:rPr>
          <w:rFonts w:ascii="Arial" w:cs="Arial" w:eastAsia="Arial" w:hAnsi="Arial"/>
          <w:sz w:val="17"/>
          <w:szCs w:val="17"/>
          <w:color w:val="auto"/>
        </w:rPr>
        <w:t>the failure of any other guarantor to sign or become party to this Guaranty or any amendment, change, or reaffirmation hereof; or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173</w:t>
      </w:r>
    </w:p>
    <w:p>
      <w:pPr>
        <w:sectPr>
          <w:pgSz w:w="11900" w:h="16838" w:orient="portrait"/>
          <w:cols w:equalWidth="0" w:num="1">
            <w:col w:w="11460"/>
          </w:cols>
          <w:pgMar w:left="220" w:top="509" w:right="219" w:bottom="1440" w:gutter="0" w:footer="0" w:header="0"/>
        </w:sectPr>
      </w:pPr>
    </w:p>
    <w:bookmarkStart w:id="234" w:name="page235"/>
    <w:bookmarkEnd w:id="234"/>
    <w:p>
      <w:pPr>
        <w:jc w:val="both"/>
        <w:ind w:left="540" w:firstLine="526"/>
        <w:spacing w:after="0" w:line="258" w:lineRule="auto"/>
        <w:tabs>
          <w:tab w:leader="none" w:pos="1437" w:val="left"/>
        </w:tabs>
        <w:numPr>
          <w:ilvl w:val="1"/>
          <w:numId w:val="189"/>
        </w:numPr>
        <w:rPr>
          <w:rFonts w:ascii="Arial" w:cs="Arial" w:eastAsia="Arial" w:hAnsi="Arial"/>
          <w:sz w:val="16"/>
          <w:szCs w:val="16"/>
          <w:color w:val="auto"/>
        </w:rPr>
      </w:pPr>
      <w:r>
        <w:rPr>
          <w:rFonts w:ascii="Arial" w:cs="Arial" w:eastAsia="Arial" w:hAnsi="Arial"/>
          <w:sz w:val="18"/>
          <w:szCs w:val="18"/>
          <w:color w:val="auto"/>
        </w:rPr>
        <w:t>any other act or omission to act or delay of any kind by the Parent, any Borrower, any guarantor of the Guaranteed Obligations, the Agent, any Secured Party or any other Person or any other circumstance whatsoever which might, but for the provisions of this paragraph, constitute a legal or equitable discharge of any of Subsidiary Guarantors’ obligations hereunder.</w:t>
      </w:r>
    </w:p>
    <w:p>
      <w:pPr>
        <w:spacing w:after="0" w:line="148" w:lineRule="exact"/>
        <w:rPr>
          <w:rFonts w:ascii="Arial" w:cs="Arial" w:eastAsia="Arial" w:hAnsi="Arial"/>
          <w:sz w:val="16"/>
          <w:szCs w:val="16"/>
          <w:color w:val="auto"/>
        </w:rPr>
      </w:pPr>
    </w:p>
    <w:p>
      <w:pPr>
        <w:jc w:val="both"/>
        <w:ind w:firstLine="537"/>
        <w:spacing w:after="0" w:line="299" w:lineRule="auto"/>
        <w:tabs>
          <w:tab w:leader="none" w:pos="852" w:val="left"/>
        </w:tabs>
        <w:numPr>
          <w:ilvl w:val="0"/>
          <w:numId w:val="190"/>
        </w:numPr>
        <w:rPr>
          <w:rFonts w:ascii="Arial" w:cs="Arial" w:eastAsia="Arial" w:hAnsi="Arial"/>
          <w:sz w:val="15"/>
          <w:szCs w:val="15"/>
          <w:color w:val="auto"/>
        </w:rPr>
      </w:pPr>
      <w:r>
        <w:rPr>
          <w:rFonts w:ascii="Arial" w:cs="Arial" w:eastAsia="Arial" w:hAnsi="Arial"/>
          <w:sz w:val="15"/>
          <w:szCs w:val="15"/>
          <w:u w:val="single" w:color="auto"/>
          <w:color w:val="auto"/>
        </w:rPr>
        <w:t>Discharge Only Upon Payment In Full; Reinstatement In Certain Circumstances</w:t>
      </w:r>
      <w:r>
        <w:rPr>
          <w:rFonts w:ascii="Arial" w:cs="Arial" w:eastAsia="Arial" w:hAnsi="Arial"/>
          <w:sz w:val="15"/>
          <w:szCs w:val="15"/>
          <w:color w:val="auto"/>
        </w:rPr>
        <w:t>. The Subsidiary Guarantors’ obligations hereunder shall remain in full force and effect until all Guaranteed Obligations have been indefeasibly paid in full, the Revolving Commitments shall have terminated or expired and all Letters of Credit (other than Letters of Credit as to which other arrangements satisfactory to the Agent and the Issuing Bank have been made) shall have terminated or expired (collectively, “</w:t>
      </w:r>
      <w:r>
        <w:rPr>
          <w:rFonts w:ascii="Arial" w:cs="Arial" w:eastAsia="Arial" w:hAnsi="Arial"/>
          <w:sz w:val="15"/>
          <w:szCs w:val="15"/>
          <w:u w:val="single" w:color="auto"/>
          <w:color w:val="auto"/>
        </w:rPr>
        <w:t>Paid in Full</w:t>
      </w:r>
      <w:r>
        <w:rPr>
          <w:rFonts w:ascii="Arial" w:cs="Arial" w:eastAsia="Arial" w:hAnsi="Arial"/>
          <w:sz w:val="15"/>
          <w:szCs w:val="15"/>
          <w:color w:val="auto"/>
        </w:rPr>
        <w:t>” or “</w:t>
      </w:r>
      <w:r>
        <w:rPr>
          <w:rFonts w:ascii="Arial" w:cs="Arial" w:eastAsia="Arial" w:hAnsi="Arial"/>
          <w:sz w:val="15"/>
          <w:szCs w:val="15"/>
          <w:u w:val="single" w:color="auto"/>
          <w:color w:val="auto"/>
        </w:rPr>
        <w:t>Payment in Full</w:t>
      </w:r>
      <w:r>
        <w:rPr>
          <w:rFonts w:ascii="Arial" w:cs="Arial" w:eastAsia="Arial" w:hAnsi="Arial"/>
          <w:sz w:val="15"/>
          <w:szCs w:val="15"/>
          <w:color w:val="auto"/>
        </w:rPr>
        <w:t>”). If at any time any payment of the principal of or interest on any Note or any other amount payable by any Foreign Borrower or any Foreign Subsidiary under the Credit Agreement, any Note, any Cash Management Agreement, any Lender Swap Agreement or any other Loan Document is rescinded or must be otherwise restored or returned upon the insolvency, bankruptcy or reorganization of such Credit Party or otherwise, the Subsidiary Guarantors’ obligations hereunder with respect to such payment shall be reinstated as though such payment had been due but not made at such time. The parties hereto acknowledge and agree that each of the Guaranteed Obligations shall be due and payable in the same currency as such Guaranteed Obligation is denominated, but if currency control or exchange regulations are imposed in the country which issues such currency with the result such currency no longer exists or the relevant Subsidiary Guarantor is not able to make payment in such currency, then all payments to be made by such Subsidiary Guarantor hereunder in such currency shall instead be made when due in the Equivalent Amount of U.S. Dollars (as of the date of payment) of such payment due, it being the intention of the parties hereto that each Guarantor takes all risks of the imposition of any such currency control or exchange regulations.</w:t>
      </w:r>
    </w:p>
    <w:p>
      <w:pPr>
        <w:spacing w:after="0" w:line="121" w:lineRule="exact"/>
        <w:rPr>
          <w:rFonts w:ascii="Arial" w:cs="Arial" w:eastAsia="Arial" w:hAnsi="Arial"/>
          <w:sz w:val="15"/>
          <w:szCs w:val="15"/>
          <w:color w:val="auto"/>
        </w:rPr>
      </w:pPr>
    </w:p>
    <w:p>
      <w:pPr>
        <w:ind w:left="820" w:hanging="283"/>
        <w:spacing w:after="0"/>
        <w:tabs>
          <w:tab w:leader="none" w:pos="82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Waivers</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jc w:val="both"/>
        <w:ind w:left="540" w:firstLine="526"/>
        <w:spacing w:after="0" w:line="258" w:lineRule="auto"/>
        <w:tabs>
          <w:tab w:leader="none" w:pos="1406" w:val="left"/>
        </w:tabs>
        <w:numPr>
          <w:ilvl w:val="1"/>
          <w:numId w:val="190"/>
        </w:numPr>
        <w:rPr>
          <w:rFonts w:ascii="Arial" w:cs="Arial" w:eastAsia="Arial" w:hAnsi="Arial"/>
          <w:sz w:val="16"/>
          <w:szCs w:val="16"/>
          <w:color w:val="auto"/>
        </w:rPr>
      </w:pPr>
      <w:r>
        <w:rPr>
          <w:rFonts w:ascii="Arial" w:cs="Arial" w:eastAsia="Arial" w:hAnsi="Arial"/>
          <w:sz w:val="18"/>
          <w:szCs w:val="18"/>
          <w:color w:val="auto"/>
        </w:rPr>
        <w:t>The Subsidiary Guarantors irrevocably waive acceptance hereof, presentment, demand, protest and, to the fullest extent permitted by law, any notice not provided for herein, as well as any requirement that at any time any action be taken by any Person against the Parent, any Borrower or any guarantor of any of the Guaranteed Obligations, or any other Person.</w:t>
      </w:r>
    </w:p>
    <w:p>
      <w:pPr>
        <w:spacing w:after="0" w:line="148" w:lineRule="exact"/>
        <w:rPr>
          <w:rFonts w:ascii="Arial" w:cs="Arial" w:eastAsia="Arial" w:hAnsi="Arial"/>
          <w:sz w:val="16"/>
          <w:szCs w:val="16"/>
          <w:color w:val="auto"/>
        </w:rPr>
      </w:pPr>
    </w:p>
    <w:p>
      <w:pPr>
        <w:jc w:val="both"/>
        <w:ind w:left="540" w:firstLine="526"/>
        <w:spacing w:after="0" w:line="258" w:lineRule="auto"/>
        <w:tabs>
          <w:tab w:leader="none" w:pos="1415" w:val="left"/>
        </w:tabs>
        <w:numPr>
          <w:ilvl w:val="1"/>
          <w:numId w:val="190"/>
        </w:numPr>
        <w:rPr>
          <w:rFonts w:ascii="Arial" w:cs="Arial" w:eastAsia="Arial" w:hAnsi="Arial"/>
          <w:sz w:val="16"/>
          <w:szCs w:val="16"/>
          <w:color w:val="auto"/>
        </w:rPr>
      </w:pPr>
      <w:r>
        <w:rPr>
          <w:rFonts w:ascii="Arial" w:cs="Arial" w:eastAsia="Arial" w:hAnsi="Arial"/>
          <w:sz w:val="18"/>
          <w:szCs w:val="18"/>
          <w:color w:val="auto"/>
        </w:rPr>
        <w:t>The Subsidiary Guarantors waive any right to require the Agent or the Secured Parties to sue the Parent, any Borrower, any Other Guarantor, or any other person obligated for all or any part of the Guaranteed Obligations, or otherwise to enforce its payment against any collateral securing all or any part of the Guaranteed Obligations.</w:t>
      </w:r>
    </w:p>
    <w:p>
      <w:pPr>
        <w:spacing w:after="0" w:line="148" w:lineRule="exact"/>
        <w:rPr>
          <w:rFonts w:ascii="Arial" w:cs="Arial" w:eastAsia="Arial" w:hAnsi="Arial"/>
          <w:sz w:val="16"/>
          <w:szCs w:val="16"/>
          <w:color w:val="auto"/>
        </w:rPr>
      </w:pPr>
    </w:p>
    <w:p>
      <w:pPr>
        <w:jc w:val="both"/>
        <w:ind w:left="540" w:firstLine="526"/>
        <w:spacing w:after="0" w:line="272" w:lineRule="auto"/>
        <w:tabs>
          <w:tab w:leader="none" w:pos="1439" w:val="left"/>
        </w:tabs>
        <w:numPr>
          <w:ilvl w:val="1"/>
          <w:numId w:val="190"/>
        </w:numPr>
        <w:rPr>
          <w:rFonts w:ascii="Arial" w:cs="Arial" w:eastAsia="Arial" w:hAnsi="Arial"/>
          <w:sz w:val="15"/>
          <w:szCs w:val="15"/>
          <w:color w:val="auto"/>
        </w:rPr>
      </w:pPr>
      <w:r>
        <w:rPr>
          <w:rFonts w:ascii="Arial" w:cs="Arial" w:eastAsia="Arial" w:hAnsi="Arial"/>
          <w:sz w:val="17"/>
          <w:szCs w:val="17"/>
          <w:color w:val="auto"/>
        </w:rPr>
        <w:t>The Subsidiary Guarantors waive any and all rights or defenses arising by reason of (i) any defense given to guarantors at law or in equity other than actual payment and performance of the indebtedness or (ii) by any failure, neglect or omission by the Agent or the Secured Parties to perfect in any manner the collection of the Guaranteed Obligations or the security given therefore, including the failure or omission to seek a deficiency judgment against the Parent, the Subsidiary Guarantors, any Borrower, any guarantor, or any person.</w:t>
      </w:r>
    </w:p>
    <w:p>
      <w:pPr>
        <w:spacing w:after="0" w:line="138" w:lineRule="exact"/>
        <w:rPr>
          <w:rFonts w:ascii="Arial" w:cs="Arial" w:eastAsia="Arial" w:hAnsi="Arial"/>
          <w:sz w:val="15"/>
          <w:szCs w:val="15"/>
          <w:color w:val="auto"/>
        </w:rPr>
      </w:pPr>
    </w:p>
    <w:p>
      <w:pPr>
        <w:jc w:val="both"/>
        <w:ind w:left="540" w:firstLine="526"/>
        <w:spacing w:after="0" w:line="258" w:lineRule="auto"/>
        <w:tabs>
          <w:tab w:leader="none" w:pos="1459" w:val="left"/>
        </w:tabs>
        <w:numPr>
          <w:ilvl w:val="1"/>
          <w:numId w:val="190"/>
        </w:numPr>
        <w:rPr>
          <w:rFonts w:ascii="Arial" w:cs="Arial" w:eastAsia="Arial" w:hAnsi="Arial"/>
          <w:sz w:val="16"/>
          <w:szCs w:val="16"/>
          <w:color w:val="auto"/>
        </w:rPr>
      </w:pPr>
      <w:r>
        <w:rPr>
          <w:rFonts w:ascii="Arial" w:cs="Arial" w:eastAsia="Arial" w:hAnsi="Arial"/>
          <w:sz w:val="18"/>
          <w:szCs w:val="18"/>
          <w:color w:val="auto"/>
        </w:rPr>
        <w:t>The Subsidiary Guarantors further waive and agree not to assert or claim at any time any deductions to the amount guaranteed under this Guaranty for any claim of setoff, counterclaim, counter demand, recoupment or similar right, whether such claim, demand or right may be asserted by any Borrower, other Credit Party and/or the Subsidiary Guarantors.</w:t>
      </w:r>
    </w:p>
    <w:p>
      <w:pPr>
        <w:spacing w:after="0" w:line="148" w:lineRule="exact"/>
        <w:rPr>
          <w:rFonts w:ascii="Arial" w:cs="Arial" w:eastAsia="Arial" w:hAnsi="Arial"/>
          <w:sz w:val="16"/>
          <w:szCs w:val="16"/>
          <w:color w:val="auto"/>
        </w:rPr>
      </w:pPr>
    </w:p>
    <w:p>
      <w:pPr>
        <w:ind w:left="540" w:firstLine="526"/>
        <w:spacing w:after="0" w:line="274" w:lineRule="auto"/>
        <w:tabs>
          <w:tab w:leader="none" w:pos="1406" w:val="left"/>
        </w:tabs>
        <w:numPr>
          <w:ilvl w:val="1"/>
          <w:numId w:val="190"/>
        </w:numPr>
        <w:rPr>
          <w:rFonts w:ascii="Arial" w:cs="Arial" w:eastAsia="Arial" w:hAnsi="Arial"/>
          <w:sz w:val="16"/>
          <w:szCs w:val="16"/>
          <w:color w:val="auto"/>
        </w:rPr>
      </w:pPr>
      <w:r>
        <w:rPr>
          <w:rFonts w:ascii="Arial" w:cs="Arial" w:eastAsia="Arial" w:hAnsi="Arial"/>
          <w:sz w:val="18"/>
          <w:szCs w:val="18"/>
          <w:color w:val="auto"/>
        </w:rPr>
        <w:t>The Subsidiary Guarantors waive and agree not to assert: (i) the benefit of any statute of limitations affecting Subsidiary Guarantors’ liability hereunder or the enforcement hereof; (ii) the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174</w:t>
      </w:r>
    </w:p>
    <w:p>
      <w:pPr>
        <w:sectPr>
          <w:pgSz w:w="11900" w:h="16838" w:orient="portrait"/>
          <w:cols w:equalWidth="0" w:num="1">
            <w:col w:w="11460"/>
          </w:cols>
          <w:pgMar w:left="220" w:top="509" w:right="219" w:bottom="1440" w:gutter="0" w:footer="0" w:header="0"/>
        </w:sectPr>
      </w:pPr>
    </w:p>
    <w:bookmarkStart w:id="235" w:name="page236"/>
    <w:bookmarkEnd w:id="235"/>
    <w:p>
      <w:pPr>
        <w:jc w:val="both"/>
        <w:ind w:left="540"/>
        <w:spacing w:after="0" w:line="274" w:lineRule="auto"/>
        <w:rPr>
          <w:sz w:val="20"/>
          <w:szCs w:val="20"/>
          <w:color w:val="auto"/>
        </w:rPr>
      </w:pPr>
      <w:r>
        <w:rPr>
          <w:rFonts w:ascii="Arial" w:cs="Arial" w:eastAsia="Arial" w:hAnsi="Arial"/>
          <w:sz w:val="17"/>
          <w:szCs w:val="17"/>
          <w:color w:val="auto"/>
        </w:rPr>
        <w:t>benefits of any statutory provision limiting the liability of a surety, including without limitation the provisions of Sections 334, 337, 338 and 344 of Title 15 of the Oklahoma Statutes; (iii) the benefits of any statutory provision limiting the right of the Agent to any foreclosure or trustee’s sale of any security for the indebtedness, including without limitation, any right to set off under Section 686 of Title 12 of the Oklahoma Statutes.</w:t>
      </w:r>
    </w:p>
    <w:p>
      <w:pPr>
        <w:spacing w:after="0" w:line="135" w:lineRule="exact"/>
        <w:rPr>
          <w:sz w:val="20"/>
          <w:szCs w:val="20"/>
          <w:color w:val="auto"/>
        </w:rPr>
      </w:pPr>
    </w:p>
    <w:p>
      <w:pPr>
        <w:jc w:val="both"/>
        <w:ind w:firstLine="537"/>
        <w:spacing w:after="0" w:line="253" w:lineRule="auto"/>
        <w:tabs>
          <w:tab w:leader="none" w:pos="885"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Subrogation</w:t>
      </w:r>
      <w:r>
        <w:rPr>
          <w:rFonts w:ascii="Arial" w:cs="Arial" w:eastAsia="Arial" w:hAnsi="Arial"/>
          <w:sz w:val="18"/>
          <w:szCs w:val="18"/>
          <w:color w:val="auto"/>
        </w:rPr>
        <w:t>. The Subsidiary Guarantors hereby agree not to assert any right, claim or cause of action, including, without limitation, a claim for subrogation, reimbursement, indemnification or otherwise, against the Parent or any Borrower arising out of or by reason of this Guaranty or the obligations hereunder, including, without limitation, the payment or securing or purchasing of any of the Guaranteed Obligations by Subsidiary Guarantors unless and until Payment in Full.</w:t>
      </w:r>
    </w:p>
    <w:p>
      <w:pPr>
        <w:spacing w:after="0" w:line="152" w:lineRule="exact"/>
        <w:rPr>
          <w:rFonts w:ascii="Arial" w:cs="Arial" w:eastAsia="Arial" w:hAnsi="Arial"/>
          <w:sz w:val="18"/>
          <w:szCs w:val="18"/>
          <w:color w:val="auto"/>
        </w:rPr>
      </w:pPr>
    </w:p>
    <w:p>
      <w:pPr>
        <w:jc w:val="both"/>
        <w:ind w:firstLine="537"/>
        <w:spacing w:after="0" w:line="253" w:lineRule="auto"/>
        <w:tabs>
          <w:tab w:leader="none" w:pos="885"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Stay of Acceleration</w:t>
      </w:r>
      <w:r>
        <w:rPr>
          <w:rFonts w:ascii="Arial" w:cs="Arial" w:eastAsia="Arial" w:hAnsi="Arial"/>
          <w:sz w:val="18"/>
          <w:szCs w:val="18"/>
          <w:color w:val="auto"/>
        </w:rPr>
        <w:t>. If acceleration of the time for payment of any of the Guaranteed Obligations is stayed upon the insolvency, bankruptcy or reorganization of the Parent or any Borrower, all such amounts otherwise subject to acceleration under the terms of the Credit Agreement, any Note, any Cash Management Agreement, any Lender Swap Agreement or any other Loan Document shall nonetheless be payable by the Subsidiary Guarantors hereunder forthwith on demand by the Agent.</w:t>
      </w:r>
    </w:p>
    <w:p>
      <w:pPr>
        <w:spacing w:after="0" w:line="152" w:lineRule="exact"/>
        <w:rPr>
          <w:rFonts w:ascii="Arial" w:cs="Arial" w:eastAsia="Arial" w:hAnsi="Arial"/>
          <w:sz w:val="18"/>
          <w:szCs w:val="18"/>
          <w:color w:val="auto"/>
        </w:rPr>
      </w:pPr>
    </w:p>
    <w:p>
      <w:pPr>
        <w:ind w:left="900" w:hanging="363"/>
        <w:spacing w:after="0"/>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Limitation on Obligations; Keepwell</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jc w:val="both"/>
        <w:ind w:left="540" w:firstLine="526"/>
        <w:spacing w:after="0" w:line="300" w:lineRule="auto"/>
        <w:tabs>
          <w:tab w:leader="none" w:pos="1428" w:val="left"/>
        </w:tabs>
        <w:numPr>
          <w:ilvl w:val="1"/>
          <w:numId w:val="191"/>
        </w:numPr>
        <w:rPr>
          <w:rFonts w:ascii="Arial" w:cs="Arial" w:eastAsia="Arial" w:hAnsi="Arial"/>
          <w:sz w:val="14"/>
          <w:szCs w:val="14"/>
          <w:color w:val="auto"/>
        </w:rPr>
      </w:pPr>
      <w:r>
        <w:rPr>
          <w:rFonts w:ascii="Arial" w:cs="Arial" w:eastAsia="Arial" w:hAnsi="Arial"/>
          <w:sz w:val="15"/>
          <w:szCs w:val="15"/>
          <w:color w:val="auto"/>
        </w:rPr>
        <w:t>The provisions of this Guaranty are severable, and in any action or proceeding involving any state or provincial corporate or similar law, or any state, federal or foreign bankruptcy, insolvency, reorganization or other law affecting the rights of creditors generally, if the obligations of Subsidiary Guarantors under this Guaranty would otherwise be held or determined to be avoidable, invalid or unenforceable on account of the amount of any Subsidiary Guarantor’s liability under this Guaranty, then, notwithstanding any other provision of this Guaranty to the contrary, the amount of such liability shall, without any further action by the Subsidiary Guarantors, the Agent or any Secured Party, be automatically limited and reduced to the highest amount that is valid and enforceable as determined in such action or proceeding (such highest amount determined hereunder being such Subsidiary Guarantor’s “</w:t>
      </w:r>
      <w:r>
        <w:rPr>
          <w:rFonts w:ascii="Arial" w:cs="Arial" w:eastAsia="Arial" w:hAnsi="Arial"/>
          <w:sz w:val="15"/>
          <w:szCs w:val="15"/>
          <w:u w:val="single" w:color="auto"/>
          <w:color w:val="auto"/>
        </w:rPr>
        <w:t>Maximum Liability</w:t>
      </w:r>
      <w:r>
        <w:rPr>
          <w:rFonts w:ascii="Arial" w:cs="Arial" w:eastAsia="Arial" w:hAnsi="Arial"/>
          <w:sz w:val="15"/>
          <w:szCs w:val="15"/>
          <w:color w:val="auto"/>
        </w:rPr>
        <w:t xml:space="preserve">”). This </w:t>
      </w:r>
      <w:r>
        <w:rPr>
          <w:rFonts w:ascii="Arial" w:cs="Arial" w:eastAsia="Arial" w:hAnsi="Arial"/>
          <w:sz w:val="15"/>
          <w:szCs w:val="15"/>
          <w:u w:val="single" w:color="auto"/>
          <w:color w:val="auto"/>
        </w:rPr>
        <w:t>Section 10(a)</w:t>
      </w:r>
      <w:r>
        <w:rPr>
          <w:rFonts w:ascii="Arial" w:cs="Arial" w:eastAsia="Arial" w:hAnsi="Arial"/>
          <w:sz w:val="15"/>
          <w:szCs w:val="15"/>
          <w:color w:val="auto"/>
        </w:rPr>
        <w:t xml:space="preserve"> with respect to the Maximum Liability of the Subsidiary Guarantors is intended solely to preserve the rights of the Agent hereunder to the maximum extent not subject to avoidance under applicable law, and neither any Subsidiary Guarantor nor any other person or entity shall have any right or claim under this </w:t>
      </w:r>
      <w:r>
        <w:rPr>
          <w:rFonts w:ascii="Arial" w:cs="Arial" w:eastAsia="Arial" w:hAnsi="Arial"/>
          <w:sz w:val="15"/>
          <w:szCs w:val="15"/>
          <w:u w:val="single" w:color="auto"/>
          <w:color w:val="auto"/>
        </w:rPr>
        <w:t>Section 10(a)</w:t>
      </w:r>
      <w:r>
        <w:rPr>
          <w:rFonts w:ascii="Arial" w:cs="Arial" w:eastAsia="Arial" w:hAnsi="Arial"/>
          <w:sz w:val="15"/>
          <w:szCs w:val="15"/>
          <w:color w:val="auto"/>
        </w:rPr>
        <w:t xml:space="preserve"> with respect to the Maximum Liability, except to the extent necessary so that the obligations of any Subsidiary Guarantor hereunder shall not be rendered voidable under applicable law.</w:t>
      </w:r>
    </w:p>
    <w:p>
      <w:pPr>
        <w:spacing w:after="0" w:line="125" w:lineRule="exact"/>
        <w:rPr>
          <w:rFonts w:ascii="Arial" w:cs="Arial" w:eastAsia="Arial" w:hAnsi="Arial"/>
          <w:sz w:val="14"/>
          <w:szCs w:val="14"/>
          <w:color w:val="auto"/>
        </w:rPr>
      </w:pPr>
    </w:p>
    <w:p>
      <w:pPr>
        <w:jc w:val="both"/>
        <w:ind w:left="540" w:firstLine="526"/>
        <w:spacing w:after="0" w:line="272" w:lineRule="auto"/>
        <w:tabs>
          <w:tab w:leader="none" w:pos="1437" w:val="left"/>
        </w:tabs>
        <w:numPr>
          <w:ilvl w:val="1"/>
          <w:numId w:val="191"/>
        </w:numPr>
        <w:rPr>
          <w:rFonts w:ascii="Arial" w:cs="Arial" w:eastAsia="Arial" w:hAnsi="Arial"/>
          <w:sz w:val="15"/>
          <w:szCs w:val="15"/>
          <w:color w:val="auto"/>
        </w:rPr>
      </w:pPr>
      <w:r>
        <w:rPr>
          <w:rFonts w:ascii="Arial" w:cs="Arial" w:eastAsia="Arial" w:hAnsi="Arial"/>
          <w:sz w:val="17"/>
          <w:szCs w:val="17"/>
          <w:color w:val="auto"/>
        </w:rPr>
        <w:t xml:space="preserve">The Subsidiary Guarantors agree that the Guaranteed Obligations may at any time and from time to time exceed the Maximum Liability of any Subsidiary Guarantor, and may exceed the aggregate of the Maximum Liability of Subsidiary Guarantors and the maximum lawful amount of the liability of all Other Guarantors, without impairing this Guaranty or affecting the rights and remedies of the Agent hereunder. Nothing in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10(b)</w:t>
      </w:r>
      <w:r>
        <w:rPr>
          <w:rFonts w:ascii="Arial" w:cs="Arial" w:eastAsia="Arial" w:hAnsi="Arial"/>
          <w:sz w:val="17"/>
          <w:szCs w:val="17"/>
          <w:color w:val="auto"/>
        </w:rPr>
        <w:t xml:space="preserve"> shall be construed to increase Subsidiary Guarantors’ obligations hereunder beyond its Maximum Liability.</w:t>
      </w:r>
    </w:p>
    <w:p>
      <w:pPr>
        <w:spacing w:after="0" w:line="138" w:lineRule="exact"/>
        <w:rPr>
          <w:rFonts w:ascii="Arial" w:cs="Arial" w:eastAsia="Arial" w:hAnsi="Arial"/>
          <w:sz w:val="15"/>
          <w:szCs w:val="15"/>
          <w:color w:val="auto"/>
        </w:rPr>
      </w:pPr>
    </w:p>
    <w:p>
      <w:pPr>
        <w:jc w:val="both"/>
        <w:ind w:left="540" w:firstLine="526"/>
        <w:spacing w:after="0" w:line="268" w:lineRule="auto"/>
        <w:tabs>
          <w:tab w:leader="none" w:pos="1439" w:val="left"/>
        </w:tabs>
        <w:numPr>
          <w:ilvl w:val="1"/>
          <w:numId w:val="191"/>
        </w:numPr>
        <w:rPr>
          <w:rFonts w:ascii="Arial" w:cs="Arial" w:eastAsia="Arial" w:hAnsi="Arial"/>
          <w:sz w:val="15"/>
          <w:szCs w:val="15"/>
          <w:color w:val="auto"/>
        </w:rPr>
      </w:pPr>
      <w:r>
        <w:rPr>
          <w:rFonts w:ascii="Arial" w:cs="Arial" w:eastAsia="Arial" w:hAnsi="Arial"/>
          <w:sz w:val="17"/>
          <w:szCs w:val="17"/>
          <w:color w:val="auto"/>
        </w:rPr>
        <w:t>If any Other Guarantor makes any payment or payments under its Guarantee of any of the Guaranteed Obligations or suffers any loss as a result of any realization upon any collateral granted by them to secure the Guaranteed Obligations, each Subsidiary Guarantor (each a “</w:t>
      </w:r>
      <w:r>
        <w:rPr>
          <w:rFonts w:ascii="Arial" w:cs="Arial" w:eastAsia="Arial" w:hAnsi="Arial"/>
          <w:sz w:val="17"/>
          <w:szCs w:val="17"/>
          <w:u w:val="single" w:color="auto"/>
          <w:color w:val="auto"/>
        </w:rPr>
        <w:t>Non-Paying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Subsidiary Guarantor</w:t>
      </w:r>
      <w:r>
        <w:rPr>
          <w:rFonts w:ascii="Arial" w:cs="Arial" w:eastAsia="Arial" w:hAnsi="Arial"/>
          <w:sz w:val="17"/>
          <w:szCs w:val="17"/>
          <w:color w:val="auto"/>
        </w:rPr>
        <w:t>”) shall contribute to the Other Guarantor an amount equal to such Non-Paying Subsidiary Guarantor’s “Pro Rata Share” of such payment or payments made, or losses suffered, by the Other Guarantor. For purposes hereof, each Non-Paying Subsidiary Guarantor’s “Pro Rata Share” with respect to any such payment or loss by an Other Guarantor will be determined</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175</w:t>
      </w:r>
    </w:p>
    <w:p>
      <w:pPr>
        <w:sectPr>
          <w:pgSz w:w="11900" w:h="16838" w:orient="portrait"/>
          <w:cols w:equalWidth="0" w:num="1">
            <w:col w:w="11460"/>
          </w:cols>
          <w:pgMar w:left="220" w:top="509" w:right="219" w:bottom="1440" w:gutter="0" w:footer="0" w:header="0"/>
        </w:sectPr>
      </w:pPr>
    </w:p>
    <w:bookmarkStart w:id="236" w:name="page237"/>
    <w:bookmarkEnd w:id="236"/>
    <w:p>
      <w:pPr>
        <w:jc w:val="both"/>
        <w:ind w:left="540"/>
        <w:spacing w:after="0" w:line="260" w:lineRule="auto"/>
        <w:rPr>
          <w:sz w:val="20"/>
          <w:szCs w:val="20"/>
          <w:color w:val="auto"/>
        </w:rPr>
      </w:pPr>
      <w:r>
        <w:rPr>
          <w:rFonts w:ascii="Arial" w:cs="Arial" w:eastAsia="Arial" w:hAnsi="Arial"/>
          <w:sz w:val="17"/>
          <w:szCs w:val="17"/>
          <w:color w:val="auto"/>
        </w:rPr>
        <w:t xml:space="preserve">as of the date on which such payment or loss was made by reference to the ratio of (i) such Non-Paying Subsidiary Guarantor’s Maximum Liability as of such date (without giving effect to any right to receive, or obligation to make, any contribution hereunder) or, if such Non-Paying Subsidiary Guarantor’s Maximum Liability has not been determined, the aggregate amount of all monies received by such Non-Paying Subsidiary Guarantor from the Parent after the date hereof (whether by loan, capital infusion or by other means) to (ii) the aggregate Maximum Liability of all Guarantors (including Subsidiary Guarantors) as of such date (without giving effect to any right to receive, or obligation to make, any contribution hereunder), or to the extent that a Maximum Liability has not been determined for any Guarantor, the aggregate amount of all monies received by such Guarantor from the Parent after the date hereof (whether by loan, capital infusion or by other means). Nothing in this </w:t>
      </w:r>
      <w:r>
        <w:rPr>
          <w:rFonts w:ascii="Arial" w:cs="Arial" w:eastAsia="Arial" w:hAnsi="Arial"/>
          <w:sz w:val="17"/>
          <w:szCs w:val="17"/>
          <w:u w:val="single" w:color="auto"/>
          <w:color w:val="auto"/>
        </w:rPr>
        <w:t>Section 10(c)</w:t>
      </w:r>
      <w:r>
        <w:rPr>
          <w:rFonts w:ascii="Arial" w:cs="Arial" w:eastAsia="Arial" w:hAnsi="Arial"/>
          <w:sz w:val="17"/>
          <w:szCs w:val="17"/>
          <w:color w:val="auto"/>
        </w:rPr>
        <w:t xml:space="preserve"> shall affect any Guarantor’s several liability for the entire amount of the Guaranteed Obligations (up to the Guarantor’s Maximum Liability). The Subsidiary Guarantors covenant and agree that its right to receive any contribution under this Guaranty from a Non-Paying Subsidiary Guarantor shall be subordinate and junior in right of payment to all the Guaranteed Obligations. The provisions of this </w:t>
      </w:r>
      <w:r>
        <w:rPr>
          <w:rFonts w:ascii="Arial" w:cs="Arial" w:eastAsia="Arial" w:hAnsi="Arial"/>
          <w:sz w:val="17"/>
          <w:szCs w:val="17"/>
          <w:u w:val="single" w:color="auto"/>
          <w:color w:val="auto"/>
        </w:rPr>
        <w:t>Section 10(c)</w:t>
      </w:r>
      <w:r>
        <w:rPr>
          <w:rFonts w:ascii="Arial" w:cs="Arial" w:eastAsia="Arial" w:hAnsi="Arial"/>
          <w:sz w:val="17"/>
          <w:szCs w:val="17"/>
          <w:color w:val="auto"/>
        </w:rPr>
        <w:t xml:space="preserve"> are for the benefit of both the Agent and the Other Guarantors and may be enforced by any one, or more, or all of them in accordance with the terms hereof.</w:t>
      </w:r>
    </w:p>
    <w:p>
      <w:pPr>
        <w:spacing w:after="0" w:line="151" w:lineRule="exact"/>
        <w:rPr>
          <w:sz w:val="20"/>
          <w:szCs w:val="20"/>
          <w:color w:val="auto"/>
        </w:rPr>
      </w:pPr>
    </w:p>
    <w:p>
      <w:pPr>
        <w:jc w:val="both"/>
        <w:ind w:left="540" w:firstLine="526"/>
        <w:spacing w:after="0" w:line="263" w:lineRule="auto"/>
        <w:tabs>
          <w:tab w:leader="none" w:pos="1437" w:val="left"/>
        </w:tabs>
        <w:numPr>
          <w:ilvl w:val="1"/>
          <w:numId w:val="192"/>
        </w:numPr>
        <w:rPr>
          <w:rFonts w:ascii="Arial" w:cs="Arial" w:eastAsia="Arial" w:hAnsi="Arial"/>
          <w:sz w:val="15"/>
          <w:szCs w:val="15"/>
          <w:color w:val="auto"/>
        </w:rPr>
      </w:pPr>
      <w:r>
        <w:rPr>
          <w:rFonts w:ascii="Arial" w:cs="Arial" w:eastAsia="Arial" w:hAnsi="Arial"/>
          <w:sz w:val="17"/>
          <w:szCs w:val="17"/>
          <w:color w:val="auto"/>
        </w:rPr>
        <w:t xml:space="preserve">Each Qualified ECP Guarantor hereby jointly and severally absolutely, unconditionally and irrevocably undertakes to provide such funds or other support as may be needed from time to time by each other Subsidiary Guarantor to honor all of its obligations under this Guaranty in respect of Swap Obligations (provided, however, that each Qualified ECP Guarantor shall only be liable under this </w:t>
      </w:r>
      <w:r>
        <w:rPr>
          <w:rFonts w:ascii="Arial" w:cs="Arial" w:eastAsia="Arial" w:hAnsi="Arial"/>
          <w:sz w:val="17"/>
          <w:szCs w:val="17"/>
          <w:u w:val="single" w:color="auto"/>
          <w:color w:val="auto"/>
        </w:rPr>
        <w:t>Section 10(d)</w:t>
      </w:r>
      <w:r>
        <w:rPr>
          <w:rFonts w:ascii="Arial" w:cs="Arial" w:eastAsia="Arial" w:hAnsi="Arial"/>
          <w:sz w:val="17"/>
          <w:szCs w:val="17"/>
          <w:color w:val="auto"/>
        </w:rPr>
        <w:t xml:space="preserve"> for the maximum amount of such liability that can be hereby incurred without rendering its obligations under this </w:t>
      </w:r>
      <w:r>
        <w:rPr>
          <w:rFonts w:ascii="Arial" w:cs="Arial" w:eastAsia="Arial" w:hAnsi="Arial"/>
          <w:sz w:val="17"/>
          <w:szCs w:val="17"/>
          <w:u w:val="single" w:color="auto"/>
          <w:color w:val="auto"/>
        </w:rPr>
        <w:t>Section 10(d)</w:t>
      </w:r>
      <w:r>
        <w:rPr>
          <w:rFonts w:ascii="Arial" w:cs="Arial" w:eastAsia="Arial" w:hAnsi="Arial"/>
          <w:sz w:val="17"/>
          <w:szCs w:val="17"/>
          <w:color w:val="auto"/>
        </w:rPr>
        <w:t xml:space="preserve"> or otherwise under this Guaranty voidable under applicable law relating to fraudulent conveyance or fraudulent transfer, and not for any greater amount). The obligations of each Qualified ECP Guarantor under this </w:t>
      </w:r>
      <w:r>
        <w:rPr>
          <w:rFonts w:ascii="Arial" w:cs="Arial" w:eastAsia="Arial" w:hAnsi="Arial"/>
          <w:sz w:val="17"/>
          <w:szCs w:val="17"/>
          <w:u w:val="single" w:color="auto"/>
          <w:color w:val="auto"/>
        </w:rPr>
        <w:t>Section 10(d)</w:t>
      </w:r>
      <w:r>
        <w:rPr>
          <w:rFonts w:ascii="Arial" w:cs="Arial" w:eastAsia="Arial" w:hAnsi="Arial"/>
          <w:sz w:val="17"/>
          <w:szCs w:val="17"/>
          <w:color w:val="auto"/>
        </w:rPr>
        <w:t xml:space="preserve"> shall remain in full force and effect until Payment in Full. Each Qualified ECP Guarantor intends that this </w:t>
      </w:r>
      <w:r>
        <w:rPr>
          <w:rFonts w:ascii="Arial" w:cs="Arial" w:eastAsia="Arial" w:hAnsi="Arial"/>
          <w:sz w:val="17"/>
          <w:szCs w:val="17"/>
          <w:u w:val="single" w:color="auto"/>
          <w:color w:val="auto"/>
        </w:rPr>
        <w:t>Section 10(d)</w:t>
      </w:r>
      <w:r>
        <w:rPr>
          <w:rFonts w:ascii="Arial" w:cs="Arial" w:eastAsia="Arial" w:hAnsi="Arial"/>
          <w:sz w:val="17"/>
          <w:szCs w:val="17"/>
          <w:color w:val="auto"/>
        </w:rPr>
        <w:t xml:space="preserve"> constitute, and this </w:t>
      </w:r>
      <w:r>
        <w:rPr>
          <w:rFonts w:ascii="Arial" w:cs="Arial" w:eastAsia="Arial" w:hAnsi="Arial"/>
          <w:sz w:val="17"/>
          <w:szCs w:val="17"/>
          <w:u w:val="single" w:color="auto"/>
          <w:color w:val="auto"/>
        </w:rPr>
        <w:t>Section 10(d)</w:t>
      </w:r>
      <w:r>
        <w:rPr>
          <w:rFonts w:ascii="Arial" w:cs="Arial" w:eastAsia="Arial" w:hAnsi="Arial"/>
          <w:sz w:val="17"/>
          <w:szCs w:val="17"/>
          <w:color w:val="auto"/>
        </w:rPr>
        <w:t xml:space="preserve"> shall be deemed to constitute, a “keepwell, support, or other agreement” for the benefit of each other Credit Party for all purposes of Section 1a(18)(A)(v)(II) of the Commodity Exchange Act.</w:t>
      </w:r>
    </w:p>
    <w:p>
      <w:pPr>
        <w:spacing w:after="0" w:line="149" w:lineRule="exact"/>
        <w:rPr>
          <w:rFonts w:ascii="Arial" w:cs="Arial" w:eastAsia="Arial" w:hAnsi="Arial"/>
          <w:sz w:val="15"/>
          <w:szCs w:val="15"/>
          <w:color w:val="auto"/>
        </w:rPr>
      </w:pPr>
    </w:p>
    <w:p>
      <w:pPr>
        <w:ind w:firstLine="537"/>
        <w:spacing w:after="0" w:line="274" w:lineRule="auto"/>
        <w:tabs>
          <w:tab w:leader="none" w:pos="901"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Application of Payments</w:t>
      </w:r>
      <w:r>
        <w:rPr>
          <w:rFonts w:ascii="Arial" w:cs="Arial" w:eastAsia="Arial" w:hAnsi="Arial"/>
          <w:sz w:val="18"/>
          <w:szCs w:val="18"/>
          <w:color w:val="auto"/>
        </w:rPr>
        <w:t>. All payments received by the Agent hereunder shall be applied by the Agent to payment of the Guaranteed Obligations in the following order unless a court of competent jurisdiction shall otherwise direct:</w:t>
      </w:r>
    </w:p>
    <w:p>
      <w:pPr>
        <w:spacing w:after="0" w:line="133" w:lineRule="exact"/>
        <w:rPr>
          <w:rFonts w:ascii="Arial" w:cs="Arial" w:eastAsia="Arial" w:hAnsi="Arial"/>
          <w:sz w:val="18"/>
          <w:szCs w:val="18"/>
          <w:color w:val="auto"/>
        </w:rPr>
      </w:pPr>
    </w:p>
    <w:p>
      <w:pPr>
        <w:ind w:left="540" w:firstLine="526"/>
        <w:spacing w:after="0" w:line="304" w:lineRule="auto"/>
        <w:tabs>
          <w:tab w:leader="none" w:pos="1472" w:val="left"/>
        </w:tabs>
        <w:numPr>
          <w:ilvl w:val="1"/>
          <w:numId w:val="193"/>
        </w:numPr>
        <w:rPr>
          <w:rFonts w:ascii="Arial" w:cs="Arial" w:eastAsia="Arial" w:hAnsi="Arial"/>
          <w:sz w:val="15"/>
          <w:szCs w:val="15"/>
          <w:color w:val="auto"/>
        </w:rPr>
      </w:pPr>
      <w:r>
        <w:rPr>
          <w:rFonts w:ascii="Arial" w:cs="Arial" w:eastAsia="Arial" w:hAnsi="Arial"/>
          <w:sz w:val="17"/>
          <w:szCs w:val="17"/>
          <w:color w:val="auto"/>
        </w:rPr>
        <w:t>FIRST, to payment of all costs and expenses of the Agent incurred in connection with the collection and enforcement of the Guaranteed Obligations or of any security interest granted to the Agent in connection with any collateral securing the Guaranteed Obligations;</w:t>
      </w:r>
    </w:p>
    <w:p>
      <w:pPr>
        <w:spacing w:after="0" w:line="110" w:lineRule="exact"/>
        <w:rPr>
          <w:rFonts w:ascii="Arial" w:cs="Arial" w:eastAsia="Arial" w:hAnsi="Arial"/>
          <w:sz w:val="15"/>
          <w:szCs w:val="15"/>
          <w:color w:val="auto"/>
        </w:rPr>
      </w:pPr>
    </w:p>
    <w:p>
      <w:pPr>
        <w:jc w:val="both"/>
        <w:ind w:left="540" w:firstLine="526"/>
        <w:spacing w:after="0" w:line="258" w:lineRule="auto"/>
        <w:tabs>
          <w:tab w:leader="none" w:pos="1426" w:val="left"/>
        </w:tabs>
        <w:numPr>
          <w:ilvl w:val="1"/>
          <w:numId w:val="193"/>
        </w:numPr>
        <w:rPr>
          <w:rFonts w:ascii="Arial" w:cs="Arial" w:eastAsia="Arial" w:hAnsi="Arial"/>
          <w:sz w:val="16"/>
          <w:szCs w:val="16"/>
          <w:color w:val="auto"/>
        </w:rPr>
      </w:pPr>
      <w:r>
        <w:rPr>
          <w:rFonts w:ascii="Arial" w:cs="Arial" w:eastAsia="Arial" w:hAnsi="Arial"/>
          <w:sz w:val="18"/>
          <w:szCs w:val="18"/>
          <w:color w:val="auto"/>
        </w:rPr>
        <w:t>SECOND, to payment of that portion of the Guaranteed Obligations constituting accrued and unpaid interest and fees in respect of the Loan Documents, pro rata among the Lenders, the Issuing Bank and their Affiliates in accordance with the amount of such accrued and unpaid interest and fees owing to them;</w:t>
      </w:r>
    </w:p>
    <w:p>
      <w:pPr>
        <w:spacing w:after="0" w:line="148" w:lineRule="exact"/>
        <w:rPr>
          <w:rFonts w:ascii="Arial" w:cs="Arial" w:eastAsia="Arial" w:hAnsi="Arial"/>
          <w:sz w:val="16"/>
          <w:szCs w:val="16"/>
          <w:color w:val="auto"/>
        </w:rPr>
      </w:pPr>
    </w:p>
    <w:p>
      <w:pPr>
        <w:jc w:val="both"/>
        <w:ind w:left="540" w:firstLine="526"/>
        <w:spacing w:after="0" w:line="319" w:lineRule="auto"/>
        <w:tabs>
          <w:tab w:leader="none" w:pos="1450" w:val="left"/>
        </w:tabs>
        <w:numPr>
          <w:ilvl w:val="1"/>
          <w:numId w:val="193"/>
        </w:numPr>
        <w:rPr>
          <w:rFonts w:ascii="Arial" w:cs="Arial" w:eastAsia="Arial" w:hAnsi="Arial"/>
          <w:sz w:val="14"/>
          <w:szCs w:val="14"/>
          <w:color w:val="auto"/>
        </w:rPr>
      </w:pPr>
      <w:r>
        <w:rPr>
          <w:rFonts w:ascii="Arial" w:cs="Arial" w:eastAsia="Arial" w:hAnsi="Arial"/>
          <w:sz w:val="15"/>
          <w:szCs w:val="15"/>
          <w:color w:val="auto"/>
        </w:rPr>
        <w:t>THIRD, to payment of the principal of the Guaranteed Obligations and net early termination payments and that portion of the Guaranteed Obligations in respect of the Lender Swap Agreements then due and unpaid from the Credit Parties to any of the Secured Parties or their Affiliates, pro rata among the Secured Parties and their Affiliates in accordance with the amount of such principal and such net early termination payments and such portion of the Guaranteed Obligations in respect of the Lender Swap Agreements then due and unpaid owing to them; and</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176</w:t>
      </w:r>
    </w:p>
    <w:p>
      <w:pPr>
        <w:sectPr>
          <w:pgSz w:w="11900" w:h="16838" w:orient="portrait"/>
          <w:cols w:equalWidth="0" w:num="1">
            <w:col w:w="11460"/>
          </w:cols>
          <w:pgMar w:left="220" w:top="509" w:right="219" w:bottom="1440" w:gutter="0" w:footer="0" w:header="0"/>
        </w:sectPr>
      </w:pPr>
    </w:p>
    <w:bookmarkStart w:id="237" w:name="page238"/>
    <w:bookmarkEnd w:id="237"/>
    <w:p>
      <w:pPr>
        <w:ind w:left="540" w:firstLine="526"/>
        <w:spacing w:after="0" w:line="274" w:lineRule="auto"/>
        <w:tabs>
          <w:tab w:leader="none" w:pos="1426" w:val="left"/>
        </w:tabs>
        <w:numPr>
          <w:ilvl w:val="1"/>
          <w:numId w:val="194"/>
        </w:numPr>
        <w:rPr>
          <w:rFonts w:ascii="Arial" w:cs="Arial" w:eastAsia="Arial" w:hAnsi="Arial"/>
          <w:sz w:val="16"/>
          <w:szCs w:val="16"/>
          <w:color w:val="auto"/>
        </w:rPr>
      </w:pPr>
      <w:r>
        <w:rPr>
          <w:rFonts w:ascii="Arial" w:cs="Arial" w:eastAsia="Arial" w:hAnsi="Arial"/>
          <w:sz w:val="18"/>
          <w:szCs w:val="18"/>
          <w:color w:val="auto"/>
        </w:rPr>
        <w:t>FOURTH, to payment of any Guaranteed Obligations (other than those listed above) pro rata among those parties to whom such Guaranteed Obligations are due in accordance with the amounts owing to them.</w:t>
      </w:r>
    </w:p>
    <w:p>
      <w:pPr>
        <w:spacing w:after="0" w:line="133" w:lineRule="exact"/>
        <w:rPr>
          <w:rFonts w:ascii="Arial" w:cs="Arial" w:eastAsia="Arial" w:hAnsi="Arial"/>
          <w:sz w:val="16"/>
          <w:szCs w:val="16"/>
          <w:color w:val="auto"/>
        </w:rPr>
      </w:pPr>
    </w:p>
    <w:p>
      <w:pPr>
        <w:ind w:left="540" w:right="20" w:firstLine="526"/>
        <w:spacing w:after="0" w:line="274" w:lineRule="auto"/>
        <w:tabs>
          <w:tab w:leader="none" w:pos="1395" w:val="left"/>
        </w:tabs>
        <w:numPr>
          <w:ilvl w:val="1"/>
          <w:numId w:val="194"/>
        </w:numPr>
        <w:rPr>
          <w:rFonts w:ascii="Arial" w:cs="Arial" w:eastAsia="Arial" w:hAnsi="Arial"/>
          <w:sz w:val="16"/>
          <w:szCs w:val="16"/>
          <w:color w:val="auto"/>
        </w:rPr>
      </w:pPr>
      <w:r>
        <w:rPr>
          <w:rFonts w:ascii="Arial" w:cs="Arial" w:eastAsia="Arial" w:hAnsi="Arial"/>
          <w:sz w:val="18"/>
          <w:szCs w:val="18"/>
          <w:color w:val="auto"/>
        </w:rPr>
        <w:t>Notwithstanding the foregoing, amounts received from any Subsidiary Guarantor that is not a Qualified ECP Guarantor shall not be applied to the Guaranteed Obligations that are Excluded Swap Obligations of such Subsidiary Guarantor.</w:t>
      </w:r>
    </w:p>
    <w:p>
      <w:pPr>
        <w:spacing w:after="0" w:line="133" w:lineRule="exact"/>
        <w:rPr>
          <w:rFonts w:ascii="Arial" w:cs="Arial" w:eastAsia="Arial" w:hAnsi="Arial"/>
          <w:sz w:val="16"/>
          <w:szCs w:val="16"/>
          <w:color w:val="auto"/>
        </w:rPr>
      </w:pPr>
    </w:p>
    <w:p>
      <w:pPr>
        <w:ind w:firstLine="537"/>
        <w:spacing w:after="0" w:line="304" w:lineRule="auto"/>
        <w:tabs>
          <w:tab w:leader="none" w:pos="985" w:val="left"/>
        </w:tabs>
        <w:numPr>
          <w:ilvl w:val="0"/>
          <w:numId w:val="195"/>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All notices, requests and other communications to any party hereunder shall be sent (and deemed received) in the manner and to the addresses set forth in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of the Credit Agreement, with notices to the Subsidiary Guarantors to be sent to the address provided for the Parent.</w:t>
      </w:r>
    </w:p>
    <w:p>
      <w:pPr>
        <w:spacing w:after="0" w:line="110" w:lineRule="exact"/>
        <w:rPr>
          <w:rFonts w:ascii="Arial" w:cs="Arial" w:eastAsia="Arial" w:hAnsi="Arial"/>
          <w:sz w:val="17"/>
          <w:szCs w:val="17"/>
          <w:color w:val="auto"/>
        </w:rPr>
      </w:pPr>
    </w:p>
    <w:p>
      <w:pPr>
        <w:jc w:val="both"/>
        <w:ind w:firstLine="537"/>
        <w:spacing w:after="0" w:line="272" w:lineRule="auto"/>
        <w:tabs>
          <w:tab w:leader="none" w:pos="918" w:val="left"/>
        </w:tabs>
        <w:numPr>
          <w:ilvl w:val="0"/>
          <w:numId w:val="195"/>
        </w:numPr>
        <w:rPr>
          <w:rFonts w:ascii="Arial" w:cs="Arial" w:eastAsia="Arial" w:hAnsi="Arial"/>
          <w:sz w:val="17"/>
          <w:szCs w:val="17"/>
          <w:color w:val="auto"/>
        </w:rPr>
      </w:pPr>
      <w:r>
        <w:rPr>
          <w:rFonts w:ascii="Arial" w:cs="Arial" w:eastAsia="Arial" w:hAnsi="Arial"/>
          <w:sz w:val="17"/>
          <w:szCs w:val="17"/>
          <w:u w:val="single" w:color="auto"/>
          <w:color w:val="auto"/>
        </w:rPr>
        <w:t>No Waivers</w:t>
      </w:r>
      <w:r>
        <w:rPr>
          <w:rFonts w:ascii="Arial" w:cs="Arial" w:eastAsia="Arial" w:hAnsi="Arial"/>
          <w:sz w:val="17"/>
          <w:szCs w:val="17"/>
          <w:color w:val="auto"/>
        </w:rPr>
        <w:t>. No failure or delay by the Agent or any Secured Parties in exercising any right, power or privilege hereunder shall operate as a waiver thereof nor shall any single or partial exercise thereof preclude any other or further exercise thereof or the exercise of any other right, power or privilege. The rights and remedies provided in this Guaranty, the Credit Agreement, any Note, any Cash Management Agreement, any Lender Swap Agreement or any other Loan Document shall be cumulative and not exclusive of any rights or remedies provided by law.</w:t>
      </w:r>
    </w:p>
    <w:p>
      <w:pPr>
        <w:spacing w:after="0" w:line="138" w:lineRule="exact"/>
        <w:rPr>
          <w:rFonts w:ascii="Arial" w:cs="Arial" w:eastAsia="Arial" w:hAnsi="Arial"/>
          <w:sz w:val="17"/>
          <w:szCs w:val="17"/>
          <w:color w:val="auto"/>
        </w:rPr>
      </w:pPr>
    </w:p>
    <w:p>
      <w:pPr>
        <w:jc w:val="both"/>
        <w:ind w:firstLine="537"/>
        <w:spacing w:after="0" w:line="272" w:lineRule="auto"/>
        <w:tabs>
          <w:tab w:leader="none" w:pos="929" w:val="left"/>
        </w:tabs>
        <w:numPr>
          <w:ilvl w:val="0"/>
          <w:numId w:val="195"/>
        </w:numPr>
        <w:rPr>
          <w:rFonts w:ascii="Arial" w:cs="Arial" w:eastAsia="Arial" w:hAnsi="Arial"/>
          <w:sz w:val="17"/>
          <w:szCs w:val="17"/>
          <w:color w:val="auto"/>
        </w:rPr>
      </w:pPr>
      <w:r>
        <w:rPr>
          <w:rFonts w:ascii="Arial" w:cs="Arial" w:eastAsia="Arial" w:hAnsi="Arial"/>
          <w:sz w:val="17"/>
          <w:szCs w:val="17"/>
          <w:u w:val="single" w:color="auto"/>
          <w:color w:val="auto"/>
        </w:rPr>
        <w:t>No Duty to Advise</w:t>
      </w:r>
      <w:r>
        <w:rPr>
          <w:rFonts w:ascii="Arial" w:cs="Arial" w:eastAsia="Arial" w:hAnsi="Arial"/>
          <w:sz w:val="17"/>
          <w:szCs w:val="17"/>
          <w:color w:val="auto"/>
        </w:rPr>
        <w:t>. The Subsidiary Guarantors assume all responsibility for being and keeping themselves informed of the Parent’s and any other Borrower’s financial condition and assets, and of all other circumstances bearing upon the risk of nonpayment of the Guaranteed Obligations and the nature, scope and extent of the risks that the Subsidiary Guarantors assume and incur under this Guaranty, and agrees that neither the Agent nor any Secured Party has any duty to advise the Subsidiary Guarantors of information known to it regarding those circumstances or risks.</w:t>
      </w:r>
    </w:p>
    <w:p>
      <w:pPr>
        <w:spacing w:after="0" w:line="138" w:lineRule="exact"/>
        <w:rPr>
          <w:rFonts w:ascii="Arial" w:cs="Arial" w:eastAsia="Arial" w:hAnsi="Arial"/>
          <w:sz w:val="17"/>
          <w:szCs w:val="17"/>
          <w:color w:val="auto"/>
        </w:rPr>
      </w:pPr>
    </w:p>
    <w:p>
      <w:pPr>
        <w:jc w:val="both"/>
        <w:ind w:firstLine="537"/>
        <w:spacing w:after="0" w:line="319" w:lineRule="auto"/>
        <w:tabs>
          <w:tab w:leader="none" w:pos="918" w:val="left"/>
        </w:tabs>
        <w:numPr>
          <w:ilvl w:val="0"/>
          <w:numId w:val="195"/>
        </w:numPr>
        <w:rPr>
          <w:rFonts w:ascii="Arial" w:cs="Arial" w:eastAsia="Arial" w:hAnsi="Arial"/>
          <w:sz w:val="15"/>
          <w:szCs w:val="15"/>
          <w:color w:val="auto"/>
        </w:rPr>
      </w:pPr>
      <w:r>
        <w:rPr>
          <w:rFonts w:ascii="Arial" w:cs="Arial" w:eastAsia="Arial" w:hAnsi="Arial"/>
          <w:sz w:val="15"/>
          <w:szCs w:val="15"/>
          <w:u w:val="single" w:color="auto"/>
          <w:color w:val="auto"/>
        </w:rPr>
        <w:t>Successors and Assigns</w:t>
      </w:r>
      <w:r>
        <w:rPr>
          <w:rFonts w:ascii="Arial" w:cs="Arial" w:eastAsia="Arial" w:hAnsi="Arial"/>
          <w:sz w:val="15"/>
          <w:szCs w:val="15"/>
          <w:color w:val="auto"/>
        </w:rPr>
        <w:t>. This Guaranty is for the benefit of the Agent and the Secured Parties and their respective successors and permitted assigns and in the event of an assignment of any amounts payable under the Credit Agreement, any Note, any Cash Management Agreement, any Lender Swap Agreement or any other Loan Document, the rights hereunder, to the extent applicable to the indebtedness so assigned, shall be transferred with such indebtedness. This Guaranty shall be binding upon the Subsidiary Guarantors and their respective successors and permitted assigns.</w:t>
      </w:r>
    </w:p>
    <w:p>
      <w:pPr>
        <w:spacing w:after="0" w:line="107" w:lineRule="exact"/>
        <w:rPr>
          <w:rFonts w:ascii="Arial" w:cs="Arial" w:eastAsia="Arial" w:hAnsi="Arial"/>
          <w:sz w:val="15"/>
          <w:szCs w:val="15"/>
          <w:color w:val="auto"/>
        </w:rPr>
      </w:pPr>
    </w:p>
    <w:p>
      <w:pPr>
        <w:ind w:firstLine="537"/>
        <w:spacing w:after="0" w:line="274" w:lineRule="auto"/>
        <w:tabs>
          <w:tab w:leader="none" w:pos="94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Changes in Writing</w:t>
      </w:r>
      <w:r>
        <w:rPr>
          <w:rFonts w:ascii="Arial" w:cs="Arial" w:eastAsia="Arial" w:hAnsi="Arial"/>
          <w:sz w:val="18"/>
          <w:szCs w:val="18"/>
          <w:color w:val="auto"/>
        </w:rPr>
        <w:t>. Neither this Guaranty nor any provision hereof may be changed, waived, discharged or terminated orally, but only in writing signed by the Subsidiary Guarantors and the Agent with the consent of the Required Lenders.</w:t>
      </w:r>
    </w:p>
    <w:p>
      <w:pPr>
        <w:spacing w:after="0" w:line="133" w:lineRule="exact"/>
        <w:rPr>
          <w:rFonts w:ascii="Arial" w:cs="Arial" w:eastAsia="Arial" w:hAnsi="Arial"/>
          <w:sz w:val="18"/>
          <w:szCs w:val="18"/>
          <w:color w:val="auto"/>
        </w:rPr>
      </w:pPr>
    </w:p>
    <w:p>
      <w:pPr>
        <w:jc w:val="both"/>
        <w:ind w:firstLine="537"/>
        <w:spacing w:after="0" w:line="253" w:lineRule="auto"/>
        <w:tabs>
          <w:tab w:leader="none" w:pos="94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Costs of Enforcement</w:t>
      </w:r>
      <w:r>
        <w:rPr>
          <w:rFonts w:ascii="Arial" w:cs="Arial" w:eastAsia="Arial" w:hAnsi="Arial"/>
          <w:sz w:val="18"/>
          <w:szCs w:val="18"/>
          <w:color w:val="auto"/>
        </w:rPr>
        <w:t>. The Subsidiary Guarantors agree to pay all costs and expenses including, without limitation, all court costs and reasonable attorneys’ fees and expenses actually paid or incurred by the Agent or any Secured Parties or any Affiliate of any Secured Party in endeavoring to collect all or any part of the Guaranteed Obligations from, or in prosecuting any action against, the Parent, the Borrowers, the Subsidiary Guarantors or any other guarantor of all or any part of the Guaranteed Obligations.</w:t>
      </w:r>
    </w:p>
    <w:p>
      <w:pPr>
        <w:spacing w:after="0" w:line="152" w:lineRule="exact"/>
        <w:rPr>
          <w:rFonts w:ascii="Arial" w:cs="Arial" w:eastAsia="Arial" w:hAnsi="Arial"/>
          <w:sz w:val="18"/>
          <w:szCs w:val="18"/>
          <w:color w:val="auto"/>
        </w:rPr>
      </w:pPr>
    </w:p>
    <w:p>
      <w:pPr>
        <w:ind w:left="900" w:hanging="363"/>
        <w:spacing w:after="0"/>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 Consent to Service of Process</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1400" w:hanging="334"/>
        <w:spacing w:after="0"/>
        <w:tabs>
          <w:tab w:leader="none" w:pos="1400" w:val="left"/>
        </w:tabs>
        <w:numPr>
          <w:ilvl w:val="1"/>
          <w:numId w:val="195"/>
        </w:numPr>
        <w:rPr>
          <w:rFonts w:ascii="Arial" w:cs="Arial" w:eastAsia="Arial" w:hAnsi="Arial"/>
          <w:sz w:val="16"/>
          <w:szCs w:val="16"/>
          <w:color w:val="auto"/>
        </w:rPr>
      </w:pPr>
      <w:r>
        <w:rPr>
          <w:rFonts w:ascii="Arial" w:cs="Arial" w:eastAsia="Arial" w:hAnsi="Arial"/>
          <w:sz w:val="18"/>
          <w:szCs w:val="18"/>
          <w:color w:val="auto"/>
        </w:rPr>
        <w:t>This Security Agreement shall be construed in accordance with and governed by the law of the State of Oklahoma.</w:t>
      </w:r>
    </w:p>
    <w:p>
      <w:pPr>
        <w:spacing w:after="0" w:line="189" w:lineRule="exact"/>
        <w:rPr>
          <w:rFonts w:ascii="Arial" w:cs="Arial" w:eastAsia="Arial" w:hAnsi="Arial"/>
          <w:sz w:val="16"/>
          <w:szCs w:val="16"/>
          <w:color w:val="auto"/>
        </w:rPr>
      </w:pPr>
    </w:p>
    <w:p>
      <w:pPr>
        <w:ind w:left="540" w:firstLine="526"/>
        <w:spacing w:after="0" w:line="377" w:lineRule="auto"/>
        <w:tabs>
          <w:tab w:leader="none" w:pos="1437" w:val="left"/>
        </w:tabs>
        <w:numPr>
          <w:ilvl w:val="1"/>
          <w:numId w:val="195"/>
        </w:numPr>
        <w:rPr>
          <w:rFonts w:ascii="Arial" w:cs="Arial" w:eastAsia="Arial" w:hAnsi="Arial"/>
          <w:sz w:val="14"/>
          <w:szCs w:val="14"/>
          <w:color w:val="auto"/>
        </w:rPr>
      </w:pPr>
      <w:r>
        <w:rPr>
          <w:rFonts w:ascii="Arial" w:cs="Arial" w:eastAsia="Arial" w:hAnsi="Arial"/>
          <w:sz w:val="15"/>
          <w:szCs w:val="15"/>
          <w:color w:val="auto"/>
        </w:rPr>
        <w:t>Subsidiary Guarantors hereby irrevocably and unconditionally submit, for themselves and their property, to the nonexclusive jurisdiction of any United States federal court or Oklahoma state court sitting in Tulsa, Oklahoma, and any appellate court from any thereof, in any action or</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177</w:t>
      </w:r>
    </w:p>
    <w:p>
      <w:pPr>
        <w:sectPr>
          <w:pgSz w:w="11900" w:h="16838" w:orient="portrait"/>
          <w:cols w:equalWidth="0" w:num="1">
            <w:col w:w="11460"/>
          </w:cols>
          <w:pgMar w:left="220" w:top="509" w:right="219" w:bottom="1440" w:gutter="0" w:footer="0" w:header="0"/>
        </w:sectPr>
      </w:pPr>
    </w:p>
    <w:bookmarkStart w:id="238" w:name="page239"/>
    <w:bookmarkEnd w:id="238"/>
    <w:p>
      <w:pPr>
        <w:jc w:val="both"/>
        <w:ind w:left="540"/>
        <w:spacing w:after="0" w:line="263" w:lineRule="auto"/>
        <w:rPr>
          <w:sz w:val="20"/>
          <w:szCs w:val="20"/>
          <w:color w:val="auto"/>
        </w:rPr>
      </w:pPr>
      <w:r>
        <w:rPr>
          <w:rFonts w:ascii="Arial" w:cs="Arial" w:eastAsia="Arial" w:hAnsi="Arial"/>
          <w:sz w:val="17"/>
          <w:szCs w:val="17"/>
          <w:color w:val="auto"/>
        </w:rPr>
        <w:t>proceeding arising out of or relating to this Guaranty, or for recognition or enforcement of any judgment, and each of the parties hereto hereby irrevocably and unconditionally agrees that all claims in respect of any such action or proceeding may be heard and determined in such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Guaranty shall affect any right that the Agent, the Issuing Bank or any Secured Party may otherwise have to bring any action or proceeding relating to this Guaranty against the Subsidiary Guarantors or their properties in the courts of any jurisdiction.</w:t>
      </w:r>
    </w:p>
    <w:p>
      <w:pPr>
        <w:spacing w:after="0" w:line="148" w:lineRule="exact"/>
        <w:rPr>
          <w:sz w:val="20"/>
          <w:szCs w:val="20"/>
          <w:color w:val="auto"/>
        </w:rPr>
      </w:pPr>
    </w:p>
    <w:p>
      <w:pPr>
        <w:jc w:val="both"/>
        <w:ind w:left="540" w:firstLine="526"/>
        <w:spacing w:after="0" w:line="253" w:lineRule="auto"/>
        <w:tabs>
          <w:tab w:leader="none" w:pos="1516" w:val="left"/>
        </w:tabs>
        <w:numPr>
          <w:ilvl w:val="1"/>
          <w:numId w:val="196"/>
        </w:numPr>
        <w:rPr>
          <w:rFonts w:ascii="Arial" w:cs="Arial" w:eastAsia="Arial" w:hAnsi="Arial"/>
          <w:sz w:val="16"/>
          <w:szCs w:val="16"/>
          <w:color w:val="auto"/>
        </w:rPr>
      </w:pPr>
      <w:r>
        <w:rPr>
          <w:rFonts w:ascii="Arial" w:cs="Arial" w:eastAsia="Arial" w:hAnsi="Arial"/>
          <w:sz w:val="18"/>
          <w:szCs w:val="18"/>
          <w:color w:val="auto"/>
        </w:rPr>
        <w:t>Subsidiary Guarantors hereby irrevocably and unconditionally waive, to the fullest extent they may legally and effectively do so, any objection which they may now or hereafter have to the laying of venue of any suit, action or proceeding arising out of or relating to this Guaranty in any court referred to in paragraph (b) of this Section. Each of the parties hereby irrevocably waives, to the fullest extent permitted by law, the defense of an inconvenient forum to the maintenance of such action or proceeding in any such court.</w:t>
      </w:r>
    </w:p>
    <w:p>
      <w:pPr>
        <w:spacing w:after="0" w:line="152" w:lineRule="exact"/>
        <w:rPr>
          <w:rFonts w:ascii="Arial" w:cs="Arial" w:eastAsia="Arial" w:hAnsi="Arial"/>
          <w:sz w:val="16"/>
          <w:szCs w:val="16"/>
          <w:color w:val="auto"/>
        </w:rPr>
      </w:pPr>
    </w:p>
    <w:p>
      <w:pPr>
        <w:ind w:left="540" w:firstLine="526"/>
        <w:spacing w:after="0" w:line="377" w:lineRule="auto"/>
        <w:tabs>
          <w:tab w:leader="none" w:pos="1492" w:val="left"/>
        </w:tabs>
        <w:numPr>
          <w:ilvl w:val="1"/>
          <w:numId w:val="196"/>
        </w:numPr>
        <w:rPr>
          <w:rFonts w:ascii="Arial" w:cs="Arial" w:eastAsia="Arial" w:hAnsi="Arial"/>
          <w:sz w:val="14"/>
          <w:szCs w:val="14"/>
          <w:color w:val="auto"/>
        </w:rPr>
      </w:pPr>
      <w:r>
        <w:rPr>
          <w:rFonts w:ascii="Arial" w:cs="Arial" w:eastAsia="Arial" w:hAnsi="Arial"/>
          <w:sz w:val="15"/>
          <w:szCs w:val="15"/>
          <w:color w:val="auto"/>
        </w:rPr>
        <w:t xml:space="preserve">Each party to this Guaranty irrevocably consents to service of process in the manner provided for notices in </w:t>
      </w:r>
      <w:r>
        <w:rPr>
          <w:rFonts w:ascii="Arial" w:cs="Arial" w:eastAsia="Arial" w:hAnsi="Arial"/>
          <w:sz w:val="15"/>
          <w:szCs w:val="15"/>
          <w:u w:val="single" w:color="auto"/>
          <w:color w:val="auto"/>
        </w:rPr>
        <w:t>Section 9.01</w:t>
      </w:r>
      <w:r>
        <w:rPr>
          <w:rFonts w:ascii="Arial" w:cs="Arial" w:eastAsia="Arial" w:hAnsi="Arial"/>
          <w:sz w:val="15"/>
          <w:szCs w:val="15"/>
          <w:color w:val="auto"/>
        </w:rPr>
        <w:t xml:space="preserve"> of the Credit Agreement. Nothing in this Guaranty will affect the right of any party to this Guaranty to serve process in any other manner permitted by law.</w:t>
      </w:r>
    </w:p>
    <w:p>
      <w:pPr>
        <w:spacing w:after="0" w:line="64" w:lineRule="exact"/>
        <w:rPr>
          <w:rFonts w:ascii="Arial" w:cs="Arial" w:eastAsia="Arial" w:hAnsi="Arial"/>
          <w:sz w:val="14"/>
          <w:szCs w:val="14"/>
          <w:color w:val="auto"/>
        </w:rPr>
      </w:pPr>
    </w:p>
    <w:p>
      <w:pPr>
        <w:jc w:val="both"/>
        <w:ind w:left="540" w:firstLine="526"/>
        <w:spacing w:after="0" w:line="247" w:lineRule="auto"/>
        <w:tabs>
          <w:tab w:leader="none" w:pos="1395" w:val="left"/>
        </w:tabs>
        <w:numPr>
          <w:ilvl w:val="1"/>
          <w:numId w:val="196"/>
        </w:numPr>
        <w:rPr>
          <w:rFonts w:ascii="Arial" w:cs="Arial" w:eastAsia="Arial" w:hAnsi="Arial"/>
          <w:sz w:val="16"/>
          <w:szCs w:val="16"/>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HEREBY WAIVES, TO THE FULLEST EXTENT PERMITTED BY APPLICABLE LAW, ANY RIGHT IT MAY HAVE TO A TRIAL BY JURY IN ANY LEGAL PROCEEDING DIRECTLY OR INDIRECTLY ARISING OUT OF OR RELATING TO THIS GUARANTY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GUARANTY BY, AMONG OTHER THINGS, THE MUTUAL WAIVERS AND CERTIFICATIONS IN THIS SECTION.</w:t>
      </w:r>
    </w:p>
    <w:p>
      <w:pPr>
        <w:spacing w:after="0" w:line="158" w:lineRule="exact"/>
        <w:rPr>
          <w:rFonts w:ascii="Arial" w:cs="Arial" w:eastAsia="Arial" w:hAnsi="Arial"/>
          <w:sz w:val="16"/>
          <w:szCs w:val="16"/>
          <w:color w:val="auto"/>
        </w:rPr>
      </w:pPr>
    </w:p>
    <w:p>
      <w:pPr>
        <w:jc w:val="both"/>
        <w:ind w:firstLine="537"/>
        <w:spacing w:after="0" w:line="263" w:lineRule="auto"/>
        <w:tabs>
          <w:tab w:leader="none" w:pos="896" w:val="left"/>
        </w:tabs>
        <w:numPr>
          <w:ilvl w:val="0"/>
          <w:numId w:val="197"/>
        </w:numPr>
        <w:rPr>
          <w:rFonts w:ascii="Arial" w:cs="Arial" w:eastAsia="Arial" w:hAnsi="Arial"/>
          <w:sz w:val="17"/>
          <w:szCs w:val="17"/>
          <w:color w:val="auto"/>
        </w:rPr>
      </w:pPr>
      <w:r>
        <w:rPr>
          <w:rFonts w:ascii="Arial" w:cs="Arial" w:eastAsia="Arial" w:hAnsi="Arial"/>
          <w:sz w:val="17"/>
          <w:szCs w:val="17"/>
          <w:u w:val="single" w:color="auto"/>
          <w:color w:val="auto"/>
        </w:rPr>
        <w:t>Taxes, etc.</w:t>
      </w:r>
      <w:r>
        <w:rPr>
          <w:rFonts w:ascii="Arial" w:cs="Arial" w:eastAsia="Arial" w:hAnsi="Arial"/>
          <w:sz w:val="17"/>
          <w:szCs w:val="17"/>
          <w:color w:val="auto"/>
        </w:rPr>
        <w:t xml:space="preserve"> All payments required to be made by the Subsidiary Guarantors hereunder shall be made without setoff or counterclaim and free and clear of and without deduction or withholding for or on account of, any present or future taxes, levies, imposts, duties or other charges of whatsoever nature imposed by any government or any political or taxing authority thereof (but excluding Excluded Taxes), provided, however, that if the Subsidiary Guarantors are required by law to make such deduction or withholding, the Subsidiary Guarantors shall forthwith (i) pay to the Agent or any Secured Party, as applicable, such additional amount as results in the net amount received by the Agent or any Secured Party, as applicable, equaling the full amount which would have been received by the Agent or any Secured Party, as applicable, had no such deduction or withholding been made, (ii) pay the full amount deducted to the relevant authority in accordance with applicable law, and (iii) furnish to the Agent or any Secured Party, as applicable, certified copies of official receipts evidencing payment of such withholding taxes within 30 days after such payment is made.</w:t>
      </w:r>
    </w:p>
    <w:p>
      <w:pPr>
        <w:spacing w:after="0" w:line="149" w:lineRule="exact"/>
        <w:rPr>
          <w:rFonts w:ascii="Arial" w:cs="Arial" w:eastAsia="Arial" w:hAnsi="Arial"/>
          <w:sz w:val="17"/>
          <w:szCs w:val="17"/>
          <w:color w:val="auto"/>
        </w:rPr>
      </w:pPr>
    </w:p>
    <w:p>
      <w:pPr>
        <w:jc w:val="both"/>
        <w:ind w:firstLine="537"/>
        <w:spacing w:after="0" w:line="334" w:lineRule="auto"/>
        <w:tabs>
          <w:tab w:leader="none" w:pos="918" w:val="left"/>
        </w:tabs>
        <w:numPr>
          <w:ilvl w:val="0"/>
          <w:numId w:val="197"/>
        </w:numPr>
        <w:rPr>
          <w:rFonts w:ascii="Arial" w:cs="Arial" w:eastAsia="Arial" w:hAnsi="Arial"/>
          <w:sz w:val="15"/>
          <w:szCs w:val="15"/>
          <w:color w:val="auto"/>
        </w:rPr>
      </w:pPr>
      <w:r>
        <w:rPr>
          <w:rFonts w:ascii="Arial" w:cs="Arial" w:eastAsia="Arial" w:hAnsi="Arial"/>
          <w:sz w:val="15"/>
          <w:szCs w:val="15"/>
          <w:u w:val="single" w:color="auto"/>
          <w:color w:val="auto"/>
        </w:rPr>
        <w:t>Setoff.</w:t>
      </w:r>
      <w:r>
        <w:rPr>
          <w:rFonts w:ascii="Arial" w:cs="Arial" w:eastAsia="Arial" w:hAnsi="Arial"/>
          <w:sz w:val="15"/>
          <w:szCs w:val="15"/>
          <w:color w:val="auto"/>
        </w:rPr>
        <w:t xml:space="preserve"> Without limiting the rights of the Agent or the Secured Parties under applicable law, if all or any part of the Guaranteed Obligations is then due, whether pursuant to the occurrence of a Default or otherwise, then the Subsidiary Guarantors authorize the Agent and the Secured Parties to apply any sums standing to the credit of the Subsidiary Guarantors with the Agent, any Secured Party or their Affiliates toward the payment of the Guaranteed Obligations.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178</w:t>
      </w:r>
    </w:p>
    <w:p>
      <w:pPr>
        <w:sectPr>
          <w:pgSz w:w="11900" w:h="16838" w:orient="portrait"/>
          <w:cols w:equalWidth="0" w:num="1">
            <w:col w:w="11460"/>
          </w:cols>
          <w:pgMar w:left="220" w:top="509" w:right="219" w:bottom="1440" w:gutter="0" w:footer="0" w:header="0"/>
        </w:sectPr>
      </w:pPr>
    </w:p>
    <w:bookmarkStart w:id="239" w:name="page240"/>
    <w:bookmarkEnd w:id="239"/>
    <w:p>
      <w:pPr>
        <w:jc w:val="both"/>
        <w:ind w:left="-20" w:firstLine="537"/>
        <w:spacing w:after="0" w:line="249" w:lineRule="auto"/>
        <w:tabs>
          <w:tab w:leader="none" w:pos="965"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Joinder of Additional Subsidiary Guarantors</w:t>
      </w:r>
      <w:r>
        <w:rPr>
          <w:rFonts w:ascii="Arial" w:cs="Arial" w:eastAsia="Arial" w:hAnsi="Arial"/>
          <w:sz w:val="18"/>
          <w:szCs w:val="18"/>
          <w:color w:val="auto"/>
        </w:rPr>
        <w:t xml:space="preserve">. Upon execution and delivery by any Foreign Subsidiary to the Agent after the date hereof of an addendum and joinder hereto in the form attached hereto as </w:t>
      </w:r>
      <w:r>
        <w:rPr>
          <w:rFonts w:ascii="Arial" w:cs="Arial" w:eastAsia="Arial" w:hAnsi="Arial"/>
          <w:sz w:val="18"/>
          <w:szCs w:val="18"/>
          <w:u w:val="single" w:color="auto"/>
          <w:color w:val="auto"/>
        </w:rPr>
        <w:t>Annex I</w:t>
      </w:r>
      <w:r>
        <w:rPr>
          <w:rFonts w:ascii="Arial" w:cs="Arial" w:eastAsia="Arial" w:hAnsi="Arial"/>
          <w:sz w:val="18"/>
          <w:szCs w:val="18"/>
          <w:color w:val="auto"/>
        </w:rPr>
        <w:t>, such Subsidiary shall become a Subsidiary Guarantor hereunder with the same force and effect as if originally named herein as a Subsidiary Guarantor upon acceptance by the Agent of such addendum and joinder. The execution and delivery of any document adding an additional Subsidiary Guarantor as a party to this Guaranty shall not require the consent of any other Subsidiary Guarantor hereunder. The rights and obligations of each Subsidiary Guarantor shall remain in full force and effect notwithstanding the addition of any new Subsidiary Guarantor as a party to this Guaranty.</w:t>
      </w:r>
    </w:p>
    <w:p>
      <w:pPr>
        <w:spacing w:after="0" w:line="155" w:lineRule="exact"/>
        <w:rPr>
          <w:rFonts w:ascii="Arial" w:cs="Arial" w:eastAsia="Arial" w:hAnsi="Arial"/>
          <w:sz w:val="18"/>
          <w:szCs w:val="18"/>
          <w:color w:val="auto"/>
        </w:rPr>
      </w:pPr>
    </w:p>
    <w:p>
      <w:pPr>
        <w:ind w:left="880" w:hanging="363"/>
        <w:spacing w:after="0"/>
        <w:tabs>
          <w:tab w:leader="none" w:pos="88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Joint and Several Obligations</w:t>
      </w:r>
      <w:r>
        <w:rPr>
          <w:rFonts w:ascii="Arial" w:cs="Arial" w:eastAsia="Arial" w:hAnsi="Arial"/>
          <w:sz w:val="18"/>
          <w:szCs w:val="18"/>
          <w:color w:val="auto"/>
        </w:rPr>
        <w:t>. The obligations of the Subsidiary Guarantors under this Guaranty are joint and several.</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Attached</w:t>
      </w:r>
      <w:r>
        <w:rPr>
          <w:rFonts w:ascii="Arial" w:cs="Arial" w:eastAsia="Arial" w:hAnsi="Arial"/>
          <w:sz w:val="18"/>
          <w:szCs w:val="18"/>
          <w:color w:val="auto"/>
        </w:rPr>
        <w: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179</w:t>
      </w:r>
    </w:p>
    <w:p>
      <w:pPr>
        <w:sectPr>
          <w:pgSz w:w="11900" w:h="16838" w:orient="portrait"/>
          <w:cols w:equalWidth="0" w:num="1">
            <w:col w:w="11440"/>
          </w:cols>
          <w:pgMar w:left="240" w:top="509" w:right="219" w:bottom="1440" w:gutter="0" w:footer="0" w:header="0"/>
        </w:sectPr>
      </w:pPr>
    </w:p>
    <w:bookmarkStart w:id="240" w:name="page241"/>
    <w:bookmarkEnd w:id="240"/>
    <w:p>
      <w:pPr>
        <w:spacing w:after="0"/>
        <w:rPr>
          <w:sz w:val="20"/>
          <w:szCs w:val="20"/>
          <w:color w:val="auto"/>
        </w:rPr>
      </w:pPr>
      <w:r>
        <w:rPr>
          <w:rFonts w:ascii="Arial" w:cs="Arial" w:eastAsia="Arial" w:hAnsi="Arial"/>
          <w:sz w:val="12"/>
          <w:szCs w:val="12"/>
          <w:color w:val="FFFFFF"/>
        </w:rPr>
        <w:t>HOU:3756061.4</w:t>
      </w:r>
    </w:p>
    <w:p>
      <w:pPr>
        <w:spacing w:after="0" w:line="1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 WITNESS WHEREOF, the Subsidiary Guarantors have caused this Guaranty to be duly executed as of the day and year first above written.</w:t>
      </w:r>
    </w:p>
    <w:p>
      <w:pPr>
        <w:spacing w:after="0" w:line="200" w:lineRule="exact"/>
        <w:rPr>
          <w:sz w:val="20"/>
          <w:szCs w:val="20"/>
          <w:color w:val="auto"/>
        </w:rPr>
      </w:pPr>
    </w:p>
    <w:p>
      <w:pPr>
        <w:spacing w:after="0" w:line="271"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[INSERT SUBSIDIARY GUARANTORS]</w:t>
      </w:r>
    </w:p>
    <w:p>
      <w:pPr>
        <w:spacing w:after="0" w:line="200" w:lineRule="exact"/>
        <w:rPr>
          <w:sz w:val="20"/>
          <w:szCs w:val="20"/>
          <w:color w:val="auto"/>
        </w:rPr>
      </w:pPr>
    </w:p>
    <w:p>
      <w:pPr>
        <w:spacing w:after="0" w:line="223" w:lineRule="exact"/>
        <w:rPr>
          <w:sz w:val="20"/>
          <w:szCs w:val="20"/>
          <w:color w:val="auto"/>
        </w:rPr>
      </w:pPr>
    </w:p>
    <w:p>
      <w:pPr>
        <w:ind w:left="3440"/>
        <w:spacing w:after="0"/>
        <w:tabs>
          <w:tab w:leader="none" w:pos="3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__________________________________________</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Kevin S. Cavanah,</w:t>
      </w:r>
    </w:p>
    <w:p>
      <w:pPr>
        <w:spacing w:after="0" w:line="1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Vice President or Treasurer</w:t>
      </w:r>
    </w:p>
    <w:p>
      <w:pPr>
        <w:spacing w:after="0" w:line="182"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180</w:t>
      </w:r>
    </w:p>
    <w:p>
      <w:pPr>
        <w:sectPr>
          <w:pgSz w:w="11900" w:h="16838" w:orient="portrait"/>
          <w:cols w:equalWidth="0" w:num="1">
            <w:col w:w="10640"/>
          </w:cols>
          <w:pgMar w:left="220" w:top="708" w:right="103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color w:val="auto"/>
        </w:rPr>
        <w:t>ACCEPTED as of the day and year first written on the first page hereto.</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 xml:space="preserve">JPMORGAN CHASE BANK, N.A., </w:t>
      </w:r>
      <w:r>
        <w:rPr>
          <w:rFonts w:ascii="Arial" w:cs="Arial" w:eastAsia="Arial" w:hAnsi="Arial"/>
          <w:sz w:val="17"/>
          <w:szCs w:val="17"/>
          <w:color w:val="auto"/>
        </w:rPr>
        <w:t>as Agent</w:t>
      </w:r>
    </w:p>
    <w:p>
      <w:pPr>
        <w:spacing w:after="0" w:line="200" w:lineRule="exact"/>
        <w:rPr>
          <w:sz w:val="20"/>
          <w:szCs w:val="20"/>
          <w:color w:val="auto"/>
        </w:rPr>
      </w:pPr>
    </w:p>
    <w:p>
      <w:pPr>
        <w:spacing w:after="0" w:line="261" w:lineRule="exact"/>
        <w:rPr>
          <w:sz w:val="20"/>
          <w:szCs w:val="20"/>
          <w:color w:val="auto"/>
        </w:rPr>
      </w:pPr>
    </w:p>
    <w:tbl>
      <w:tblPr>
        <w:tblLayout w:type="fixed"/>
        <w:tblInd w:w="3440" w:type="dxa"/>
        <w:tblCellMar>
          <w:top w:w="0" w:type="dxa"/>
          <w:left w:w="0" w:type="dxa"/>
          <w:bottom w:w="0" w:type="dxa"/>
          <w:right w:w="0" w:type="dxa"/>
        </w:tblCellMar>
      </w:tblPr>
      <w:tr>
        <w:trPr>
          <w:trHeight w:val="22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760" w:type="dxa"/>
            <w:vAlign w:val="bottom"/>
          </w:tcPr>
          <w:p>
            <w:pPr>
              <w:jc w:val="right"/>
              <w:spacing w:after="0"/>
              <w:rPr>
                <w:sz w:val="20"/>
                <w:szCs w:val="20"/>
                <w:color w:val="auto"/>
              </w:rPr>
            </w:pPr>
            <w:r>
              <w:rPr>
                <w:rFonts w:ascii="Arial" w:cs="Arial" w:eastAsia="Arial" w:hAnsi="Arial"/>
                <w:sz w:val="15"/>
                <w:szCs w:val="15"/>
                <w:color w:val="auto"/>
                <w:w w:val="89"/>
              </w:rPr>
              <w:t>____________________________________</w:t>
            </w:r>
          </w:p>
        </w:tc>
      </w:tr>
      <w:tr>
        <w:trPr>
          <w:trHeight w:val="220"/>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2760" w:type="dxa"/>
            <w:vAlign w:val="bottom"/>
          </w:tcPr>
          <w:p>
            <w:pPr>
              <w:jc w:val="right"/>
              <w:spacing w:after="0"/>
              <w:rPr>
                <w:sz w:val="20"/>
                <w:szCs w:val="20"/>
                <w:color w:val="auto"/>
              </w:rPr>
            </w:pPr>
            <w:r>
              <w:rPr>
                <w:rFonts w:ascii="Arial" w:cs="Arial" w:eastAsia="Arial" w:hAnsi="Arial"/>
                <w:sz w:val="15"/>
                <w:szCs w:val="15"/>
                <w:color w:val="auto"/>
                <w:w w:val="91"/>
              </w:rPr>
              <w:t>____________________________________</w:t>
            </w:r>
          </w:p>
        </w:tc>
      </w:tr>
      <w:tr>
        <w:trPr>
          <w:trHeight w:val="223"/>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2760" w:type="dxa"/>
            <w:vAlign w:val="bottom"/>
          </w:tcPr>
          <w:p>
            <w:pPr>
              <w:jc w:val="right"/>
              <w:ind w:right="7"/>
              <w:spacing w:after="0"/>
              <w:rPr>
                <w:sz w:val="20"/>
                <w:szCs w:val="20"/>
                <w:color w:val="auto"/>
              </w:rPr>
            </w:pPr>
            <w:r>
              <w:rPr>
                <w:rFonts w:ascii="Arial" w:cs="Arial" w:eastAsia="Arial" w:hAnsi="Arial"/>
                <w:sz w:val="15"/>
                <w:szCs w:val="15"/>
                <w:color w:val="auto"/>
                <w:w w:val="88"/>
              </w:rPr>
              <w:t>____________________________________</w:t>
            </w: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color w:val="FFFFFF"/>
        </w:rPr>
        <w:t>HOU:3756061.4</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181</w:t>
      </w:r>
    </w:p>
    <w:p>
      <w:pPr>
        <w:sectPr>
          <w:pgSz w:w="11900" w:h="16838" w:orient="portrait"/>
          <w:cols w:equalWidth="0" w:num="1">
            <w:col w:w="10239"/>
          </w:cols>
          <w:pgMar w:left="220" w:top="509" w:right="1440" w:bottom="1440" w:gutter="0" w:footer="0" w:header="0"/>
        </w:sectPr>
      </w:pPr>
    </w:p>
    <w:bookmarkStart w:id="242" w:name="page243"/>
    <w:bookmarkEnd w:id="242"/>
    <w:p>
      <w:pPr>
        <w:jc w:val="center"/>
        <w:ind w:right="-19"/>
        <w:spacing w:after="0"/>
        <w:rPr>
          <w:sz w:val="20"/>
          <w:szCs w:val="20"/>
          <w:color w:val="auto"/>
        </w:rPr>
      </w:pPr>
      <w:r>
        <w:rPr>
          <w:rFonts w:ascii="Arial" w:cs="Arial" w:eastAsia="Arial" w:hAnsi="Arial"/>
          <w:sz w:val="18"/>
          <w:szCs w:val="18"/>
          <w:b w:val="1"/>
          <w:bCs w:val="1"/>
          <w:u w:val="single" w:color="auto"/>
          <w:color w:val="auto"/>
        </w:rPr>
        <w:t>Annex I</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Addendum and Joinder</w:t>
      </w:r>
    </w:p>
    <w:p>
      <w:pPr>
        <w:spacing w:after="0" w:line="36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Reference is hereby made to the Subsidiary Guaranty (the “</w:t>
      </w:r>
      <w:r>
        <w:rPr>
          <w:rFonts w:ascii="Arial" w:cs="Arial" w:eastAsia="Arial" w:hAnsi="Arial"/>
          <w:sz w:val="17"/>
          <w:szCs w:val="17"/>
          <w:u w:val="single" w:color="auto"/>
          <w:color w:val="auto"/>
        </w:rPr>
        <w:t>Guaranty</w:t>
      </w:r>
      <w:r>
        <w:rPr>
          <w:rFonts w:ascii="Arial" w:cs="Arial" w:eastAsia="Arial" w:hAnsi="Arial"/>
          <w:sz w:val="17"/>
          <w:szCs w:val="17"/>
          <w:color w:val="auto"/>
        </w:rPr>
        <w:t>”) made as of [____________], 20[__], by and among [NAMES OF INITIAL</w:t>
      </w:r>
    </w:p>
    <w:p>
      <w:pPr>
        <w:spacing w:after="0" w:line="2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SUBSIDIARY GUARANTORS] (together with any additional Foreign Subsidiaries which become parties thereto and together with the undersigned, collectively, the “</w:t>
      </w:r>
      <w:r>
        <w:rPr>
          <w:rFonts w:ascii="Arial" w:cs="Arial" w:eastAsia="Arial" w:hAnsi="Arial"/>
          <w:sz w:val="18"/>
          <w:szCs w:val="18"/>
          <w:u w:val="single" w:color="auto"/>
          <w:color w:val="auto"/>
        </w:rPr>
        <w:t>Subsidiary Guarantors</w:t>
      </w:r>
      <w:r>
        <w:rPr>
          <w:rFonts w:ascii="Arial" w:cs="Arial" w:eastAsia="Arial" w:hAnsi="Arial"/>
          <w:sz w:val="18"/>
          <w:szCs w:val="18"/>
          <w:color w:val="auto"/>
        </w:rPr>
        <w:t>”), in favor of the Agent, for the ratable benefit of the Secured Parties. Capitalized terms used herein and not defined herein shall have the meanings given to them in the Guaranty.</w:t>
      </w:r>
    </w:p>
    <w:p>
      <w:pPr>
        <w:spacing w:after="0" w:line="160" w:lineRule="exact"/>
        <w:rPr>
          <w:sz w:val="20"/>
          <w:szCs w:val="20"/>
          <w:color w:val="auto"/>
        </w:rPr>
      </w:pPr>
    </w:p>
    <w:p>
      <w:pPr>
        <w:jc w:val="both"/>
        <w:ind w:firstLine="529"/>
        <w:spacing w:after="0" w:line="249" w:lineRule="auto"/>
        <w:rPr>
          <w:sz w:val="20"/>
          <w:szCs w:val="20"/>
          <w:color w:val="auto"/>
        </w:rPr>
      </w:pPr>
      <w:r>
        <w:rPr>
          <w:rFonts w:ascii="Arial" w:cs="Arial" w:eastAsia="Arial" w:hAnsi="Arial"/>
          <w:sz w:val="18"/>
          <w:szCs w:val="18"/>
          <w:color w:val="auto"/>
        </w:rPr>
        <w:t>By its execution below, the undersigned [NAME OF NEW SUBSIDIARY GUARANTOR], a [country of incorporation/organization] [entity type], agrees to become, and does hereby become, a Subsidiary Guarantor under the Guaranty and agrees to be bound by such Guaranty as if originally a party thereto. By its execution below, the undersigned represents and warrants as to itself that all of the representations and warranties contained in Section 2 of the Guaranty are true and correct in all respects as of the date hereof.</w:t>
      </w:r>
    </w:p>
    <w:p>
      <w:pPr>
        <w:spacing w:after="0" w:line="155" w:lineRule="exact"/>
        <w:rPr>
          <w:sz w:val="20"/>
          <w:szCs w:val="20"/>
          <w:color w:val="auto"/>
        </w:rPr>
      </w:pPr>
    </w:p>
    <w:p>
      <w:pPr>
        <w:jc w:val="both"/>
        <w:ind w:firstLine="529"/>
        <w:spacing w:after="0" w:line="261" w:lineRule="auto"/>
        <w:rPr>
          <w:sz w:val="20"/>
          <w:szCs w:val="20"/>
          <w:color w:val="auto"/>
        </w:rPr>
      </w:pPr>
      <w:r>
        <w:rPr>
          <w:rFonts w:ascii="Arial" w:cs="Arial" w:eastAsia="Arial" w:hAnsi="Arial"/>
          <w:sz w:val="18"/>
          <w:szCs w:val="18"/>
          <w:color w:val="auto"/>
        </w:rPr>
        <w:t>IN WITNESS WHEREOF, [NAME OF NEW SUBSIDIARY GUARANTOR] has executed and delivered this Annex I counterpart to the Guaranty as of this ______ day of ________________, 20___.</w:t>
      </w:r>
    </w:p>
    <w:p>
      <w:pPr>
        <w:spacing w:after="0" w:line="200" w:lineRule="exact"/>
        <w:rPr>
          <w:sz w:val="20"/>
          <w:szCs w:val="20"/>
          <w:color w:val="auto"/>
        </w:rPr>
      </w:pPr>
    </w:p>
    <w:p>
      <w:pPr>
        <w:spacing w:after="0" w:line="298"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[NAME OF NEW SUBSIDIARY GUARANTOR]</w:t>
      </w:r>
    </w:p>
    <w:p>
      <w:pPr>
        <w:spacing w:after="0" w:line="355" w:lineRule="exact"/>
        <w:rPr>
          <w:sz w:val="20"/>
          <w:szCs w:val="20"/>
          <w:color w:val="auto"/>
        </w:rPr>
      </w:pPr>
    </w:p>
    <w:p>
      <w:pPr>
        <w:ind w:left="3720"/>
        <w:spacing w:after="0"/>
        <w:tabs>
          <w:tab w:leader="none" w:pos="4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___________________________________</w:t>
      </w:r>
    </w:p>
    <w:p>
      <w:pPr>
        <w:spacing w:after="0" w:line="16" w:lineRule="exact"/>
        <w:rPr>
          <w:sz w:val="20"/>
          <w:szCs w:val="20"/>
          <w:color w:val="auto"/>
        </w:rPr>
      </w:pPr>
    </w:p>
    <w:p>
      <w:pPr>
        <w:ind w:left="3720"/>
        <w:spacing w:after="0"/>
        <w:tabs>
          <w:tab w:leader="none" w:pos="43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___________________________________</w:t>
      </w:r>
    </w:p>
    <w:p>
      <w:pPr>
        <w:ind w:left="3720"/>
        <w:spacing w:after="0"/>
        <w:tabs>
          <w:tab w:leader="none" w:pos="4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___________________________________</w:t>
      </w:r>
    </w:p>
    <w:p>
      <w:pPr>
        <w:spacing w:after="0"/>
        <w:rPr>
          <w:sz w:val="20"/>
          <w:szCs w:val="20"/>
          <w:color w:val="auto"/>
        </w:rPr>
      </w:pPr>
      <w:r>
        <w:rPr>
          <w:rFonts w:ascii="Arial" w:cs="Arial" w:eastAsia="Arial" w:hAnsi="Arial"/>
          <w:sz w:val="12"/>
          <w:szCs w:val="12"/>
          <w:color w:val="FFFFFF"/>
        </w:rPr>
        <w:t>HOU:3756061.4</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182</w:t>
      </w:r>
    </w:p>
    <w:p>
      <w:pPr>
        <w:sectPr>
          <w:pgSz w:w="11900" w:h="16838" w:orient="portrait"/>
          <w:cols w:equalWidth="0" w:num="1">
            <w:col w:w="11460"/>
          </w:cols>
          <w:pgMar w:left="220" w:top="503" w:right="219" w:bottom="1440" w:gutter="0" w:footer="0" w:header="0"/>
        </w:sectPr>
      </w:pPr>
    </w:p>
    <w:bookmarkStart w:id="243" w:name="page244"/>
    <w:bookmarkEnd w:id="243"/>
    <w:p>
      <w:pPr>
        <w:jc w:val="center"/>
        <w:ind w:right="-19"/>
        <w:spacing w:after="0"/>
        <w:rPr>
          <w:sz w:val="20"/>
          <w:szCs w:val="20"/>
          <w:color w:val="auto"/>
        </w:rPr>
      </w:pPr>
      <w:r>
        <w:rPr>
          <w:rFonts w:ascii="Arial" w:cs="Arial" w:eastAsia="Arial" w:hAnsi="Arial"/>
          <w:sz w:val="18"/>
          <w:szCs w:val="18"/>
          <w:b w:val="1"/>
          <w:bCs w:val="1"/>
          <w:u w:val="single" w:color="auto"/>
          <w:color w:val="auto"/>
        </w:rPr>
        <w:t>Exhibit G-1</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Form of U.S. Tax Compliance Certificate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Lenders That Are Not Partnerships For U.S. Federal Income Tax Purposes)</w:t>
      </w:r>
    </w:p>
    <w:p>
      <w:pPr>
        <w:spacing w:after="0" w:line="179" w:lineRule="exact"/>
        <w:rPr>
          <w:sz w:val="20"/>
          <w:szCs w:val="20"/>
          <w:color w:val="auto"/>
        </w:rPr>
      </w:pPr>
    </w:p>
    <w:p>
      <w:pPr>
        <w:jc w:val="both"/>
        <w:ind w:firstLine="529"/>
        <w:spacing w:after="0" w:line="274" w:lineRule="auto"/>
        <w:rPr>
          <w:sz w:val="20"/>
          <w:szCs w:val="20"/>
          <w:color w:val="auto"/>
        </w:rPr>
      </w:pPr>
      <w:r>
        <w:rPr>
          <w:rFonts w:ascii="Arial" w:cs="Arial" w:eastAsia="Arial" w:hAnsi="Arial"/>
          <w:sz w:val="17"/>
          <w:szCs w:val="17"/>
          <w:color w:val="auto"/>
        </w:rPr>
        <w:t>Reference is hereby made to the Fourth Amended and Restated Credit Agreement dated as of February 8, 2017 (as amended,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Matrix Service Company, a Delaware corporation, as a Borrower (the “</w:t>
      </w:r>
      <w:r>
        <w:rPr>
          <w:rFonts w:ascii="Arial" w:cs="Arial" w:eastAsia="Arial" w:hAnsi="Arial"/>
          <w:sz w:val="17"/>
          <w:szCs w:val="17"/>
          <w:u w:val="single" w:color="auto"/>
          <w:color w:val="auto"/>
        </w:rPr>
        <w:t>Company</w:t>
      </w:r>
      <w:r>
        <w:rPr>
          <w:rFonts w:ascii="Arial" w:cs="Arial" w:eastAsia="Arial" w:hAnsi="Arial"/>
          <w:sz w:val="17"/>
          <w:szCs w:val="17"/>
          <w:color w:val="auto"/>
        </w:rPr>
        <w:t>”), the other Borrowers party thereto, each Lender from time to time party thereto and JPMorgan Chase Bank, N.A. as Administrative Agent.</w:t>
      </w:r>
    </w:p>
    <w:p>
      <w:pPr>
        <w:spacing w:after="0" w:line="135" w:lineRule="exact"/>
        <w:rPr>
          <w:sz w:val="20"/>
          <w:szCs w:val="20"/>
          <w:color w:val="auto"/>
        </w:rPr>
      </w:pPr>
    </w:p>
    <w:p>
      <w:pPr>
        <w:jc w:val="both"/>
        <w:ind w:firstLine="529"/>
        <w:spacing w:after="0" w:line="268" w:lineRule="auto"/>
        <w:rPr>
          <w:sz w:val="20"/>
          <w:szCs w:val="20"/>
          <w:color w:val="auto"/>
        </w:rPr>
      </w:pPr>
      <w:r>
        <w:rPr>
          <w:rFonts w:ascii="Arial" w:cs="Arial" w:eastAsia="Arial" w:hAnsi="Arial"/>
          <w:sz w:val="17"/>
          <w:szCs w:val="17"/>
          <w:color w:val="auto"/>
        </w:rPr>
        <w:t>Pursuant to the provisions of Section 2.17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any Borrower within the meaning of Section 871(h)(3)(B) of the Code and (iv) it is not a controlled foreign corporation related to any Borrower as described in Section 881(c)(3)(C) of the Code.</w:t>
      </w:r>
    </w:p>
    <w:p>
      <w:pPr>
        <w:spacing w:after="0" w:line="141" w:lineRule="exact"/>
        <w:rPr>
          <w:sz w:val="20"/>
          <w:szCs w:val="20"/>
          <w:color w:val="auto"/>
        </w:rPr>
      </w:pPr>
    </w:p>
    <w:p>
      <w:pPr>
        <w:jc w:val="both"/>
        <w:ind w:firstLine="529"/>
        <w:spacing w:after="0" w:line="265" w:lineRule="auto"/>
        <w:rPr>
          <w:sz w:val="20"/>
          <w:szCs w:val="20"/>
          <w:color w:val="auto"/>
        </w:rPr>
      </w:pPr>
      <w:r>
        <w:rPr>
          <w:rFonts w:ascii="Arial" w:cs="Arial" w:eastAsia="Arial" w:hAnsi="Arial"/>
          <w:sz w:val="17"/>
          <w:szCs w:val="17"/>
          <w:color w:val="auto"/>
        </w:rPr>
        <w:t>The undersigned has furnished the Administrative Agent and the Company with a certificate of its non-U.S. Person status on IRS Form W-8BEN or IRS Form W-8BEN-E (or applicable successor form). By executing this certificate, the undersigned agrees that (1) if the information provided on this certificate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is to be made to the undersigned, or in either of the two calendar years preceding such payments.</w:t>
      </w:r>
    </w:p>
    <w:p>
      <w:pPr>
        <w:spacing w:after="0" w:line="14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Unless otherwise defined herein, terms defined in the Credit Agreement and used herein shall have the meanings given to them in the Credit Agreement.</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3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4"/>
          <w:szCs w:val="14"/>
          <w:color w:val="auto"/>
        </w:rPr>
        <w:t>__________________________________</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Name:____________________________</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Title:____________________________</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 20[ ]</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183</w:t>
      </w:r>
    </w:p>
    <w:p>
      <w:pPr>
        <w:sectPr>
          <w:pgSz w:w="11900" w:h="16838" w:orient="portrait"/>
          <w:cols w:equalWidth="0" w:num="1">
            <w:col w:w="11460"/>
          </w:cols>
          <w:pgMar w:left="220" w:top="503" w:right="219" w:bottom="1440" w:gutter="0" w:footer="0" w:header="0"/>
        </w:sectPr>
      </w:pPr>
    </w:p>
    <w:bookmarkStart w:id="244" w:name="page245"/>
    <w:bookmarkEnd w:id="244"/>
    <w:p>
      <w:pPr>
        <w:jc w:val="center"/>
        <w:spacing w:after="0"/>
        <w:rPr>
          <w:sz w:val="20"/>
          <w:szCs w:val="20"/>
          <w:color w:val="auto"/>
        </w:rPr>
      </w:pPr>
      <w:r>
        <w:rPr>
          <w:rFonts w:ascii="Arial" w:cs="Arial" w:eastAsia="Arial" w:hAnsi="Arial"/>
          <w:sz w:val="18"/>
          <w:szCs w:val="18"/>
          <w:b w:val="1"/>
          <w:bCs w:val="1"/>
          <w:u w:val="single" w:color="auto"/>
          <w:color w:val="auto"/>
        </w:rPr>
        <w:t>Exhibit G-2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U.S. Tax Compliance Certificate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Non-U.S. Participants That Are Not Partnerships For U.S. Federal Income Tax Purposes)</w:t>
      </w:r>
    </w:p>
    <w:p>
      <w:pPr>
        <w:spacing w:after="0" w:line="179" w:lineRule="exact"/>
        <w:rPr>
          <w:sz w:val="20"/>
          <w:szCs w:val="20"/>
          <w:color w:val="auto"/>
        </w:rPr>
      </w:pPr>
    </w:p>
    <w:p>
      <w:pPr>
        <w:jc w:val="both"/>
        <w:ind w:firstLine="529"/>
        <w:spacing w:after="0" w:line="274" w:lineRule="auto"/>
        <w:rPr>
          <w:sz w:val="20"/>
          <w:szCs w:val="20"/>
          <w:color w:val="auto"/>
        </w:rPr>
      </w:pPr>
      <w:r>
        <w:rPr>
          <w:rFonts w:ascii="Arial" w:cs="Arial" w:eastAsia="Arial" w:hAnsi="Arial"/>
          <w:sz w:val="17"/>
          <w:szCs w:val="17"/>
          <w:color w:val="auto"/>
        </w:rPr>
        <w:t>Reference is hereby made to the Fourth Amended and Restated Credit Agreement dated as of February 8, 2017 (as amended,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Matrix Service Company, a Delaware corporation, as a Borrower (the “</w:t>
      </w:r>
      <w:r>
        <w:rPr>
          <w:rFonts w:ascii="Arial" w:cs="Arial" w:eastAsia="Arial" w:hAnsi="Arial"/>
          <w:sz w:val="17"/>
          <w:szCs w:val="17"/>
          <w:u w:val="single" w:color="auto"/>
          <w:color w:val="auto"/>
        </w:rPr>
        <w:t>Company</w:t>
      </w:r>
      <w:r>
        <w:rPr>
          <w:rFonts w:ascii="Arial" w:cs="Arial" w:eastAsia="Arial" w:hAnsi="Arial"/>
          <w:sz w:val="17"/>
          <w:szCs w:val="17"/>
          <w:color w:val="auto"/>
        </w:rPr>
        <w:t>”), the other Borrowers party thereto, each Lender from time to time party thereto and JPMorgan Chase Bank, N.A. as Administrative Agent.</w:t>
      </w:r>
    </w:p>
    <w:p>
      <w:pPr>
        <w:spacing w:after="0" w:line="135" w:lineRule="exact"/>
        <w:rPr>
          <w:sz w:val="20"/>
          <w:szCs w:val="20"/>
          <w:color w:val="auto"/>
        </w:rPr>
      </w:pPr>
    </w:p>
    <w:p>
      <w:pPr>
        <w:jc w:val="both"/>
        <w:ind w:firstLine="529"/>
        <w:spacing w:after="0" w:line="249" w:lineRule="auto"/>
        <w:rPr>
          <w:sz w:val="20"/>
          <w:szCs w:val="20"/>
          <w:color w:val="auto"/>
        </w:rPr>
      </w:pPr>
      <w:r>
        <w:rPr>
          <w:rFonts w:ascii="Arial" w:cs="Arial" w:eastAsia="Arial" w:hAnsi="Arial"/>
          <w:sz w:val="18"/>
          <w:szCs w:val="18"/>
          <w:color w:val="auto"/>
        </w:rPr>
        <w:t>Pursuant to the provisions of Section 2.17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any Borrower within the meaning of Section 871(h)(3)(B) of the Code and (iv) it is not a controlled foreign corporation related to any Borrower as described in Section 881(c)(3)(C) of the Code.</w:t>
      </w:r>
    </w:p>
    <w:p>
      <w:pPr>
        <w:spacing w:after="0" w:line="155" w:lineRule="exact"/>
        <w:rPr>
          <w:sz w:val="20"/>
          <w:szCs w:val="20"/>
          <w:color w:val="auto"/>
        </w:rPr>
      </w:pPr>
    </w:p>
    <w:p>
      <w:pPr>
        <w:jc w:val="both"/>
        <w:ind w:firstLine="529"/>
        <w:spacing w:after="0" w:line="247" w:lineRule="auto"/>
        <w:rPr>
          <w:sz w:val="20"/>
          <w:szCs w:val="20"/>
          <w:color w:val="auto"/>
        </w:rPr>
      </w:pPr>
      <w:r>
        <w:rPr>
          <w:rFonts w:ascii="Arial" w:cs="Arial" w:eastAsia="Arial" w:hAnsi="Arial"/>
          <w:sz w:val="18"/>
          <w:szCs w:val="18"/>
          <w:color w:val="auto"/>
        </w:rPr>
        <w:t>The undersigned has furnished its participating Lender with a certificate of its non-U.S. Person status on IRS Form W-8BEN or IRS Form W-8BEN-E (or applicable successor form).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Unless otherwise defined herein, terms defined in the Credit Agreement and used herein shall have the meanings given to them in the Credit Agreement.</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3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4"/>
          <w:szCs w:val="14"/>
          <w:color w:val="auto"/>
        </w:rPr>
        <w:t>_____________________________</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Name:________________________</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Title:________________________</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 20[ ]</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color w:val="FFFFFF"/>
        </w:rPr>
        <w:t>HOU:3756061.4</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184</w:t>
      </w:r>
    </w:p>
    <w:p>
      <w:pPr>
        <w:sectPr>
          <w:pgSz w:w="11900" w:h="16838" w:orient="portrait"/>
          <w:cols w:equalWidth="0" w:num="1">
            <w:col w:w="11460"/>
          </w:cols>
          <w:pgMar w:left="220" w:top="503" w:right="219" w:bottom="1440" w:gutter="0" w:footer="0" w:header="0"/>
        </w:sectPr>
      </w:pPr>
    </w:p>
    <w:bookmarkStart w:id="245" w:name="page246"/>
    <w:bookmarkEnd w:id="245"/>
    <w:p>
      <w:pPr>
        <w:jc w:val="center"/>
        <w:spacing w:after="0"/>
        <w:rPr>
          <w:sz w:val="20"/>
          <w:szCs w:val="20"/>
          <w:color w:val="auto"/>
        </w:rPr>
      </w:pPr>
      <w:r>
        <w:rPr>
          <w:rFonts w:ascii="Arial" w:cs="Arial" w:eastAsia="Arial" w:hAnsi="Arial"/>
          <w:sz w:val="18"/>
          <w:szCs w:val="18"/>
          <w:b w:val="1"/>
          <w:bCs w:val="1"/>
          <w:u w:val="single" w:color="auto"/>
          <w:color w:val="auto"/>
        </w:rPr>
        <w:t>Exhibit G-3</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U.S. Tax Compliance Certificate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Non-U.S. Participants That Are Partnerships For U.S. Federal Income Tax Purposes)</w:t>
      </w:r>
    </w:p>
    <w:p>
      <w:pPr>
        <w:spacing w:after="0" w:line="179" w:lineRule="exact"/>
        <w:rPr>
          <w:sz w:val="20"/>
          <w:szCs w:val="20"/>
          <w:color w:val="auto"/>
        </w:rPr>
      </w:pPr>
    </w:p>
    <w:p>
      <w:pPr>
        <w:jc w:val="both"/>
        <w:ind w:firstLine="529"/>
        <w:spacing w:after="0" w:line="274" w:lineRule="auto"/>
        <w:rPr>
          <w:sz w:val="20"/>
          <w:szCs w:val="20"/>
          <w:color w:val="auto"/>
        </w:rPr>
      </w:pPr>
      <w:r>
        <w:rPr>
          <w:rFonts w:ascii="Arial" w:cs="Arial" w:eastAsia="Arial" w:hAnsi="Arial"/>
          <w:sz w:val="17"/>
          <w:szCs w:val="17"/>
          <w:color w:val="auto"/>
        </w:rPr>
        <w:t>Reference is hereby made to the Fourth Amended and Restated Credit Agreement dated as of February 8, 2017 (as amended,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Matrix Service Company, a Delaware corporation, as a Borrower (the “</w:t>
      </w:r>
      <w:r>
        <w:rPr>
          <w:rFonts w:ascii="Arial" w:cs="Arial" w:eastAsia="Arial" w:hAnsi="Arial"/>
          <w:sz w:val="17"/>
          <w:szCs w:val="17"/>
          <w:u w:val="single" w:color="auto"/>
          <w:color w:val="auto"/>
        </w:rPr>
        <w:t>Company</w:t>
      </w:r>
      <w:r>
        <w:rPr>
          <w:rFonts w:ascii="Arial" w:cs="Arial" w:eastAsia="Arial" w:hAnsi="Arial"/>
          <w:sz w:val="17"/>
          <w:szCs w:val="17"/>
          <w:color w:val="auto"/>
        </w:rPr>
        <w:t>”), the other Borrowers party thereto, each Lender from time to time party thereto and JPMorgan Chase Bank, N.A. as Administrative Agent.</w:t>
      </w:r>
    </w:p>
    <w:p>
      <w:pPr>
        <w:spacing w:after="0" w:line="135" w:lineRule="exact"/>
        <w:rPr>
          <w:sz w:val="20"/>
          <w:szCs w:val="20"/>
          <w:color w:val="auto"/>
        </w:rPr>
      </w:pPr>
    </w:p>
    <w:p>
      <w:pPr>
        <w:jc w:val="both"/>
        <w:ind w:firstLine="529"/>
        <w:spacing w:after="0" w:line="305" w:lineRule="auto"/>
        <w:rPr>
          <w:sz w:val="20"/>
          <w:szCs w:val="20"/>
          <w:color w:val="auto"/>
        </w:rPr>
      </w:pPr>
      <w:r>
        <w:rPr>
          <w:rFonts w:ascii="Arial" w:cs="Arial" w:eastAsia="Arial" w:hAnsi="Arial"/>
          <w:sz w:val="15"/>
          <w:szCs w:val="15"/>
          <w:color w:val="auto"/>
        </w:rPr>
        <w:t>Pursuant to the provisions of Section 2.17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w:t>
      </w:r>
    </w:p>
    <w:p>
      <w:pPr>
        <w:spacing w:after="0" w:line="118" w:lineRule="exact"/>
        <w:rPr>
          <w:sz w:val="20"/>
          <w:szCs w:val="20"/>
          <w:color w:val="auto"/>
        </w:rPr>
      </w:pPr>
    </w:p>
    <w:p>
      <w:pPr>
        <w:jc w:val="both"/>
        <w:ind w:firstLine="529"/>
        <w:spacing w:after="0" w:line="245" w:lineRule="auto"/>
        <w:rPr>
          <w:sz w:val="20"/>
          <w:szCs w:val="20"/>
          <w:color w:val="auto"/>
        </w:rPr>
      </w:pPr>
      <w:r>
        <w:rPr>
          <w:rFonts w:ascii="Arial" w:cs="Arial" w:eastAsia="Arial" w:hAnsi="Arial"/>
          <w:sz w:val="18"/>
          <w:szCs w:val="18"/>
          <w:color w:val="auto"/>
        </w:rPr>
        <w:t>The undersigned has furnished its participating Lender with IRS Form W-8IMY accompanied by one of the following forms from each of its partners/members claiming the portfolio exemption: (i) an IRS Form W-8BEN or IRS Form W-8BEN-E (or applicable successor form) or (ii) an IRS Form W-8IMY accompanied by an IRS Form W-8BEN or IRS Form W-8BEN-E (or applicable successor form)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Unless otherwise defined herein, terms defined in the Credit Agreement and used herein shall have the meanings given to them in the Credit Agreement.</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3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4"/>
          <w:szCs w:val="14"/>
          <w:color w:val="auto"/>
        </w:rPr>
        <w:t>_______________________________</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Name:__________________________</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Title:__________________________</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 20[ ]</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color w:val="FFFFFF"/>
        </w:rPr>
        <w:t>HOU:3756061.4</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185</w:t>
      </w:r>
    </w:p>
    <w:p>
      <w:pPr>
        <w:sectPr>
          <w:pgSz w:w="11900" w:h="16838" w:orient="portrait"/>
          <w:cols w:equalWidth="0" w:num="1">
            <w:col w:w="11460"/>
          </w:cols>
          <w:pgMar w:left="220" w:top="503" w:right="219" w:bottom="1440" w:gutter="0" w:footer="0" w:header="0"/>
        </w:sectPr>
      </w:pPr>
    </w:p>
    <w:bookmarkStart w:id="246" w:name="page247"/>
    <w:bookmarkEnd w:id="246"/>
    <w:p>
      <w:pPr>
        <w:jc w:val="center"/>
        <w:spacing w:after="0"/>
        <w:rPr>
          <w:sz w:val="20"/>
          <w:szCs w:val="20"/>
          <w:color w:val="auto"/>
        </w:rPr>
      </w:pPr>
      <w:r>
        <w:rPr>
          <w:rFonts w:ascii="Arial" w:cs="Arial" w:eastAsia="Arial" w:hAnsi="Arial"/>
          <w:sz w:val="18"/>
          <w:szCs w:val="18"/>
          <w:b w:val="1"/>
          <w:bCs w:val="1"/>
          <w:u w:val="single" w:color="auto"/>
          <w:color w:val="auto"/>
        </w:rPr>
        <w:t>Exhibit G-4</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U.S. Tax Compliance Certificate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Lenders That Are Partnerships For U.S. Federal Income Tax Purposes)</w:t>
      </w:r>
    </w:p>
    <w:p>
      <w:pPr>
        <w:spacing w:after="0" w:line="179" w:lineRule="exact"/>
        <w:rPr>
          <w:sz w:val="20"/>
          <w:szCs w:val="20"/>
          <w:color w:val="auto"/>
        </w:rPr>
      </w:pPr>
    </w:p>
    <w:p>
      <w:pPr>
        <w:jc w:val="both"/>
        <w:ind w:firstLine="529"/>
        <w:spacing w:after="0" w:line="274" w:lineRule="auto"/>
        <w:rPr>
          <w:sz w:val="20"/>
          <w:szCs w:val="20"/>
          <w:color w:val="auto"/>
        </w:rPr>
      </w:pPr>
      <w:r>
        <w:rPr>
          <w:rFonts w:ascii="Arial" w:cs="Arial" w:eastAsia="Arial" w:hAnsi="Arial"/>
          <w:sz w:val="17"/>
          <w:szCs w:val="17"/>
          <w:color w:val="auto"/>
        </w:rPr>
        <w:t>Reference is hereby made to the Fourth Amended and Restated Credit Agreement dated as of February 8, 2017 (as amended,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Matrix Service Company, a Delaware corporation, as a Borrower (the “</w:t>
      </w:r>
      <w:r>
        <w:rPr>
          <w:rFonts w:ascii="Arial" w:cs="Arial" w:eastAsia="Arial" w:hAnsi="Arial"/>
          <w:sz w:val="17"/>
          <w:szCs w:val="17"/>
          <w:u w:val="single" w:color="auto"/>
          <w:color w:val="auto"/>
        </w:rPr>
        <w:t>Company</w:t>
      </w:r>
      <w:r>
        <w:rPr>
          <w:rFonts w:ascii="Arial" w:cs="Arial" w:eastAsia="Arial" w:hAnsi="Arial"/>
          <w:sz w:val="17"/>
          <w:szCs w:val="17"/>
          <w:color w:val="auto"/>
        </w:rPr>
        <w:t>”), the other Borrowers party thereto, each Lender from time to time party thereto and JPMorgan Chase Bank, N.A. as Administrative Agent.</w:t>
      </w:r>
    </w:p>
    <w:p>
      <w:pPr>
        <w:spacing w:after="0" w:line="47" w:lineRule="exact"/>
        <w:rPr>
          <w:sz w:val="20"/>
          <w:szCs w:val="20"/>
          <w:color w:val="auto"/>
        </w:rPr>
      </w:pPr>
    </w:p>
    <w:p>
      <w:pPr>
        <w:jc w:val="both"/>
        <w:ind w:firstLine="529"/>
        <w:spacing w:after="0" w:line="262" w:lineRule="auto"/>
        <w:rPr>
          <w:sz w:val="20"/>
          <w:szCs w:val="20"/>
          <w:color w:val="auto"/>
        </w:rPr>
      </w:pPr>
      <w:r>
        <w:rPr>
          <w:rFonts w:ascii="Arial" w:cs="Arial" w:eastAsia="Arial" w:hAnsi="Arial"/>
          <w:sz w:val="17"/>
          <w:szCs w:val="17"/>
          <w:color w:val="auto"/>
        </w:rPr>
        <w:t>Pursuant to the provisions of Section 2.17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w:t>
      </w:r>
    </w:p>
    <w:p>
      <w:pPr>
        <w:spacing w:after="0" w:line="60" w:lineRule="exact"/>
        <w:rPr>
          <w:sz w:val="20"/>
          <w:szCs w:val="20"/>
          <w:color w:val="auto"/>
        </w:rPr>
      </w:pPr>
    </w:p>
    <w:p>
      <w:pPr>
        <w:jc w:val="both"/>
        <w:ind w:firstLine="529"/>
        <w:spacing w:after="0" w:line="262" w:lineRule="auto"/>
        <w:rPr>
          <w:sz w:val="20"/>
          <w:szCs w:val="20"/>
          <w:color w:val="auto"/>
        </w:rPr>
      </w:pPr>
      <w:r>
        <w:rPr>
          <w:rFonts w:ascii="Arial" w:cs="Arial" w:eastAsia="Arial" w:hAnsi="Arial"/>
          <w:sz w:val="17"/>
          <w:szCs w:val="17"/>
          <w:color w:val="auto"/>
        </w:rPr>
        <w:t>The undersigned has furnished the Administrative Agent and the Borrower with IRS Form W-8IMY accompanied by one of the following forms from each of its partners/members claiming the portfolio exemption: (i) an IRS Form W-8BEN or IRS Form W-8BEN-E (or applicable successor form) or (ii) an IRS Form W-8IMY accompanied by an IRS Form W-8BEN or IRS Form W-8BEN-E (or applicable successor form)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6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Unless otherwise defined herein, terms defined in the Credit Agreement and used herein shall have the meanings given to them in the Credit Agreement.</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4"/>
          <w:szCs w:val="14"/>
          <w:color w:val="auto"/>
        </w:rPr>
        <w:t>_____________________________</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Name:________________________</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Title:________________________</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 20[ ]</w:t>
      </w:r>
    </w:p>
    <w:p>
      <w:pPr>
        <w:spacing w:after="0" w:line="356" w:lineRule="exact"/>
        <w:rPr>
          <w:sz w:val="20"/>
          <w:szCs w:val="20"/>
          <w:color w:val="auto"/>
        </w:rPr>
      </w:pPr>
    </w:p>
    <w:p>
      <w:pPr>
        <w:spacing w:after="0"/>
        <w:rPr>
          <w:sz w:val="20"/>
          <w:szCs w:val="20"/>
          <w:color w:val="auto"/>
        </w:rPr>
      </w:pPr>
      <w:r>
        <w:rPr>
          <w:rFonts w:ascii="Arial" w:cs="Arial" w:eastAsia="Arial" w:hAnsi="Arial"/>
          <w:sz w:val="12"/>
          <w:szCs w:val="12"/>
          <w:color w:val="FFFFFF"/>
        </w:rPr>
        <w:t>HOU:3756061.4</w:t>
      </w:r>
    </w:p>
    <w:p>
      <w:pPr>
        <w:spacing w:after="0" w:line="171" w:lineRule="exact"/>
        <w:rPr>
          <w:sz w:val="20"/>
          <w:szCs w:val="20"/>
          <w:color w:val="auto"/>
        </w:rPr>
      </w:pPr>
    </w:p>
    <w:p>
      <w:pPr>
        <w:spacing w:after="0"/>
        <w:rPr>
          <w:sz w:val="20"/>
          <w:szCs w:val="20"/>
          <w:color w:val="auto"/>
        </w:rPr>
      </w:pPr>
      <w:r>
        <w:rPr>
          <w:rFonts w:ascii="Arial" w:cs="Arial" w:eastAsia="Arial" w:hAnsi="Arial"/>
          <w:sz w:val="12"/>
          <w:szCs w:val="12"/>
          <w:color w:val="FFFFFF"/>
        </w:rPr>
        <w:t>HOU:3756061.4</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186</w:t>
      </w:r>
    </w:p>
    <w:p>
      <w:pPr>
        <w:sectPr>
          <w:pgSz w:w="11900" w:h="16838" w:orient="portrait"/>
          <w:cols w:equalWidth="0" w:num="1">
            <w:col w:w="11460"/>
          </w:cols>
          <w:pgMar w:left="220" w:top="503" w:right="219" w:bottom="1440" w:gutter="0" w:footer="0" w:header="0"/>
        </w:sectPr>
      </w:pPr>
    </w:p>
    <w:bookmarkStart w:id="247" w:name="page248"/>
    <w:bookmarkEnd w:id="247"/>
    <w:p>
      <w:pPr>
        <w:jc w:val="center"/>
        <w:spacing w:after="0"/>
        <w:rPr>
          <w:sz w:val="20"/>
          <w:szCs w:val="20"/>
          <w:color w:val="auto"/>
        </w:rPr>
      </w:pPr>
      <w:r>
        <w:rPr>
          <w:rFonts w:ascii="Arial" w:cs="Arial" w:eastAsia="Arial" w:hAnsi="Arial"/>
          <w:sz w:val="18"/>
          <w:szCs w:val="18"/>
          <w:b w:val="1"/>
          <w:bCs w:val="1"/>
          <w:u w:val="single" w:color="auto"/>
          <w:color w:val="auto"/>
        </w:rPr>
        <w:t>Exhibit H</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COMPLIANCE CERTIFICATE</w:t>
      </w:r>
    </w:p>
    <w:p>
      <w:pPr>
        <w:spacing w:after="0" w:line="18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The Lenders parties to the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Described Below</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This Compliance Certificate is furnished pursuant to that certain Fourth Amended and Restated Credit Agreement dated as of [__________], 2017 (as</w:t>
      </w:r>
    </w:p>
    <w:p>
      <w:pPr>
        <w:spacing w:after="0" w:line="5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amended, modified, renewed or extended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Matrix Service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the other Borrowers party thereto, the Lenders party thereto and JPMorgan Chase Bank, N.A., as Administrative Agent. Unless otherwise defined herein, capitalized terms used in this Compliance Certificate have the meanings ascribed thereto in the Credit Agreement.</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UNDERSIGNED HEREBY CERTIFIES THAT:</w:t>
      </w:r>
    </w:p>
    <w:p>
      <w:pPr>
        <w:spacing w:after="0" w:line="179" w:lineRule="exact"/>
        <w:rPr>
          <w:sz w:val="20"/>
          <w:szCs w:val="20"/>
          <w:color w:val="auto"/>
        </w:rPr>
      </w:pPr>
    </w:p>
    <w:p>
      <w:pPr>
        <w:ind w:left="1200" w:hanging="663"/>
        <w:spacing w:after="0"/>
        <w:tabs>
          <w:tab w:leader="none" w:pos="12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 am the duly elected chief financial officer of the Company;</w:t>
      </w:r>
    </w:p>
    <w:p>
      <w:pPr>
        <w:spacing w:after="0" w:line="211" w:lineRule="exact"/>
        <w:rPr>
          <w:rFonts w:ascii="Arial" w:cs="Arial" w:eastAsia="Arial" w:hAnsi="Arial"/>
          <w:sz w:val="18"/>
          <w:szCs w:val="18"/>
          <w:color w:val="auto"/>
        </w:rPr>
      </w:pPr>
    </w:p>
    <w:p>
      <w:pPr>
        <w:ind w:firstLine="537"/>
        <w:spacing w:after="0" w:line="361" w:lineRule="auto"/>
        <w:tabs>
          <w:tab w:leader="none" w:pos="1190" w:val="left"/>
        </w:tabs>
        <w:numPr>
          <w:ilvl w:val="0"/>
          <w:numId w:val="199"/>
        </w:numPr>
        <w:rPr>
          <w:rFonts w:ascii="Arial" w:cs="Arial" w:eastAsia="Arial" w:hAnsi="Arial"/>
          <w:sz w:val="15"/>
          <w:szCs w:val="15"/>
          <w:color w:val="auto"/>
        </w:rPr>
      </w:pPr>
      <w:r>
        <w:rPr>
          <w:rFonts w:ascii="Arial" w:cs="Arial" w:eastAsia="Arial" w:hAnsi="Arial"/>
          <w:sz w:val="15"/>
          <w:szCs w:val="15"/>
          <w:color w:val="auto"/>
        </w:rPr>
        <w:t>I have reviewed the terms of the Credit Agreement and I have made, or have caused to be made under my supervision, a detailed review of the transactions and conditions of the Company and its Subsidiaries during the accounting period covered by the attached financial statements;</w:t>
      </w:r>
    </w:p>
    <w:p>
      <w:pPr>
        <w:spacing w:after="0" w:line="109" w:lineRule="exact"/>
        <w:rPr>
          <w:rFonts w:ascii="Arial" w:cs="Arial" w:eastAsia="Arial" w:hAnsi="Arial"/>
          <w:sz w:val="15"/>
          <w:szCs w:val="15"/>
          <w:color w:val="auto"/>
        </w:rPr>
      </w:pPr>
    </w:p>
    <w:p>
      <w:pPr>
        <w:jc w:val="both"/>
        <w:ind w:firstLine="537"/>
        <w:spacing w:after="0" w:line="252" w:lineRule="auto"/>
        <w:tabs>
          <w:tab w:leader="none" w:pos="119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The examinations described in </w:t>
      </w:r>
      <w:r>
        <w:rPr>
          <w:rFonts w:ascii="Arial" w:cs="Arial" w:eastAsia="Arial" w:hAnsi="Arial"/>
          <w:sz w:val="18"/>
          <w:szCs w:val="18"/>
          <w:u w:val="single" w:color="auto"/>
          <w:color w:val="auto"/>
        </w:rPr>
        <w:t>paragraph 2</w:t>
      </w:r>
      <w:r>
        <w:rPr>
          <w:rFonts w:ascii="Arial" w:cs="Arial" w:eastAsia="Arial" w:hAnsi="Arial"/>
          <w:sz w:val="18"/>
          <w:szCs w:val="18"/>
          <w:color w:val="auto"/>
        </w:rPr>
        <w:t xml:space="preserve"> did not disclose, and I have no knowledge of, the existence of any condition or event which constitutes a Default or Event of Default during or at the end of the accounting period covered by the attached financial statements or as of the date of this Compliance Certificate, except as set forth below;</w:t>
      </w:r>
    </w:p>
    <w:p>
      <w:pPr>
        <w:spacing w:after="0" w:line="185" w:lineRule="exact"/>
        <w:rPr>
          <w:rFonts w:ascii="Arial" w:cs="Arial" w:eastAsia="Arial" w:hAnsi="Arial"/>
          <w:sz w:val="18"/>
          <w:szCs w:val="18"/>
          <w:color w:val="auto"/>
        </w:rPr>
      </w:pPr>
    </w:p>
    <w:p>
      <w:pPr>
        <w:ind w:firstLine="537"/>
        <w:spacing w:after="0" w:line="261" w:lineRule="auto"/>
        <w:tabs>
          <w:tab w:leader="none" w:pos="1190"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hereto sets forth financial data and computations evidencing compliance with certain covenants of the Credit Agreement, all of which data and computations are true, complete and correct;</w:t>
      </w:r>
    </w:p>
    <w:p>
      <w:pPr>
        <w:spacing w:after="0" w:line="178" w:lineRule="exact"/>
        <w:rPr>
          <w:rFonts w:ascii="Arial" w:cs="Arial" w:eastAsia="Arial" w:hAnsi="Arial"/>
          <w:sz w:val="18"/>
          <w:szCs w:val="18"/>
          <w:color w:val="auto"/>
        </w:rPr>
      </w:pPr>
    </w:p>
    <w:p>
      <w:pPr>
        <w:ind w:left="1200" w:hanging="663"/>
        <w:spacing w:after="0"/>
        <w:tabs>
          <w:tab w:leader="none" w:pos="1200"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attached hereto sets forth the determination of the interest rates and other rates listed therein; and</w:t>
      </w:r>
    </w:p>
    <w:p>
      <w:pPr>
        <w:spacing w:after="0" w:line="211" w:lineRule="exact"/>
        <w:rPr>
          <w:rFonts w:ascii="Arial" w:cs="Arial" w:eastAsia="Arial" w:hAnsi="Arial"/>
          <w:sz w:val="18"/>
          <w:szCs w:val="18"/>
          <w:color w:val="auto"/>
        </w:rPr>
      </w:pPr>
    </w:p>
    <w:p>
      <w:pPr>
        <w:ind w:firstLine="537"/>
        <w:spacing w:after="0" w:line="261" w:lineRule="auto"/>
        <w:tabs>
          <w:tab w:leader="none" w:pos="1190"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attached hereto sets forth the various reports and deliveries which are required at this time under the Credit Agreement and the other Loan Documents and the status of compliance.</w:t>
      </w:r>
    </w:p>
    <w:p>
      <w:pPr>
        <w:spacing w:after="0" w:line="178" w:lineRule="exact"/>
        <w:rPr>
          <w:sz w:val="20"/>
          <w:szCs w:val="20"/>
          <w:color w:val="auto"/>
        </w:rPr>
      </w:pPr>
    </w:p>
    <w:p>
      <w:pPr>
        <w:ind w:firstLine="529"/>
        <w:spacing w:after="0" w:line="261" w:lineRule="auto"/>
        <w:rPr>
          <w:sz w:val="20"/>
          <w:szCs w:val="20"/>
          <w:color w:val="auto"/>
        </w:rPr>
      </w:pPr>
      <w:r>
        <w:rPr>
          <w:rFonts w:ascii="Arial" w:cs="Arial" w:eastAsia="Arial" w:hAnsi="Arial"/>
          <w:sz w:val="18"/>
          <w:szCs w:val="18"/>
          <w:color w:val="auto"/>
        </w:rPr>
        <w:t xml:space="preserve">Described below are the exceptions, if any, to </w:t>
      </w:r>
      <w:r>
        <w:rPr>
          <w:rFonts w:ascii="Arial" w:cs="Arial" w:eastAsia="Arial" w:hAnsi="Arial"/>
          <w:sz w:val="18"/>
          <w:szCs w:val="18"/>
          <w:u w:val="single" w:color="auto"/>
          <w:color w:val="auto"/>
        </w:rPr>
        <w:t>paragraph 3</w:t>
      </w:r>
      <w:r>
        <w:rPr>
          <w:rFonts w:ascii="Arial" w:cs="Arial" w:eastAsia="Arial" w:hAnsi="Arial"/>
          <w:sz w:val="18"/>
          <w:szCs w:val="18"/>
          <w:color w:val="auto"/>
        </w:rPr>
        <w:t xml:space="preserve"> by listing, in detail, the nature of the condition or event, the period during which it has existed and the action which the Borrowers have taken, are taking, or propose to take with respect to each such condition or event: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187</w:t>
      </w:r>
    </w:p>
    <w:p>
      <w:pPr>
        <w:sectPr>
          <w:pgSz w:w="11900" w:h="16838" w:orient="portrait"/>
          <w:cols w:equalWidth="0" w:num="1">
            <w:col w:w="11460"/>
          </w:cols>
          <w:pgMar w:left="220" w:top="502" w:right="219" w:bottom="1440" w:gutter="0" w:footer="0" w:header="0"/>
        </w:sectPr>
      </w:pPr>
    </w:p>
    <w:bookmarkStart w:id="248" w:name="page249"/>
    <w:bookmarkEnd w:id="248"/>
    <w:p>
      <w:pPr>
        <w:ind w:firstLine="529"/>
        <w:spacing w:after="0" w:line="261" w:lineRule="auto"/>
        <w:rPr>
          <w:sz w:val="20"/>
          <w:szCs w:val="20"/>
          <w:color w:val="auto"/>
        </w:rPr>
      </w:pPr>
      <w:r>
        <w:rPr>
          <w:rFonts w:ascii="Arial" w:cs="Arial" w:eastAsia="Arial" w:hAnsi="Arial"/>
          <w:sz w:val="18"/>
          <w:szCs w:val="18"/>
          <w:color w:val="auto"/>
        </w:rPr>
        <w:t xml:space="preserve">The foregoing certifications, together with the computations set forth in </w:t>
      </w:r>
      <w:r>
        <w:rPr>
          <w:rFonts w:ascii="Arial" w:cs="Arial" w:eastAsia="Arial" w:hAnsi="Arial"/>
          <w:sz w:val="18"/>
          <w:szCs w:val="18"/>
          <w:u w:val="single" w:color="auto"/>
          <w:color w:val="auto"/>
        </w:rPr>
        <w:t>Schedules I, 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hereto and the financial statements delivered with this Certificate in support hereof, are made and delivered this ___ day of __________, 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_________________________________________________</w:t>
      </w:r>
    </w:p>
    <w:p>
      <w:pPr>
        <w:spacing w:after="0" w:line="16"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Chief Financial Officer,</w:t>
      </w:r>
    </w:p>
    <w:p>
      <w:pPr>
        <w:spacing w:after="0" w:line="2"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MATRIX SERVICE COMPANY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188</w:t>
      </w:r>
    </w:p>
    <w:p>
      <w:pPr>
        <w:sectPr>
          <w:pgSz w:w="11900" w:h="16838" w:orient="portrait"/>
          <w:cols w:equalWidth="0" w:num="1">
            <w:col w:w="11460"/>
          </w:cols>
          <w:pgMar w:left="220" w:top="508" w:right="219" w:bottom="1440" w:gutter="0" w:footer="0" w:header="0"/>
        </w:sectPr>
      </w:pPr>
    </w:p>
    <w:bookmarkStart w:id="249" w:name="page250"/>
    <w:bookmarkEnd w:id="249"/>
    <w:p>
      <w:pPr>
        <w:jc w:val="center"/>
        <w:ind w:right="-1220"/>
        <w:spacing w:after="0"/>
        <w:rPr>
          <w:sz w:val="20"/>
          <w:szCs w:val="20"/>
          <w:color w:val="auto"/>
        </w:rPr>
      </w:pPr>
      <w:r>
        <w:rPr>
          <w:rFonts w:ascii="Arial" w:cs="Arial" w:eastAsia="Arial" w:hAnsi="Arial"/>
          <w:sz w:val="18"/>
          <w:szCs w:val="18"/>
          <w:b w:val="1"/>
          <w:bCs w:val="1"/>
          <w:color w:val="auto"/>
        </w:rPr>
        <w:t>SCHEDULE I TO COMPLIANCE CERTIFICATE</w:t>
      </w:r>
    </w:p>
    <w:p>
      <w:pPr>
        <w:spacing w:after="0" w:line="185" w:lineRule="exact"/>
        <w:rPr>
          <w:sz w:val="20"/>
          <w:szCs w:val="20"/>
          <w:color w:val="auto"/>
        </w:rPr>
      </w:pPr>
    </w:p>
    <w:p>
      <w:pPr>
        <w:ind w:left="4000"/>
        <w:spacing w:after="0"/>
        <w:rPr>
          <w:sz w:val="20"/>
          <w:szCs w:val="20"/>
          <w:color w:val="auto"/>
        </w:rPr>
      </w:pPr>
      <w:r>
        <w:rPr>
          <w:rFonts w:ascii="Arial" w:cs="Arial" w:eastAsia="Arial" w:hAnsi="Arial"/>
          <w:sz w:val="15"/>
          <w:szCs w:val="15"/>
          <w:color w:val="auto"/>
        </w:rPr>
        <w:t>Compliance as of __________, 20__ with certain</w:t>
      </w:r>
    </w:p>
    <w:p>
      <w:pPr>
        <w:spacing w:after="0" w:line="213"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Provisions of the Credit Agreement</w:t>
      </w:r>
    </w:p>
    <w:p>
      <w:pPr>
        <w:spacing w:after="0" w:line="17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All Calculations Below as of</w:t>
      </w:r>
    </w:p>
    <w:p>
      <w:pPr>
        <w:spacing w:after="0" w:line="35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__________, 20__ Except</w:t>
      </w:r>
    </w:p>
    <w:p>
      <w:pPr>
        <w:spacing w:after="0" w:line="35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As Provided Otherwise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20" w:hanging="312"/>
        <w:spacing w:after="0"/>
        <w:tabs>
          <w:tab w:leader="none" w:pos="3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Detailed Calculation of Consolidated EBITDA for Previous Four Fiscal Quarters</w:t>
      </w:r>
    </w:p>
    <w:p>
      <w:pPr>
        <w:spacing w:after="0" w:line="355" w:lineRule="exact"/>
        <w:rPr>
          <w:rFonts w:ascii="Arial" w:cs="Arial" w:eastAsia="Arial" w:hAnsi="Arial"/>
          <w:sz w:val="18"/>
          <w:szCs w:val="18"/>
          <w:color w:val="auto"/>
        </w:rPr>
      </w:pPr>
    </w:p>
    <w:p>
      <w:pPr>
        <w:ind w:left="320" w:hanging="312"/>
        <w:spacing w:after="0"/>
        <w:tabs>
          <w:tab w:leader="none" w:pos="3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  Total Assets of Immaterial Subsidiaries that are not Subsidiary Guarantors: $_________</w:t>
      </w:r>
    </w:p>
    <w:p>
      <w:pPr>
        <w:spacing w:after="0" w:line="399" w:lineRule="exact"/>
        <w:rPr>
          <w:rFonts w:ascii="Arial" w:cs="Arial" w:eastAsia="Arial" w:hAnsi="Arial"/>
          <w:sz w:val="18"/>
          <w:szCs w:val="18"/>
          <w:color w:val="auto"/>
        </w:rPr>
      </w:pPr>
    </w:p>
    <w:p>
      <w:pPr>
        <w:ind w:left="880" w:hanging="343"/>
        <w:spacing w:after="0"/>
        <w:tabs>
          <w:tab w:leader="none" w:pos="88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Total Assets of the Company and its Subsidiaries: $_________</w:t>
      </w:r>
    </w:p>
    <w:p>
      <w:pPr>
        <w:spacing w:after="0" w:line="180" w:lineRule="exact"/>
        <w:rPr>
          <w:rFonts w:ascii="Arial" w:cs="Arial" w:eastAsia="Arial" w:hAnsi="Arial"/>
          <w:sz w:val="18"/>
          <w:szCs w:val="18"/>
          <w:color w:val="auto"/>
        </w:rPr>
      </w:pPr>
    </w:p>
    <w:p>
      <w:pPr>
        <w:ind w:left="880" w:hanging="343"/>
        <w:spacing w:after="0"/>
        <w:tabs>
          <w:tab w:leader="none" w:pos="88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 xml:space="preserve">Ratio (expressed as a percentage) of Line (a) to Line (b): _____% </w:t>
      </w:r>
      <w:r>
        <w:rPr>
          <w:rFonts w:ascii="Arial" w:cs="Arial" w:eastAsia="Arial" w:hAnsi="Arial"/>
          <w:sz w:val="23"/>
          <w:szCs w:val="23"/>
          <w:color w:val="auto"/>
          <w:vertAlign w:val="superscript"/>
        </w:rPr>
        <w:t>1</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320" w:hanging="312"/>
        <w:spacing w:after="0"/>
        <w:tabs>
          <w:tab w:leader="none" w:pos="320" w:val="left"/>
        </w:tabs>
        <w:numPr>
          <w:ilvl w:val="0"/>
          <w:numId w:val="200"/>
        </w:numPr>
        <w:rPr>
          <w:rFonts w:ascii="Arial" w:cs="Arial" w:eastAsia="Arial" w:hAnsi="Arial"/>
          <w:sz w:val="15"/>
          <w:szCs w:val="15"/>
          <w:color w:val="auto"/>
        </w:rPr>
      </w:pPr>
      <w:r>
        <w:rPr>
          <w:rFonts w:ascii="Arial" w:cs="Arial" w:eastAsia="Arial" w:hAnsi="Arial"/>
          <w:sz w:val="15"/>
          <w:szCs w:val="15"/>
          <w:color w:val="auto"/>
        </w:rPr>
        <w:t>(a)  Consolidated Revenues of Immaterial Subsidiaries that are not Subsidiary Guarantors: $_________</w:t>
      </w:r>
    </w:p>
    <w:p>
      <w:pPr>
        <w:spacing w:after="0" w:line="200" w:lineRule="exact"/>
        <w:rPr>
          <w:rFonts w:ascii="Arial" w:cs="Arial" w:eastAsia="Arial" w:hAnsi="Arial"/>
          <w:sz w:val="15"/>
          <w:szCs w:val="15"/>
          <w:color w:val="auto"/>
        </w:rPr>
      </w:pPr>
    </w:p>
    <w:p>
      <w:pPr>
        <w:spacing w:after="0" w:line="233" w:lineRule="exact"/>
        <w:rPr>
          <w:rFonts w:ascii="Arial" w:cs="Arial" w:eastAsia="Arial" w:hAnsi="Arial"/>
          <w:sz w:val="15"/>
          <w:szCs w:val="15"/>
          <w:color w:val="auto"/>
        </w:rPr>
      </w:pPr>
    </w:p>
    <w:p>
      <w:pPr>
        <w:ind w:left="880" w:hanging="343"/>
        <w:spacing w:after="0"/>
        <w:tabs>
          <w:tab w:leader="none" w:pos="88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Consolidated Revenues of the Company and its Subsidiaries: $_________</w:t>
      </w:r>
    </w:p>
    <w:p>
      <w:pPr>
        <w:spacing w:after="0" w:line="180" w:lineRule="exact"/>
        <w:rPr>
          <w:rFonts w:ascii="Arial" w:cs="Arial" w:eastAsia="Arial" w:hAnsi="Arial"/>
          <w:sz w:val="18"/>
          <w:szCs w:val="18"/>
          <w:color w:val="auto"/>
        </w:rPr>
      </w:pPr>
    </w:p>
    <w:p>
      <w:pPr>
        <w:ind w:left="880" w:hanging="343"/>
        <w:spacing w:after="0"/>
        <w:tabs>
          <w:tab w:leader="none" w:pos="88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 xml:space="preserve">Ratio (expressed as a percentage) of Line (a) to Line (b): _____% </w:t>
      </w:r>
      <w:r>
        <w:rPr>
          <w:rFonts w:ascii="Arial" w:cs="Arial" w:eastAsia="Arial" w:hAnsi="Arial"/>
          <w:sz w:val="23"/>
          <w:szCs w:val="23"/>
          <w:color w:val="auto"/>
          <w:vertAlign w:val="superscript"/>
        </w:rPr>
        <w:t>2</w:t>
      </w:r>
    </w:p>
    <w:p>
      <w:pPr>
        <w:spacing w:after="0" w:line="200" w:lineRule="exact"/>
        <w:rPr>
          <w:rFonts w:ascii="Arial" w:cs="Arial" w:eastAsia="Arial" w:hAnsi="Arial"/>
          <w:sz w:val="18"/>
          <w:szCs w:val="18"/>
          <w:color w:val="auto"/>
        </w:rPr>
      </w:pPr>
    </w:p>
    <w:p>
      <w:pPr>
        <w:spacing w:after="0" w:line="285" w:lineRule="exact"/>
        <w:rPr>
          <w:rFonts w:ascii="Arial" w:cs="Arial" w:eastAsia="Arial" w:hAnsi="Arial"/>
          <w:sz w:val="18"/>
          <w:szCs w:val="18"/>
          <w:color w:val="auto"/>
        </w:rPr>
      </w:pPr>
    </w:p>
    <w:p>
      <w:pPr>
        <w:ind w:left="320" w:hanging="312"/>
        <w:spacing w:after="0"/>
        <w:tabs>
          <w:tab w:leader="none" w:pos="3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Detailed Calculation of Leverage Ratio </w:t>
      </w:r>
      <w:r>
        <w:rPr>
          <w:rFonts w:ascii="Arial" w:cs="Arial" w:eastAsia="Arial" w:hAnsi="Arial"/>
          <w:sz w:val="23"/>
          <w:szCs w:val="23"/>
          <w:color w:val="auto"/>
          <w:vertAlign w:val="superscript"/>
        </w:rPr>
        <w:t>3</w:t>
      </w:r>
    </w:p>
    <w:p>
      <w:pPr>
        <w:spacing w:after="0" w:line="308" w:lineRule="exact"/>
        <w:rPr>
          <w:rFonts w:ascii="Arial" w:cs="Arial" w:eastAsia="Arial" w:hAnsi="Arial"/>
          <w:sz w:val="18"/>
          <w:szCs w:val="18"/>
          <w:color w:val="auto"/>
        </w:rPr>
      </w:pPr>
    </w:p>
    <w:p>
      <w:pPr>
        <w:ind w:left="320" w:hanging="312"/>
        <w:spacing w:after="0"/>
        <w:tabs>
          <w:tab w:leader="none" w:pos="3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Detailed Calculation of Fixed Charge Coverage Ratio </w:t>
      </w:r>
      <w:r>
        <w:rPr>
          <w:rFonts w:ascii="Arial" w:cs="Arial" w:eastAsia="Arial" w:hAnsi="Arial"/>
          <w:sz w:val="23"/>
          <w:szCs w:val="23"/>
          <w:color w:val="auto"/>
          <w:vertAlign w:val="superscript"/>
        </w:rPr>
        <w:t>4</w:t>
      </w:r>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w:t>
      </w:r>
    </w:p>
    <w:p>
      <w:pPr>
        <w:spacing w:after="0" w:line="160" w:lineRule="exact"/>
        <w:rPr>
          <w:sz w:val="20"/>
          <w:szCs w:val="20"/>
          <w:color w:val="auto"/>
        </w:rPr>
      </w:pPr>
    </w:p>
    <w:p>
      <w:pPr>
        <w:ind w:left="80" w:hanging="72"/>
        <w:spacing w:after="0"/>
        <w:tabs>
          <w:tab w:leader="none" w:pos="80" w:val="left"/>
        </w:tabs>
        <w:numPr>
          <w:ilvl w:val="0"/>
          <w:numId w:val="201"/>
        </w:numPr>
        <w:rPr>
          <w:rFonts w:ascii="Arial" w:cs="Arial" w:eastAsia="Arial" w:hAnsi="Arial"/>
          <w:sz w:val="18"/>
          <w:szCs w:val="18"/>
          <w:color w:val="auto"/>
          <w:vertAlign w:val="superscript"/>
        </w:rPr>
      </w:pPr>
      <w:r>
        <w:rPr>
          <w:rFonts w:ascii="Arial" w:cs="Arial" w:eastAsia="Arial" w:hAnsi="Arial"/>
          <w:sz w:val="13"/>
          <w:szCs w:val="13"/>
          <w:color w:val="auto"/>
        </w:rPr>
        <w:t>If greater than 10%, include notice thereof with this Compliance Certificate.</w:t>
      </w:r>
    </w:p>
    <w:p>
      <w:pPr>
        <w:spacing w:after="0" w:line="45" w:lineRule="exact"/>
        <w:rPr>
          <w:rFonts w:ascii="Arial" w:cs="Arial" w:eastAsia="Arial" w:hAnsi="Arial"/>
          <w:sz w:val="18"/>
          <w:szCs w:val="18"/>
          <w:color w:val="auto"/>
          <w:vertAlign w:val="superscript"/>
        </w:rPr>
      </w:pPr>
    </w:p>
    <w:p>
      <w:pPr>
        <w:ind w:right="5679"/>
        <w:spacing w:after="0" w:line="230" w:lineRule="auto"/>
        <w:rPr>
          <w:rFonts w:ascii="Arial" w:cs="Arial" w:eastAsia="Arial" w:hAnsi="Arial"/>
          <w:sz w:val="18"/>
          <w:szCs w:val="18"/>
          <w:color w:val="auto"/>
          <w:vertAlign w:val="superscript"/>
        </w:rPr>
      </w:pPr>
      <w:r>
        <w:rPr>
          <w:rFonts w:ascii="Arial" w:cs="Arial" w:eastAsia="Arial" w:hAnsi="Arial"/>
          <w:sz w:val="20"/>
          <w:szCs w:val="20"/>
          <w:color w:val="auto"/>
          <w:vertAlign w:val="superscript"/>
        </w:rPr>
        <w:t>2</w:t>
      </w:r>
      <w:r>
        <w:rPr>
          <w:rFonts w:ascii="Arial" w:cs="Arial" w:eastAsia="Arial" w:hAnsi="Arial"/>
          <w:sz w:val="15"/>
          <w:szCs w:val="15"/>
          <w:color w:val="auto"/>
        </w:rPr>
        <w:t xml:space="preserve"> If greater than 10%, include notice thereof with this Compliance Certificate. </w:t>
      </w:r>
      <w:r>
        <w:rPr>
          <w:rFonts w:ascii="Arial" w:cs="Arial" w:eastAsia="Arial" w:hAnsi="Arial"/>
          <w:sz w:val="20"/>
          <w:szCs w:val="20"/>
          <w:color w:val="auto"/>
          <w:vertAlign w:val="superscript"/>
        </w:rPr>
        <w:t>3</w:t>
      </w:r>
      <w:r>
        <w:rPr>
          <w:rFonts w:ascii="Arial" w:cs="Arial" w:eastAsia="Arial" w:hAnsi="Arial"/>
          <w:sz w:val="15"/>
          <w:szCs w:val="15"/>
          <w:color w:val="auto"/>
        </w:rPr>
        <w:t xml:space="preserve"> Must not exceed 3.00 to 1.00.</w:t>
      </w:r>
    </w:p>
    <w:p>
      <w:pPr>
        <w:spacing w:after="0"/>
        <w:rPr>
          <w:rFonts w:ascii="Arial" w:cs="Arial" w:eastAsia="Arial" w:hAnsi="Arial"/>
          <w:sz w:val="18"/>
          <w:szCs w:val="18"/>
          <w:color w:val="auto"/>
          <w:vertAlign w:val="superscript"/>
        </w:rPr>
      </w:pPr>
      <w:r>
        <w:rPr>
          <w:rFonts w:ascii="Arial" w:cs="Arial" w:eastAsia="Arial" w:hAnsi="Arial"/>
          <w:sz w:val="20"/>
          <w:szCs w:val="20"/>
          <w:color w:val="auto"/>
          <w:vertAlign w:val="superscript"/>
        </w:rPr>
        <w:t>4</w:t>
      </w:r>
      <w:r>
        <w:rPr>
          <w:rFonts w:ascii="Arial" w:cs="Arial" w:eastAsia="Arial" w:hAnsi="Arial"/>
          <w:sz w:val="15"/>
          <w:szCs w:val="15"/>
          <w:color w:val="auto"/>
        </w:rPr>
        <w:t xml:space="preserve"> Must not be less than 1.25 to 1.00.</w:t>
      </w:r>
    </w:p>
    <w:p>
      <w:pPr>
        <w:spacing w:after="0" w:line="177"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189</w:t>
      </w:r>
    </w:p>
    <w:p>
      <w:pPr>
        <w:sectPr>
          <w:pgSz w:w="11900" w:h="16838" w:orient="portrait"/>
          <w:cols w:equalWidth="0" w:num="1">
            <w:col w:w="10239"/>
          </w:cols>
          <w:pgMar w:left="220" w:top="503" w:right="1440" w:bottom="1440" w:gutter="0" w:footer="0" w:header="0"/>
        </w:sectPr>
      </w:pPr>
    </w:p>
    <w:bookmarkStart w:id="250" w:name="page251"/>
    <w:bookmarkEnd w:id="250"/>
    <w:p>
      <w:pPr>
        <w:jc w:val="center"/>
        <w:ind w:right="20"/>
        <w:spacing w:after="0"/>
        <w:rPr>
          <w:sz w:val="20"/>
          <w:szCs w:val="20"/>
          <w:color w:val="auto"/>
        </w:rPr>
      </w:pPr>
      <w:r>
        <w:rPr>
          <w:rFonts w:ascii="Arial" w:cs="Arial" w:eastAsia="Arial" w:hAnsi="Arial"/>
          <w:sz w:val="18"/>
          <w:szCs w:val="18"/>
          <w:b w:val="1"/>
          <w:bCs w:val="1"/>
          <w:color w:val="auto"/>
        </w:rPr>
        <w:t>Schedule II to Compliance Certificate</w:t>
      </w: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Interest and Other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302895</wp:posOffset>
            </wp:positionV>
            <wp:extent cx="6746875" cy="15678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46875" cy="156781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APPLICABLE MARGIN</w:t>
      </w:r>
    </w:p>
    <w:p>
      <w:pPr>
        <w:spacing w:after="0" w:line="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Actual Results: Leverage Ratio: __________</w:t>
      </w:r>
    </w:p>
    <w:p>
      <w:pPr>
        <w:ind w:left="3460"/>
        <w:spacing w:after="0"/>
        <w:rPr>
          <w:sz w:val="20"/>
          <w:szCs w:val="20"/>
          <w:color w:val="auto"/>
        </w:rPr>
      </w:pPr>
      <w:r>
        <w:rPr>
          <w:rFonts w:ascii="Arial" w:cs="Arial" w:eastAsia="Arial" w:hAnsi="Arial"/>
          <w:sz w:val="18"/>
          <w:szCs w:val="18"/>
          <w:b w:val="1"/>
          <w:bCs w:val="1"/>
          <w:color w:val="auto"/>
        </w:rPr>
        <w:t>For Fiscal Quarter Ending ___________________</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Mark As</w:t>
            </w:r>
          </w:p>
        </w:tc>
        <w:tc>
          <w:tcPr>
            <w:tcW w:w="1280" w:type="dxa"/>
            <w:vAlign w:val="bottom"/>
            <w:tcBorders>
              <w:top w:val="single" w:sz="8" w:color="auto"/>
              <w:right w:val="single" w:sz="8" w:color="auto"/>
            </w:tcBorders>
          </w:tcPr>
          <w:p>
            <w:pPr>
              <w:spacing w:after="0"/>
              <w:rPr>
                <w:sz w:val="19"/>
                <w:szCs w:val="19"/>
                <w:color w:val="auto"/>
              </w:rPr>
            </w:pPr>
          </w:p>
        </w:tc>
        <w:tc>
          <w:tcPr>
            <w:tcW w:w="2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Applicable Margin for</w:t>
            </w:r>
          </w:p>
        </w:tc>
        <w:tc>
          <w:tcPr>
            <w:tcW w:w="1480" w:type="dxa"/>
            <w:vAlign w:val="bottom"/>
            <w:tcBorders>
              <w:top w:val="single" w:sz="8" w:color="auto"/>
              <w:right w:val="single" w:sz="8" w:color="auto"/>
            </w:tcBorders>
          </w:tcPr>
          <w:p>
            <w:pPr>
              <w:spacing w:after="0"/>
              <w:rPr>
                <w:sz w:val="19"/>
                <w:szCs w:val="19"/>
                <w:color w:val="auto"/>
              </w:rPr>
            </w:pP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Applicable Margin for</w:t>
            </w:r>
          </w:p>
        </w:tc>
        <w:tc>
          <w:tcPr>
            <w:tcW w:w="2640" w:type="dxa"/>
            <w:vAlign w:val="bottom"/>
            <w:tcBorders>
              <w:top w:val="single" w:sz="8" w:color="auto"/>
            </w:tcBorders>
          </w:tcPr>
          <w:p>
            <w:pPr>
              <w:spacing w:after="0"/>
              <w:rPr>
                <w:sz w:val="19"/>
                <w:szCs w:val="19"/>
                <w:color w:val="auto"/>
              </w:rPr>
            </w:pPr>
          </w:p>
        </w:tc>
      </w:tr>
      <w:tr>
        <w:trPr>
          <w:trHeight w:val="176"/>
        </w:trPr>
        <w:tc>
          <w:tcPr>
            <w:tcW w:w="15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0"/>
              </w:rPr>
              <w:t>Applicable</w:t>
            </w:r>
          </w:p>
        </w:tc>
        <w:tc>
          <w:tcPr>
            <w:tcW w:w="1280" w:type="dxa"/>
            <w:vAlign w:val="bottom"/>
            <w:tcBorders>
              <w:right w:val="single" w:sz="8" w:color="auto"/>
            </w:tcBorders>
          </w:tcPr>
          <w:p>
            <w:pPr>
              <w:spacing w:after="0"/>
              <w:rPr>
                <w:sz w:val="15"/>
                <w:szCs w:val="15"/>
                <w:color w:val="auto"/>
              </w:rPr>
            </w:pP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Eurocurrency, EURIBOR and</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Applicable Margin for</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Canadian Prime Rate</w:t>
            </w:r>
          </w:p>
        </w:tc>
        <w:tc>
          <w:tcPr>
            <w:tcW w:w="2640" w:type="dxa"/>
            <w:vAlign w:val="bottom"/>
          </w:tcPr>
          <w:p>
            <w:pPr>
              <w:spacing w:after="0"/>
              <w:rPr>
                <w:sz w:val="15"/>
                <w:szCs w:val="15"/>
                <w:color w:val="auto"/>
              </w:rPr>
            </w:pPr>
          </w:p>
        </w:tc>
      </w:tr>
      <w:tr>
        <w:trPr>
          <w:trHeight w:val="236"/>
        </w:trPr>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with “X”</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Leverage Ratio</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CDOR Loans</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ABR Loans</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5"/>
              </w:rPr>
              <w:t>Loans</w:t>
            </w: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Applicable Margin for Unused Fees</w:t>
            </w:r>
          </w:p>
        </w:tc>
      </w:tr>
      <w:tr>
        <w:trPr>
          <w:trHeight w:val="196"/>
        </w:trPr>
        <w:tc>
          <w:tcPr>
            <w:tcW w:w="152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8"/>
              </w:rPr>
              <w:t>&lt; 1.00x</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0"/>
              </w:rPr>
              <w:t>1.625%</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0.625%</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0"/>
              </w:rPr>
              <w:t>2.125%</w:t>
            </w:r>
          </w:p>
        </w:tc>
        <w:tc>
          <w:tcPr>
            <w:tcW w:w="2640" w:type="dxa"/>
            <w:vAlign w:val="bottom"/>
          </w:tcPr>
          <w:p>
            <w:pPr>
              <w:jc w:val="center"/>
              <w:spacing w:after="0"/>
              <w:rPr>
                <w:sz w:val="20"/>
                <w:szCs w:val="20"/>
                <w:color w:val="auto"/>
              </w:rPr>
            </w:pPr>
            <w:r>
              <w:rPr>
                <w:rFonts w:ascii="Arial" w:cs="Arial" w:eastAsia="Arial" w:hAnsi="Arial"/>
                <w:sz w:val="15"/>
                <w:szCs w:val="15"/>
                <w:color w:val="auto"/>
                <w:w w:val="89"/>
              </w:rPr>
              <w:t>0.25%</w:t>
            </w:r>
          </w:p>
        </w:tc>
      </w:tr>
      <w:tr>
        <w:trPr>
          <w:trHeight w:val="22"/>
        </w:trPr>
        <w:tc>
          <w:tcPr>
            <w:tcW w:w="152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r>
      <w:tr>
        <w:trPr>
          <w:trHeight w:val="189"/>
        </w:trPr>
        <w:tc>
          <w:tcPr>
            <w:tcW w:w="152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8"/>
              </w:rPr>
              <w:t>&lt; 1.50x</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0"/>
              </w:rPr>
              <w:t>1.875%</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0.875%</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0"/>
              </w:rPr>
              <w:t>2.375%</w:t>
            </w:r>
          </w:p>
        </w:tc>
        <w:tc>
          <w:tcPr>
            <w:tcW w:w="2640" w:type="dxa"/>
            <w:vAlign w:val="bottom"/>
          </w:tcPr>
          <w:p>
            <w:pPr>
              <w:jc w:val="center"/>
              <w:spacing w:after="0"/>
              <w:rPr>
                <w:sz w:val="20"/>
                <w:szCs w:val="20"/>
                <w:color w:val="auto"/>
              </w:rPr>
            </w:pPr>
            <w:r>
              <w:rPr>
                <w:rFonts w:ascii="Arial" w:cs="Arial" w:eastAsia="Arial" w:hAnsi="Arial"/>
                <w:sz w:val="15"/>
                <w:szCs w:val="15"/>
                <w:color w:val="auto"/>
                <w:w w:val="89"/>
              </w:rPr>
              <w:t>0.30%</w:t>
            </w:r>
          </w:p>
        </w:tc>
      </w:tr>
      <w:tr>
        <w:trPr>
          <w:trHeight w:val="22"/>
        </w:trPr>
        <w:tc>
          <w:tcPr>
            <w:tcW w:w="152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r>
      <w:tr>
        <w:trPr>
          <w:trHeight w:val="189"/>
        </w:trPr>
        <w:tc>
          <w:tcPr>
            <w:tcW w:w="152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8"/>
              </w:rPr>
              <w:t>&lt; 2.00x</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0"/>
              </w:rPr>
              <w:t>2.125%</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1.125%</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0"/>
              </w:rPr>
              <w:t>2.625%</w:t>
            </w:r>
          </w:p>
        </w:tc>
        <w:tc>
          <w:tcPr>
            <w:tcW w:w="2640" w:type="dxa"/>
            <w:vAlign w:val="bottom"/>
          </w:tcPr>
          <w:p>
            <w:pPr>
              <w:jc w:val="center"/>
              <w:spacing w:after="0"/>
              <w:rPr>
                <w:sz w:val="20"/>
                <w:szCs w:val="20"/>
                <w:color w:val="auto"/>
              </w:rPr>
            </w:pPr>
            <w:r>
              <w:rPr>
                <w:rFonts w:ascii="Arial" w:cs="Arial" w:eastAsia="Arial" w:hAnsi="Arial"/>
                <w:sz w:val="15"/>
                <w:szCs w:val="15"/>
                <w:color w:val="auto"/>
                <w:w w:val="89"/>
              </w:rPr>
              <w:t>0.35%</w:t>
            </w:r>
          </w:p>
        </w:tc>
      </w:tr>
      <w:tr>
        <w:trPr>
          <w:trHeight w:val="22"/>
        </w:trPr>
        <w:tc>
          <w:tcPr>
            <w:tcW w:w="152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r>
      <w:tr>
        <w:trPr>
          <w:trHeight w:val="189"/>
        </w:trPr>
        <w:tc>
          <w:tcPr>
            <w:tcW w:w="152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8"/>
              </w:rPr>
              <w:t>&lt; 2.50x</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0"/>
              </w:rPr>
              <w:t>2.375%</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1.375%</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0"/>
              </w:rPr>
              <w:t>2.875%</w:t>
            </w:r>
          </w:p>
        </w:tc>
        <w:tc>
          <w:tcPr>
            <w:tcW w:w="2640" w:type="dxa"/>
            <w:vAlign w:val="bottom"/>
          </w:tcPr>
          <w:p>
            <w:pPr>
              <w:jc w:val="center"/>
              <w:spacing w:after="0"/>
              <w:rPr>
                <w:sz w:val="20"/>
                <w:szCs w:val="20"/>
                <w:color w:val="auto"/>
              </w:rPr>
            </w:pPr>
            <w:r>
              <w:rPr>
                <w:rFonts w:ascii="Arial" w:cs="Arial" w:eastAsia="Arial" w:hAnsi="Arial"/>
                <w:sz w:val="15"/>
                <w:szCs w:val="15"/>
                <w:color w:val="auto"/>
                <w:w w:val="89"/>
              </w:rPr>
              <w:t>0.40%</w:t>
            </w:r>
          </w:p>
        </w:tc>
      </w:tr>
      <w:tr>
        <w:trPr>
          <w:trHeight w:val="22"/>
        </w:trPr>
        <w:tc>
          <w:tcPr>
            <w:tcW w:w="152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r>
      <w:tr>
        <w:trPr>
          <w:trHeight w:val="189"/>
        </w:trPr>
        <w:tc>
          <w:tcPr>
            <w:tcW w:w="152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 2.50x</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0"/>
              </w:rPr>
              <w:t>2.625%</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1.625%</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0"/>
              </w:rPr>
              <w:t>3.125%</w:t>
            </w:r>
          </w:p>
        </w:tc>
        <w:tc>
          <w:tcPr>
            <w:tcW w:w="2640" w:type="dxa"/>
            <w:vAlign w:val="bottom"/>
          </w:tcPr>
          <w:p>
            <w:pPr>
              <w:jc w:val="center"/>
              <w:spacing w:after="0"/>
              <w:rPr>
                <w:sz w:val="20"/>
                <w:szCs w:val="20"/>
                <w:color w:val="auto"/>
              </w:rPr>
            </w:pPr>
            <w:r>
              <w:rPr>
                <w:rFonts w:ascii="Arial" w:cs="Arial" w:eastAsia="Arial" w:hAnsi="Arial"/>
                <w:sz w:val="15"/>
                <w:szCs w:val="15"/>
                <w:color w:val="auto"/>
                <w:w w:val="89"/>
              </w:rPr>
              <w:t>0.45%</w:t>
            </w:r>
          </w:p>
        </w:tc>
      </w:tr>
      <w:tr>
        <w:trPr>
          <w:trHeight w:val="22"/>
        </w:trPr>
        <w:tc>
          <w:tcPr>
            <w:tcW w:w="152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190</w:t>
      </w:r>
    </w:p>
    <w:p>
      <w:pPr>
        <w:sectPr>
          <w:pgSz w:w="11900" w:h="16838" w:orient="portrait"/>
          <w:cols w:equalWidth="0" w:num="1">
            <w:col w:w="10640"/>
          </w:cols>
          <w:pgMar w:left="640" w:top="503" w:right="619" w:bottom="1440" w:gutter="0" w:footer="0" w:header="0"/>
        </w:sectPr>
      </w:pPr>
    </w:p>
    <w:bookmarkStart w:id="251" w:name="page252"/>
    <w:bookmarkEnd w:id="251"/>
    <w:p>
      <w:pPr>
        <w:jc w:val="center"/>
        <w:ind w:right="40"/>
        <w:spacing w:after="0"/>
        <w:rPr>
          <w:sz w:val="20"/>
          <w:szCs w:val="20"/>
          <w:color w:val="auto"/>
        </w:rPr>
      </w:pPr>
      <w:r>
        <w:rPr>
          <w:rFonts w:ascii="Arial" w:cs="Arial" w:eastAsia="Arial" w:hAnsi="Arial"/>
          <w:sz w:val="18"/>
          <w:szCs w:val="18"/>
          <w:b w:val="1"/>
          <w:bCs w:val="1"/>
          <w:color w:val="auto"/>
        </w:rPr>
        <w:t>Schedule III to Compliance Certificate</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List of Reports and Deliveries Due at this Time</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Status</w:t>
      </w: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5360" w:type="dxa"/>
            <w:vAlign w:val="bottom"/>
            <w:tcBorders>
              <w:top w:val="single" w:sz="8" w:color="auto"/>
              <w:left w:val="single" w:sz="8" w:color="auto"/>
              <w:bottom w:val="single" w:sz="8" w:color="BFBFBF"/>
              <w:right w:val="single" w:sz="8" w:color="auto"/>
            </w:tcBorders>
            <w:shd w:val="clear" w:color="auto" w:fill="BFBFBF"/>
          </w:tcPr>
          <w:p>
            <w:pPr>
              <w:ind w:left="1760"/>
              <w:spacing w:after="0"/>
              <w:rPr>
                <w:sz w:val="20"/>
                <w:szCs w:val="20"/>
                <w:color w:val="auto"/>
              </w:rPr>
            </w:pPr>
            <w:r>
              <w:rPr>
                <w:rFonts w:ascii="Arial" w:cs="Arial" w:eastAsia="Arial" w:hAnsi="Arial"/>
                <w:sz w:val="15"/>
                <w:szCs w:val="15"/>
                <w:b w:val="1"/>
                <w:bCs w:val="1"/>
                <w:color w:val="auto"/>
              </w:rPr>
              <w:t>Report or Delivery Due Date</w:t>
            </w:r>
          </w:p>
        </w:tc>
        <w:tc>
          <w:tcPr>
            <w:tcW w:w="5340" w:type="dxa"/>
            <w:vAlign w:val="bottom"/>
            <w:tcBorders>
              <w:top w:val="single" w:sz="8" w:color="auto"/>
              <w:bottom w:val="single" w:sz="8" w:color="BFBFBF"/>
              <w:right w:val="single" w:sz="8" w:color="auto"/>
            </w:tcBorders>
            <w:shd w:val="clear" w:color="auto" w:fill="BFBFBF"/>
          </w:tcPr>
          <w:p>
            <w:pPr>
              <w:ind w:left="2460"/>
              <w:spacing w:after="0"/>
              <w:rPr>
                <w:sz w:val="20"/>
                <w:szCs w:val="20"/>
                <w:color w:val="auto"/>
              </w:rPr>
            </w:pPr>
            <w:r>
              <w:rPr>
                <w:rFonts w:ascii="Arial" w:cs="Arial" w:eastAsia="Arial" w:hAnsi="Arial"/>
                <w:sz w:val="15"/>
                <w:szCs w:val="15"/>
                <w:b w:val="1"/>
                <w:bCs w:val="1"/>
                <w:color w:val="auto"/>
              </w:rPr>
              <w:t>Status</w:t>
            </w:r>
          </w:p>
        </w:tc>
      </w:tr>
      <w:tr>
        <w:trPr>
          <w:trHeight w:val="256"/>
        </w:trPr>
        <w:tc>
          <w:tcPr>
            <w:tcW w:w="536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5340" w:type="dxa"/>
            <w:vAlign w:val="bottom"/>
            <w:tcBorders>
              <w:top w:val="single" w:sz="8" w:color="auto"/>
              <w:bottom w:val="single" w:sz="8" w:color="auto"/>
              <w:right w:val="single" w:sz="8" w:color="auto"/>
            </w:tcBorders>
          </w:tcPr>
          <w:p>
            <w:pPr>
              <w:spacing w:after="0"/>
              <w:rPr>
                <w:sz w:val="22"/>
                <w:szCs w:val="22"/>
                <w:color w:val="auto"/>
              </w:rPr>
            </w:pPr>
          </w:p>
        </w:tc>
      </w:tr>
      <w:tr>
        <w:trPr>
          <w:trHeight w:val="256"/>
        </w:trPr>
        <w:tc>
          <w:tcPr>
            <w:tcW w:w="5360" w:type="dxa"/>
            <w:vAlign w:val="bottom"/>
            <w:tcBorders>
              <w:left w:val="single" w:sz="8" w:color="auto"/>
              <w:bottom w:val="single" w:sz="8" w:color="auto"/>
              <w:right w:val="single" w:sz="8" w:color="auto"/>
            </w:tcBorders>
          </w:tcPr>
          <w:p>
            <w:pPr>
              <w:spacing w:after="0"/>
              <w:rPr>
                <w:sz w:val="22"/>
                <w:szCs w:val="22"/>
                <w:color w:val="auto"/>
              </w:rPr>
            </w:pPr>
          </w:p>
        </w:tc>
        <w:tc>
          <w:tcPr>
            <w:tcW w:w="5340" w:type="dxa"/>
            <w:vAlign w:val="bottom"/>
            <w:tcBorders>
              <w:bottom w:val="single" w:sz="8" w:color="auto"/>
              <w:right w:val="single" w:sz="8" w:color="auto"/>
            </w:tcBorders>
          </w:tcPr>
          <w:p>
            <w:pPr>
              <w:spacing w:after="0"/>
              <w:rPr>
                <w:sz w:val="22"/>
                <w:szCs w:val="22"/>
                <w:color w:val="auto"/>
              </w:rPr>
            </w:pPr>
          </w:p>
        </w:tc>
      </w:tr>
      <w:tr>
        <w:trPr>
          <w:trHeight w:val="256"/>
        </w:trPr>
        <w:tc>
          <w:tcPr>
            <w:tcW w:w="5360" w:type="dxa"/>
            <w:vAlign w:val="bottom"/>
            <w:tcBorders>
              <w:left w:val="single" w:sz="8" w:color="auto"/>
              <w:bottom w:val="single" w:sz="8" w:color="auto"/>
              <w:right w:val="single" w:sz="8" w:color="auto"/>
            </w:tcBorders>
          </w:tcPr>
          <w:p>
            <w:pPr>
              <w:spacing w:after="0"/>
              <w:rPr>
                <w:sz w:val="22"/>
                <w:szCs w:val="22"/>
                <w:color w:val="auto"/>
              </w:rPr>
            </w:pPr>
          </w:p>
        </w:tc>
        <w:tc>
          <w:tcPr>
            <w:tcW w:w="5340" w:type="dxa"/>
            <w:vAlign w:val="bottom"/>
            <w:tcBorders>
              <w:bottom w:val="single" w:sz="8" w:color="auto"/>
              <w:right w:val="single" w:sz="8" w:color="auto"/>
            </w:tcBorders>
          </w:tcPr>
          <w:p>
            <w:pPr>
              <w:spacing w:after="0"/>
              <w:rPr>
                <w:sz w:val="22"/>
                <w:szCs w:val="22"/>
                <w:color w:val="auto"/>
              </w:rPr>
            </w:pPr>
          </w:p>
        </w:tc>
      </w:tr>
      <w:tr>
        <w:trPr>
          <w:trHeight w:val="256"/>
        </w:trPr>
        <w:tc>
          <w:tcPr>
            <w:tcW w:w="5360" w:type="dxa"/>
            <w:vAlign w:val="bottom"/>
            <w:tcBorders>
              <w:left w:val="single" w:sz="8" w:color="auto"/>
              <w:bottom w:val="single" w:sz="8" w:color="auto"/>
              <w:right w:val="single" w:sz="8" w:color="auto"/>
            </w:tcBorders>
          </w:tcPr>
          <w:p>
            <w:pPr>
              <w:spacing w:after="0"/>
              <w:rPr>
                <w:sz w:val="22"/>
                <w:szCs w:val="22"/>
                <w:color w:val="auto"/>
              </w:rPr>
            </w:pPr>
          </w:p>
        </w:tc>
        <w:tc>
          <w:tcPr>
            <w:tcW w:w="5340" w:type="dxa"/>
            <w:vAlign w:val="bottom"/>
            <w:tcBorders>
              <w:bottom w:val="single" w:sz="8" w:color="auto"/>
              <w:right w:val="single" w:sz="8" w:color="auto"/>
            </w:tcBorders>
          </w:tcPr>
          <w:p>
            <w:pPr>
              <w:spacing w:after="0"/>
              <w:rPr>
                <w:sz w:val="22"/>
                <w:szCs w:val="22"/>
                <w:color w:val="auto"/>
              </w:rPr>
            </w:pPr>
          </w:p>
        </w:tc>
      </w:tr>
      <w:tr>
        <w:trPr>
          <w:trHeight w:val="256"/>
        </w:trPr>
        <w:tc>
          <w:tcPr>
            <w:tcW w:w="5360" w:type="dxa"/>
            <w:vAlign w:val="bottom"/>
            <w:tcBorders>
              <w:left w:val="single" w:sz="8" w:color="auto"/>
              <w:bottom w:val="single" w:sz="8" w:color="auto"/>
              <w:right w:val="single" w:sz="8" w:color="auto"/>
            </w:tcBorders>
          </w:tcPr>
          <w:p>
            <w:pPr>
              <w:spacing w:after="0"/>
              <w:rPr>
                <w:sz w:val="22"/>
                <w:szCs w:val="22"/>
                <w:color w:val="auto"/>
              </w:rPr>
            </w:pPr>
          </w:p>
        </w:tc>
        <w:tc>
          <w:tcPr>
            <w:tcW w:w="5340" w:type="dxa"/>
            <w:vAlign w:val="bottom"/>
            <w:tcBorders>
              <w:bottom w:val="single" w:sz="8" w:color="auto"/>
              <w:right w:val="single" w:sz="8" w:color="auto"/>
            </w:tcBorders>
          </w:tcPr>
          <w:p>
            <w:pPr>
              <w:spacing w:after="0"/>
              <w:rPr>
                <w:sz w:val="22"/>
                <w:szCs w:val="22"/>
                <w:color w:val="auto"/>
              </w:rPr>
            </w:pPr>
          </w:p>
        </w:tc>
      </w:tr>
      <w:tr>
        <w:trPr>
          <w:trHeight w:val="256"/>
        </w:trPr>
        <w:tc>
          <w:tcPr>
            <w:tcW w:w="5360" w:type="dxa"/>
            <w:vAlign w:val="bottom"/>
            <w:tcBorders>
              <w:left w:val="single" w:sz="8" w:color="auto"/>
              <w:bottom w:val="single" w:sz="8" w:color="auto"/>
              <w:right w:val="single" w:sz="8" w:color="auto"/>
            </w:tcBorders>
          </w:tcPr>
          <w:p>
            <w:pPr>
              <w:spacing w:after="0"/>
              <w:rPr>
                <w:sz w:val="22"/>
                <w:szCs w:val="22"/>
                <w:color w:val="auto"/>
              </w:rPr>
            </w:pPr>
          </w:p>
        </w:tc>
        <w:tc>
          <w:tcPr>
            <w:tcW w:w="5340" w:type="dxa"/>
            <w:vAlign w:val="bottom"/>
            <w:tcBorders>
              <w:bottom w:val="single" w:sz="8" w:color="auto"/>
              <w:right w:val="single" w:sz="8" w:color="auto"/>
            </w:tcBorders>
          </w:tcPr>
          <w:p>
            <w:pPr>
              <w:spacing w:after="0"/>
              <w:rPr>
                <w:sz w:val="22"/>
                <w:szCs w:val="22"/>
                <w:color w:val="auto"/>
              </w:rPr>
            </w:pPr>
          </w:p>
        </w:tc>
      </w:tr>
      <w:tr>
        <w:trPr>
          <w:trHeight w:val="256"/>
        </w:trPr>
        <w:tc>
          <w:tcPr>
            <w:tcW w:w="5360" w:type="dxa"/>
            <w:vAlign w:val="bottom"/>
            <w:tcBorders>
              <w:left w:val="single" w:sz="8" w:color="auto"/>
              <w:bottom w:val="single" w:sz="8" w:color="auto"/>
              <w:right w:val="single" w:sz="8" w:color="auto"/>
            </w:tcBorders>
          </w:tcPr>
          <w:p>
            <w:pPr>
              <w:spacing w:after="0"/>
              <w:rPr>
                <w:sz w:val="22"/>
                <w:szCs w:val="22"/>
                <w:color w:val="auto"/>
              </w:rPr>
            </w:pPr>
          </w:p>
        </w:tc>
        <w:tc>
          <w:tcPr>
            <w:tcW w:w="5340" w:type="dxa"/>
            <w:vAlign w:val="bottom"/>
            <w:tcBorders>
              <w:bottom w:val="single" w:sz="8" w:color="auto"/>
              <w:right w:val="single" w:sz="8" w:color="auto"/>
            </w:tcBorders>
          </w:tcPr>
          <w:p>
            <w:pPr>
              <w:spacing w:after="0"/>
              <w:rPr>
                <w:sz w:val="22"/>
                <w:szCs w:val="22"/>
                <w:color w:val="auto"/>
              </w:rPr>
            </w:pPr>
          </w:p>
        </w:tc>
      </w:tr>
      <w:tr>
        <w:trPr>
          <w:trHeight w:val="256"/>
        </w:trPr>
        <w:tc>
          <w:tcPr>
            <w:tcW w:w="5360" w:type="dxa"/>
            <w:vAlign w:val="bottom"/>
            <w:tcBorders>
              <w:left w:val="single" w:sz="8" w:color="auto"/>
              <w:bottom w:val="single" w:sz="8" w:color="auto"/>
              <w:right w:val="single" w:sz="8" w:color="auto"/>
            </w:tcBorders>
          </w:tcPr>
          <w:p>
            <w:pPr>
              <w:spacing w:after="0"/>
              <w:rPr>
                <w:sz w:val="22"/>
                <w:szCs w:val="22"/>
                <w:color w:val="auto"/>
              </w:rPr>
            </w:pPr>
          </w:p>
        </w:tc>
        <w:tc>
          <w:tcPr>
            <w:tcW w:w="5340" w:type="dxa"/>
            <w:vAlign w:val="bottom"/>
            <w:tcBorders>
              <w:bottom w:val="single" w:sz="8" w:color="auto"/>
              <w:right w:val="single" w:sz="8" w:color="auto"/>
            </w:tcBorders>
          </w:tcPr>
          <w:p>
            <w:pPr>
              <w:spacing w:after="0"/>
              <w:rPr>
                <w:sz w:val="22"/>
                <w:szCs w:val="22"/>
                <w:color w:val="auto"/>
              </w:rPr>
            </w:pPr>
          </w:p>
        </w:tc>
      </w:tr>
      <w:tr>
        <w:trPr>
          <w:trHeight w:val="256"/>
        </w:trPr>
        <w:tc>
          <w:tcPr>
            <w:tcW w:w="5360" w:type="dxa"/>
            <w:vAlign w:val="bottom"/>
            <w:tcBorders>
              <w:left w:val="single" w:sz="8" w:color="auto"/>
              <w:bottom w:val="single" w:sz="8" w:color="auto"/>
              <w:right w:val="single" w:sz="8" w:color="auto"/>
            </w:tcBorders>
          </w:tcPr>
          <w:p>
            <w:pPr>
              <w:spacing w:after="0"/>
              <w:rPr>
                <w:sz w:val="22"/>
                <w:szCs w:val="22"/>
                <w:color w:val="auto"/>
              </w:rPr>
            </w:pPr>
          </w:p>
        </w:tc>
        <w:tc>
          <w:tcPr>
            <w:tcW w:w="5340" w:type="dxa"/>
            <w:vAlign w:val="bottom"/>
            <w:tcBorders>
              <w:bottom w:val="single" w:sz="8" w:color="auto"/>
              <w:right w:val="single" w:sz="8" w:color="auto"/>
            </w:tcBorders>
          </w:tcPr>
          <w:p>
            <w:pPr>
              <w:spacing w:after="0"/>
              <w:rPr>
                <w:sz w:val="22"/>
                <w:szCs w:val="22"/>
                <w:color w:val="auto"/>
              </w:rPr>
            </w:pPr>
          </w:p>
        </w:tc>
      </w:tr>
      <w:tr>
        <w:trPr>
          <w:trHeight w:val="256"/>
        </w:trPr>
        <w:tc>
          <w:tcPr>
            <w:tcW w:w="5360" w:type="dxa"/>
            <w:vAlign w:val="bottom"/>
            <w:tcBorders>
              <w:left w:val="single" w:sz="8" w:color="auto"/>
              <w:bottom w:val="single" w:sz="8" w:color="auto"/>
              <w:right w:val="single" w:sz="8" w:color="auto"/>
            </w:tcBorders>
          </w:tcPr>
          <w:p>
            <w:pPr>
              <w:spacing w:after="0"/>
              <w:rPr>
                <w:sz w:val="22"/>
                <w:szCs w:val="22"/>
                <w:color w:val="auto"/>
              </w:rPr>
            </w:pPr>
          </w:p>
        </w:tc>
        <w:tc>
          <w:tcPr>
            <w:tcW w:w="5340" w:type="dxa"/>
            <w:vAlign w:val="bottom"/>
            <w:tcBorders>
              <w:bottom w:val="single" w:sz="8" w:color="auto"/>
              <w:right w:val="single" w:sz="8" w:color="auto"/>
            </w:tcBorders>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191</w:t>
      </w:r>
    </w:p>
    <w:p>
      <w:pPr>
        <w:sectPr>
          <w:pgSz w:w="11900" w:h="16838" w:orient="portrait"/>
          <w:cols w:equalWidth="0" w:num="1">
            <w:col w:w="10700"/>
          </w:cols>
          <w:pgMar w:left="620" w:top="502" w:right="579" w:bottom="1440" w:gutter="0" w:footer="0" w:header="0"/>
        </w:sectPr>
      </w:pPr>
    </w:p>
    <w:bookmarkStart w:id="252" w:name="page253"/>
    <w:bookmarkEnd w:id="252"/>
    <w:p>
      <w:pPr>
        <w:jc w:val="right"/>
        <w:spacing w:after="0"/>
        <w:rPr>
          <w:sz w:val="20"/>
          <w:szCs w:val="20"/>
          <w:color w:val="auto"/>
        </w:rPr>
      </w:pPr>
      <w:r>
        <w:rPr>
          <w:rFonts w:ascii="Arial" w:cs="Arial" w:eastAsia="Arial" w:hAnsi="Arial"/>
          <w:sz w:val="15"/>
          <w:szCs w:val="15"/>
          <w:b w:val="1"/>
          <w:bCs w:val="1"/>
          <w:color w:val="auto"/>
        </w:rPr>
        <w:t>Exhibit 31.1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CERTIFICATIONS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I, John R. Hewitt, certify that:</w:t>
      </w:r>
    </w:p>
    <w:p>
      <w:pPr>
        <w:spacing w:after="0" w:line="136" w:lineRule="exact"/>
        <w:rPr>
          <w:sz w:val="20"/>
          <w:szCs w:val="20"/>
          <w:color w:val="auto"/>
        </w:rPr>
      </w:pPr>
    </w:p>
    <w:p>
      <w:pPr>
        <w:ind w:left="800" w:hanging="263"/>
        <w:spacing w:after="0"/>
        <w:tabs>
          <w:tab w:leader="none" w:pos="800" w:val="left"/>
        </w:tabs>
        <w:numPr>
          <w:ilvl w:val="0"/>
          <w:numId w:val="202"/>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Matrix Service Company;</w:t>
      </w:r>
    </w:p>
    <w:p>
      <w:pPr>
        <w:spacing w:after="0" w:line="136" w:lineRule="exact"/>
        <w:rPr>
          <w:rFonts w:ascii="Arial" w:cs="Arial" w:eastAsia="Arial" w:hAnsi="Arial"/>
          <w:sz w:val="15"/>
          <w:szCs w:val="15"/>
          <w:color w:val="auto"/>
        </w:rPr>
      </w:pPr>
    </w:p>
    <w:p>
      <w:pPr>
        <w:ind w:left="800" w:right="240" w:hanging="263"/>
        <w:spacing w:after="0" w:line="265" w:lineRule="auto"/>
        <w:tabs>
          <w:tab w:leader="none" w:pos="800" w:val="left"/>
        </w:tabs>
        <w:numPr>
          <w:ilvl w:val="0"/>
          <w:numId w:val="20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4" w:lineRule="exact"/>
        <w:rPr>
          <w:rFonts w:ascii="Arial" w:cs="Arial" w:eastAsia="Arial" w:hAnsi="Arial"/>
          <w:sz w:val="15"/>
          <w:szCs w:val="15"/>
          <w:color w:val="auto"/>
        </w:rPr>
      </w:pPr>
    </w:p>
    <w:p>
      <w:pPr>
        <w:ind w:left="800" w:right="320" w:hanging="263"/>
        <w:spacing w:after="0" w:line="265" w:lineRule="auto"/>
        <w:tabs>
          <w:tab w:leader="none" w:pos="800" w:val="left"/>
        </w:tabs>
        <w:numPr>
          <w:ilvl w:val="0"/>
          <w:numId w:val="202"/>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4" w:lineRule="exact"/>
        <w:rPr>
          <w:rFonts w:ascii="Arial" w:cs="Arial" w:eastAsia="Arial" w:hAnsi="Arial"/>
          <w:sz w:val="15"/>
          <w:szCs w:val="15"/>
          <w:color w:val="auto"/>
        </w:rPr>
      </w:pPr>
    </w:p>
    <w:p>
      <w:pPr>
        <w:ind w:left="800" w:hanging="263"/>
        <w:spacing w:after="0"/>
        <w:tabs>
          <w:tab w:leader="none" w:pos="800" w:val="left"/>
        </w:tabs>
        <w:numPr>
          <w:ilvl w:val="0"/>
          <w:numId w:val="202"/>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37" w:lineRule="exact"/>
        <w:rPr>
          <w:rFonts w:ascii="Arial" w:cs="Arial" w:eastAsia="Arial" w:hAnsi="Arial"/>
          <w:sz w:val="13"/>
          <w:szCs w:val="13"/>
          <w:color w:val="auto"/>
        </w:rPr>
      </w:pPr>
    </w:p>
    <w:p>
      <w:pPr>
        <w:ind w:left="800"/>
        <w:spacing w:after="0"/>
        <w:rPr>
          <w:rFonts w:ascii="Arial" w:cs="Arial" w:eastAsia="Arial" w:hAnsi="Arial"/>
          <w:sz w:val="13"/>
          <w:szCs w:val="13"/>
          <w:color w:val="auto"/>
        </w:rPr>
      </w:pPr>
      <w:r>
        <w:rPr>
          <w:rFonts w:ascii="Arial" w:cs="Arial" w:eastAsia="Arial" w:hAnsi="Arial"/>
          <w:sz w:val="15"/>
          <w:szCs w:val="15"/>
          <w:color w:val="auto"/>
        </w:rPr>
        <w:t>15d-15(e)) and internal control over financial reporting (as defined in Exchange Act Rules 13a-15(f) and 15d-15(f)) for the registrant and have:</w:t>
      </w:r>
    </w:p>
    <w:p>
      <w:pPr>
        <w:spacing w:after="0" w:line="125" w:lineRule="exact"/>
        <w:rPr>
          <w:rFonts w:ascii="Arial" w:cs="Arial" w:eastAsia="Arial" w:hAnsi="Arial"/>
          <w:sz w:val="13"/>
          <w:szCs w:val="13"/>
          <w:color w:val="auto"/>
        </w:rPr>
      </w:pPr>
    </w:p>
    <w:p>
      <w:pPr>
        <w:ind w:left="1340" w:hanging="538"/>
        <w:spacing w:after="0" w:line="255" w:lineRule="auto"/>
        <w:tabs>
          <w:tab w:leader="none" w:pos="1340" w:val="left"/>
        </w:tabs>
        <w:numPr>
          <w:ilvl w:val="1"/>
          <w:numId w:val="202"/>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5"/>
          <w:szCs w:val="15"/>
          <w:color w:val="auto"/>
        </w:rPr>
      </w:pPr>
    </w:p>
    <w:p>
      <w:pPr>
        <w:jc w:val="both"/>
        <w:ind w:left="1340" w:right="60" w:hanging="538"/>
        <w:spacing w:after="0" w:line="255" w:lineRule="auto"/>
        <w:tabs>
          <w:tab w:leader="none" w:pos="1340" w:val="left"/>
        </w:tabs>
        <w:numPr>
          <w:ilvl w:val="1"/>
          <w:numId w:val="202"/>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5"/>
          <w:szCs w:val="15"/>
          <w:color w:val="auto"/>
        </w:rPr>
      </w:pPr>
    </w:p>
    <w:p>
      <w:pPr>
        <w:ind w:left="1340" w:right="400" w:hanging="538"/>
        <w:spacing w:after="0" w:line="265" w:lineRule="auto"/>
        <w:tabs>
          <w:tab w:leader="none" w:pos="1340" w:val="left"/>
        </w:tabs>
        <w:numPr>
          <w:ilvl w:val="1"/>
          <w:numId w:val="20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4" w:lineRule="exact"/>
        <w:rPr>
          <w:rFonts w:ascii="Arial" w:cs="Arial" w:eastAsia="Arial" w:hAnsi="Arial"/>
          <w:sz w:val="15"/>
          <w:szCs w:val="15"/>
          <w:color w:val="auto"/>
        </w:rPr>
      </w:pPr>
    </w:p>
    <w:p>
      <w:pPr>
        <w:ind w:left="1340" w:right="20" w:hanging="538"/>
        <w:spacing w:after="0" w:line="255" w:lineRule="auto"/>
        <w:tabs>
          <w:tab w:leader="none" w:pos="1340" w:val="left"/>
        </w:tabs>
        <w:numPr>
          <w:ilvl w:val="1"/>
          <w:numId w:val="202"/>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5"/>
          <w:szCs w:val="15"/>
          <w:color w:val="auto"/>
        </w:rPr>
      </w:pPr>
    </w:p>
    <w:p>
      <w:pPr>
        <w:ind w:left="800" w:right="20" w:hanging="263"/>
        <w:spacing w:after="0" w:line="265" w:lineRule="auto"/>
        <w:tabs>
          <w:tab w:leader="none" w:pos="800" w:val="left"/>
        </w:tabs>
        <w:numPr>
          <w:ilvl w:val="0"/>
          <w:numId w:val="202"/>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4" w:lineRule="exact"/>
        <w:rPr>
          <w:rFonts w:ascii="Arial" w:cs="Arial" w:eastAsia="Arial" w:hAnsi="Arial"/>
          <w:sz w:val="15"/>
          <w:szCs w:val="15"/>
          <w:color w:val="auto"/>
        </w:rPr>
      </w:pPr>
    </w:p>
    <w:p>
      <w:pPr>
        <w:ind w:left="1340" w:hanging="538"/>
        <w:spacing w:after="0" w:line="265" w:lineRule="auto"/>
        <w:tabs>
          <w:tab w:leader="none" w:pos="1340" w:val="left"/>
        </w:tabs>
        <w:numPr>
          <w:ilvl w:val="1"/>
          <w:numId w:val="202"/>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4" w:lineRule="exact"/>
        <w:rPr>
          <w:rFonts w:ascii="Arial" w:cs="Arial" w:eastAsia="Arial" w:hAnsi="Arial"/>
          <w:sz w:val="15"/>
          <w:szCs w:val="15"/>
          <w:color w:val="auto"/>
        </w:rPr>
      </w:pPr>
    </w:p>
    <w:p>
      <w:pPr>
        <w:ind w:left="1340" w:hanging="538"/>
        <w:spacing w:after="0"/>
        <w:tabs>
          <w:tab w:leader="none" w:pos="1340" w:val="left"/>
        </w:tabs>
        <w:numPr>
          <w:ilvl w:val="1"/>
          <w:numId w:val="20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460" w:type="dxa"/>
            <w:vAlign w:val="bottom"/>
          </w:tcPr>
          <w:p>
            <w:pPr>
              <w:spacing w:after="0"/>
              <w:rPr>
                <w:sz w:val="20"/>
                <w:szCs w:val="20"/>
                <w:color w:val="auto"/>
              </w:rPr>
            </w:pPr>
            <w:r>
              <w:rPr>
                <w:rFonts w:ascii="Arial" w:cs="Arial" w:eastAsia="Arial" w:hAnsi="Arial"/>
                <w:sz w:val="15"/>
                <w:szCs w:val="15"/>
                <w:color w:val="auto"/>
              </w:rPr>
              <w:t>Date:</w:t>
            </w:r>
          </w:p>
        </w:tc>
        <w:tc>
          <w:tcPr>
            <w:tcW w:w="980" w:type="dxa"/>
            <w:vAlign w:val="bottom"/>
          </w:tcPr>
          <w:p>
            <w:pPr>
              <w:ind w:left="160"/>
              <w:spacing w:after="0"/>
              <w:rPr>
                <w:sz w:val="20"/>
                <w:szCs w:val="20"/>
                <w:color w:val="auto"/>
              </w:rPr>
            </w:pPr>
            <w:r>
              <w:rPr>
                <w:rFonts w:ascii="Arial" w:cs="Arial" w:eastAsia="Arial" w:hAnsi="Arial"/>
                <w:sz w:val="15"/>
                <w:szCs w:val="15"/>
                <w:color w:val="auto"/>
                <w:w w:val="87"/>
              </w:rPr>
              <w:t>May 10, 2017</w:t>
            </w:r>
          </w:p>
        </w:tc>
      </w:tr>
    </w:tbl>
    <w:p>
      <w:pPr>
        <w:spacing w:after="0" w:line="133" w:lineRule="exact"/>
        <w:rPr>
          <w:sz w:val="20"/>
          <w:szCs w:val="20"/>
          <w:color w:val="auto"/>
        </w:rPr>
      </w:pPr>
    </w:p>
    <w:p>
      <w:pPr>
        <w:ind w:left="40"/>
        <w:spacing w:after="0"/>
        <w:rPr>
          <w:sz w:val="20"/>
          <w:szCs w:val="20"/>
          <w:color w:val="auto"/>
        </w:rPr>
      </w:pPr>
      <w:r>
        <w:rPr>
          <w:rFonts w:ascii="Arial" w:cs="Arial" w:eastAsia="Arial" w:hAnsi="Arial"/>
          <w:sz w:val="15"/>
          <w:szCs w:val="15"/>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2346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23465" cy="698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5"/>
          <w:szCs w:val="15"/>
          <w:color w:val="auto"/>
        </w:rPr>
        <w:t>John R. Hewitt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President and Chief Executive Officer</w:t>
      </w:r>
    </w:p>
    <w:p>
      <w:pPr>
        <w:sectPr>
          <w:pgSz w:w="11900" w:h="16838" w:orient="portrait"/>
          <w:cols w:equalWidth="0" w:num="1">
            <w:col w:w="11460"/>
          </w:cols>
          <w:pgMar w:left="220" w:top="500" w:right="219" w:bottom="1440" w:gutter="0" w:footer="0" w:header="0"/>
        </w:sectPr>
      </w:pPr>
    </w:p>
    <w:bookmarkStart w:id="253" w:name="page254"/>
    <w:bookmarkEnd w:id="253"/>
    <w:p>
      <w:pPr>
        <w:jc w:val="right"/>
        <w:spacing w:after="0"/>
        <w:rPr>
          <w:sz w:val="20"/>
          <w:szCs w:val="20"/>
          <w:color w:val="auto"/>
        </w:rPr>
      </w:pPr>
      <w:r>
        <w:rPr>
          <w:rFonts w:ascii="Arial" w:cs="Arial" w:eastAsia="Arial" w:hAnsi="Arial"/>
          <w:sz w:val="15"/>
          <w:szCs w:val="15"/>
          <w:b w:val="1"/>
          <w:bCs w:val="1"/>
          <w:color w:val="auto"/>
        </w:rPr>
        <w:t>Exhibit 31.2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CERTIFICATIONS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I, Kevin S. Cavanah, certify that:</w:t>
      </w:r>
    </w:p>
    <w:p>
      <w:pPr>
        <w:spacing w:after="0" w:line="136" w:lineRule="exact"/>
        <w:rPr>
          <w:sz w:val="20"/>
          <w:szCs w:val="20"/>
          <w:color w:val="auto"/>
        </w:rPr>
      </w:pPr>
    </w:p>
    <w:p>
      <w:pPr>
        <w:ind w:left="800" w:hanging="263"/>
        <w:spacing w:after="0"/>
        <w:tabs>
          <w:tab w:leader="none" w:pos="800" w:val="left"/>
        </w:tabs>
        <w:numPr>
          <w:ilvl w:val="0"/>
          <w:numId w:val="203"/>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Matrix Service Company;</w:t>
      </w:r>
    </w:p>
    <w:p>
      <w:pPr>
        <w:spacing w:after="0" w:line="136" w:lineRule="exact"/>
        <w:rPr>
          <w:rFonts w:ascii="Arial" w:cs="Arial" w:eastAsia="Arial" w:hAnsi="Arial"/>
          <w:sz w:val="15"/>
          <w:szCs w:val="15"/>
          <w:color w:val="auto"/>
        </w:rPr>
      </w:pPr>
    </w:p>
    <w:p>
      <w:pPr>
        <w:ind w:left="800" w:right="240" w:hanging="263"/>
        <w:spacing w:after="0" w:line="265" w:lineRule="auto"/>
        <w:tabs>
          <w:tab w:leader="none" w:pos="800" w:val="left"/>
        </w:tabs>
        <w:numPr>
          <w:ilvl w:val="0"/>
          <w:numId w:val="20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4" w:lineRule="exact"/>
        <w:rPr>
          <w:rFonts w:ascii="Arial" w:cs="Arial" w:eastAsia="Arial" w:hAnsi="Arial"/>
          <w:sz w:val="15"/>
          <w:szCs w:val="15"/>
          <w:color w:val="auto"/>
        </w:rPr>
      </w:pPr>
    </w:p>
    <w:p>
      <w:pPr>
        <w:ind w:left="800" w:right="320" w:hanging="263"/>
        <w:spacing w:after="0" w:line="265" w:lineRule="auto"/>
        <w:tabs>
          <w:tab w:leader="none" w:pos="800" w:val="left"/>
        </w:tabs>
        <w:numPr>
          <w:ilvl w:val="0"/>
          <w:numId w:val="203"/>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4" w:lineRule="exact"/>
        <w:rPr>
          <w:rFonts w:ascii="Arial" w:cs="Arial" w:eastAsia="Arial" w:hAnsi="Arial"/>
          <w:sz w:val="15"/>
          <w:szCs w:val="15"/>
          <w:color w:val="auto"/>
        </w:rPr>
      </w:pPr>
    </w:p>
    <w:p>
      <w:pPr>
        <w:ind w:left="800" w:hanging="263"/>
        <w:spacing w:after="0"/>
        <w:tabs>
          <w:tab w:leader="none" w:pos="800" w:val="left"/>
        </w:tabs>
        <w:numPr>
          <w:ilvl w:val="0"/>
          <w:numId w:val="203"/>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37" w:lineRule="exact"/>
        <w:rPr>
          <w:rFonts w:ascii="Arial" w:cs="Arial" w:eastAsia="Arial" w:hAnsi="Arial"/>
          <w:sz w:val="13"/>
          <w:szCs w:val="13"/>
          <w:color w:val="auto"/>
        </w:rPr>
      </w:pPr>
    </w:p>
    <w:p>
      <w:pPr>
        <w:ind w:left="800"/>
        <w:spacing w:after="0"/>
        <w:rPr>
          <w:rFonts w:ascii="Arial" w:cs="Arial" w:eastAsia="Arial" w:hAnsi="Arial"/>
          <w:sz w:val="13"/>
          <w:szCs w:val="13"/>
          <w:color w:val="auto"/>
        </w:rPr>
      </w:pPr>
      <w:r>
        <w:rPr>
          <w:rFonts w:ascii="Arial" w:cs="Arial" w:eastAsia="Arial" w:hAnsi="Arial"/>
          <w:sz w:val="15"/>
          <w:szCs w:val="15"/>
          <w:color w:val="auto"/>
        </w:rPr>
        <w:t>15d-15(e)) and internal control over financial reporting (as defined in Exchange Act Rules 13a-15(f) and 15d-15(f)) for the registrant and have:</w:t>
      </w:r>
    </w:p>
    <w:p>
      <w:pPr>
        <w:spacing w:after="0" w:line="125" w:lineRule="exact"/>
        <w:rPr>
          <w:rFonts w:ascii="Arial" w:cs="Arial" w:eastAsia="Arial" w:hAnsi="Arial"/>
          <w:sz w:val="13"/>
          <w:szCs w:val="13"/>
          <w:color w:val="auto"/>
        </w:rPr>
      </w:pPr>
    </w:p>
    <w:p>
      <w:pPr>
        <w:ind w:left="1340" w:hanging="538"/>
        <w:spacing w:after="0" w:line="255" w:lineRule="auto"/>
        <w:tabs>
          <w:tab w:leader="none" w:pos="1340" w:val="left"/>
        </w:tabs>
        <w:numPr>
          <w:ilvl w:val="1"/>
          <w:numId w:val="203"/>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5"/>
          <w:szCs w:val="15"/>
          <w:color w:val="auto"/>
        </w:rPr>
      </w:pPr>
    </w:p>
    <w:p>
      <w:pPr>
        <w:jc w:val="both"/>
        <w:ind w:left="1340" w:right="60" w:hanging="538"/>
        <w:spacing w:after="0" w:line="255" w:lineRule="auto"/>
        <w:tabs>
          <w:tab w:leader="none" w:pos="1340" w:val="left"/>
        </w:tabs>
        <w:numPr>
          <w:ilvl w:val="1"/>
          <w:numId w:val="203"/>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5"/>
          <w:szCs w:val="15"/>
          <w:color w:val="auto"/>
        </w:rPr>
      </w:pPr>
    </w:p>
    <w:p>
      <w:pPr>
        <w:ind w:left="1340" w:right="400" w:hanging="538"/>
        <w:spacing w:after="0" w:line="265" w:lineRule="auto"/>
        <w:tabs>
          <w:tab w:leader="none" w:pos="1340" w:val="left"/>
        </w:tabs>
        <w:numPr>
          <w:ilvl w:val="1"/>
          <w:numId w:val="20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4" w:lineRule="exact"/>
        <w:rPr>
          <w:rFonts w:ascii="Arial" w:cs="Arial" w:eastAsia="Arial" w:hAnsi="Arial"/>
          <w:sz w:val="15"/>
          <w:szCs w:val="15"/>
          <w:color w:val="auto"/>
        </w:rPr>
      </w:pPr>
    </w:p>
    <w:p>
      <w:pPr>
        <w:ind w:left="1340" w:right="20" w:hanging="538"/>
        <w:spacing w:after="0" w:line="255" w:lineRule="auto"/>
        <w:tabs>
          <w:tab w:leader="none" w:pos="1340" w:val="left"/>
        </w:tabs>
        <w:numPr>
          <w:ilvl w:val="1"/>
          <w:numId w:val="203"/>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5"/>
          <w:szCs w:val="15"/>
          <w:color w:val="auto"/>
        </w:rPr>
      </w:pPr>
    </w:p>
    <w:p>
      <w:pPr>
        <w:ind w:left="800" w:right="20" w:hanging="263"/>
        <w:spacing w:after="0" w:line="265" w:lineRule="auto"/>
        <w:tabs>
          <w:tab w:leader="none" w:pos="800" w:val="left"/>
        </w:tabs>
        <w:numPr>
          <w:ilvl w:val="0"/>
          <w:numId w:val="203"/>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4" w:lineRule="exact"/>
        <w:rPr>
          <w:rFonts w:ascii="Arial" w:cs="Arial" w:eastAsia="Arial" w:hAnsi="Arial"/>
          <w:sz w:val="15"/>
          <w:szCs w:val="15"/>
          <w:color w:val="auto"/>
        </w:rPr>
      </w:pPr>
    </w:p>
    <w:p>
      <w:pPr>
        <w:ind w:left="1340" w:hanging="538"/>
        <w:spacing w:after="0" w:line="265" w:lineRule="auto"/>
        <w:tabs>
          <w:tab w:leader="none" w:pos="1340" w:val="left"/>
        </w:tabs>
        <w:numPr>
          <w:ilvl w:val="1"/>
          <w:numId w:val="203"/>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4" w:lineRule="exact"/>
        <w:rPr>
          <w:rFonts w:ascii="Arial" w:cs="Arial" w:eastAsia="Arial" w:hAnsi="Arial"/>
          <w:sz w:val="15"/>
          <w:szCs w:val="15"/>
          <w:color w:val="auto"/>
        </w:rPr>
      </w:pPr>
    </w:p>
    <w:p>
      <w:pPr>
        <w:ind w:left="1340" w:hanging="538"/>
        <w:spacing w:after="0"/>
        <w:tabs>
          <w:tab w:leader="none" w:pos="1340" w:val="left"/>
        </w:tabs>
        <w:numPr>
          <w:ilvl w:val="1"/>
          <w:numId w:val="203"/>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480" w:type="dxa"/>
            <w:vAlign w:val="bottom"/>
          </w:tcPr>
          <w:p>
            <w:pPr>
              <w:spacing w:after="0"/>
              <w:rPr>
                <w:sz w:val="20"/>
                <w:szCs w:val="20"/>
                <w:color w:val="auto"/>
              </w:rPr>
            </w:pPr>
            <w:r>
              <w:rPr>
                <w:rFonts w:ascii="Arial" w:cs="Arial" w:eastAsia="Arial" w:hAnsi="Arial"/>
                <w:sz w:val="15"/>
                <w:szCs w:val="15"/>
                <w:color w:val="auto"/>
              </w:rPr>
              <w:t>Date:</w:t>
            </w:r>
          </w:p>
        </w:tc>
        <w:tc>
          <w:tcPr>
            <w:tcW w:w="1000" w:type="dxa"/>
            <w:vAlign w:val="bottom"/>
          </w:tcPr>
          <w:p>
            <w:pPr>
              <w:ind w:left="180"/>
              <w:spacing w:after="0"/>
              <w:rPr>
                <w:sz w:val="20"/>
                <w:szCs w:val="20"/>
                <w:color w:val="auto"/>
              </w:rPr>
            </w:pPr>
            <w:r>
              <w:rPr>
                <w:rFonts w:ascii="Arial" w:cs="Arial" w:eastAsia="Arial" w:hAnsi="Arial"/>
                <w:sz w:val="15"/>
                <w:szCs w:val="15"/>
                <w:color w:val="auto"/>
                <w:w w:val="87"/>
              </w:rPr>
              <w:t>May 10, 2017</w:t>
            </w:r>
          </w:p>
        </w:tc>
      </w:tr>
    </w:tbl>
    <w:p>
      <w:pPr>
        <w:spacing w:after="0" w:line="133" w:lineRule="exact"/>
        <w:rPr>
          <w:sz w:val="20"/>
          <w:szCs w:val="20"/>
          <w:color w:val="auto"/>
        </w:rPr>
      </w:pPr>
    </w:p>
    <w:p>
      <w:pPr>
        <w:ind w:left="40"/>
        <w:spacing w:after="0"/>
        <w:rPr>
          <w:sz w:val="20"/>
          <w:szCs w:val="20"/>
          <w:color w:val="auto"/>
        </w:rPr>
      </w:pPr>
      <w:r>
        <w:rPr>
          <w:rFonts w:ascii="Arial" w:cs="Arial" w:eastAsia="Arial" w:hAnsi="Arial"/>
          <w:sz w:val="15"/>
          <w:szCs w:val="15"/>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59651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6515" cy="698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5"/>
          <w:szCs w:val="15"/>
          <w:color w:val="auto"/>
        </w:rPr>
        <w:t>Kevin S. Cavanah</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Vice President and Chief Financial Officer</w:t>
      </w:r>
    </w:p>
    <w:p>
      <w:pPr>
        <w:sectPr>
          <w:pgSz w:w="11900" w:h="16838" w:orient="portrait"/>
          <w:cols w:equalWidth="0" w:num="1">
            <w:col w:w="11460"/>
          </w:cols>
          <w:pgMar w:left="220" w:top="500" w:right="219" w:bottom="1440" w:gutter="0" w:footer="0" w:header="0"/>
        </w:sectPr>
      </w:pPr>
    </w:p>
    <w:bookmarkStart w:id="254" w:name="page255"/>
    <w:bookmarkEnd w:id="254"/>
    <w:p>
      <w:pPr>
        <w:jc w:val="right"/>
        <w:spacing w:after="0"/>
        <w:rPr>
          <w:sz w:val="20"/>
          <w:szCs w:val="20"/>
          <w:color w:val="auto"/>
        </w:rPr>
      </w:pPr>
      <w:r>
        <w:rPr>
          <w:rFonts w:ascii="Arial" w:cs="Arial" w:eastAsia="Arial" w:hAnsi="Arial"/>
          <w:sz w:val="15"/>
          <w:szCs w:val="15"/>
          <w:b w:val="1"/>
          <w:bCs w:val="1"/>
          <w:color w:val="auto"/>
        </w:rPr>
        <w:t>EXHIBIT 32.1</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Certification Pursuant to 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As Adopted Pursuant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Section 906 of Sarbanes-Oxley Act of 2002</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In connection with the Quarterly Report of Matrix Service Company (the “Company”) on Form 10-Q for the period ending March 31, 2017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156" w:lineRule="exact"/>
        <w:rPr>
          <w:sz w:val="20"/>
          <w:szCs w:val="20"/>
          <w:color w:val="auto"/>
        </w:rPr>
      </w:pPr>
    </w:p>
    <w:p>
      <w:pPr>
        <w:ind w:left="1060" w:hanging="523"/>
        <w:spacing w:after="0"/>
        <w:tabs>
          <w:tab w:leader="none" w:pos="1060" w:val="left"/>
        </w:tabs>
        <w:numPr>
          <w:ilvl w:val="0"/>
          <w:numId w:val="204"/>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as amended; and</w:t>
      </w:r>
    </w:p>
    <w:p>
      <w:pPr>
        <w:spacing w:after="0" w:line="180" w:lineRule="exact"/>
        <w:rPr>
          <w:rFonts w:ascii="Arial" w:cs="Arial" w:eastAsia="Arial" w:hAnsi="Arial"/>
          <w:sz w:val="15"/>
          <w:szCs w:val="15"/>
          <w:color w:val="auto"/>
        </w:rPr>
      </w:pPr>
    </w:p>
    <w:p>
      <w:pPr>
        <w:ind w:left="1060" w:hanging="523"/>
        <w:spacing w:after="0"/>
        <w:tabs>
          <w:tab w:leader="none" w:pos="1060" w:val="left"/>
        </w:tabs>
        <w:numPr>
          <w:ilvl w:val="0"/>
          <w:numId w:val="204"/>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460" w:type="dxa"/>
            <w:vAlign w:val="bottom"/>
          </w:tcPr>
          <w:p>
            <w:pPr>
              <w:spacing w:after="0"/>
              <w:rPr>
                <w:sz w:val="20"/>
                <w:szCs w:val="20"/>
                <w:color w:val="auto"/>
              </w:rPr>
            </w:pPr>
            <w:r>
              <w:rPr>
                <w:rFonts w:ascii="Arial" w:cs="Arial" w:eastAsia="Arial" w:hAnsi="Arial"/>
                <w:sz w:val="15"/>
                <w:szCs w:val="15"/>
                <w:color w:val="auto"/>
              </w:rPr>
              <w:t>Date:</w:t>
            </w:r>
          </w:p>
        </w:tc>
        <w:tc>
          <w:tcPr>
            <w:tcW w:w="980" w:type="dxa"/>
            <w:vAlign w:val="bottom"/>
          </w:tcPr>
          <w:p>
            <w:pPr>
              <w:ind w:left="160"/>
              <w:spacing w:after="0"/>
              <w:rPr>
                <w:sz w:val="20"/>
                <w:szCs w:val="20"/>
                <w:color w:val="auto"/>
              </w:rPr>
            </w:pPr>
            <w:r>
              <w:rPr>
                <w:rFonts w:ascii="Arial" w:cs="Arial" w:eastAsia="Arial" w:hAnsi="Arial"/>
                <w:sz w:val="15"/>
                <w:szCs w:val="15"/>
                <w:color w:val="auto"/>
                <w:w w:val="87"/>
              </w:rPr>
              <w:t>May 10, 2017</w:t>
            </w:r>
          </w:p>
        </w:tc>
      </w:tr>
    </w:tbl>
    <w:p>
      <w:pPr>
        <w:spacing w:after="0" w:line="133" w:lineRule="exact"/>
        <w:rPr>
          <w:sz w:val="20"/>
          <w:szCs w:val="20"/>
          <w:color w:val="auto"/>
        </w:rPr>
      </w:pPr>
    </w:p>
    <w:p>
      <w:pPr>
        <w:ind w:left="40"/>
        <w:spacing w:after="0"/>
        <w:rPr>
          <w:sz w:val="20"/>
          <w:szCs w:val="20"/>
          <w:color w:val="auto"/>
        </w:rPr>
      </w:pPr>
      <w:r>
        <w:rPr>
          <w:rFonts w:ascii="Arial" w:cs="Arial" w:eastAsia="Arial" w:hAnsi="Arial"/>
          <w:sz w:val="15"/>
          <w:szCs w:val="15"/>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2346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23465" cy="698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5"/>
          <w:szCs w:val="15"/>
          <w:color w:val="auto"/>
        </w:rPr>
        <w:t>John R. Hewitt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President and Chief Executive Officer</w:t>
      </w:r>
    </w:p>
    <w:p>
      <w:pPr>
        <w:sectPr>
          <w:pgSz w:w="11900" w:h="16838" w:orient="portrait"/>
          <w:cols w:equalWidth="0" w:num="1">
            <w:col w:w="11460"/>
          </w:cols>
          <w:pgMar w:left="220" w:top="500" w:right="219" w:bottom="1440" w:gutter="0" w:footer="0" w:header="0"/>
        </w:sectPr>
      </w:pPr>
    </w:p>
    <w:bookmarkStart w:id="255" w:name="page256"/>
    <w:bookmarkEnd w:id="255"/>
    <w:p>
      <w:pPr>
        <w:jc w:val="right"/>
        <w:spacing w:after="0"/>
        <w:rPr>
          <w:sz w:val="20"/>
          <w:szCs w:val="20"/>
          <w:color w:val="auto"/>
        </w:rPr>
      </w:pPr>
      <w:r>
        <w:rPr>
          <w:rFonts w:ascii="Arial" w:cs="Arial" w:eastAsia="Arial" w:hAnsi="Arial"/>
          <w:sz w:val="15"/>
          <w:szCs w:val="15"/>
          <w:b w:val="1"/>
          <w:bCs w:val="1"/>
          <w:color w:val="auto"/>
        </w:rPr>
        <w:t>EXHIBIT 32.2</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Certification Pursuant to 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As Adopted Pursuant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Section 906 of Sarbanes-Oxley Act of 2002</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In connection with the Quarterly Report of Matrix Service Company (the “Company”) on Form 10-Q for the period ending March 31, 2017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156" w:lineRule="exact"/>
        <w:rPr>
          <w:sz w:val="20"/>
          <w:szCs w:val="20"/>
          <w:color w:val="auto"/>
        </w:rPr>
      </w:pPr>
    </w:p>
    <w:p>
      <w:pPr>
        <w:ind w:left="1060" w:hanging="523"/>
        <w:spacing w:after="0"/>
        <w:tabs>
          <w:tab w:leader="none" w:pos="1060" w:val="left"/>
        </w:tabs>
        <w:numPr>
          <w:ilvl w:val="0"/>
          <w:numId w:val="205"/>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as amended; and</w:t>
      </w:r>
    </w:p>
    <w:p>
      <w:pPr>
        <w:spacing w:after="0" w:line="180" w:lineRule="exact"/>
        <w:rPr>
          <w:rFonts w:ascii="Arial" w:cs="Arial" w:eastAsia="Arial" w:hAnsi="Arial"/>
          <w:sz w:val="15"/>
          <w:szCs w:val="15"/>
          <w:color w:val="auto"/>
        </w:rPr>
      </w:pPr>
    </w:p>
    <w:p>
      <w:pPr>
        <w:ind w:left="1060" w:hanging="523"/>
        <w:spacing w:after="0"/>
        <w:tabs>
          <w:tab w:leader="none" w:pos="1060" w:val="left"/>
        </w:tabs>
        <w:numPr>
          <w:ilvl w:val="0"/>
          <w:numId w:val="205"/>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480" w:type="dxa"/>
            <w:vAlign w:val="bottom"/>
          </w:tcPr>
          <w:p>
            <w:pPr>
              <w:spacing w:after="0"/>
              <w:rPr>
                <w:sz w:val="20"/>
                <w:szCs w:val="20"/>
                <w:color w:val="auto"/>
              </w:rPr>
            </w:pPr>
            <w:r>
              <w:rPr>
                <w:rFonts w:ascii="Arial" w:cs="Arial" w:eastAsia="Arial" w:hAnsi="Arial"/>
                <w:sz w:val="15"/>
                <w:szCs w:val="15"/>
                <w:color w:val="auto"/>
              </w:rPr>
              <w:t>Date:</w:t>
            </w:r>
          </w:p>
        </w:tc>
        <w:tc>
          <w:tcPr>
            <w:tcW w:w="1000" w:type="dxa"/>
            <w:vAlign w:val="bottom"/>
          </w:tcPr>
          <w:p>
            <w:pPr>
              <w:ind w:left="180"/>
              <w:spacing w:after="0"/>
              <w:rPr>
                <w:sz w:val="20"/>
                <w:szCs w:val="20"/>
                <w:color w:val="auto"/>
              </w:rPr>
            </w:pPr>
            <w:r>
              <w:rPr>
                <w:rFonts w:ascii="Arial" w:cs="Arial" w:eastAsia="Arial" w:hAnsi="Arial"/>
                <w:sz w:val="15"/>
                <w:szCs w:val="15"/>
                <w:color w:val="auto"/>
                <w:w w:val="87"/>
              </w:rPr>
              <w:t>May 10, 2017</w:t>
            </w:r>
          </w:p>
        </w:tc>
      </w:tr>
    </w:tbl>
    <w:p>
      <w:pPr>
        <w:spacing w:after="0" w:line="133" w:lineRule="exact"/>
        <w:rPr>
          <w:sz w:val="20"/>
          <w:szCs w:val="20"/>
          <w:color w:val="auto"/>
        </w:rPr>
      </w:pPr>
    </w:p>
    <w:p>
      <w:pPr>
        <w:ind w:left="40"/>
        <w:spacing w:after="0"/>
        <w:rPr>
          <w:sz w:val="20"/>
          <w:szCs w:val="20"/>
          <w:color w:val="auto"/>
        </w:rPr>
      </w:pPr>
      <w:r>
        <w:rPr>
          <w:rFonts w:ascii="Arial" w:cs="Arial" w:eastAsia="Arial" w:hAnsi="Arial"/>
          <w:sz w:val="15"/>
          <w:szCs w:val="15"/>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59651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96515" cy="698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5"/>
          <w:szCs w:val="15"/>
          <w:color w:val="auto"/>
        </w:rPr>
        <w:t>Kevin S. Cavanah</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Vice President and Chief Financial Officer</w:t>
      </w:r>
    </w:p>
    <w:p>
      <w:pPr>
        <w:sectPr>
          <w:pgSz w:w="11900" w:h="16838" w:orient="portrait"/>
          <w:cols w:equalWidth="0" w:num="1">
            <w:col w:w="11460"/>
          </w:cols>
          <w:pgMar w:left="220" w:top="500" w:right="219" w:bottom="1440" w:gutter="0" w:footer="0" w:header="0"/>
        </w:sectPr>
      </w:pPr>
    </w:p>
    <w:bookmarkStart w:id="256" w:name="page257"/>
    <w:bookmarkEnd w:id="256"/>
    <w:p>
      <w:pPr>
        <w:ind w:left="10820"/>
        <w:spacing w:after="0"/>
        <w:rPr>
          <w:sz w:val="20"/>
          <w:szCs w:val="20"/>
          <w:color w:val="auto"/>
        </w:rPr>
      </w:pPr>
      <w:r>
        <w:rPr>
          <w:rFonts w:ascii="Arial" w:cs="Arial" w:eastAsia="Arial" w:hAnsi="Arial"/>
          <w:sz w:val="13"/>
          <w:szCs w:val="13"/>
          <w:b w:val="1"/>
          <w:bCs w:val="1"/>
          <w:color w:val="auto"/>
        </w:rPr>
        <w:t>Exhibit 95</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20"/>
        <w:spacing w:after="0" w:line="303" w:lineRule="auto"/>
        <w:rPr>
          <w:sz w:val="20"/>
          <w:szCs w:val="20"/>
          <w:color w:val="auto"/>
        </w:rPr>
      </w:pPr>
      <w:r>
        <w:rPr>
          <w:rFonts w:ascii="Arial" w:cs="Arial" w:eastAsia="Arial" w:hAnsi="Arial"/>
          <w:sz w:val="13"/>
          <w:szCs w:val="13"/>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 different than what is provided herein. Any such difference may be attributed to the need to update that information on MSHA’s system and/or other factors.</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information for the three months ended March 31, 2017:</w:t>
      </w:r>
    </w:p>
    <w:p>
      <w:pPr>
        <w:spacing w:after="0" w:line="105"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1180" w:type="dxa"/>
            <w:vAlign w:val="bottom"/>
            <w:tcBorders>
              <w:top w:val="single" w:sz="8" w:color="auto"/>
              <w:left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Total</w:t>
            </w:r>
          </w:p>
        </w:tc>
        <w:tc>
          <w:tcPr>
            <w:tcW w:w="800" w:type="dxa"/>
            <w:vAlign w:val="bottom"/>
            <w:tcBorders>
              <w:top w:val="single" w:sz="8" w:color="auto"/>
              <w:right w:val="single" w:sz="8" w:color="auto"/>
            </w:tcBorders>
          </w:tcPr>
          <w:p>
            <w:pPr>
              <w:spacing w:after="0"/>
              <w:rPr>
                <w:sz w:val="12"/>
                <w:szCs w:val="12"/>
                <w:color w:val="auto"/>
              </w:rPr>
            </w:pPr>
          </w:p>
        </w:tc>
      </w:tr>
      <w:tr>
        <w:trPr>
          <w:trHeight w:val="121"/>
        </w:trPr>
        <w:tc>
          <w:tcPr>
            <w:tcW w:w="1180" w:type="dxa"/>
            <w:vAlign w:val="bottom"/>
            <w:tcBorders>
              <w:left w:val="single" w:sz="8" w:color="auto"/>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89"/>
              </w:rPr>
              <w:t>Received Notice</w:t>
            </w:r>
          </w:p>
        </w:tc>
        <w:tc>
          <w:tcPr>
            <w:tcW w:w="80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90"/>
              </w:rPr>
              <w:t>Total Number</w:t>
            </w:r>
          </w:p>
        </w:tc>
        <w:tc>
          <w:tcPr>
            <w:tcW w:w="68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89"/>
              </w:rPr>
              <w:t>Number of</w:t>
            </w:r>
          </w:p>
        </w:tc>
        <w:tc>
          <w:tcPr>
            <w:tcW w:w="800" w:type="dxa"/>
            <w:vAlign w:val="bottom"/>
            <w:tcBorders>
              <w:right w:val="single" w:sz="8" w:color="auto"/>
            </w:tcBorders>
          </w:tcPr>
          <w:p>
            <w:pPr>
              <w:spacing w:after="0"/>
              <w:rPr>
                <w:sz w:val="10"/>
                <w:szCs w:val="10"/>
                <w:color w:val="auto"/>
              </w:rPr>
            </w:pPr>
          </w:p>
        </w:tc>
      </w:tr>
      <w:tr>
        <w:trPr>
          <w:trHeight w:val="121"/>
        </w:trPr>
        <w:tc>
          <w:tcPr>
            <w:tcW w:w="1180" w:type="dxa"/>
            <w:vAlign w:val="bottom"/>
            <w:tcBorders>
              <w:left w:val="single" w:sz="8" w:color="auto"/>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89"/>
              </w:rPr>
              <w:t>Received Notice</w:t>
            </w:r>
          </w:p>
        </w:tc>
        <w:tc>
          <w:tcPr>
            <w:tcW w:w="90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92"/>
              </w:rPr>
              <w:t>of Potential to</w:t>
            </w:r>
          </w:p>
        </w:tc>
        <w:tc>
          <w:tcPr>
            <w:tcW w:w="80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88"/>
              </w:rPr>
              <w:t>of Legal</w:t>
            </w:r>
          </w:p>
        </w:tc>
        <w:tc>
          <w:tcPr>
            <w:tcW w:w="68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88"/>
              </w:rPr>
              <w:t>Legal</w:t>
            </w:r>
          </w:p>
        </w:tc>
        <w:tc>
          <w:tcPr>
            <w:tcW w:w="80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90"/>
              </w:rPr>
              <w:t>Total Number</w:t>
            </w:r>
          </w:p>
        </w:tc>
      </w:tr>
      <w:tr>
        <w:trPr>
          <w:trHeight w:val="121"/>
        </w:trPr>
        <w:tc>
          <w:tcPr>
            <w:tcW w:w="1180" w:type="dxa"/>
            <w:vAlign w:val="bottom"/>
            <w:tcBorders>
              <w:left w:val="single" w:sz="8" w:color="auto"/>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90"/>
              </w:rPr>
              <w:t>Total Dollar Value</w:t>
            </w:r>
          </w:p>
        </w:tc>
        <w:tc>
          <w:tcPr>
            <w:tcW w:w="80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90"/>
              </w:rPr>
              <w:t>Total Number</w:t>
            </w:r>
          </w:p>
        </w:tc>
        <w:tc>
          <w:tcPr>
            <w:tcW w:w="92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91"/>
              </w:rPr>
              <w:t>of Pattern of</w:t>
            </w:r>
          </w:p>
        </w:tc>
        <w:tc>
          <w:tcPr>
            <w:tcW w:w="90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88"/>
              </w:rPr>
              <w:t>Have Pattern of</w:t>
            </w:r>
          </w:p>
        </w:tc>
        <w:tc>
          <w:tcPr>
            <w:tcW w:w="80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96"/>
              </w:rPr>
              <w:t>Actions</w:t>
            </w:r>
          </w:p>
        </w:tc>
        <w:tc>
          <w:tcPr>
            <w:tcW w:w="68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96"/>
              </w:rPr>
              <w:t>Actions</w:t>
            </w:r>
          </w:p>
        </w:tc>
        <w:tc>
          <w:tcPr>
            <w:tcW w:w="80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88"/>
              </w:rPr>
              <w:t>of Legal</w:t>
            </w:r>
          </w:p>
        </w:tc>
      </w:tr>
      <w:tr>
        <w:trPr>
          <w:trHeight w:val="121"/>
        </w:trPr>
        <w:tc>
          <w:tcPr>
            <w:tcW w:w="1180" w:type="dxa"/>
            <w:vAlign w:val="bottom"/>
            <w:tcBorders>
              <w:left w:val="single" w:sz="8" w:color="auto"/>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91"/>
              </w:rPr>
              <w:t>Mine or Operating</w:t>
            </w:r>
          </w:p>
        </w:tc>
        <w:tc>
          <w:tcPr>
            <w:tcW w:w="9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89"/>
              </w:rPr>
              <w:t>Section 104(d)</w:t>
            </w:r>
          </w:p>
        </w:tc>
        <w:tc>
          <w:tcPr>
            <w:tcW w:w="104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95"/>
              </w:rPr>
              <w:t>of MSHA</w:t>
            </w:r>
          </w:p>
        </w:tc>
        <w:tc>
          <w:tcPr>
            <w:tcW w:w="80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94"/>
              </w:rPr>
              <w:t>of Mining</w:t>
            </w:r>
          </w:p>
        </w:tc>
        <w:tc>
          <w:tcPr>
            <w:tcW w:w="92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90"/>
              </w:rPr>
              <w:t>Violations Under</w:t>
            </w:r>
          </w:p>
        </w:tc>
        <w:tc>
          <w:tcPr>
            <w:tcW w:w="90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90"/>
              </w:rPr>
              <w:t>Violations Under</w:t>
            </w:r>
          </w:p>
        </w:tc>
        <w:tc>
          <w:tcPr>
            <w:tcW w:w="80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87"/>
              </w:rPr>
              <w:t>Pending as of</w:t>
            </w:r>
          </w:p>
        </w:tc>
        <w:tc>
          <w:tcPr>
            <w:tcW w:w="68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90"/>
              </w:rPr>
              <w:t>Initiated</w:t>
            </w:r>
          </w:p>
        </w:tc>
        <w:tc>
          <w:tcPr>
            <w:tcW w:w="80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96"/>
              </w:rPr>
              <w:t>Actions</w:t>
            </w:r>
          </w:p>
        </w:tc>
      </w:tr>
      <w:tr>
        <w:trPr>
          <w:trHeight w:val="121"/>
        </w:trPr>
        <w:tc>
          <w:tcPr>
            <w:tcW w:w="1180" w:type="dxa"/>
            <w:vAlign w:val="bottom"/>
            <w:tcBorders>
              <w:left w:val="single" w:sz="8" w:color="auto"/>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94"/>
              </w:rPr>
              <w:t>Name/MSHA</w:t>
            </w:r>
          </w:p>
        </w:tc>
        <w:tc>
          <w:tcPr>
            <w:tcW w:w="92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88"/>
              </w:rPr>
              <w:t>Section 104 S&amp;S</w:t>
            </w:r>
          </w:p>
        </w:tc>
        <w:tc>
          <w:tcPr>
            <w:tcW w:w="80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89"/>
              </w:rPr>
              <w:t>Section 104(b)</w:t>
            </w:r>
          </w:p>
        </w:tc>
        <w:tc>
          <w:tcPr>
            <w:tcW w:w="80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88"/>
              </w:rPr>
              <w:t>Citations and</w:t>
            </w:r>
          </w:p>
        </w:tc>
        <w:tc>
          <w:tcPr>
            <w:tcW w:w="104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88"/>
              </w:rPr>
              <w:t>Section 110(b)(2)</w:t>
            </w:r>
          </w:p>
        </w:tc>
        <w:tc>
          <w:tcPr>
            <w:tcW w:w="82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89"/>
              </w:rPr>
              <w:t>Section 107(a)</w:t>
            </w:r>
          </w:p>
        </w:tc>
        <w:tc>
          <w:tcPr>
            <w:tcW w:w="102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84"/>
              </w:rPr>
              <w:t>Assessments</w:t>
            </w:r>
          </w:p>
        </w:tc>
        <w:tc>
          <w:tcPr>
            <w:tcW w:w="80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86"/>
              </w:rPr>
              <w:t>Related</w:t>
            </w:r>
          </w:p>
        </w:tc>
        <w:tc>
          <w:tcPr>
            <w:tcW w:w="92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87"/>
              </w:rPr>
              <w:t>Section 104(e)</w:t>
            </w:r>
          </w:p>
        </w:tc>
        <w:tc>
          <w:tcPr>
            <w:tcW w:w="90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87"/>
              </w:rPr>
              <w:t>Section 104(e)</w:t>
            </w:r>
            <w:r>
              <w:rPr>
                <w:rFonts w:ascii="Arial" w:cs="Arial" w:eastAsia="Arial" w:hAnsi="Arial"/>
                <w:sz w:val="7"/>
                <w:szCs w:val="7"/>
                <w:color w:val="auto"/>
                <w:w w:val="87"/>
              </w:rPr>
              <w:t>(7)</w:t>
            </w:r>
          </w:p>
        </w:tc>
        <w:tc>
          <w:tcPr>
            <w:tcW w:w="80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88"/>
              </w:rPr>
              <w:t>Last Day of</w:t>
            </w:r>
          </w:p>
        </w:tc>
        <w:tc>
          <w:tcPr>
            <w:tcW w:w="68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96"/>
              </w:rPr>
              <w:t>During</w:t>
            </w:r>
          </w:p>
        </w:tc>
        <w:tc>
          <w:tcPr>
            <w:tcW w:w="80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83"/>
              </w:rPr>
              <w:t>Resolved</w:t>
            </w:r>
          </w:p>
        </w:tc>
      </w:tr>
      <w:tr>
        <w:trPr>
          <w:trHeight w:val="154"/>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Identification Number</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Citations</w:t>
            </w:r>
            <w:r>
              <w:rPr>
                <w:rFonts w:ascii="Arial" w:cs="Arial" w:eastAsia="Arial" w:hAnsi="Arial"/>
                <w:sz w:val="7"/>
                <w:szCs w:val="7"/>
                <w:color w:val="auto"/>
                <w:w w:val="94"/>
              </w:rPr>
              <w:t>(1)</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2"/>
              </w:rPr>
              <w:t>Orders</w:t>
            </w:r>
            <w:r>
              <w:rPr>
                <w:rFonts w:ascii="Arial" w:cs="Arial" w:eastAsia="Arial" w:hAnsi="Arial"/>
                <w:sz w:val="7"/>
                <w:szCs w:val="7"/>
                <w:color w:val="auto"/>
                <w:w w:val="92"/>
              </w:rPr>
              <w:t>(2)</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8"/>
              </w:rPr>
              <w:t>Orders</w:t>
            </w:r>
            <w:r>
              <w:rPr>
                <w:rFonts w:ascii="Arial" w:cs="Arial" w:eastAsia="Arial" w:hAnsi="Arial"/>
                <w:sz w:val="7"/>
                <w:szCs w:val="7"/>
                <w:color w:val="auto"/>
                <w:w w:val="88"/>
              </w:rPr>
              <w:t>(3)</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5"/>
              </w:rPr>
              <w:t>Violations</w:t>
            </w:r>
            <w:r>
              <w:rPr>
                <w:rFonts w:ascii="Arial" w:cs="Arial" w:eastAsia="Arial" w:hAnsi="Arial"/>
                <w:sz w:val="7"/>
                <w:szCs w:val="7"/>
                <w:color w:val="auto"/>
                <w:w w:val="95"/>
              </w:rPr>
              <w:t>(4)</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8"/>
              </w:rPr>
              <w:t>Orders</w:t>
            </w:r>
            <w:r>
              <w:rPr>
                <w:rFonts w:ascii="Arial" w:cs="Arial" w:eastAsia="Arial" w:hAnsi="Arial"/>
                <w:sz w:val="7"/>
                <w:szCs w:val="7"/>
                <w:color w:val="auto"/>
                <w:w w:val="88"/>
              </w:rPr>
              <w:t>(5)</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6"/>
              </w:rPr>
              <w:t>Proposed ($)</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7"/>
              </w:rPr>
              <w:t>Fatalities</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7"/>
                <w:szCs w:val="7"/>
                <w:color w:val="auto"/>
                <w:w w:val="99"/>
              </w:rPr>
              <w:t xml:space="preserve">(6) </w:t>
            </w:r>
            <w:r>
              <w:rPr>
                <w:rFonts w:ascii="Arial" w:cs="Arial" w:eastAsia="Arial" w:hAnsi="Arial"/>
                <w:sz w:val="11"/>
                <w:szCs w:val="11"/>
                <w:color w:val="auto"/>
                <w:w w:val="99"/>
              </w:rPr>
              <w:t>(yes/no)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2"/>
              </w:rPr>
              <w:t>(yes/no)</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6"/>
              </w:rPr>
              <w:t>Period</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6"/>
              </w:rPr>
              <w:t>Period</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During Period</w:t>
            </w:r>
          </w:p>
        </w:tc>
      </w:tr>
      <w:tr>
        <w:trPr>
          <w:trHeight w:val="124"/>
        </w:trPr>
        <w:tc>
          <w:tcPr>
            <w:tcW w:w="1180" w:type="dxa"/>
            <w:vAlign w:val="bottom"/>
            <w:tcBorders>
              <w:left w:val="single" w:sz="8" w:color="auto"/>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Freeport McMoran</w:t>
            </w:r>
          </w:p>
        </w:tc>
        <w:tc>
          <w:tcPr>
            <w:tcW w:w="9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r>
      <w:tr>
        <w:trPr>
          <w:trHeight w:val="121"/>
        </w:trPr>
        <w:tc>
          <w:tcPr>
            <w:tcW w:w="1180" w:type="dxa"/>
            <w:vAlign w:val="bottom"/>
            <w:tcBorders>
              <w:left w:val="single" w:sz="8" w:color="auto"/>
              <w:right w:val="single" w:sz="8" w:color="auto"/>
            </w:tcBorders>
          </w:tcPr>
          <w:p>
            <w:pPr>
              <w:ind w:left="40"/>
              <w:spacing w:after="0" w:line="121" w:lineRule="exact"/>
              <w:rPr>
                <w:sz w:val="20"/>
                <w:szCs w:val="20"/>
                <w:color w:val="auto"/>
              </w:rPr>
            </w:pPr>
            <w:r>
              <w:rPr>
                <w:rFonts w:ascii="Arial" w:cs="Arial" w:eastAsia="Arial" w:hAnsi="Arial"/>
                <w:sz w:val="12"/>
                <w:szCs w:val="12"/>
                <w:color w:val="auto"/>
                <w:w w:val="92"/>
              </w:rPr>
              <w:t>Morenci Inc. 02-00024</w:t>
            </w:r>
          </w:p>
        </w:tc>
        <w:tc>
          <w:tcPr>
            <w:tcW w:w="92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99"/>
              </w:rPr>
              <w:t>—</w:t>
            </w:r>
          </w:p>
        </w:tc>
        <w:tc>
          <w:tcPr>
            <w:tcW w:w="80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99"/>
              </w:rPr>
              <w:t>—</w:t>
            </w:r>
          </w:p>
        </w:tc>
        <w:tc>
          <w:tcPr>
            <w:tcW w:w="80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99"/>
              </w:rPr>
              <w:t>—</w:t>
            </w:r>
          </w:p>
        </w:tc>
        <w:tc>
          <w:tcPr>
            <w:tcW w:w="104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99"/>
              </w:rPr>
              <w:t>—</w:t>
            </w:r>
          </w:p>
        </w:tc>
        <w:tc>
          <w:tcPr>
            <w:tcW w:w="82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99"/>
              </w:rPr>
              <w:t>—</w:t>
            </w:r>
          </w:p>
        </w:tc>
        <w:tc>
          <w:tcPr>
            <w:tcW w:w="102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99"/>
              </w:rPr>
              <w:t>—</w:t>
            </w:r>
          </w:p>
        </w:tc>
        <w:tc>
          <w:tcPr>
            <w:tcW w:w="80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99"/>
              </w:rPr>
              <w:t>—</w:t>
            </w:r>
          </w:p>
        </w:tc>
        <w:tc>
          <w:tcPr>
            <w:tcW w:w="92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90"/>
              </w:rPr>
              <w:t>No</w:t>
            </w:r>
          </w:p>
        </w:tc>
        <w:tc>
          <w:tcPr>
            <w:tcW w:w="90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90"/>
              </w:rPr>
              <w:t>No</w:t>
            </w:r>
          </w:p>
        </w:tc>
        <w:tc>
          <w:tcPr>
            <w:tcW w:w="80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99"/>
              </w:rPr>
              <w:t>—</w:t>
            </w:r>
          </w:p>
        </w:tc>
        <w:tc>
          <w:tcPr>
            <w:tcW w:w="68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82"/>
              </w:rPr>
              <w:t>—</w:t>
            </w:r>
          </w:p>
        </w:tc>
        <w:tc>
          <w:tcPr>
            <w:tcW w:w="80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99"/>
              </w:rPr>
              <w:t>—</w:t>
            </w:r>
          </w:p>
        </w:tc>
      </w:tr>
      <w:tr>
        <w:trPr>
          <w:trHeight w:val="154"/>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5CP</w:t>
            </w:r>
          </w:p>
        </w:tc>
        <w:tc>
          <w:tcPr>
            <w:tcW w:w="92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r>
      <w:tr>
        <w:trPr>
          <w:trHeight w:val="124"/>
        </w:trPr>
        <w:tc>
          <w:tcPr>
            <w:tcW w:w="1180" w:type="dxa"/>
            <w:vAlign w:val="bottom"/>
            <w:tcBorders>
              <w:left w:val="single" w:sz="8" w:color="auto"/>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Freeport McMoran</w:t>
            </w:r>
          </w:p>
        </w:tc>
        <w:tc>
          <w:tcPr>
            <w:tcW w:w="9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r>
      <w:tr>
        <w:trPr>
          <w:trHeight w:val="121"/>
        </w:trPr>
        <w:tc>
          <w:tcPr>
            <w:tcW w:w="1180" w:type="dxa"/>
            <w:vAlign w:val="bottom"/>
            <w:tcBorders>
              <w:left w:val="single" w:sz="8" w:color="auto"/>
              <w:right w:val="single" w:sz="8" w:color="auto"/>
            </w:tcBorders>
          </w:tcPr>
          <w:p>
            <w:pPr>
              <w:ind w:left="40"/>
              <w:spacing w:after="0" w:line="121" w:lineRule="exact"/>
              <w:rPr>
                <w:sz w:val="20"/>
                <w:szCs w:val="20"/>
                <w:color w:val="auto"/>
              </w:rPr>
            </w:pPr>
            <w:r>
              <w:rPr>
                <w:rFonts w:ascii="Arial" w:cs="Arial" w:eastAsia="Arial" w:hAnsi="Arial"/>
                <w:sz w:val="12"/>
                <w:szCs w:val="12"/>
                <w:color w:val="auto"/>
                <w:w w:val="95"/>
              </w:rPr>
              <w:t>Safford Inc. 02-03131</w:t>
            </w:r>
          </w:p>
        </w:tc>
        <w:tc>
          <w:tcPr>
            <w:tcW w:w="92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99"/>
              </w:rPr>
              <w:t>—</w:t>
            </w:r>
          </w:p>
        </w:tc>
        <w:tc>
          <w:tcPr>
            <w:tcW w:w="80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99"/>
              </w:rPr>
              <w:t>—</w:t>
            </w:r>
          </w:p>
        </w:tc>
        <w:tc>
          <w:tcPr>
            <w:tcW w:w="80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99"/>
              </w:rPr>
              <w:t>—</w:t>
            </w:r>
          </w:p>
        </w:tc>
        <w:tc>
          <w:tcPr>
            <w:tcW w:w="104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99"/>
              </w:rPr>
              <w:t>—</w:t>
            </w:r>
          </w:p>
        </w:tc>
        <w:tc>
          <w:tcPr>
            <w:tcW w:w="82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99"/>
              </w:rPr>
              <w:t>—</w:t>
            </w:r>
          </w:p>
        </w:tc>
        <w:tc>
          <w:tcPr>
            <w:tcW w:w="102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99"/>
              </w:rPr>
              <w:t>—</w:t>
            </w:r>
          </w:p>
        </w:tc>
        <w:tc>
          <w:tcPr>
            <w:tcW w:w="80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99"/>
              </w:rPr>
              <w:t>—</w:t>
            </w:r>
          </w:p>
        </w:tc>
        <w:tc>
          <w:tcPr>
            <w:tcW w:w="92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90"/>
              </w:rPr>
              <w:t>No</w:t>
            </w:r>
          </w:p>
        </w:tc>
        <w:tc>
          <w:tcPr>
            <w:tcW w:w="90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90"/>
              </w:rPr>
              <w:t>No</w:t>
            </w:r>
          </w:p>
        </w:tc>
        <w:tc>
          <w:tcPr>
            <w:tcW w:w="80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99"/>
              </w:rPr>
              <w:t>—</w:t>
            </w:r>
          </w:p>
        </w:tc>
        <w:tc>
          <w:tcPr>
            <w:tcW w:w="68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82"/>
              </w:rPr>
              <w:t>—</w:t>
            </w:r>
          </w:p>
        </w:tc>
        <w:tc>
          <w:tcPr>
            <w:tcW w:w="80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color w:val="auto"/>
                <w:w w:val="99"/>
              </w:rPr>
              <w:t>—</w:t>
            </w:r>
          </w:p>
        </w:tc>
      </w:tr>
      <w:tr>
        <w:trPr>
          <w:trHeight w:val="154"/>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5CP</w:t>
            </w:r>
          </w:p>
        </w:tc>
        <w:tc>
          <w:tcPr>
            <w:tcW w:w="92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r>
    </w:tbl>
    <w:p>
      <w:pPr>
        <w:spacing w:after="0" w:line="117" w:lineRule="exact"/>
        <w:rPr>
          <w:sz w:val="20"/>
          <w:szCs w:val="20"/>
          <w:color w:val="auto"/>
        </w:rPr>
      </w:pPr>
    </w:p>
    <w:p>
      <w:pPr>
        <w:ind w:left="180" w:hanging="172"/>
        <w:spacing w:after="0"/>
        <w:tabs>
          <w:tab w:leader="none" w:pos="180" w:val="left"/>
        </w:tabs>
        <w:numPr>
          <w:ilvl w:val="0"/>
          <w:numId w:val="206"/>
        </w:numPr>
        <w:rPr>
          <w:rFonts w:ascii="Arial" w:cs="Arial" w:eastAsia="Arial" w:hAnsi="Arial"/>
          <w:sz w:val="12"/>
          <w:szCs w:val="12"/>
          <w:color w:val="auto"/>
        </w:rPr>
      </w:pPr>
      <w:r>
        <w:rPr>
          <w:rFonts w:ascii="Arial" w:cs="Arial" w:eastAsia="Arial" w:hAnsi="Arial"/>
          <w:sz w:val="12"/>
          <w:szCs w:val="12"/>
          <w:color w:val="auto"/>
        </w:rPr>
        <w:t>The total number of citations issued under section 104 of the Mine Act for violations of mandatory health or safety standards that could significantly and substantially contribute to a serious injury if left unabated.</w:t>
      </w:r>
    </w:p>
    <w:p>
      <w:pPr>
        <w:spacing w:after="0" w:line="148" w:lineRule="exact"/>
        <w:rPr>
          <w:rFonts w:ascii="Arial" w:cs="Arial" w:eastAsia="Arial" w:hAnsi="Arial"/>
          <w:sz w:val="12"/>
          <w:szCs w:val="12"/>
          <w:color w:val="auto"/>
        </w:rPr>
      </w:pPr>
    </w:p>
    <w:p>
      <w:pPr>
        <w:ind w:left="180" w:hanging="172"/>
        <w:spacing w:after="0"/>
        <w:tabs>
          <w:tab w:leader="none" w:pos="180" w:val="left"/>
        </w:tabs>
        <w:numPr>
          <w:ilvl w:val="0"/>
          <w:numId w:val="206"/>
        </w:numPr>
        <w:rPr>
          <w:rFonts w:ascii="Arial" w:cs="Arial" w:eastAsia="Arial" w:hAnsi="Arial"/>
          <w:sz w:val="12"/>
          <w:szCs w:val="12"/>
          <w:color w:val="auto"/>
        </w:rPr>
      </w:pPr>
      <w:r>
        <w:rPr>
          <w:rFonts w:ascii="Arial" w:cs="Arial" w:eastAsia="Arial" w:hAnsi="Arial"/>
          <w:sz w:val="12"/>
          <w:szCs w:val="12"/>
          <w:color w:val="auto"/>
        </w:rPr>
        <w:t>The total number of orders issued under section 104(b) of the Mine Act, which represents a failure to abate a citation under section 104(a) within the period of time prescribed by MSHA.</w:t>
      </w:r>
    </w:p>
    <w:p>
      <w:pPr>
        <w:spacing w:after="0" w:line="148" w:lineRule="exact"/>
        <w:rPr>
          <w:rFonts w:ascii="Arial" w:cs="Arial" w:eastAsia="Arial" w:hAnsi="Arial"/>
          <w:sz w:val="12"/>
          <w:szCs w:val="12"/>
          <w:color w:val="auto"/>
        </w:rPr>
      </w:pPr>
    </w:p>
    <w:p>
      <w:pPr>
        <w:ind w:left="180" w:hanging="172"/>
        <w:spacing w:after="0"/>
        <w:tabs>
          <w:tab w:leader="none" w:pos="180" w:val="left"/>
        </w:tabs>
        <w:numPr>
          <w:ilvl w:val="0"/>
          <w:numId w:val="206"/>
        </w:numPr>
        <w:rPr>
          <w:rFonts w:ascii="Arial" w:cs="Arial" w:eastAsia="Arial" w:hAnsi="Arial"/>
          <w:sz w:val="12"/>
          <w:szCs w:val="12"/>
          <w:color w:val="auto"/>
        </w:rPr>
      </w:pPr>
      <w:r>
        <w:rPr>
          <w:rFonts w:ascii="Arial" w:cs="Arial" w:eastAsia="Arial" w:hAnsi="Arial"/>
          <w:sz w:val="12"/>
          <w:szCs w:val="12"/>
          <w:color w:val="auto"/>
        </w:rPr>
        <w:t>The total number of citations and orders issued by MSHA under section 104(d) of the Mine Act for unwarrantable failure to comply with mandatory health or safety standards.</w:t>
      </w:r>
    </w:p>
    <w:p>
      <w:pPr>
        <w:spacing w:after="0" w:line="148" w:lineRule="exact"/>
        <w:rPr>
          <w:rFonts w:ascii="Arial" w:cs="Arial" w:eastAsia="Arial" w:hAnsi="Arial"/>
          <w:sz w:val="12"/>
          <w:szCs w:val="12"/>
          <w:color w:val="auto"/>
        </w:rPr>
      </w:pPr>
    </w:p>
    <w:p>
      <w:pPr>
        <w:ind w:left="180" w:hanging="172"/>
        <w:spacing w:after="0"/>
        <w:tabs>
          <w:tab w:leader="none" w:pos="180" w:val="left"/>
        </w:tabs>
        <w:numPr>
          <w:ilvl w:val="0"/>
          <w:numId w:val="206"/>
        </w:numPr>
        <w:rPr>
          <w:rFonts w:ascii="Arial" w:cs="Arial" w:eastAsia="Arial" w:hAnsi="Arial"/>
          <w:sz w:val="12"/>
          <w:szCs w:val="12"/>
          <w:color w:val="auto"/>
        </w:rPr>
      </w:pPr>
      <w:r>
        <w:rPr>
          <w:rFonts w:ascii="Arial" w:cs="Arial" w:eastAsia="Arial" w:hAnsi="Arial"/>
          <w:sz w:val="12"/>
          <w:szCs w:val="12"/>
          <w:color w:val="auto"/>
        </w:rPr>
        <w:t>The total number of flagrant violations identified under section 110(b)(2) of the Mine Act.</w:t>
      </w:r>
    </w:p>
    <w:p>
      <w:pPr>
        <w:spacing w:after="0" w:line="148" w:lineRule="exact"/>
        <w:rPr>
          <w:rFonts w:ascii="Arial" w:cs="Arial" w:eastAsia="Arial" w:hAnsi="Arial"/>
          <w:sz w:val="12"/>
          <w:szCs w:val="12"/>
          <w:color w:val="auto"/>
        </w:rPr>
      </w:pPr>
    </w:p>
    <w:p>
      <w:pPr>
        <w:ind w:left="180" w:hanging="172"/>
        <w:spacing w:after="0"/>
        <w:tabs>
          <w:tab w:leader="none" w:pos="180" w:val="left"/>
        </w:tabs>
        <w:numPr>
          <w:ilvl w:val="0"/>
          <w:numId w:val="206"/>
        </w:numPr>
        <w:rPr>
          <w:rFonts w:ascii="Arial" w:cs="Arial" w:eastAsia="Arial" w:hAnsi="Arial"/>
          <w:sz w:val="12"/>
          <w:szCs w:val="12"/>
          <w:color w:val="auto"/>
        </w:rPr>
      </w:pPr>
      <w:r>
        <w:rPr>
          <w:rFonts w:ascii="Arial" w:cs="Arial" w:eastAsia="Arial" w:hAnsi="Arial"/>
          <w:sz w:val="12"/>
          <w:szCs w:val="12"/>
          <w:color w:val="auto"/>
        </w:rPr>
        <w:t>The total number of orders issued under section 107(a) of the Mine Act for situations in which MSHA determined an imminent danger existed.</w:t>
      </w:r>
    </w:p>
    <w:p>
      <w:pPr>
        <w:spacing w:after="0" w:line="148" w:lineRule="exact"/>
        <w:rPr>
          <w:rFonts w:ascii="Arial" w:cs="Arial" w:eastAsia="Arial" w:hAnsi="Arial"/>
          <w:sz w:val="12"/>
          <w:szCs w:val="12"/>
          <w:color w:val="auto"/>
        </w:rPr>
      </w:pPr>
    </w:p>
    <w:p>
      <w:pPr>
        <w:ind w:left="180" w:hanging="172"/>
        <w:spacing w:after="0"/>
        <w:tabs>
          <w:tab w:leader="none" w:pos="180" w:val="left"/>
        </w:tabs>
        <w:numPr>
          <w:ilvl w:val="0"/>
          <w:numId w:val="206"/>
        </w:numPr>
        <w:rPr>
          <w:rFonts w:ascii="Arial" w:cs="Arial" w:eastAsia="Arial" w:hAnsi="Arial"/>
          <w:sz w:val="12"/>
          <w:szCs w:val="12"/>
          <w:color w:val="auto"/>
        </w:rPr>
      </w:pPr>
      <w:r>
        <w:rPr>
          <w:rFonts w:ascii="Arial" w:cs="Arial" w:eastAsia="Arial" w:hAnsi="Arial"/>
          <w:sz w:val="12"/>
          <w:szCs w:val="12"/>
          <w:color w:val="auto"/>
        </w:rPr>
        <w:t>A written notice from the MSHA regarding a pattern of violations under section 104(e) of the Mine Act.</w:t>
      </w:r>
    </w:p>
    <w:p>
      <w:pPr>
        <w:spacing w:after="0" w:line="148" w:lineRule="exact"/>
        <w:rPr>
          <w:rFonts w:ascii="Arial" w:cs="Arial" w:eastAsia="Arial" w:hAnsi="Arial"/>
          <w:sz w:val="12"/>
          <w:szCs w:val="12"/>
          <w:color w:val="auto"/>
        </w:rPr>
      </w:pPr>
    </w:p>
    <w:p>
      <w:pPr>
        <w:ind w:left="180" w:hanging="172"/>
        <w:spacing w:after="0"/>
        <w:tabs>
          <w:tab w:leader="none" w:pos="180" w:val="left"/>
        </w:tabs>
        <w:numPr>
          <w:ilvl w:val="0"/>
          <w:numId w:val="206"/>
        </w:numPr>
        <w:rPr>
          <w:rFonts w:ascii="Arial" w:cs="Arial" w:eastAsia="Arial" w:hAnsi="Arial"/>
          <w:sz w:val="12"/>
          <w:szCs w:val="12"/>
          <w:color w:val="auto"/>
        </w:rPr>
      </w:pPr>
      <w:r>
        <w:rPr>
          <w:rFonts w:ascii="Arial" w:cs="Arial" w:eastAsia="Arial" w:hAnsi="Arial"/>
          <w:sz w:val="12"/>
          <w:szCs w:val="12"/>
          <w:color w:val="auto"/>
        </w:rPr>
        <w:t>A written notice from the MSHA regarding a potential to have a pattern of violations under section 104(e) of the Mine Act.</w:t>
      </w:r>
    </w:p>
    <w:sectPr>
      <w:pgSz w:w="11900" w:h="16838" w:orient="portrait"/>
      <w:cols w:equalWidth="0" w:num="1">
        <w:col w:w="11480"/>
      </w:cols>
      <w:pgMar w:left="220" w:top="632"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FCE74E"/>
    <w:multiLevelType w:val="hybridMultilevel"/>
    <w:lvl w:ilvl="0">
      <w:lvlJc w:val="left"/>
      <w:lvlText w:val="x"/>
      <w:numFmt w:val="bullet"/>
      <w:start w:val="1"/>
    </w:lvl>
  </w:abstractNum>
  <w:abstractNum w:abstractNumId="1">
    <w:nsid w:val="6A3DD3E8"/>
    <w:multiLevelType w:val="hybridMultilevel"/>
    <w:lvl w:ilvl="0">
      <w:lvlJc w:val="left"/>
      <w:lvlText w:val="o"/>
      <w:numFmt w:val="bullet"/>
      <w:start w:val="1"/>
    </w:lvl>
  </w:abstractNum>
  <w:abstractNum w:abstractNumId="2">
    <w:nsid w:val="71C91298"/>
    <w:multiLevelType w:val="hybridMultilevel"/>
    <w:lvl w:ilvl="0">
      <w:lvlJc w:val="left"/>
      <w:lvlText w:val="•"/>
      <w:numFmt w:val="bullet"/>
      <w:start w:val="1"/>
    </w:lvl>
  </w:abstractNum>
  <w:abstractNum w:abstractNumId="3">
    <w:nsid w:val="9DAF632"/>
    <w:multiLevelType w:val="hybridMultilevel"/>
    <w:lvl w:ilvl="0">
      <w:lvlJc w:val="left"/>
      <w:lvlText w:val="(%1)"/>
      <w:numFmt w:val="decimal"/>
      <w:start w:val="1"/>
    </w:lvl>
  </w:abstractNum>
  <w:abstractNum w:abstractNumId="4">
    <w:nsid w:val="53299938"/>
    <w:multiLevelType w:val="hybridMultilevel"/>
    <w:lvl w:ilvl="0">
      <w:lvlJc w:val="left"/>
      <w:lvlText w:val="•"/>
      <w:numFmt w:val="bullet"/>
      <w:start w:val="1"/>
    </w:lvl>
  </w:abstractNum>
  <w:abstractNum w:abstractNumId="5">
    <w:nsid w:val="1FBFE8E0"/>
    <w:multiLevelType w:val="hybridMultilevel"/>
    <w:lvl w:ilvl="0">
      <w:lvlJc w:val="left"/>
      <w:lvlText w:val="•"/>
      <w:numFmt w:val="bullet"/>
      <w:start w:val="1"/>
    </w:lvl>
  </w:abstractNum>
  <w:abstractNum w:abstractNumId="6">
    <w:nsid w:val="5092CA79"/>
    <w:multiLevelType w:val="hybridMultilevel"/>
    <w:lvl w:ilvl="0">
      <w:lvlJc w:val="left"/>
      <w:lvlText w:val="•"/>
      <w:numFmt w:val="bullet"/>
      <w:start w:val="1"/>
    </w:lvl>
  </w:abstractNum>
  <w:abstractNum w:abstractNumId="7">
    <w:nsid w:val="1D545C4D"/>
    <w:multiLevelType w:val="hybridMultilevel"/>
    <w:lvl w:ilvl="0">
      <w:lvlJc w:val="left"/>
      <w:lvlText w:val="•"/>
      <w:numFmt w:val="bullet"/>
      <w:start w:val="1"/>
    </w:lvl>
  </w:abstractNum>
  <w:abstractNum w:abstractNumId="8">
    <w:nsid w:val="59ADEA3D"/>
    <w:multiLevelType w:val="hybridMultilevel"/>
    <w:lvl w:ilvl="0">
      <w:lvlJc w:val="left"/>
      <w:lvlText w:val="•"/>
      <w:numFmt w:val="bullet"/>
      <w:start w:val="1"/>
    </w:lvl>
  </w:abstractNum>
  <w:abstractNum w:abstractNumId="9">
    <w:nsid w:val="288F1A34"/>
    <w:multiLevelType w:val="hybridMultilevel"/>
    <w:lvl w:ilvl="0">
      <w:lvlJc w:val="left"/>
      <w:lvlText w:val="•"/>
      <w:numFmt w:val="bullet"/>
      <w:start w:val="1"/>
    </w:lvl>
  </w:abstractNum>
  <w:abstractNum w:abstractNumId="10">
    <w:nsid w:val="2A155DBC"/>
    <w:multiLevelType w:val="hybridMultilevel"/>
    <w:lvl w:ilvl="0">
      <w:lvlJc w:val="left"/>
      <w:lvlText w:val="•"/>
      <w:numFmt w:val="bullet"/>
      <w:start w:val="1"/>
    </w:lvl>
  </w:abstractNum>
  <w:abstractNum w:abstractNumId="11">
    <w:nsid w:val="1D9F6E5F"/>
    <w:multiLevelType w:val="hybridMultilevel"/>
    <w:lvl w:ilvl="0">
      <w:lvlJc w:val="left"/>
      <w:lvlText w:val="•"/>
      <w:numFmt w:val="bullet"/>
      <w:start w:val="1"/>
    </w:lvl>
  </w:abstractNum>
  <w:abstractNum w:abstractNumId="12">
    <w:nsid w:val="97E1B4E"/>
    <w:multiLevelType w:val="hybridMultilevel"/>
    <w:lvl w:ilvl="0">
      <w:lvlJc w:val="left"/>
      <w:lvlText w:val="•"/>
      <w:numFmt w:val="bullet"/>
      <w:start w:val="1"/>
    </w:lvl>
  </w:abstractNum>
  <w:abstractNum w:abstractNumId="13">
    <w:nsid w:val="51088277"/>
    <w:multiLevelType w:val="hybridMultilevel"/>
    <w:lvl w:ilvl="0">
      <w:lvlJc w:val="left"/>
      <w:lvlText w:val="•"/>
      <w:numFmt w:val="bullet"/>
      <w:start w:val="1"/>
    </w:lvl>
  </w:abstractNum>
  <w:abstractNum w:abstractNumId="14">
    <w:nsid w:val="1CA0C5FA"/>
    <w:multiLevelType w:val="hybridMultilevel"/>
    <w:lvl w:ilvl="0">
      <w:lvlJc w:val="left"/>
      <w:lvlText w:val="•"/>
      <w:numFmt w:val="bullet"/>
      <w:start w:val="1"/>
    </w:lvl>
  </w:abstractNum>
  <w:abstractNum w:abstractNumId="15">
    <w:nsid w:val="53584BCB"/>
    <w:multiLevelType w:val="hybridMultilevel"/>
    <w:lvl w:ilvl="0">
      <w:lvlJc w:val="left"/>
      <w:lvlText w:val="•"/>
      <w:numFmt w:val="bullet"/>
      <w:start w:val="1"/>
    </w:lvl>
  </w:abstractNum>
  <w:abstractNum w:abstractNumId="16">
    <w:nsid w:val="415E286C"/>
    <w:multiLevelType w:val="hybridMultilevel"/>
    <w:lvl w:ilvl="0">
      <w:lvlJc w:val="left"/>
      <w:lvlText w:val="(%1)"/>
      <w:numFmt w:val="upperLetter"/>
      <w:start w:val="1"/>
    </w:lvl>
    <w:lvl w:ilvl="1">
      <w:lvlJc w:val="left"/>
      <w:lvlText w:val="-"/>
      <w:numFmt w:val="bullet"/>
      <w:start w:val="1"/>
    </w:lvl>
  </w:abstractNum>
  <w:abstractNum w:abstractNumId="17">
    <w:nsid w:val="7C58FD05"/>
    <w:multiLevelType w:val="hybridMultilevel"/>
    <w:lvl w:ilvl="0">
      <w:lvlJc w:val="left"/>
      <w:lvlText w:val="•"/>
      <w:numFmt w:val="bullet"/>
      <w:start w:val="1"/>
    </w:lvl>
  </w:abstractNum>
  <w:abstractNum w:abstractNumId="18">
    <w:nsid w:val="23D86AA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9">
    <w:nsid w:val="45E6D486"/>
    <w:multiLevelType w:val="hybridMultilevel"/>
    <w:lvl w:ilvl="0">
      <w:lvlJc w:val="left"/>
      <w:lvlText w:val="(%1)"/>
      <w:numFmt w:val="lowerLetter"/>
      <w:start w:val="61"/>
    </w:lvl>
    <w:lvl w:ilvl="1">
      <w:lvlJc w:val="left"/>
      <w:lvlText w:val="(%2)"/>
      <w:numFmt w:val="lowerLetter"/>
      <w:start w:val="2"/>
    </w:lvl>
    <w:lvl w:ilvl="2">
      <w:lvlJc w:val="left"/>
      <w:lvlText w:val="(%3)"/>
      <w:numFmt w:val="lowerLetter"/>
      <w:start w:val="9"/>
    </w:lvl>
  </w:abstractNum>
  <w:abstractNum w:abstractNumId="20">
    <w:nsid w:val="5C10FE21"/>
    <w:multiLevelType w:val="hybridMultilevel"/>
    <w:lvl w:ilvl="0">
      <w:lvlJc w:val="left"/>
      <w:lvlText w:val="(%1)"/>
      <w:numFmt w:val="lowerRoman"/>
      <w:start w:val="2"/>
    </w:lvl>
  </w:abstractNum>
  <w:abstractNum w:abstractNumId="21">
    <w:nsid w:val="E7FFA2B"/>
    <w:multiLevelType w:val="hybridMultilevel"/>
    <w:lvl w:ilvl="0">
      <w:lvlJc w:val="left"/>
      <w:lvlText w:val="(%1)"/>
      <w:numFmt w:val="lowerLetter"/>
      <w:start w:val="3"/>
    </w:lvl>
  </w:abstractNum>
  <w:abstractNum w:abstractNumId="22">
    <w:nsid w:val="3C5991AA"/>
    <w:multiLevelType w:val="hybridMultilevel"/>
    <w:lvl w:ilvl="0">
      <w:lvlJc w:val="left"/>
      <w:lvlText w:val="(%1)"/>
      <w:numFmt w:val="lowerLetter"/>
      <w:start w:val="1"/>
    </w:lvl>
  </w:abstractNum>
  <w:abstractNum w:abstractNumId="23">
    <w:nsid w:val="4BD8591A"/>
    <w:multiLevelType w:val="hybridMultilevel"/>
    <w:lvl w:ilvl="0">
      <w:lvlJc w:val="left"/>
      <w:lvlText w:val="(%1)"/>
      <w:numFmt w:val="lowerLetter"/>
      <w:start w:val="3"/>
    </w:lvl>
  </w:abstractNum>
  <w:abstractNum w:abstractNumId="24">
    <w:nsid w:val="78DF6A55"/>
    <w:multiLevelType w:val="hybridMultilevel"/>
    <w:lvl w:ilvl="0">
      <w:lvlJc w:val="left"/>
      <w:lvlText w:val="(%1)"/>
      <w:numFmt w:val="lowerLetter"/>
      <w:start w:val="1"/>
    </w:lvl>
  </w:abstractNum>
  <w:abstractNum w:abstractNumId="25">
    <w:nsid w:val="39B7AAA2"/>
    <w:multiLevelType w:val="hybridMultilevel"/>
    <w:lvl w:ilvl="0">
      <w:lvlJc w:val="left"/>
      <w:lvlText w:val="(%1)"/>
      <w:numFmt w:val="decimal"/>
      <w:start w:val="15"/>
    </w:lvl>
  </w:abstractNum>
  <w:abstractNum w:abstractNumId="26">
    <w:nsid w:val="2B0D8DBE"/>
    <w:multiLevelType w:val="hybridMultilevel"/>
    <w:lvl w:ilvl="0">
      <w:lvlJc w:val="left"/>
      <w:lvlText w:val="(%1)"/>
      <w:numFmt w:val="lowerLetter"/>
      <w:start w:val="1"/>
    </w:lvl>
    <w:lvl w:ilvl="1">
      <w:lvlJc w:val="left"/>
      <w:lvlText w:val="(%2)"/>
      <w:numFmt w:val="lowerRoman"/>
      <w:start w:val="1"/>
    </w:lvl>
  </w:abstractNum>
  <w:abstractNum w:abstractNumId="27">
    <w:nsid w:val="6C80EC70"/>
    <w:multiLevelType w:val="hybridMultilevel"/>
    <w:lvl w:ilvl="0">
      <w:lvlJc w:val="left"/>
      <w:lvlText w:val="(%1)"/>
      <w:numFmt w:val="lowerLetter"/>
      <w:start w:val="1"/>
    </w:lvl>
  </w:abstractNum>
  <w:abstractNum w:abstractNumId="28">
    <w:nsid w:val="379E21B5"/>
    <w:multiLevelType w:val="hybridMultilevel"/>
    <w:lvl w:ilvl="0">
      <w:lvlJc w:val="left"/>
      <w:lvlText w:val="(%1)"/>
      <w:numFmt w:val="lowerLetter"/>
      <w:start w:val="1"/>
    </w:lvl>
  </w:abstractNum>
  <w:abstractNum w:abstractNumId="29">
    <w:nsid w:val="69E373"/>
    <w:multiLevelType w:val="hybridMultilevel"/>
    <w:lvl w:ilvl="0">
      <w:lvlJc w:val="left"/>
      <w:lvlText w:val="(%1)"/>
      <w:numFmt w:val="lowerLetter"/>
      <w:start w:val="2"/>
    </w:lvl>
  </w:abstractNum>
  <w:abstractNum w:abstractNumId="30">
    <w:nsid w:val="2C27173B"/>
    <w:multiLevelType w:val="hybridMultilevel"/>
    <w:lvl w:ilvl="0">
      <w:lvlJc w:val="left"/>
      <w:lvlText w:val="(%1)"/>
      <w:numFmt w:val="lowerLetter"/>
      <w:start w:val="1"/>
    </w:lvl>
  </w:abstractNum>
  <w:abstractNum w:abstractNumId="31">
    <w:nsid w:val="4C9B0904"/>
    <w:multiLevelType w:val="hybridMultilevel"/>
    <w:lvl w:ilvl="0">
      <w:lvlJc w:val="left"/>
      <w:lvlText w:val="(%1)"/>
      <w:numFmt w:val="lowerLetter"/>
      <w:start w:val="3"/>
    </w:lvl>
  </w:abstractNum>
  <w:abstractNum w:abstractNumId="32">
    <w:nsid w:val="6AA7B75C"/>
    <w:multiLevelType w:val="hybridMultilevel"/>
    <w:lvl w:ilvl="0">
      <w:lvlJc w:val="left"/>
      <w:lvlText w:val="(%1)"/>
      <w:numFmt w:val="lowerRoman"/>
      <w:start w:val="5"/>
    </w:lvl>
  </w:abstractNum>
  <w:abstractNum w:abstractNumId="33">
    <w:nsid w:val="1DF029D3"/>
    <w:multiLevelType w:val="hybridMultilevel"/>
    <w:lvl w:ilvl="0">
      <w:lvlJc w:val="left"/>
      <w:lvlText w:val="(%1)"/>
      <w:numFmt w:val="lowerRoman"/>
      <w:start w:val="3"/>
    </w:lvl>
  </w:abstractNum>
  <w:abstractNum w:abstractNumId="34">
    <w:nsid w:val="5675FF36"/>
    <w:multiLevelType w:val="hybridMultilevel"/>
    <w:lvl w:ilvl="0">
      <w:lvlJc w:val="left"/>
      <w:lvlText w:val="(%1)"/>
      <w:numFmt w:val="lowerLetter"/>
      <w:start w:val="1"/>
    </w:lvl>
  </w:abstractNum>
  <w:abstractNum w:abstractNumId="35">
    <w:nsid w:val="3DD15094"/>
    <w:multiLevelType w:val="hybridMultilevel"/>
    <w:lvl w:ilvl="0">
      <w:lvlJc w:val="left"/>
      <w:lvlText w:val="(%1)"/>
      <w:numFmt w:val="lowerRoman"/>
      <w:start w:val="1"/>
    </w:lvl>
  </w:abstractNum>
  <w:abstractNum w:abstractNumId="36">
    <w:nsid w:val="3DB012B3"/>
    <w:multiLevelType w:val="hybridMultilevel"/>
    <w:lvl w:ilvl="0">
      <w:lvlJc w:val="left"/>
      <w:lvlText w:val="(%1)"/>
      <w:numFmt w:val="lowerLetter"/>
      <w:start w:val="2"/>
    </w:lvl>
  </w:abstractNum>
  <w:abstractNum w:abstractNumId="37">
    <w:nsid w:val="2708C9AF"/>
    <w:multiLevelType w:val="hybridMultilevel"/>
    <w:lvl w:ilvl="0">
      <w:lvlJc w:val="left"/>
      <w:lvlText w:val="%1"/>
      <w:numFmt w:val="lowerLetter"/>
      <w:start w:val="1"/>
    </w:lvl>
    <w:lvl w:ilvl="1">
      <w:lvlJc w:val="left"/>
      <w:lvlText w:val="(%2)"/>
      <w:numFmt w:val="lowerLetter"/>
      <w:start w:val="1"/>
    </w:lvl>
  </w:abstractNum>
  <w:abstractNum w:abstractNumId="38">
    <w:nsid w:val="5B25ACE2"/>
    <w:multiLevelType w:val="hybridMultilevel"/>
    <w:lvl w:ilvl="0">
      <w:lvlJc w:val="left"/>
      <w:lvlText w:val="(%1)"/>
      <w:numFmt w:val="lowerLetter"/>
      <w:start w:val="35"/>
    </w:lvl>
    <w:lvl w:ilvl="1">
      <w:lvlJc w:val="left"/>
      <w:lvlText w:val="(%2)"/>
      <w:numFmt w:val="lowerLetter"/>
      <w:start w:val="2"/>
    </w:lvl>
  </w:abstractNum>
  <w:abstractNum w:abstractNumId="39">
    <w:nsid w:val="175DFCF0"/>
    <w:multiLevelType w:val="hybridMultilevel"/>
    <w:lvl w:ilvl="0">
      <w:lvlJc w:val="left"/>
      <w:lvlText w:val="(%1)"/>
      <w:numFmt w:val="lowerLetter"/>
      <w:start w:val="1"/>
    </w:lvl>
  </w:abstractNum>
  <w:abstractNum w:abstractNumId="40">
    <w:nsid w:val="4F97E3E4"/>
    <w:multiLevelType w:val="hybridMultilevel"/>
    <w:lvl w:ilvl="0">
      <w:lvlJc w:val="left"/>
      <w:lvlText w:val="(%1)"/>
      <w:numFmt w:val="lowerLetter"/>
      <w:start w:val="2"/>
    </w:lvl>
  </w:abstractNum>
  <w:abstractNum w:abstractNumId="41">
    <w:nsid w:val="53B0A9E"/>
    <w:multiLevelType w:val="hybridMultilevel"/>
    <w:lvl w:ilvl="0">
      <w:lvlJc w:val="left"/>
      <w:lvlText w:val="(%1)"/>
      <w:numFmt w:val="lowerRoman"/>
      <w:start w:val="2"/>
    </w:lvl>
  </w:abstractNum>
  <w:abstractNum w:abstractNumId="42">
    <w:nsid w:val="34FD6B4F"/>
    <w:multiLevelType w:val="hybridMultilevel"/>
    <w:lvl w:ilvl="0">
      <w:lvlJc w:val="left"/>
      <w:lvlText w:val="(%1)"/>
      <w:numFmt w:val="lowerLetter"/>
      <w:start w:val="1"/>
    </w:lvl>
    <w:lvl w:ilvl="1">
      <w:lvlJc w:val="left"/>
      <w:lvlText w:val="(%2)"/>
      <w:numFmt w:val="lowerRoman"/>
      <w:start w:val="1"/>
    </w:lvl>
  </w:abstractNum>
  <w:abstractNum w:abstractNumId="43">
    <w:nsid w:val="5915FF32"/>
    <w:multiLevelType w:val="hybridMultilevel"/>
    <w:lvl w:ilvl="0">
      <w:lvlJc w:val="left"/>
      <w:lvlText w:val="%1"/>
      <w:numFmt w:val="lowerLetter"/>
      <w:start w:val="1"/>
    </w:lvl>
    <w:lvl w:ilvl="1">
      <w:lvlJc w:val="left"/>
      <w:lvlText w:val="(%2)"/>
      <w:numFmt w:val="lowerLetter"/>
      <w:start w:val="1"/>
    </w:lvl>
  </w:abstractNum>
  <w:abstractNum w:abstractNumId="44">
    <w:nsid w:val="56438D15"/>
    <w:multiLevelType w:val="hybridMultilevel"/>
    <w:lvl w:ilvl="0">
      <w:lvlJc w:val="left"/>
      <w:lvlText w:val="(%1)"/>
      <w:numFmt w:val="lowerLetter"/>
      <w:start w:val="9"/>
    </w:lvl>
    <w:lvl w:ilvl="1">
      <w:lvlJc w:val="left"/>
      <w:lvlText w:val="(%2)"/>
      <w:numFmt w:val="lowerLetter"/>
      <w:start w:val="4"/>
    </w:lvl>
  </w:abstractNum>
  <w:abstractNum w:abstractNumId="45">
    <w:nsid w:val="519E3149"/>
    <w:multiLevelType w:val="hybridMultilevel"/>
    <w:lvl w:ilvl="0">
      <w:lvlJc w:val="left"/>
      <w:lvlText w:val="(%1)"/>
      <w:numFmt w:val="lowerRoman"/>
      <w:start w:val="1"/>
    </w:lvl>
  </w:abstractNum>
  <w:abstractNum w:abstractNumId="46">
    <w:nsid w:val="2C6E4AFD"/>
    <w:multiLevelType w:val="hybridMultilevel"/>
    <w:lvl w:ilvl="0">
      <w:lvlJc w:val="left"/>
      <w:lvlText w:val="(%1)"/>
      <w:numFmt w:val="lowerLetter"/>
      <w:start w:val="1"/>
    </w:lvl>
  </w:abstractNum>
  <w:abstractNum w:abstractNumId="47">
    <w:nsid w:val="17A1B582"/>
    <w:multiLevelType w:val="hybridMultilevel"/>
    <w:lvl w:ilvl="0">
      <w:lvlJc w:val="left"/>
      <w:lvlText w:val="(%1)"/>
      <w:numFmt w:val="lowerRoman"/>
      <w:start w:val="7"/>
    </w:lvl>
    <w:lvl w:ilvl="1">
      <w:lvlJc w:val="left"/>
      <w:lvlText w:val="(%2)"/>
      <w:numFmt w:val="lowerLetter"/>
      <w:start w:val="2"/>
    </w:lvl>
  </w:abstractNum>
  <w:abstractNum w:abstractNumId="48">
    <w:nsid w:val="4DF72E4E"/>
    <w:multiLevelType w:val="hybridMultilevel"/>
    <w:lvl w:ilvl="0">
      <w:lvlJc w:val="left"/>
      <w:lvlText w:val="(%1)"/>
      <w:numFmt w:val="lowerLetter"/>
      <w:start w:val="4"/>
    </w:lvl>
  </w:abstractNum>
  <w:abstractNum w:abstractNumId="49">
    <w:nsid w:val="5046B5A9"/>
    <w:multiLevelType w:val="hybridMultilevel"/>
    <w:lvl w:ilvl="0">
      <w:lvlJc w:val="left"/>
      <w:lvlText w:val="(%1)"/>
      <w:numFmt w:val="lowerLetter"/>
      <w:start w:val="1"/>
    </w:lvl>
  </w:abstractNum>
  <w:abstractNum w:abstractNumId="50">
    <w:nsid w:val="5D888A08"/>
    <w:multiLevelType w:val="hybridMultilevel"/>
    <w:lvl w:ilvl="0">
      <w:lvlJc w:val="left"/>
      <w:lvlText w:val="(%1)"/>
      <w:numFmt w:val="lowerLetter"/>
      <w:start w:val="1"/>
    </w:lvl>
  </w:abstractNum>
  <w:abstractNum w:abstractNumId="51">
    <w:nsid w:val="2A082C70"/>
    <w:multiLevelType w:val="hybridMultilevel"/>
    <w:lvl w:ilvl="0">
      <w:lvlJc w:val="left"/>
      <w:lvlText w:val="(%1)"/>
      <w:numFmt w:val="lowerLetter"/>
      <w:start w:val="4"/>
    </w:lvl>
  </w:abstractNum>
  <w:abstractNum w:abstractNumId="52">
    <w:nsid w:val="5EC6AFD4"/>
    <w:multiLevelType w:val="hybridMultilevel"/>
    <w:lvl w:ilvl="0">
      <w:lvlJc w:val="left"/>
      <w:lvlText w:val="%1"/>
      <w:numFmt w:val="lowerLetter"/>
      <w:start w:val="1"/>
    </w:lvl>
    <w:lvl w:ilvl="1">
      <w:lvlJc w:val="left"/>
      <w:lvlText w:val="(%2)"/>
      <w:numFmt w:val="lowerLetter"/>
      <w:start w:val="6"/>
    </w:lvl>
  </w:abstractNum>
  <w:abstractNum w:abstractNumId="53">
    <w:nsid w:val="19E21BB2"/>
    <w:multiLevelType w:val="hybridMultilevel"/>
    <w:lvl w:ilvl="0">
      <w:lvlJc w:val="left"/>
      <w:lvlText w:val="(%1)"/>
      <w:numFmt w:val="lowerLetter"/>
      <w:start w:val="61"/>
    </w:lvl>
    <w:lvl w:ilvl="1">
      <w:lvlJc w:val="left"/>
      <w:lvlText w:val="(%2)"/>
      <w:numFmt w:val="lowerLetter"/>
      <w:start w:val="7"/>
    </w:lvl>
  </w:abstractNum>
  <w:abstractNum w:abstractNumId="54">
    <w:nsid w:val="75E0858A"/>
    <w:multiLevelType w:val="hybridMultilevel"/>
    <w:lvl w:ilvl="0">
      <w:lvlJc w:val="left"/>
      <w:lvlText w:val="(%1)"/>
      <w:numFmt w:val="lowerLetter"/>
      <w:start w:val="9"/>
    </w:lvl>
  </w:abstractNum>
  <w:abstractNum w:abstractNumId="55">
    <w:nsid w:val="57A61A29"/>
    <w:multiLevelType w:val="hybridMultilevel"/>
    <w:lvl w:ilvl="0">
      <w:lvlJc w:val="left"/>
      <w:lvlText w:val="(%1)"/>
      <w:numFmt w:val="lowerLetter"/>
      <w:start w:val="12"/>
    </w:lvl>
  </w:abstractNum>
  <w:abstractNum w:abstractNumId="56">
    <w:nsid w:val="5399C654"/>
    <w:multiLevelType w:val="hybridMultilevel"/>
    <w:lvl w:ilvl="0">
      <w:lvlJc w:val="left"/>
      <w:lvlText w:val="(%1)"/>
      <w:numFmt w:val="lowerLetter"/>
      <w:start w:val="1"/>
    </w:lvl>
  </w:abstractNum>
  <w:abstractNum w:abstractNumId="57">
    <w:nsid w:val="20EE1348"/>
    <w:multiLevelType w:val="hybridMultilevel"/>
    <w:lvl w:ilvl="0">
      <w:lvlJc w:val="left"/>
      <w:lvlText w:val="(%1)"/>
      <w:numFmt w:val="lowerLetter"/>
      <w:start w:val="1"/>
    </w:lvl>
  </w:abstractNum>
  <w:abstractNum w:abstractNumId="58">
    <w:nsid w:val="4427069A"/>
    <w:multiLevelType w:val="hybridMultilevel"/>
    <w:lvl w:ilvl="0">
      <w:lvlJc w:val="left"/>
      <w:lvlText w:val="(%1)"/>
      <w:numFmt w:val="lowerLetter"/>
      <w:start w:val="2"/>
    </w:lvl>
    <w:lvl w:ilvl="1">
      <w:lvlJc w:val="left"/>
      <w:lvlText w:val="(%2)"/>
      <w:numFmt w:val="lowerRoman"/>
      <w:start w:val="1"/>
    </w:lvl>
  </w:abstractNum>
  <w:abstractNum w:abstractNumId="59">
    <w:nsid w:val="B37E80A"/>
    <w:multiLevelType w:val="hybridMultilevel"/>
    <w:lvl w:ilvl="0">
      <w:lvlJc w:val="left"/>
      <w:lvlText w:val="(%1)"/>
      <w:numFmt w:val="lowerLetter"/>
      <w:start w:val="61"/>
    </w:lvl>
    <w:lvl w:ilvl="1">
      <w:lvlJc w:val="left"/>
      <w:lvlText w:val="(%2)"/>
      <w:numFmt w:val="lowerRoman"/>
      <w:start w:val="2"/>
    </w:lvl>
  </w:abstractNum>
  <w:abstractNum w:abstractNumId="60">
    <w:nsid w:val="2157F6BC"/>
    <w:multiLevelType w:val="hybridMultilevel"/>
    <w:lvl w:ilvl="0">
      <w:lvlJc w:val="left"/>
      <w:lvlText w:val="(%1)"/>
      <w:numFmt w:val="lowerLetter"/>
      <w:start w:val="4"/>
    </w:lvl>
  </w:abstractNum>
  <w:abstractNum w:abstractNumId="61">
    <w:nsid w:val="704E1DD5"/>
    <w:multiLevelType w:val="hybridMultilevel"/>
    <w:lvl w:ilvl="0">
      <w:lvlJc w:val="left"/>
      <w:lvlText w:val="(%1)"/>
      <w:numFmt w:val="lowerLetter"/>
      <w:start w:val="1"/>
    </w:lvl>
  </w:abstractNum>
  <w:abstractNum w:abstractNumId="62">
    <w:nsid w:val="57D2F10E"/>
    <w:multiLevelType w:val="hybridMultilevel"/>
    <w:lvl w:ilvl="0">
      <w:lvlJc w:val="left"/>
      <w:lvlText w:val="(%1)"/>
      <w:numFmt w:val="lowerLetter"/>
      <w:start w:val="1"/>
    </w:lvl>
  </w:abstractNum>
  <w:abstractNum w:abstractNumId="63">
    <w:nsid w:val="BFFAE18"/>
    <w:multiLevelType w:val="hybridMultilevel"/>
    <w:lvl w:ilvl="0">
      <w:lvlJc w:val="left"/>
      <w:lvlText w:val="(%1)"/>
      <w:numFmt w:val="lowerLetter"/>
      <w:start w:val="35"/>
    </w:lvl>
    <w:lvl w:ilvl="1">
      <w:lvlJc w:val="left"/>
      <w:lvlText w:val="(%2)"/>
      <w:numFmt w:val="lowerLetter"/>
      <w:start w:val="4"/>
    </w:lvl>
  </w:abstractNum>
  <w:abstractNum w:abstractNumId="64">
    <w:nsid w:val="E3E47A8"/>
    <w:multiLevelType w:val="hybridMultilevel"/>
    <w:lvl w:ilvl="0">
      <w:lvlJc w:val="left"/>
      <w:lvlText w:val="(%1)"/>
      <w:numFmt w:val="lowerLetter"/>
      <w:start w:val="1"/>
    </w:lvl>
  </w:abstractNum>
  <w:abstractNum w:abstractNumId="65">
    <w:nsid w:val="2E48F044"/>
    <w:multiLevelType w:val="hybridMultilevel"/>
    <w:lvl w:ilvl="0">
      <w:lvlJc w:val="left"/>
      <w:lvlText w:val="(%1)"/>
      <w:numFmt w:val="lowerLetter"/>
      <w:start w:val="1"/>
    </w:lvl>
  </w:abstractNum>
  <w:abstractNum w:abstractNumId="66">
    <w:nsid w:val="49D0FEAC"/>
    <w:multiLevelType w:val="hybridMultilevel"/>
    <w:lvl w:ilvl="0">
      <w:lvlJc w:val="left"/>
      <w:lvlText w:val="(%1)"/>
      <w:numFmt w:val="lowerLetter"/>
      <w:start w:val="5"/>
    </w:lvl>
  </w:abstractNum>
  <w:abstractNum w:abstractNumId="67">
    <w:nsid w:val="4BEE5A5B"/>
    <w:multiLevelType w:val="hybridMultilevel"/>
    <w:lvl w:ilvl="0">
      <w:lvlJc w:val="left"/>
      <w:lvlText w:val="(%1)"/>
      <w:numFmt w:val="lowerLetter"/>
      <w:start w:val="1"/>
    </w:lvl>
  </w:abstractNum>
  <w:abstractNum w:abstractNumId="68">
    <w:nsid w:val="5551B9F3"/>
    <w:multiLevelType w:val="hybridMultilevel"/>
    <w:lvl w:ilvl="0">
      <w:lvlJc w:val="left"/>
      <w:lvlText w:val="(%1)"/>
      <w:numFmt w:val="lowerLetter"/>
      <w:start w:val="8"/>
    </w:lvl>
  </w:abstractNum>
  <w:abstractNum w:abstractNumId="69">
    <w:nsid w:val="24F6AB8E"/>
    <w:multiLevelType w:val="hybridMultilevel"/>
    <w:lvl w:ilvl="0">
      <w:lvlJc w:val="left"/>
      <w:lvlText w:val="(%1)"/>
      <w:numFmt w:val="lowerLetter"/>
      <w:start w:val="1"/>
    </w:lvl>
  </w:abstractNum>
  <w:abstractNum w:abstractNumId="70">
    <w:nsid w:val="634C574C"/>
    <w:multiLevelType w:val="hybridMultilevel"/>
    <w:lvl w:ilvl="0">
      <w:lvlJc w:val="left"/>
      <w:lvlText w:val="(%1)"/>
      <w:numFmt w:val="lowerLetter"/>
      <w:start w:val="2"/>
    </w:lvl>
    <w:lvl w:ilvl="1">
      <w:lvlJc w:val="left"/>
      <w:lvlText w:val="(%2)"/>
      <w:numFmt w:val="lowerRoman"/>
      <w:start w:val="1"/>
    </w:lvl>
  </w:abstractNum>
  <w:abstractNum w:abstractNumId="71">
    <w:nsid w:val="24E99DD7"/>
    <w:multiLevelType w:val="hybridMultilevel"/>
    <w:lvl w:ilvl="0">
      <w:lvlJc w:val="left"/>
      <w:lvlText w:val="(%1)"/>
      <w:numFmt w:val="lowerLetter"/>
      <w:start w:val="1"/>
    </w:lvl>
    <w:lvl w:ilvl="1">
      <w:lvlJc w:val="left"/>
      <w:lvlText w:val="(%2)"/>
      <w:numFmt w:val="lowerRoman"/>
      <w:start w:val="1"/>
    </w:lvl>
  </w:abstractNum>
  <w:abstractNum w:abstractNumId="72">
    <w:nsid w:val="2A31B62D"/>
    <w:multiLevelType w:val="hybridMultilevel"/>
    <w:lvl w:ilvl="0">
      <w:lvlJc w:val="left"/>
      <w:lvlText w:val="(%1)"/>
      <w:numFmt w:val="lowerLetter"/>
      <w:start w:val="2"/>
    </w:lvl>
  </w:abstractNum>
  <w:abstractNum w:abstractNumId="73">
    <w:nsid w:val="1849C29B"/>
    <w:multiLevelType w:val="hybridMultilevel"/>
    <w:lvl w:ilvl="0">
      <w:lvlJc w:val="left"/>
      <w:lvlText w:val="(%1)"/>
      <w:numFmt w:val="decimal"/>
      <w:start w:val="10"/>
    </w:lvl>
    <w:lvl w:ilvl="1">
      <w:lvlJc w:val="left"/>
      <w:lvlText w:val="(%2)"/>
      <w:numFmt w:val="lowerLetter"/>
      <w:start w:val="1"/>
    </w:lvl>
  </w:abstractNum>
  <w:abstractNum w:abstractNumId="74">
    <w:nsid w:val="7DFF9D09"/>
    <w:multiLevelType w:val="hybridMultilevel"/>
    <w:lvl w:ilvl="0">
      <w:lvlJc w:val="left"/>
      <w:lvlText w:val="(%1)"/>
      <w:numFmt w:val="lowerLetter"/>
      <w:start w:val="6"/>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75">
    <w:nsid w:val="754342"/>
    <w:multiLevelType w:val="hybridMultilevel"/>
    <w:lvl w:ilvl="0">
      <w:lvlJc w:val="left"/>
      <w:lvlText w:val="%1"/>
      <w:numFmt w:val="lowerRoman"/>
      <w:start w:val="1"/>
    </w:lvl>
    <w:lvl w:ilvl="1">
      <w:lvlJc w:val="left"/>
      <w:lvlText w:val="(%2)"/>
      <w:numFmt w:val="upperLetter"/>
      <w:start w:val="2"/>
    </w:lvl>
  </w:abstractNum>
  <w:abstractNum w:abstractNumId="76">
    <w:nsid w:val="69E7F3E5"/>
    <w:multiLevelType w:val="hybridMultilevel"/>
    <w:lvl w:ilvl="0">
      <w:lvlJc w:val="left"/>
      <w:lvlText w:val="(%1)"/>
      <w:numFmt w:val="lowerRoman"/>
      <w:start w:val="3"/>
    </w:lvl>
    <w:lvl w:ilvl="1">
      <w:lvlJc w:val="left"/>
      <w:lvlText w:val="%2"/>
      <w:numFmt w:val="upperLetter"/>
      <w:start w:val="1"/>
    </w:lvl>
  </w:abstractNum>
  <w:abstractNum w:abstractNumId="77">
    <w:nsid w:val="2A6DE806"/>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2"/>
    </w:lvl>
    <w:lvl w:ilvl="3">
      <w:lvlJc w:val="left"/>
      <w:lvlText w:val="%4"/>
      <w:numFmt w:val="decimal"/>
      <w:start w:val="1"/>
    </w:lvl>
  </w:abstractNum>
  <w:abstractNum w:abstractNumId="78">
    <w:nsid w:val="1816F8C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79">
    <w:nsid w:val="37DF2233"/>
    <w:multiLevelType w:val="hybridMultilevel"/>
    <w:lvl w:ilvl="0">
      <w:lvlJc w:val="left"/>
      <w:lvlText w:val="%1"/>
      <w:numFmt w:val="lowerLetter"/>
      <w:start w:val="1"/>
    </w:lvl>
    <w:lvl w:ilvl="1">
      <w:lvlJc w:val="left"/>
      <w:lvlText w:val="(%2)"/>
      <w:numFmt w:val="lowerRoman"/>
      <w:start w:val="4"/>
    </w:lvl>
  </w:abstractNum>
  <w:abstractNum w:abstractNumId="80">
    <w:nsid w:val="7AB49DAF"/>
    <w:multiLevelType w:val="hybridMultilevel"/>
    <w:lvl w:ilvl="0">
      <w:lvlJc w:val="left"/>
      <w:lvlText w:val="(%1)"/>
      <w:numFmt w:val="lowerLetter"/>
      <w:start w:val="8"/>
    </w:lvl>
    <w:lvl w:ilvl="1">
      <w:lvlJc w:val="left"/>
      <w:lvlText w:val="%2"/>
      <w:numFmt w:val="lowerRoman"/>
      <w:start w:val="1"/>
    </w:lvl>
  </w:abstractNum>
  <w:abstractNum w:abstractNumId="81">
    <w:nsid w:val="759F82CD"/>
    <w:multiLevelType w:val="hybridMultilevel"/>
    <w:lvl w:ilvl="0">
      <w:lvlJc w:val="left"/>
      <w:lvlText w:val="(%1)"/>
      <w:numFmt w:val="lowerLetter"/>
      <w:start w:val="1"/>
    </w:lvl>
  </w:abstractNum>
  <w:abstractNum w:abstractNumId="82">
    <w:nsid w:val="61E74EA3"/>
    <w:multiLevelType w:val="hybridMultilevel"/>
    <w:lvl w:ilvl="0">
      <w:lvlJc w:val="left"/>
      <w:lvlText w:val="(%1)"/>
      <w:numFmt w:val="lowerLetter"/>
      <w:start w:val="2"/>
    </w:lvl>
  </w:abstractNum>
  <w:abstractNum w:abstractNumId="83">
    <w:nsid w:val="597B4D84"/>
    <w:multiLevelType w:val="hybridMultilevel"/>
    <w:lvl w:ilvl="0">
      <w:lvlJc w:val="left"/>
      <w:lvlText w:val="(%1)"/>
      <w:numFmt w:val="lowerLetter"/>
      <w:start w:val="5"/>
    </w:lvl>
  </w:abstractNum>
  <w:abstractNum w:abstractNumId="84">
    <w:nsid w:val="F819E7F"/>
    <w:multiLevelType w:val="hybridMultilevel"/>
    <w:lvl w:ilvl="0">
      <w:lvlJc w:val="left"/>
      <w:lvlText w:val="(%1)"/>
      <w:numFmt w:val="lowerLetter"/>
      <w:start w:val="1"/>
    </w:lvl>
  </w:abstractNum>
  <w:abstractNum w:abstractNumId="85">
    <w:nsid w:val="57C7D42D"/>
    <w:multiLevelType w:val="hybridMultilevel"/>
    <w:lvl w:ilvl="0">
      <w:lvlJc w:val="left"/>
      <w:lvlText w:val="(%1)"/>
      <w:numFmt w:val="lowerLetter"/>
      <w:start w:val="1"/>
    </w:lvl>
    <w:lvl w:ilvl="1">
      <w:lvlJc w:val="left"/>
      <w:lvlText w:val="(%2)"/>
      <w:numFmt w:val="lowerRoman"/>
      <w:start w:val="1"/>
    </w:lvl>
  </w:abstractNum>
  <w:abstractNum w:abstractNumId="86">
    <w:nsid w:val="312167AD"/>
    <w:multiLevelType w:val="hybridMultilevel"/>
    <w:lvl w:ilvl="0">
      <w:lvlJc w:val="left"/>
      <w:lvlText w:val="%1"/>
      <w:numFmt w:val="lowerLetter"/>
      <w:start w:val="1"/>
    </w:lvl>
    <w:lvl w:ilvl="1">
      <w:lvlJc w:val="left"/>
      <w:lvlText w:val="(%2)"/>
      <w:numFmt w:val="lowerLetter"/>
      <w:start w:val="4"/>
    </w:lvl>
  </w:abstractNum>
  <w:abstractNum w:abstractNumId="87">
    <w:nsid w:val="631B64D4"/>
    <w:multiLevelType w:val="hybridMultilevel"/>
    <w:lvl w:ilvl="0">
      <w:lvlJc w:val="left"/>
      <w:lvlText w:val="(%1)"/>
      <w:numFmt w:val="lowerLetter"/>
      <w:start w:val="25"/>
    </w:lvl>
    <w:lvl w:ilvl="1">
      <w:lvlJc w:val="left"/>
      <w:lvlText w:val="(%2)"/>
      <w:numFmt w:val="lowerLetter"/>
      <w:start w:val="6"/>
    </w:lvl>
  </w:abstractNum>
  <w:abstractNum w:abstractNumId="88">
    <w:nsid w:val="78B5E776"/>
    <w:multiLevelType w:val="hybridMultilevel"/>
    <w:lvl w:ilvl="0">
      <w:lvlJc w:val="left"/>
      <w:lvlText w:val="(%1)"/>
      <w:numFmt w:val="lowerLetter"/>
      <w:start w:val="1"/>
    </w:lvl>
  </w:abstractNum>
  <w:abstractNum w:abstractNumId="89">
    <w:nsid w:val="75486E47"/>
    <w:multiLevelType w:val="hybridMultilevel"/>
    <w:lvl w:ilvl="0">
      <w:lvlJc w:val="left"/>
      <w:lvlText w:val="(%1)"/>
      <w:numFmt w:val="lowerLetter"/>
      <w:start w:val="1"/>
    </w:lvl>
  </w:abstractNum>
  <w:abstractNum w:abstractNumId="90">
    <w:nsid w:val="6E534CDE"/>
    <w:multiLevelType w:val="hybridMultilevel"/>
    <w:lvl w:ilvl="0">
      <w:lvlJc w:val="left"/>
      <w:lvlText w:val="(%1)"/>
      <w:numFmt w:val="lowerLetter"/>
      <w:start w:val="1"/>
    </w:lvl>
  </w:abstractNum>
  <w:abstractNum w:abstractNumId="91">
    <w:nsid w:val="1A0DDE32"/>
    <w:multiLevelType w:val="hybridMultilevel"/>
    <w:lvl w:ilvl="0">
      <w:lvlJc w:val="left"/>
      <w:lvlText w:val="(%1)"/>
      <w:numFmt w:val="lowerLetter"/>
      <w:start w:val="1"/>
    </w:lvl>
  </w:abstractNum>
  <w:abstractNum w:abstractNumId="92">
    <w:nsid w:val="65968C1C"/>
    <w:multiLevelType w:val="hybridMultilevel"/>
    <w:lvl w:ilvl="0">
      <w:lvlJc w:val="left"/>
      <w:lvlText w:val="(%1)"/>
      <w:numFmt w:val="lowerLetter"/>
      <w:start w:val="1"/>
    </w:lvl>
  </w:abstractNum>
  <w:abstractNum w:abstractNumId="93">
    <w:nsid w:val="46263DEC"/>
    <w:multiLevelType w:val="hybridMultilevel"/>
    <w:lvl w:ilvl="0">
      <w:lvlJc w:val="left"/>
      <w:lvlText w:val="(%1)"/>
      <w:numFmt w:val="lowerLetter"/>
      <w:start w:val="1"/>
    </w:lvl>
  </w:abstractNum>
  <w:abstractNum w:abstractNumId="94">
    <w:nsid w:val="260D8C4A"/>
    <w:multiLevelType w:val="hybridMultilevel"/>
    <w:lvl w:ilvl="0">
      <w:lvlJc w:val="left"/>
      <w:lvlText w:val="%1"/>
      <w:numFmt w:val="lowerLetter"/>
      <w:start w:val="1"/>
    </w:lvl>
    <w:lvl w:ilvl="1">
      <w:lvlJc w:val="left"/>
      <w:lvlText w:val="(%2)"/>
      <w:numFmt w:val="lowerLetter"/>
      <w:start w:val="7"/>
    </w:lvl>
  </w:abstractNum>
  <w:abstractNum w:abstractNumId="95">
    <w:nsid w:val="73D4D3C4"/>
    <w:multiLevelType w:val="hybridMultilevel"/>
    <w:lvl w:ilvl="0">
      <w:lvlJc w:val="left"/>
      <w:lvlText w:val="(%1)"/>
      <w:numFmt w:val="lowerLetter"/>
      <w:start w:val="35"/>
    </w:lvl>
    <w:lvl w:ilvl="1">
      <w:lvlJc w:val="left"/>
      <w:lvlText w:val="(%2)"/>
      <w:numFmt w:val="lowerLetter"/>
      <w:start w:val="11"/>
    </w:lvl>
  </w:abstractNum>
  <w:abstractNum w:abstractNumId="96">
    <w:nsid w:val="746F2E30"/>
    <w:multiLevelType w:val="hybridMultilevel"/>
    <w:lvl w:ilvl="0">
      <w:lvlJc w:val="left"/>
      <w:lvlText w:val="(%1)"/>
      <w:numFmt w:val="lowerLetter"/>
      <w:start w:val="1"/>
    </w:lvl>
  </w:abstractNum>
  <w:abstractNum w:abstractNumId="97">
    <w:nsid w:val="6FDE8AF6"/>
    <w:multiLevelType w:val="hybridMultilevel"/>
    <w:lvl w:ilvl="0">
      <w:lvlJc w:val="left"/>
      <w:lvlText w:val="(%1)"/>
      <w:numFmt w:val="lowerLetter"/>
      <w:start w:val="2"/>
    </w:lvl>
  </w:abstractNum>
  <w:abstractNum w:abstractNumId="98">
    <w:nsid w:val="3FC32E20"/>
    <w:multiLevelType w:val="hybridMultilevel"/>
    <w:lvl w:ilvl="0">
      <w:lvlJc w:val="left"/>
      <w:lvlText w:val="(%1)"/>
      <w:numFmt w:val="lowerLetter"/>
      <w:start w:val="1"/>
    </w:lvl>
  </w:abstractNum>
  <w:abstractNum w:abstractNumId="99">
    <w:nsid w:val="49C0E823"/>
    <w:multiLevelType w:val="hybridMultilevel"/>
    <w:lvl w:ilvl="0">
      <w:lvlJc w:val="left"/>
      <w:lvlText w:val="(%1)"/>
      <w:numFmt w:val="lowerLetter"/>
      <w:start w:val="3"/>
    </w:lvl>
  </w:abstractNum>
  <w:abstractNum w:abstractNumId="100">
    <w:nsid w:val="14D53685"/>
    <w:multiLevelType w:val="hybridMultilevel"/>
    <w:lvl w:ilvl="0">
      <w:lvlJc w:val="left"/>
      <w:lvlText w:val="(%1)"/>
      <w:numFmt w:val="lowerLetter"/>
      <w:start w:val="1"/>
    </w:lvl>
  </w:abstractNum>
  <w:abstractNum w:abstractNumId="101">
    <w:nsid w:val="230F856C"/>
    <w:multiLevelType w:val="hybridMultilevel"/>
    <w:lvl w:ilvl="0">
      <w:lvlJc w:val="left"/>
      <w:lvlText w:val="(%1)"/>
      <w:numFmt w:val="lowerLetter"/>
      <w:start w:val="1"/>
    </w:lvl>
  </w:abstractNum>
  <w:abstractNum w:abstractNumId="102">
    <w:nsid w:val="6EAA85FB"/>
    <w:multiLevelType w:val="hybridMultilevel"/>
    <w:lvl w:ilvl="0">
      <w:lvlJc w:val="left"/>
      <w:lvlText w:val="(%1)"/>
      <w:numFmt w:val="lowerLetter"/>
      <w:start w:val="2"/>
    </w:lvl>
  </w:abstractNum>
  <w:abstractNum w:abstractNumId="103">
    <w:nsid w:val="3F06ECB2"/>
    <w:multiLevelType w:val="hybridMultilevel"/>
    <w:lvl w:ilvl="0">
      <w:lvlJc w:val="left"/>
      <w:lvlText w:val="(%1)"/>
      <w:numFmt w:val="lowerLetter"/>
      <w:start w:val="1"/>
    </w:lvl>
  </w:abstractNum>
  <w:abstractNum w:abstractNumId="104">
    <w:nsid w:val="3B594807"/>
    <w:multiLevelType w:val="hybridMultilevel"/>
    <w:lvl w:ilvl="0">
      <w:lvlJc w:val="left"/>
      <w:lvlText w:val="(%1)"/>
      <w:numFmt w:val="lowerLetter"/>
      <w:start w:val="9"/>
    </w:lvl>
  </w:abstractNum>
  <w:abstractNum w:abstractNumId="105">
    <w:nsid w:val="6CAA2304"/>
    <w:multiLevelType w:val="hybridMultilevel"/>
    <w:lvl w:ilvl="0">
      <w:lvlJc w:val="left"/>
      <w:lvlText w:val="%1"/>
      <w:numFmt w:val="lowerLetter"/>
      <w:start w:val="1"/>
    </w:lvl>
    <w:lvl w:ilvl="1">
      <w:lvlJc w:val="left"/>
      <w:lvlText w:val="(%2)"/>
      <w:numFmt w:val="lowerLetter"/>
      <w:start w:val="1"/>
    </w:lvl>
  </w:abstractNum>
  <w:abstractNum w:abstractNumId="106">
    <w:nsid w:val="3F7C2FF4"/>
    <w:multiLevelType w:val="hybridMultilevel"/>
    <w:lvl w:ilvl="0">
      <w:lvlJc w:val="left"/>
      <w:lvlText w:val="(%1)"/>
      <w:numFmt w:val="lowerLetter"/>
      <w:start w:val="9"/>
    </w:lvl>
    <w:lvl w:ilvl="1">
      <w:lvlJc w:val="left"/>
      <w:lvlText w:val="(%2)"/>
      <w:numFmt w:val="lowerLetter"/>
      <w:start w:val="3"/>
    </w:lvl>
  </w:abstractNum>
  <w:abstractNum w:abstractNumId="107">
    <w:nsid w:val="25413BEC"/>
    <w:multiLevelType w:val="hybridMultilevel"/>
    <w:lvl w:ilvl="0">
      <w:lvlJc w:val="left"/>
      <w:lvlText w:val="(%1)"/>
      <w:numFmt w:val="lowerLetter"/>
      <w:start w:val="6"/>
    </w:lvl>
  </w:abstractNum>
  <w:abstractNum w:abstractNumId="108">
    <w:nsid w:val="17180B0B"/>
    <w:multiLevelType w:val="hybridMultilevel"/>
    <w:lvl w:ilvl="0">
      <w:lvlJc w:val="left"/>
      <w:lvlText w:val="(%1)"/>
      <w:numFmt w:val="lowerLetter"/>
      <w:start w:val="8"/>
    </w:lvl>
  </w:abstractNum>
  <w:abstractNum w:abstractNumId="109">
    <w:nsid w:val="579328B9"/>
    <w:multiLevelType w:val="hybridMultilevel"/>
    <w:lvl w:ilvl="0">
      <w:lvlJc w:val="left"/>
      <w:lvlText w:val="(%1)"/>
      <w:numFmt w:val="lowerLetter"/>
      <w:start w:val="1"/>
    </w:lvl>
  </w:abstractNum>
  <w:abstractNum w:abstractNumId="110">
    <w:nsid w:val="5D205E20"/>
    <w:multiLevelType w:val="hybridMultilevel"/>
    <w:lvl w:ilvl="0">
      <w:lvlJc w:val="left"/>
      <w:lvlText w:val="(%1)"/>
      <w:numFmt w:val="lowerLetter"/>
      <w:start w:val="1"/>
    </w:lvl>
    <w:lvl w:ilvl="1">
      <w:lvlJc w:val="left"/>
      <w:lvlText w:val="%2."/>
      <w:numFmt w:val="lowerRoman"/>
      <w:start w:val="1"/>
    </w:lvl>
  </w:abstractNum>
  <w:abstractNum w:abstractNumId="111">
    <w:nsid w:val="11CCA8BA"/>
    <w:multiLevelType w:val="hybridMultilevel"/>
    <w:lvl w:ilvl="0">
      <w:lvlJc w:val="left"/>
      <w:lvlText w:val="%1."/>
      <w:numFmt w:val="lowerRoman"/>
      <w:start w:val="3"/>
    </w:lvl>
  </w:abstractNum>
  <w:abstractNum w:abstractNumId="112">
    <w:nsid w:val="4D32AB86"/>
    <w:multiLevelType w:val="hybridMultilevel"/>
    <w:lvl w:ilvl="0">
      <w:lvlJc w:val="left"/>
      <w:lvlText w:val="(%1)"/>
      <w:numFmt w:val="lowerLetter"/>
      <w:start w:val="1"/>
    </w:lvl>
  </w:abstractNum>
  <w:abstractNum w:abstractNumId="113">
    <w:nsid w:val="3F07ACC3"/>
    <w:multiLevelType w:val="hybridMultilevel"/>
    <w:lvl w:ilvl="0">
      <w:lvlJc w:val="left"/>
      <w:lvlText w:val="(%1)"/>
      <w:numFmt w:val="lowerLetter"/>
      <w:start w:val="1"/>
    </w:lvl>
  </w:abstractNum>
  <w:abstractNum w:abstractNumId="114">
    <w:nsid w:val="6B47F63E"/>
    <w:multiLevelType w:val="hybridMultilevel"/>
    <w:lvl w:ilvl="0">
      <w:lvlJc w:val="left"/>
      <w:lvlText w:val="(%1)"/>
      <w:numFmt w:val="lowerLetter"/>
      <w:start w:val="2"/>
    </w:lvl>
  </w:abstractNum>
  <w:abstractNum w:abstractNumId="115">
    <w:nsid w:val="5CB44A05"/>
    <w:multiLevelType w:val="hybridMultilevel"/>
    <w:lvl w:ilvl="0">
      <w:lvlJc w:val="left"/>
      <w:lvlText w:val="%1"/>
      <w:numFmt w:val="lowerLetter"/>
      <w:start w:val="1"/>
    </w:lvl>
    <w:lvl w:ilvl="1">
      <w:lvlJc w:val="left"/>
      <w:lvlText w:val="(%2)"/>
      <w:numFmt w:val="lowerLetter"/>
      <w:start w:val="1"/>
    </w:lvl>
  </w:abstractNum>
  <w:abstractNum w:abstractNumId="116">
    <w:nsid w:val="16CF80F1"/>
    <w:multiLevelType w:val="hybridMultilevel"/>
    <w:lvl w:ilvl="0">
      <w:lvlJc w:val="left"/>
      <w:lvlText w:val="(%1)"/>
      <w:numFmt w:val="lowerLetter"/>
      <w:start w:val="25"/>
    </w:lvl>
    <w:lvl w:ilvl="1">
      <w:lvlJc w:val="left"/>
      <w:lvlText w:val="(%2)"/>
      <w:numFmt w:val="lowerLetter"/>
      <w:start w:val="6"/>
    </w:lvl>
  </w:abstractNum>
  <w:abstractNum w:abstractNumId="117">
    <w:nsid w:val="1C695DEC"/>
    <w:multiLevelType w:val="hybridMultilevel"/>
    <w:lvl w:ilvl="0">
      <w:lvlJc w:val="left"/>
      <w:lvlText w:val="%1"/>
      <w:numFmt w:val="lowerRoman"/>
      <w:start w:val="1"/>
    </w:lvl>
    <w:lvl w:ilvl="1">
      <w:lvlJc w:val="left"/>
      <w:lvlText w:val="(%2)"/>
      <w:numFmt w:val="lowerLetter"/>
      <w:start w:val="8"/>
    </w:lvl>
  </w:abstractNum>
  <w:abstractNum w:abstractNumId="118">
    <w:nsid w:val="3FCFAED9"/>
    <w:multiLevelType w:val="hybridMultilevel"/>
    <w:lvl w:ilvl="0">
      <w:lvlJc w:val="left"/>
      <w:lvlText w:val="(%1)"/>
      <w:numFmt w:val="lowerRoman"/>
      <w:start w:val="6"/>
    </w:lvl>
    <w:lvl w:ilvl="1">
      <w:lvlJc w:val="left"/>
      <w:lvlText w:val="(%2)"/>
      <w:numFmt w:val="lowerLetter"/>
      <w:start w:val="10"/>
    </w:lvl>
  </w:abstractNum>
  <w:abstractNum w:abstractNumId="119">
    <w:nsid w:val="F856867"/>
    <w:multiLevelType w:val="hybridMultilevel"/>
    <w:lvl w:ilvl="0">
      <w:lvlJc w:val="left"/>
      <w:lvlText w:val="(%1)"/>
      <w:numFmt w:val="lowerLetter"/>
      <w:start w:val="16"/>
    </w:lvl>
  </w:abstractNum>
  <w:abstractNum w:abstractNumId="120">
    <w:nsid w:val="11B1CC33"/>
    <w:multiLevelType w:val="hybridMultilevel"/>
    <w:lvl w:ilvl="0">
      <w:lvlJc w:val="left"/>
      <w:lvlText w:val="(%1)"/>
      <w:numFmt w:val="lowerLetter"/>
      <w:start w:val="8"/>
    </w:lvl>
  </w:abstractNum>
  <w:abstractNum w:abstractNumId="121">
    <w:nsid w:val="2E22FBB7"/>
    <w:multiLevelType w:val="hybridMultilevel"/>
    <w:lvl w:ilvl="0">
      <w:lvlJc w:val="left"/>
      <w:lvlText w:val="(%1)"/>
      <w:numFmt w:val="lowerLetter"/>
      <w:start w:val="1"/>
    </w:lvl>
  </w:abstractNum>
  <w:abstractNum w:abstractNumId="122">
    <w:nsid w:val="29934699"/>
    <w:multiLevelType w:val="hybridMultilevel"/>
    <w:lvl w:ilvl="0">
      <w:lvlJc w:val="left"/>
      <w:lvlText w:val="(%1)"/>
      <w:numFmt w:val="lowerLetter"/>
      <w:start w:val="4"/>
    </w:lvl>
  </w:abstractNum>
  <w:abstractNum w:abstractNumId="123">
    <w:nsid w:val="77485850"/>
    <w:multiLevelType w:val="hybridMultilevel"/>
    <w:lvl w:ilvl="0">
      <w:lvlJc w:val="left"/>
      <w:lvlText w:val="(%1)"/>
      <w:numFmt w:val="lowerLetter"/>
      <w:start w:val="1"/>
    </w:lvl>
    <w:lvl w:ilvl="1">
      <w:lvlJc w:val="left"/>
      <w:lvlText w:val="(%2)"/>
      <w:numFmt w:val="lowerLetter"/>
      <w:start w:val="9"/>
    </w:lvl>
  </w:abstractNum>
  <w:abstractNum w:abstractNumId="124">
    <w:nsid w:val="744939A3"/>
    <w:multiLevelType w:val="hybridMultilevel"/>
    <w:lvl w:ilvl="0">
      <w:lvlJc w:val="left"/>
      <w:lvlText w:val="%1"/>
      <w:numFmt w:val="decimal"/>
      <w:start w:val="1"/>
    </w:lvl>
    <w:lvl w:ilvl="1">
      <w:lvlJc w:val="left"/>
      <w:lvlText w:val="(%2)"/>
      <w:numFmt w:val="lowerRoman"/>
      <w:start w:val="2"/>
    </w:lvl>
  </w:abstractNum>
  <w:abstractNum w:abstractNumId="125">
    <w:nsid w:val="4FA0D2E3"/>
    <w:multiLevelType w:val="hybridMultilevel"/>
    <w:lvl w:ilvl="0">
      <w:lvlJc w:val="left"/>
      <w:lvlText w:val="(%1)"/>
      <w:numFmt w:val="decimal"/>
      <w:start w:val="844"/>
    </w:lvl>
    <w:lvl w:ilvl="1">
      <w:lvlJc w:val="left"/>
      <w:lvlText w:val="(%2)"/>
      <w:numFmt w:val="lowerRoman"/>
      <w:start w:val="3"/>
    </w:lvl>
  </w:abstractNum>
  <w:abstractNum w:abstractNumId="126">
    <w:nsid w:val="6B1D2C14"/>
    <w:multiLevelType w:val="hybridMultilevel"/>
    <w:lvl w:ilvl="0">
      <w:lvlJc w:val="left"/>
      <w:lvlText w:val="(%1)"/>
      <w:numFmt w:val="decimal"/>
    </w:lvl>
    <w:lvl w:ilvl="1">
      <w:lvlJc w:val="left"/>
      <w:lvlText w:val="(%2)"/>
      <w:numFmt w:val="lowerRoman"/>
      <w:start w:val="4"/>
    </w:lvl>
  </w:abstractNum>
  <w:abstractNum w:abstractNumId="127">
    <w:nsid w:val="68B867D3"/>
    <w:multiLevelType w:val="hybridMultilevel"/>
    <w:lvl w:ilvl="0">
      <w:lvlJc w:val="left"/>
      <w:lvlText w:val="(%1)"/>
      <w:numFmt w:val="decimal"/>
      <w:start w:val="405"/>
    </w:lvl>
    <w:lvl w:ilvl="1">
      <w:lvlJc w:val="left"/>
      <w:lvlText w:val="(%2)"/>
      <w:numFmt w:val="lowerRoman"/>
      <w:start w:val="5"/>
    </w:lvl>
  </w:abstractNum>
  <w:abstractNum w:abstractNumId="128">
    <w:nsid w:val="3F7F5DD9"/>
    <w:multiLevelType w:val="hybridMultilevel"/>
    <w:lvl w:ilvl="0">
      <w:lvlJc w:val="left"/>
      <w:lvlText w:val="(%1)"/>
      <w:numFmt w:val="lowerLetter"/>
      <w:start w:val="2"/>
    </w:lvl>
  </w:abstractNum>
  <w:abstractNum w:abstractNumId="129">
    <w:nsid w:val="2AE05A34"/>
    <w:multiLevelType w:val="hybridMultilevel"/>
    <w:lvl w:ilvl="0">
      <w:lvlJc w:val="left"/>
      <w:lvlText w:val="(%1)"/>
      <w:numFmt w:val="lowerLetter"/>
      <w:start w:val="1"/>
    </w:lvl>
  </w:abstractNum>
  <w:abstractNum w:abstractNumId="130">
    <w:nsid w:val="32794FF7"/>
    <w:multiLevelType w:val="hybridMultilevel"/>
    <w:lvl w:ilvl="0">
      <w:lvlJc w:val="left"/>
      <w:lvlText w:val="(%1)"/>
      <w:numFmt w:val="lowerLetter"/>
      <w:start w:val="2"/>
    </w:lvl>
  </w:abstractNum>
  <w:abstractNum w:abstractNumId="131">
    <w:nsid w:val="5454945E"/>
    <w:multiLevelType w:val="hybridMultilevel"/>
    <w:lvl w:ilvl="0">
      <w:lvlJc w:val="left"/>
      <w:lvlText w:val="(%1)"/>
      <w:numFmt w:val="lowerLetter"/>
      <w:start w:val="1"/>
    </w:lvl>
  </w:abstractNum>
  <w:abstractNum w:abstractNumId="132">
    <w:nsid w:val="4DEFDFA0"/>
    <w:multiLevelType w:val="hybridMultilevel"/>
    <w:lvl w:ilvl="0">
      <w:lvlJc w:val="left"/>
      <w:lvlText w:val="(%1)"/>
      <w:numFmt w:val="lowerLetter"/>
      <w:start w:val="61"/>
    </w:lvl>
    <w:lvl w:ilvl="1">
      <w:lvlJc w:val="left"/>
      <w:lvlText w:val="(%2)"/>
      <w:numFmt w:val="lowerLetter"/>
      <w:start w:val="3"/>
    </w:lvl>
  </w:abstractNum>
  <w:abstractNum w:abstractNumId="133">
    <w:nsid w:val="2123D5F2"/>
    <w:multiLevelType w:val="hybridMultilevel"/>
    <w:lvl w:ilvl="0">
      <w:lvlJc w:val="left"/>
      <w:lvlText w:val="(%1)"/>
      <w:numFmt w:val="lowerLetter"/>
      <w:start w:val="1"/>
    </w:lvl>
  </w:abstractNum>
  <w:abstractNum w:abstractNumId="134">
    <w:nsid w:val="135B811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35">
    <w:nsid w:val="94927A8"/>
    <w:multiLevelType w:val="hybridMultilevel"/>
    <w:lvl w:ilvl="0">
      <w:lvlJc w:val="left"/>
      <w:lvlText w:val="(%1)"/>
      <w:numFmt w:val="upperLetter"/>
      <w:start w:val="5"/>
    </w:lvl>
  </w:abstractNum>
  <w:abstractNum w:abstractNumId="136">
    <w:nsid w:val="DCDF8F6"/>
    <w:multiLevelType w:val="hybridMultilevel"/>
    <w:lvl w:ilvl="0">
      <w:lvlJc w:val="left"/>
      <w:lvlText w:val="(%1)"/>
      <w:numFmt w:val="lowerRoman"/>
      <w:start w:val="3"/>
    </w:lvl>
  </w:abstractNum>
  <w:abstractNum w:abstractNumId="137">
    <w:nsid w:val="52D7B105"/>
    <w:multiLevelType w:val="hybridMultilevel"/>
    <w:lvl w:ilvl="0">
      <w:lvlJc w:val="left"/>
      <w:lvlText w:val="(%1)"/>
      <w:numFmt w:val="lowerLetter"/>
      <w:start w:val="3"/>
    </w:lvl>
    <w:lvl w:ilvl="1">
      <w:lvlJc w:val="left"/>
      <w:lvlText w:val="(%2)"/>
      <w:numFmt w:val="lowerRoman"/>
      <w:start w:val="2"/>
    </w:lvl>
  </w:abstractNum>
  <w:abstractNum w:abstractNumId="138">
    <w:nsid w:val="2E8A6394"/>
    <w:multiLevelType w:val="hybridMultilevel"/>
    <w:lvl w:ilvl="0">
      <w:lvlJc w:val="left"/>
      <w:lvlText w:val="(%1)"/>
      <w:numFmt w:val="lowerLetter"/>
      <w:start w:val="4"/>
    </w:lvl>
  </w:abstractNum>
  <w:abstractNum w:abstractNumId="139">
    <w:nsid w:val="24E60401"/>
    <w:multiLevelType w:val="hybridMultilevel"/>
    <w:lvl w:ilvl="0">
      <w:lvlJc w:val="left"/>
      <w:lvlText w:val="(%1)"/>
      <w:numFmt w:val="lowerLetter"/>
      <w:start w:val="1"/>
    </w:lvl>
  </w:abstractNum>
  <w:abstractNum w:abstractNumId="140">
    <w:nsid w:val="2A6AD9BE"/>
    <w:multiLevelType w:val="hybridMultilevel"/>
    <w:lvl w:ilvl="0">
      <w:lvlJc w:val="left"/>
      <w:lvlText w:val="(%1)"/>
      <w:numFmt w:val="lowerLetter"/>
      <w:start w:val="1"/>
    </w:lvl>
  </w:abstractNum>
  <w:abstractNum w:abstractNumId="141">
    <w:nsid w:val="BAAC1B4"/>
    <w:multiLevelType w:val="hybridMultilevel"/>
    <w:lvl w:ilvl="0">
      <w:lvlJc w:val="left"/>
      <w:lvlText w:val="(%1)"/>
      <w:numFmt w:val="lowerLetter"/>
      <w:start w:val="1"/>
    </w:lvl>
  </w:abstractNum>
  <w:abstractNum w:abstractNumId="142">
    <w:nsid w:val="36B2ACBC"/>
    <w:multiLevelType w:val="hybridMultilevel"/>
    <w:lvl w:ilvl="0">
      <w:lvlJc w:val="left"/>
      <w:lvlText w:val="(%1)"/>
      <w:numFmt w:val="lowerLetter"/>
      <w:start w:val="1"/>
    </w:lvl>
  </w:abstractNum>
  <w:abstractNum w:abstractNumId="143">
    <w:nsid w:val="779D8544"/>
    <w:multiLevelType w:val="hybridMultilevel"/>
    <w:lvl w:ilvl="0">
      <w:lvlJc w:val="left"/>
      <w:lvlText w:val="(%1)"/>
      <w:numFmt w:val="lowerLetter"/>
      <w:start w:val="2"/>
    </w:lvl>
  </w:abstractNum>
  <w:abstractNum w:abstractNumId="144">
    <w:nsid w:val="4AB26E78"/>
    <w:multiLevelType w:val="hybridMultilevel"/>
    <w:lvl w:ilvl="0">
      <w:lvlJc w:val="left"/>
      <w:lvlText w:val="(%1)"/>
      <w:numFmt w:val="lowerLetter"/>
      <w:start w:val="1"/>
    </w:lvl>
    <w:lvl w:ilvl="1">
      <w:lvlJc w:val="left"/>
      <w:lvlText w:val="(%2)"/>
      <w:numFmt w:val="lowerLetter"/>
      <w:start w:val="9"/>
    </w:lvl>
  </w:abstractNum>
  <w:abstractNum w:abstractNumId="145">
    <w:nsid w:val="21FAA2FA"/>
    <w:multiLevelType w:val="hybridMultilevel"/>
    <w:lvl w:ilvl="0">
      <w:lvlJc w:val="left"/>
      <w:lvlText w:val="(%1)"/>
      <w:numFmt w:val="lowerRoman"/>
      <w:start w:val="2"/>
    </w:lvl>
  </w:abstractNum>
  <w:abstractNum w:abstractNumId="146">
    <w:nsid w:val="5451CF49"/>
    <w:multiLevelType w:val="hybridMultilevel"/>
    <w:lvl w:ilvl="0">
      <w:lvlJc w:val="left"/>
      <w:lvlText w:val="(%1)"/>
      <w:numFmt w:val="lowerLetter"/>
      <w:start w:val="3"/>
    </w:lvl>
  </w:abstractNum>
  <w:abstractNum w:abstractNumId="147">
    <w:nsid w:val="6181EF69"/>
    <w:multiLevelType w:val="hybridMultilevel"/>
    <w:lvl w:ilvl="0">
      <w:lvlJc w:val="left"/>
      <w:lvlText w:val="***"/>
      <w:numFmt w:val="bullet"/>
      <w:start w:val="1"/>
    </w:lvl>
  </w:abstractNum>
  <w:abstractNum w:abstractNumId="148">
    <w:nsid w:val="3E6400E6"/>
    <w:multiLevelType w:val="hybridMultilevel"/>
    <w:lvl w:ilvl="0">
      <w:lvlJc w:val="left"/>
      <w:lvlText w:val="%1."/>
      <w:numFmt w:val="decimal"/>
      <w:start w:val="3"/>
    </w:lvl>
  </w:abstractNum>
  <w:abstractNum w:abstractNumId="149">
    <w:nsid w:val="14217E23"/>
    <w:multiLevelType w:val="hybridMultilevel"/>
    <w:lvl w:ilvl="0">
      <w:lvlJc w:val="left"/>
      <w:lvlText w:val="1"/>
      <w:numFmt w:val="bullet"/>
      <w:start w:val="1"/>
    </w:lvl>
  </w:abstractNum>
  <w:abstractNum w:abstractNumId="150">
    <w:nsid w:val="710757D0"/>
    <w:multiLevelType w:val="hybridMultilevel"/>
    <w:lvl w:ilvl="0">
      <w:lvlJc w:val="left"/>
      <w:lvlText w:val="2"/>
      <w:numFmt w:val="bullet"/>
      <w:start w:val="1"/>
    </w:lvl>
  </w:abstractNum>
  <w:abstractNum w:abstractNumId="151">
    <w:nsid w:val="5015CD1A"/>
    <w:multiLevelType w:val="hybridMultilevel"/>
    <w:lvl w:ilvl="0">
      <w:lvlJc w:val="left"/>
      <w:lvlText w:val="3"/>
      <w:numFmt w:val="bullet"/>
      <w:start w:val="1"/>
    </w:lvl>
  </w:abstractNum>
  <w:abstractNum w:abstractNumId="152">
    <w:nsid w:val="424479DA"/>
    <w:multiLevelType w:val="hybridMultilevel"/>
    <w:lvl w:ilvl="0">
      <w:lvlJc w:val="left"/>
      <w:lvlText w:val="4"/>
      <w:numFmt w:val="bullet"/>
      <w:start w:val="1"/>
    </w:lvl>
  </w:abstractNum>
  <w:abstractNum w:abstractNumId="153">
    <w:nsid w:val="1A9A9E69"/>
    <w:multiLevelType w:val="hybridMultilevel"/>
    <w:lvl w:ilvl="0">
      <w:lvlJc w:val="left"/>
      <w:lvlText w:val="%1."/>
      <w:numFmt w:val="decimal"/>
      <w:start w:val="1"/>
    </w:lvl>
  </w:abstractNum>
  <w:abstractNum w:abstractNumId="154">
    <w:nsid w:val="475E256A"/>
    <w:multiLevelType w:val="hybridMultilevel"/>
    <w:lvl w:ilvl="0">
      <w:lvlJc w:val="left"/>
      <w:lvlText w:val="%1."/>
      <w:numFmt w:val="decimal"/>
      <w:start w:val="2"/>
    </w:lvl>
  </w:abstractNum>
  <w:abstractNum w:abstractNumId="155">
    <w:nsid w:val="368DB37E"/>
    <w:multiLevelType w:val="hybridMultilevel"/>
    <w:lvl w:ilvl="0">
      <w:lvlJc w:val="left"/>
      <w:lvlText w:val="%1."/>
      <w:numFmt w:val="decimal"/>
      <w:start w:val="3"/>
    </w:lvl>
  </w:abstractNum>
  <w:abstractNum w:abstractNumId="156">
    <w:nsid w:val="6A3B714C"/>
    <w:multiLevelType w:val="hybridMultilevel"/>
    <w:lvl w:ilvl="0">
      <w:lvlJc w:val="left"/>
      <w:lvlText w:val="%1."/>
      <w:numFmt w:val="upperLetter"/>
      <w:start w:val="9"/>
    </w:lvl>
    <w:lvl w:ilvl="1">
      <w:lvlJc w:val="left"/>
      <w:lvlText w:val="%2."/>
      <w:numFmt w:val="decimal"/>
      <w:start w:val="1"/>
    </w:lvl>
  </w:abstractNum>
  <w:abstractNum w:abstractNumId="157">
    <w:nsid w:val="327B517E"/>
    <w:multiLevelType w:val="hybridMultilevel"/>
    <w:lvl w:ilvl="0">
      <w:lvlJc w:val="left"/>
      <w:lvlText w:val="%1."/>
      <w:numFmt w:val="upperLetter"/>
      <w:start w:val="35"/>
    </w:lvl>
    <w:lvl w:ilvl="1">
      <w:lvlJc w:val="left"/>
      <w:lvlText w:val="%2"/>
      <w:numFmt w:val="upperLetter"/>
      <w:start w:val="1"/>
    </w:lvl>
  </w:abstractNum>
  <w:abstractNum w:abstractNumId="158">
    <w:nsid w:val="1F461B51"/>
    <w:multiLevelType w:val="hybridMultilevel"/>
    <w:lvl w:ilvl="0">
      <w:lvlJc w:val="left"/>
      <w:lvlText w:val="%1"/>
      <w:numFmt w:val="upperLetter"/>
      <w:start w:val="1"/>
    </w:lvl>
    <w:lvl w:ilvl="1">
      <w:lvlJc w:val="left"/>
      <w:lvlText w:val="%2."/>
      <w:numFmt w:val="upperLetter"/>
      <w:start w:val="2"/>
    </w:lvl>
    <w:lvl w:ilvl="2">
      <w:lvlJc w:val="left"/>
      <w:lvlText w:val="%3."/>
      <w:numFmt w:val="decimal"/>
      <w:start w:val="1"/>
    </w:lvl>
  </w:abstractNum>
  <w:abstractNum w:abstractNumId="159">
    <w:nsid w:val="29BACF25"/>
    <w:multiLevelType w:val="hybridMultilevel"/>
    <w:lvl w:ilvl="0">
      <w:lvlJc w:val="left"/>
      <w:lvlText w:val="%1."/>
      <w:numFmt w:val="upperLetter"/>
      <w:start w:val="61"/>
    </w:lvl>
    <w:lvl w:ilvl="1">
      <w:lvlJc w:val="left"/>
      <w:lvlText w:val="%2."/>
      <w:numFmt w:val="upperLetter"/>
      <w:start w:val="1"/>
    </w:lvl>
    <w:lvl w:ilvl="2">
      <w:lvlJc w:val="left"/>
      <w:lvlText w:val="%3"/>
      <w:numFmt w:val="decimal"/>
      <w:start w:val="1"/>
    </w:lvl>
  </w:abstractNum>
  <w:abstractNum w:abstractNumId="160">
    <w:nsid w:val="5D5BABB3"/>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61">
    <w:nsid w:val="51BF6B48"/>
    <w:multiLevelType w:val="hybridMultilevel"/>
    <w:lvl w:ilvl="0">
      <w:lvlJc w:val="left"/>
      <w:lvlText w:val="%1."/>
      <w:numFmt w:val="upperLetter"/>
      <w:start w:val="3"/>
    </w:lvl>
  </w:abstractNum>
  <w:abstractNum w:abstractNumId="162">
    <w:nsid w:val="7E0F6384"/>
    <w:multiLevelType w:val="hybridMultilevel"/>
    <w:lvl w:ilvl="0">
      <w:lvlJc w:val="left"/>
      <w:lvlText w:val="%1"/>
      <w:numFmt w:val="upperLetter"/>
      <w:start w:val="1"/>
    </w:lvl>
    <w:lvl w:ilvl="1">
      <w:lvlJc w:val="left"/>
      <w:lvlText w:val="%2."/>
      <w:numFmt w:val="decimal"/>
      <w:start w:val="1"/>
    </w:lvl>
  </w:abstractNum>
  <w:abstractNum w:abstractNumId="163">
    <w:nsid w:val="2B4B8B53"/>
    <w:multiLevelType w:val="hybridMultilevel"/>
    <w:lvl w:ilvl="0">
      <w:lvlJc w:val="left"/>
      <w:lvlText w:val="%1."/>
      <w:numFmt w:val="upperLetter"/>
      <w:start w:val="4"/>
    </w:lvl>
    <w:lvl w:ilvl="1">
      <w:lvlJc w:val="left"/>
      <w:lvlText w:val="%2."/>
      <w:numFmt w:val="decimal"/>
      <w:start w:val="1"/>
    </w:lvl>
  </w:abstractNum>
  <w:abstractNum w:abstractNumId="164">
    <w:nsid w:val="72E3413A"/>
    <w:multiLevelType w:val="hybridMultilevel"/>
    <w:lvl w:ilvl="0">
      <w:lvlJc w:val="left"/>
      <w:lvlText w:val="%1."/>
      <w:numFmt w:val="upperLetter"/>
      <w:start w:val="1"/>
    </w:lvl>
  </w:abstractNum>
  <w:abstractNum w:abstractNumId="165">
    <w:nsid w:val="116AE494"/>
    <w:multiLevelType w:val="hybridMultilevel"/>
    <w:lvl w:ilvl="0">
      <w:lvlJc w:val="left"/>
      <w:lvlText w:val="%1."/>
      <w:numFmt w:val="upperLetter"/>
      <w:start w:val="4"/>
    </w:lvl>
  </w:abstractNum>
  <w:abstractNum w:abstractNumId="166">
    <w:nsid w:val="3494B2FB"/>
    <w:multiLevelType w:val="hybridMultilevel"/>
    <w:lvl w:ilvl="0">
      <w:lvlJc w:val="left"/>
      <w:lvlText w:val="%1."/>
      <w:numFmt w:val="upperLetter"/>
      <w:start w:val="1"/>
    </w:lvl>
  </w:abstractNum>
  <w:abstractNum w:abstractNumId="167">
    <w:nsid w:val="B13A31"/>
    <w:multiLevelType w:val="hybridMultilevel"/>
    <w:lvl w:ilvl="0">
      <w:lvlJc w:val="left"/>
      <w:lvlText w:val="%1."/>
      <w:numFmt w:val="upperLetter"/>
      <w:start w:val="1"/>
    </w:lvl>
  </w:abstractNum>
  <w:abstractNum w:abstractNumId="168">
    <w:nsid w:val="64429599"/>
    <w:multiLevelType w:val="hybridMultilevel"/>
    <w:lvl w:ilvl="0">
      <w:lvlJc w:val="left"/>
      <w:lvlText w:val="%1."/>
      <w:numFmt w:val="upperLetter"/>
      <w:start w:val="1"/>
    </w:lvl>
  </w:abstractNum>
  <w:abstractNum w:abstractNumId="169">
    <w:nsid w:val="631F1690"/>
    <w:multiLevelType w:val="hybridMultilevel"/>
    <w:lvl w:ilvl="0">
      <w:lvlJc w:val="left"/>
      <w:lvlText w:val="%1."/>
      <w:numFmt w:val="decimal"/>
      <w:start w:val="1"/>
    </w:lvl>
  </w:abstractNum>
  <w:abstractNum w:abstractNumId="170">
    <w:nsid w:val="25973E32"/>
    <w:multiLevelType w:val="hybridMultilevel"/>
    <w:lvl w:ilvl="0">
      <w:lvlJc w:val="left"/>
      <w:lvlText w:val="%1."/>
      <w:numFmt w:val="decimal"/>
      <w:start w:val="2"/>
    </w:lvl>
  </w:abstractNum>
  <w:abstractNum w:abstractNumId="171">
    <w:nsid w:val="EAD6F57"/>
    <w:multiLevelType w:val="hybridMultilevel"/>
    <w:lvl w:ilvl="0">
      <w:lvlJc w:val="left"/>
      <w:lvlText w:val="%1"/>
      <w:numFmt w:val="decimal"/>
      <w:start w:val="1"/>
    </w:lvl>
    <w:lvl w:ilvl="1">
      <w:lvlJc w:val="left"/>
      <w:lvlText w:val="(%2)"/>
      <w:numFmt w:val="lowerLetter"/>
      <w:start w:val="1"/>
    </w:lvl>
  </w:abstractNum>
  <w:abstractNum w:abstractNumId="172">
    <w:nsid w:val="6EC9D844"/>
    <w:multiLevelType w:val="hybridMultilevel"/>
    <w:lvl w:ilvl="0">
      <w:lvlJc w:val="left"/>
      <w:lvlText w:val="%1."/>
      <w:numFmt w:val="decimal"/>
      <w:start w:val="3"/>
    </w:lvl>
    <w:lvl w:ilvl="1">
      <w:lvlJc w:val="left"/>
      <w:lvlText w:val="%2"/>
      <w:numFmt w:val="lowerLetter"/>
      <w:start w:val="1"/>
    </w:lvl>
  </w:abstractNum>
  <w:abstractNum w:abstractNumId="173">
    <w:nsid w:val="5C49EAEE"/>
    <w:multiLevelType w:val="hybridMultilevel"/>
    <w:lvl w:ilvl="0">
      <w:lvlJc w:val="left"/>
      <w:lvlText w:val="(%1)"/>
      <w:numFmt w:val="lowerLetter"/>
      <w:start w:val="1"/>
    </w:lvl>
  </w:abstractNum>
  <w:abstractNum w:abstractNumId="174">
    <w:nsid w:val="64AF49B"/>
    <w:multiLevelType w:val="hybridMultilevel"/>
    <w:lvl w:ilvl="0">
      <w:lvlJc w:val="left"/>
      <w:lvlText w:val="%1."/>
      <w:numFmt w:val="decimal"/>
      <w:start w:val="6"/>
    </w:lvl>
    <w:lvl w:ilvl="1">
      <w:lvlJc w:val="left"/>
      <w:lvlText w:val="(%2)"/>
      <w:numFmt w:val="lowerLetter"/>
      <w:start w:val="1"/>
    </w:lvl>
  </w:abstractNum>
  <w:abstractNum w:abstractNumId="175">
    <w:nsid w:val="397C46BC"/>
    <w:multiLevelType w:val="hybridMultilevel"/>
    <w:lvl w:ilvl="0">
      <w:lvlJc w:val="left"/>
      <w:lvlText w:val="%1"/>
      <w:numFmt w:val="decimal"/>
      <w:start w:val="12"/>
    </w:lvl>
    <w:lvl w:ilvl="1">
      <w:lvlJc w:val="left"/>
      <w:lvlText w:val="%2"/>
      <w:numFmt w:val="lowerLetter"/>
      <w:start w:val="1"/>
    </w:lvl>
  </w:abstractNum>
  <w:abstractNum w:abstractNumId="176">
    <w:nsid w:val="7E448DE9"/>
    <w:multiLevelType w:val="hybridMultilevel"/>
    <w:lvl w:ilvl="0">
      <w:lvlJc w:val="left"/>
      <w:lvlText w:val="%1."/>
      <w:numFmt w:val="decimal"/>
      <w:start w:val="8"/>
    </w:lvl>
    <w:lvl w:ilvl="1">
      <w:lvlJc w:val="left"/>
      <w:lvlText w:val="(%2)"/>
      <w:numFmt w:val="lowerLetter"/>
      <w:start w:val="1"/>
    </w:lvl>
  </w:abstractNum>
  <w:abstractNum w:abstractNumId="177">
    <w:nsid w:val="5A9CC3E5"/>
    <w:multiLevelType w:val="hybridMultilevel"/>
    <w:lvl w:ilvl="0">
      <w:lvlJc w:val="left"/>
      <w:lvlText w:val="%1"/>
      <w:numFmt w:val="decimal"/>
      <w:start w:val="1"/>
    </w:lvl>
    <w:lvl w:ilvl="1">
      <w:lvlJc w:val="left"/>
      <w:lvlText w:val="(%2)"/>
      <w:numFmt w:val="lowerLetter"/>
      <w:start w:val="4"/>
    </w:lvl>
  </w:abstractNum>
  <w:abstractNum w:abstractNumId="178">
    <w:nsid w:val="1AFE3625"/>
    <w:multiLevelType w:val="hybridMultilevel"/>
    <w:lvl w:ilvl="0">
      <w:lvlJc w:val="left"/>
      <w:lvlText w:val="%1."/>
      <w:numFmt w:val="decimal"/>
      <w:start w:val="11"/>
    </w:lvl>
    <w:lvl w:ilvl="1">
      <w:lvlJc w:val="left"/>
      <w:lvlText w:val="(%2)"/>
      <w:numFmt w:val="lowerLetter"/>
      <w:start w:val="1"/>
    </w:lvl>
  </w:abstractNum>
  <w:abstractNum w:abstractNumId="179">
    <w:nsid w:val="3CA88ECF"/>
    <w:multiLevelType w:val="hybridMultilevel"/>
    <w:lvl w:ilvl="0">
      <w:lvlJc w:val="left"/>
      <w:lvlText w:val="%1"/>
      <w:numFmt w:val="decimal"/>
      <w:start w:val="1"/>
    </w:lvl>
    <w:lvl w:ilvl="1">
      <w:lvlJc w:val="left"/>
      <w:lvlText w:val="(%2)"/>
      <w:numFmt w:val="lowerLetter"/>
      <w:start w:val="5"/>
    </w:lvl>
  </w:abstractNum>
  <w:abstractNum w:abstractNumId="180">
    <w:nsid w:val="6EBE4208"/>
    <w:multiLevelType w:val="hybridMultilevel"/>
    <w:lvl w:ilvl="0">
      <w:lvlJc w:val="left"/>
      <w:lvlText w:val="%1."/>
      <w:numFmt w:val="decimal"/>
      <w:start w:val="12"/>
    </w:lvl>
    <w:lvl w:ilvl="1">
      <w:lvlJc w:val="left"/>
      <w:lvlText w:val="(%2)"/>
      <w:numFmt w:val="lowerLetter"/>
      <w:start w:val="1"/>
    </w:lvl>
  </w:abstractNum>
  <w:abstractNum w:abstractNumId="181">
    <w:nsid w:val="C058DF5"/>
    <w:multiLevelType w:val="hybridMultilevel"/>
    <w:lvl w:ilvl="0">
      <w:lvlJc w:val="left"/>
      <w:lvlText w:val="%1"/>
      <w:numFmt w:val="decimal"/>
      <w:start w:val="1"/>
    </w:lvl>
    <w:lvl w:ilvl="1">
      <w:lvlJc w:val="left"/>
      <w:lvlText w:val="(%2)"/>
      <w:numFmt w:val="lowerLetter"/>
      <w:start w:val="3"/>
    </w:lvl>
  </w:abstractNum>
  <w:abstractNum w:abstractNumId="182">
    <w:nsid w:val="CBE5BE9"/>
    <w:multiLevelType w:val="hybridMultilevel"/>
    <w:lvl w:ilvl="0">
      <w:lvlJc w:val="left"/>
      <w:lvlText w:val="%1."/>
      <w:numFmt w:val="decimal"/>
      <w:start w:val="19"/>
    </w:lvl>
    <w:lvl w:ilvl="1">
      <w:lvlJc w:val="left"/>
      <w:lvlText w:val="%2"/>
      <w:numFmt w:val="lowerLetter"/>
      <w:start w:val="1"/>
    </w:lvl>
  </w:abstractNum>
  <w:abstractNum w:abstractNumId="183">
    <w:nsid w:val="3102BBE2"/>
    <w:multiLevelType w:val="hybridMultilevel"/>
    <w:lvl w:ilvl="0">
      <w:lvlJc w:val="left"/>
      <w:lvlText w:val="%1."/>
      <w:numFmt w:val="decimal"/>
      <w:start w:val="22"/>
    </w:lvl>
  </w:abstractNum>
  <w:abstractNum w:abstractNumId="184">
    <w:nsid w:val="26A02C5E"/>
    <w:multiLevelType w:val="hybridMultilevel"/>
    <w:lvl w:ilvl="0">
      <w:lvlJc w:val="left"/>
      <w:lvlText w:val="%1."/>
      <w:numFmt w:val="upperLetter"/>
      <w:start w:val="1"/>
    </w:lvl>
  </w:abstractNum>
  <w:abstractNum w:abstractNumId="185">
    <w:nsid w:val="541C8153"/>
    <w:multiLevelType w:val="hybridMultilevel"/>
    <w:lvl w:ilvl="0">
      <w:lvlJc w:val="left"/>
      <w:lvlText w:val="%1."/>
      <w:numFmt w:val="decimal"/>
      <w:start w:val="1"/>
    </w:lvl>
  </w:abstractNum>
  <w:abstractNum w:abstractNumId="186">
    <w:nsid w:val="67906F60"/>
    <w:multiLevelType w:val="hybridMultilevel"/>
    <w:lvl w:ilvl="0">
      <w:lvlJc w:val="left"/>
      <w:lvlText w:val="%1."/>
      <w:numFmt w:val="decimal"/>
      <w:start w:val="2"/>
    </w:lvl>
    <w:lvl w:ilvl="1">
      <w:lvlJc w:val="left"/>
      <w:lvlText w:val="(%2)"/>
      <w:numFmt w:val="lowerLetter"/>
      <w:start w:val="1"/>
    </w:lvl>
  </w:abstractNum>
  <w:abstractNum w:abstractNumId="187">
    <w:nsid w:val="10DB9DAA"/>
    <w:multiLevelType w:val="hybridMultilevel"/>
    <w:lvl w:ilvl="0">
      <w:lvlJc w:val="left"/>
      <w:lvlText w:val="%1."/>
      <w:numFmt w:val="decimal"/>
      <w:start w:val="5"/>
    </w:lvl>
    <w:lvl w:ilvl="1">
      <w:lvlJc w:val="left"/>
      <w:lvlText w:val="(%2)"/>
      <w:numFmt w:val="lowerLetter"/>
      <w:start w:val="1"/>
    </w:lvl>
  </w:abstractNum>
  <w:abstractNum w:abstractNumId="188">
    <w:nsid w:val="697D2D2"/>
    <w:multiLevelType w:val="hybridMultilevel"/>
    <w:lvl w:ilvl="0">
      <w:lvlJc w:val="left"/>
      <w:lvlText w:val="%1"/>
      <w:numFmt w:val="decimal"/>
      <w:start w:val="1"/>
    </w:lvl>
    <w:lvl w:ilvl="1">
      <w:lvlJc w:val="left"/>
      <w:lvlText w:val="(%2)"/>
      <w:numFmt w:val="lowerLetter"/>
      <w:start w:val="11"/>
    </w:lvl>
  </w:abstractNum>
  <w:abstractNum w:abstractNumId="189">
    <w:nsid w:val="6D68AB2"/>
    <w:multiLevelType w:val="hybridMultilevel"/>
    <w:lvl w:ilvl="0">
      <w:lvlJc w:val="left"/>
      <w:lvlText w:val="%1."/>
      <w:numFmt w:val="decimal"/>
      <w:start w:val="6"/>
    </w:lvl>
    <w:lvl w:ilvl="1">
      <w:lvlJc w:val="left"/>
      <w:lvlText w:val="(%2)"/>
      <w:numFmt w:val="lowerLetter"/>
      <w:start w:val="1"/>
    </w:lvl>
  </w:abstractNum>
  <w:abstractNum w:abstractNumId="190">
    <w:nsid w:val="3A966CD0"/>
    <w:multiLevelType w:val="hybridMultilevel"/>
    <w:lvl w:ilvl="0">
      <w:lvlJc w:val="left"/>
      <w:lvlText w:val="%1."/>
      <w:numFmt w:val="decimal"/>
      <w:start w:val="8"/>
    </w:lvl>
    <w:lvl w:ilvl="1">
      <w:lvlJc w:val="left"/>
      <w:lvlText w:val="(%2)"/>
      <w:numFmt w:val="lowerLetter"/>
      <w:start w:val="1"/>
    </w:lvl>
  </w:abstractNum>
  <w:abstractNum w:abstractNumId="191">
    <w:nsid w:val="63F37E85"/>
    <w:multiLevelType w:val="hybridMultilevel"/>
    <w:lvl w:ilvl="0">
      <w:lvlJc w:val="left"/>
      <w:lvlText w:val="%1"/>
      <w:numFmt w:val="decimal"/>
      <w:start w:val="1"/>
    </w:lvl>
    <w:lvl w:ilvl="1">
      <w:lvlJc w:val="left"/>
      <w:lvlText w:val="(%2)"/>
      <w:numFmt w:val="lowerLetter"/>
      <w:start w:val="4"/>
    </w:lvl>
  </w:abstractNum>
  <w:abstractNum w:abstractNumId="192">
    <w:nsid w:val="5895F5FA"/>
    <w:multiLevelType w:val="hybridMultilevel"/>
    <w:lvl w:ilvl="0">
      <w:lvlJc w:val="left"/>
      <w:lvlText w:val="%1."/>
      <w:numFmt w:val="decimal"/>
      <w:start w:val="11"/>
    </w:lvl>
    <w:lvl w:ilvl="1">
      <w:lvlJc w:val="left"/>
      <w:lvlText w:val="(%2)"/>
      <w:numFmt w:val="lowerLetter"/>
      <w:start w:val="1"/>
    </w:lvl>
  </w:abstractNum>
  <w:abstractNum w:abstractNumId="193">
    <w:nsid w:val="38A5D054"/>
    <w:multiLevelType w:val="hybridMultilevel"/>
    <w:lvl w:ilvl="0">
      <w:lvlJc w:val="left"/>
      <w:lvlText w:val="%1"/>
      <w:numFmt w:val="decimal"/>
      <w:start w:val="1"/>
    </w:lvl>
    <w:lvl w:ilvl="1">
      <w:lvlJc w:val="left"/>
      <w:lvlText w:val="(%2)"/>
      <w:numFmt w:val="lowerLetter"/>
      <w:start w:val="4"/>
    </w:lvl>
  </w:abstractNum>
  <w:abstractNum w:abstractNumId="194">
    <w:nsid w:val="F3F09D8"/>
    <w:multiLevelType w:val="hybridMultilevel"/>
    <w:lvl w:ilvl="0">
      <w:lvlJc w:val="left"/>
      <w:lvlText w:val="%1."/>
      <w:numFmt w:val="decimal"/>
      <w:start w:val="12"/>
    </w:lvl>
    <w:lvl w:ilvl="1">
      <w:lvlJc w:val="left"/>
      <w:lvlText w:val="(%2)"/>
      <w:numFmt w:val="lowerLetter"/>
      <w:start w:val="1"/>
    </w:lvl>
  </w:abstractNum>
  <w:abstractNum w:abstractNumId="195">
    <w:nsid w:val="4B793735"/>
    <w:multiLevelType w:val="hybridMultilevel"/>
    <w:lvl w:ilvl="0">
      <w:lvlJc w:val="left"/>
      <w:lvlText w:val="%1"/>
      <w:numFmt w:val="decimal"/>
      <w:start w:val="1"/>
    </w:lvl>
    <w:lvl w:ilvl="1">
      <w:lvlJc w:val="left"/>
      <w:lvlText w:val="(%2)"/>
      <w:numFmt w:val="lowerLetter"/>
      <w:start w:val="3"/>
    </w:lvl>
  </w:abstractNum>
  <w:abstractNum w:abstractNumId="196">
    <w:nsid w:val="4A10B4E8"/>
    <w:multiLevelType w:val="hybridMultilevel"/>
    <w:lvl w:ilvl="0">
      <w:lvlJc w:val="left"/>
      <w:lvlText w:val="%1."/>
      <w:numFmt w:val="decimal"/>
      <w:start w:val="19"/>
    </w:lvl>
    <w:lvl w:ilvl="1">
      <w:lvlJc w:val="left"/>
      <w:lvlText w:val="%2"/>
      <w:numFmt w:val="lowerLetter"/>
      <w:start w:val="1"/>
    </w:lvl>
  </w:abstractNum>
  <w:abstractNum w:abstractNumId="197">
    <w:nsid w:val="43D3BCD4"/>
    <w:multiLevelType w:val="hybridMultilevel"/>
    <w:lvl w:ilvl="0">
      <w:lvlJc w:val="left"/>
      <w:lvlText w:val="%1."/>
      <w:numFmt w:val="decimal"/>
      <w:start w:val="21"/>
    </w:lvl>
  </w:abstractNum>
  <w:abstractNum w:abstractNumId="198">
    <w:nsid w:val="4C2A7166"/>
    <w:multiLevelType w:val="hybridMultilevel"/>
    <w:lvl w:ilvl="0">
      <w:lvlJc w:val="left"/>
      <w:lvlText w:val="%1."/>
      <w:numFmt w:val="decimal"/>
      <w:start w:val="1"/>
    </w:lvl>
  </w:abstractNum>
  <w:abstractNum w:abstractNumId="199">
    <w:nsid w:val="2E534A82"/>
    <w:multiLevelType w:val="hybridMultilevel"/>
    <w:lvl w:ilvl="0">
      <w:lvlJc w:val="left"/>
      <w:lvlText w:val="%1."/>
      <w:numFmt w:val="decimal"/>
      <w:start w:val="1"/>
    </w:lvl>
    <w:lvl w:ilvl="1">
      <w:lvlJc w:val="left"/>
      <w:lvlText w:val="(%2)"/>
      <w:numFmt w:val="lowerLetter"/>
      <w:start w:val="2"/>
    </w:lvl>
  </w:abstractNum>
  <w:abstractNum w:abstractNumId="200">
    <w:nsid w:val="26F2D364"/>
    <w:multiLevelType w:val="hybridMultilevel"/>
    <w:lvl w:ilvl="0">
      <w:lvlJc w:val="left"/>
      <w:lvlText w:val="1"/>
      <w:numFmt w:val="bullet"/>
      <w:start w:val="1"/>
    </w:lvl>
  </w:abstractNum>
  <w:abstractNum w:abstractNumId="201">
    <w:nsid w:val="71C1AF98"/>
    <w:multiLevelType w:val="hybridMultilevel"/>
    <w:lvl w:ilvl="0">
      <w:lvlJc w:val="left"/>
      <w:lvlText w:val="%1."/>
      <w:numFmt w:val="decimal"/>
      <w:start w:val="1"/>
    </w:lvl>
    <w:lvl w:ilvl="1">
      <w:lvlJc w:val="left"/>
      <w:lvlText w:val="%2."/>
      <w:numFmt w:val="lowerLetter"/>
      <w:start w:val="1"/>
    </w:lvl>
  </w:abstractNum>
  <w:abstractNum w:abstractNumId="202">
    <w:nsid w:val="3D00B9D9"/>
    <w:multiLevelType w:val="hybridMultilevel"/>
    <w:lvl w:ilvl="0">
      <w:lvlJc w:val="left"/>
      <w:lvlText w:val="%1."/>
      <w:numFmt w:val="decimal"/>
      <w:start w:val="1"/>
    </w:lvl>
    <w:lvl w:ilvl="1">
      <w:lvlJc w:val="left"/>
      <w:lvlText w:val="%2."/>
      <w:numFmt w:val="lowerLetter"/>
      <w:start w:val="1"/>
    </w:lvl>
  </w:abstractNum>
  <w:abstractNum w:abstractNumId="203">
    <w:nsid w:val="15BCABA8"/>
    <w:multiLevelType w:val="hybridMultilevel"/>
    <w:lvl w:ilvl="0">
      <w:lvlJc w:val="left"/>
      <w:lvlText w:val="(%1)"/>
      <w:numFmt w:val="decimal"/>
      <w:start w:val="1"/>
    </w:lvl>
  </w:abstractNum>
  <w:abstractNum w:abstractNumId="204">
    <w:nsid w:val="4E0B9A87"/>
    <w:multiLevelType w:val="hybridMultilevel"/>
    <w:lvl w:ilvl="0">
      <w:lvlJc w:val="left"/>
      <w:lvlText w:val="(%1)"/>
      <w:numFmt w:val="decimal"/>
      <w:start w:val="1"/>
    </w:lvl>
  </w:abstractNum>
  <w:abstractNum w:abstractNumId="205">
    <w:nsid w:val="434BAE7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2019-12-29T05:55:06Z</dcterms:created>
  <dcterms:modified xsi:type="dcterms:W3CDTF">2019-12-29T05:55:06Z</dcterms:modified>
</cp:coreProperties>
</file>