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500" w:hanging="432"/>
        <w:spacing w:after="0"/>
        <w:tabs>
          <w:tab w:leader="none" w:pos="1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1500" w:hanging="391"/>
        <w:spacing w:after="0"/>
        <w:tabs>
          <w:tab w:leader="none" w:pos="15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15"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280"/>
          </w:cols>
          <w:pgMar w:left="240" w:top="449" w:right="379" w:bottom="1440" w:gutter="0" w:footer="0" w:header="0"/>
        </w:sectPr>
      </w:pPr>
    </w:p>
    <w:p>
      <w:pPr>
        <w:spacing w:after="0" w:line="149" w:lineRule="exact"/>
        <w:rPr>
          <w:sz w:val="24"/>
          <w:szCs w:val="24"/>
          <w:color w:val="auto"/>
        </w:rPr>
      </w:pPr>
    </w:p>
    <w:p>
      <w:pPr>
        <w:ind w:left="28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6960" w:space="720"/>
            <w:col w:w="3600"/>
          </w:cols>
          <w:pgMar w:left="240" w:top="449" w:right="379" w:bottom="1440" w:gutter="0" w:footer="0" w:header="0"/>
          <w:type w:val="continuous"/>
        </w:sectPr>
      </w:pPr>
    </w:p>
    <w:p>
      <w:pPr>
        <w:jc w:val="center"/>
        <w:ind w:left="4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300" w:space="720"/>
            <w:col w:w="4260"/>
          </w:cols>
          <w:pgMar w:left="240" w:top="449" w:right="37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74"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0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 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gridSpan w:val="2"/>
          </w:tcPr>
          <w:p>
            <w:pPr>
              <w:jc w:val="center"/>
              <w:ind w:right="680"/>
              <w:spacing w:after="0"/>
              <w:rPr>
                <w:sz w:val="20"/>
                <w:szCs w:val="20"/>
                <w:color w:val="auto"/>
              </w:rPr>
            </w:pPr>
            <w:r>
              <w:rPr>
                <w:rFonts w:ascii="Arial" w:cs="Arial" w:eastAsia="Arial" w:hAnsi="Arial"/>
                <w:sz w:val="18"/>
                <w:szCs w:val="18"/>
                <w:color w:val="auto"/>
              </w:rPr>
              <w:t>MTRX</w:t>
            </w: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94" w:lineRule="exact"/>
        <w:rPr>
          <w:sz w:val="24"/>
          <w:szCs w:val="24"/>
          <w:color w:val="auto"/>
        </w:rPr>
      </w:pPr>
    </w:p>
    <w:p>
      <w:pPr>
        <w:spacing w:after="0"/>
        <w:rPr>
          <w:sz w:val="20"/>
          <w:szCs w:val="20"/>
          <w:color w:val="auto"/>
        </w:rPr>
      </w:pPr>
      <w:r>
        <w:rPr>
          <w:rFonts w:ascii="Arial" w:cs="Arial" w:eastAsia="Arial" w:hAnsi="Arial"/>
          <w:sz w:val="16"/>
          <w:szCs w:val="16"/>
          <w:color w:val="auto"/>
        </w:rPr>
        <w:t>As of May 7, 2019 there were 27,888,217 shares of the Company’s common stock, $0.01 par value per share, issued and 26,807,203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ind w:left="22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60" w:type="dxa"/>
            <w:vAlign w:val="bottom"/>
            <w:gridSpan w:val="8"/>
          </w:tcPr>
          <w:p>
            <w:pPr>
              <w:jc w:val="center"/>
              <w:ind w:right="242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0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Nine Months Ended March 31, 2019 and 2018</w:t>
              </w:r>
            </w:hyperlink>
          </w:p>
        </w:tc>
        <w:tc>
          <w:tcPr>
            <w:tcW w:w="1380" w:type="dxa"/>
            <w:vAlign w:val="bottom"/>
            <w:gridSpan w:val="2"/>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for the Three and Nine Months Ended March 31, 2019 and 2018</w:t>
              </w:r>
            </w:hyperlink>
          </w:p>
        </w:tc>
        <w:tc>
          <w:tcPr>
            <w:tcW w:w="460" w:type="dxa"/>
            <w:vAlign w:val="bottom"/>
            <w:gridSpan w:val="2"/>
          </w:tcPr>
          <w:p>
            <w:pPr>
              <w:jc w:val="center"/>
              <w:ind w:left="29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March 31, 2019 and June 30, 2018</w:t>
              </w:r>
            </w:hyperlink>
          </w:p>
        </w:tc>
        <w:tc>
          <w:tcPr>
            <w:tcW w:w="338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40" w:type="dxa"/>
            <w:vAlign w:val="bottom"/>
            <w:gridSpan w:val="11"/>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Cash Flows for the Nine Months Ended March 31, 2019 and 2018</w:t>
              </w:r>
            </w:hyperlink>
          </w:p>
        </w:tc>
        <w:tc>
          <w:tcPr>
            <w:tcW w:w="1840" w:type="dxa"/>
            <w:vAlign w:val="bottom"/>
            <w:gridSpan w:val="3"/>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Changes in Stockholders’ Equity for the Three and Nine Months Ended March 31, 2019</w:t>
              </w:r>
            </w:hyperlink>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8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2018</w:t>
              </w:r>
            </w:hyperlink>
          </w:p>
        </w:tc>
        <w:tc>
          <w:tcPr>
            <w:tcW w:w="460" w:type="dxa"/>
            <w:vAlign w:val="bottom"/>
            <w:gridSpan w:val="2"/>
          </w:tcPr>
          <w:p>
            <w:pPr>
              <w:jc w:val="center"/>
              <w:ind w:left="29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Condensed Consolidated Financial Statements</w:t>
              </w:r>
            </w:hyperlink>
          </w:p>
        </w:tc>
        <w:tc>
          <w:tcPr>
            <w:tcW w:w="5480" w:type="dxa"/>
            <w:vAlign w:val="bottom"/>
            <w:gridSpan w:val="7"/>
          </w:tcPr>
          <w:p>
            <w:pPr>
              <w:spacing w:after="0"/>
              <w:rPr>
                <w:sz w:val="24"/>
                <w:szCs w:val="24"/>
                <w:color w:val="auto"/>
              </w:rPr>
            </w:pPr>
          </w:p>
        </w:tc>
        <w:tc>
          <w:tcPr>
            <w:tcW w:w="460" w:type="dxa"/>
            <w:vAlign w:val="bottom"/>
            <w:gridSpan w:val="2"/>
          </w:tcPr>
          <w:p>
            <w:pPr>
              <w:jc w:val="center"/>
              <w:ind w:left="291"/>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460" w:type="dxa"/>
            <w:vAlign w:val="bottom"/>
            <w:gridSpan w:val="2"/>
          </w:tcPr>
          <w:p>
            <w:pPr>
              <w:jc w:val="center"/>
              <w:ind w:left="19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020" w:type="dxa"/>
            <w:vAlign w:val="bottom"/>
            <w:gridSpan w:val="4"/>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tcBorders>
              <w:left w:val="single" w:sz="8" w:color="0000FF"/>
            </w:tcBorders>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5120" w:type="dxa"/>
            <w:vAlign w:val="bottom"/>
            <w:gridSpan w:val="6"/>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8"/>
          </w:tcPr>
          <w:p>
            <w:pPr>
              <w:jc w:val="center"/>
              <w:ind w:right="2400"/>
              <w:spacing w:after="0"/>
              <w:rPr>
                <w:sz w:val="20"/>
                <w:szCs w:val="20"/>
                <w:color w:val="auto"/>
              </w:rPr>
            </w:pPr>
            <w:r>
              <w:rPr>
                <w:rFonts w:ascii="Arial" w:cs="Arial" w:eastAsia="Arial" w:hAnsi="Arial"/>
                <w:sz w:val="18"/>
                <w:szCs w:val="18"/>
                <w:b w:val="1"/>
                <w:bCs w:val="1"/>
                <w:color w:val="auto"/>
              </w:rPr>
              <w:t>OTHER INFORMATION</w:t>
            </w: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Legal Proceedings</w:t>
              </w:r>
            </w:hyperlink>
          </w:p>
        </w:tc>
        <w:tc>
          <w:tcPr>
            <w:tcW w:w="816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Risk Factors</w:t>
              </w:r>
            </w:hyperlink>
          </w:p>
        </w:tc>
        <w:tc>
          <w:tcPr>
            <w:tcW w:w="816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120" w:type="dxa"/>
            <w:vAlign w:val="bottom"/>
            <w:gridSpan w:val="6"/>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5120" w:type="dxa"/>
            <w:vAlign w:val="bottom"/>
            <w:gridSpan w:val="6"/>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60" w:type="dxa"/>
            <w:vAlign w:val="bottom"/>
            <w:gridSpan w:val="9"/>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00" w:type="dxa"/>
            <w:vAlign w:val="bottom"/>
            <w:gridSpan w:val="10"/>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00" w:type="dxa"/>
            <w:vAlign w:val="bottom"/>
            <w:gridSpan w:val="10"/>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160" w:type="dxa"/>
            <w:vAlign w:val="bottom"/>
            <w:gridSpan w:val="11"/>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8160" w:type="dxa"/>
            <w:vAlign w:val="bottom"/>
            <w:gridSpan w:val="11"/>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center"/>
              <w:ind w:left="19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358,887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798,466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321,981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230,754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929,753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727,981</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63,852</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12,858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5,171</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federal, state and foreign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15,170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3,203</w:t>
            </w: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26,747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27,417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27,054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Foreign currency translation gain (loss) (net of tax expense (benefit) of</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$97 and $(79) for the three and nine months ended March 31, 2019,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respectively, and $(8) and $28 for the three and nine months ended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2018,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9,149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14,718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4,029</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2019— $938 and June 30, 2018—$6,327)</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274,904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203,388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76,632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5,152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4,458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40,424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89,036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43,036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41,236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230,465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220,388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(147,743)</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75,812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72,645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22,814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4,518</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631,433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79,439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122,235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120,740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9,080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4,824</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238,465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296</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 31, 2019 and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June 30, 2018; 26,803,422 and 26,853,823 shares outstanding as of March 31, 2019 and June 30, 2018</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132,198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226,664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211,494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r>
      <w:tr>
        <w:trPr>
          <w:trHeight w:val="237"/>
        </w:trPr>
        <w:tc>
          <w:tcPr>
            <w:tcW w:w="88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353,916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336,560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Less: Treasury stock, at cost — 1,084,795 shares as of March 31, 2019, and 1,034,394 shares as of June 30, 2018</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336,094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318,843</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631,433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558,033</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3,203</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income to net cash provided (used) by operating activities, net of effects from acquisitions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disposals: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15,546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2,646</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business (Note 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295</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19,831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(1,602)</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(37,697)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13,499</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1,714</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business (Note 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857</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12,430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85,317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64,057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43,805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49,676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46,885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48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Common</w:t>
            </w:r>
          </w:p>
        </w:tc>
        <w:tc>
          <w:tcPr>
            <w:tcW w:w="1080" w:type="dxa"/>
            <w:vAlign w:val="bottom"/>
            <w:vMerge w:val="continue"/>
          </w:tcPr>
          <w:p>
            <w:pPr>
              <w:spacing w:after="0"/>
              <w:rPr>
                <w:sz w:val="12"/>
                <w:szCs w:val="12"/>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Retained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Earnings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40" w:type="dxa"/>
            <w:vAlign w:val="bottom"/>
          </w:tcPr>
          <w:p>
            <w:pPr>
              <w:spacing w:after="0"/>
              <w:rPr>
                <w:sz w:val="20"/>
                <w:szCs w:val="20"/>
                <w:color w:val="auto"/>
              </w:rPr>
            </w:pPr>
            <w:r>
              <w:rPr>
                <w:rFonts w:ascii="Arial" w:cs="Arial" w:eastAsia="Arial" w:hAnsi="Arial"/>
                <w:sz w:val="14"/>
                <w:szCs w:val="14"/>
                <w:color w:val="auto"/>
              </w:rPr>
              <w:t>Balances, January 1, 2019</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4"/>
                <w:szCs w:val="14"/>
                <w:color w:val="auto"/>
              </w:rPr>
              <w:t>Net income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4"/>
                <w:szCs w:val="14"/>
                <w:color w:val="auto"/>
              </w:rPr>
              <w:t>Issuance of deferred shares (22,133 shares)</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0"/>
                <w:szCs w:val="20"/>
                <w:color w:val="auto"/>
              </w:rPr>
            </w:pPr>
            <w:r>
              <w:rPr>
                <w:rFonts w:ascii="Arial" w:cs="Arial" w:eastAsia="Arial" w:hAnsi="Arial"/>
                <w:sz w:val="14"/>
                <w:szCs w:val="14"/>
                <w:color w:val="auto"/>
                <w:w w:val="98"/>
              </w:rPr>
              <w:t>Treasury shares sold to Employee Stock Purchase Plan (4,584 shares)</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shares purchased to satisfy tax withholding obligations (1,693 shares)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4"/>
                <w:szCs w:val="14"/>
                <w:color w:val="auto"/>
              </w:rPr>
              <w:t>Balances, March 31, 2019</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131,889</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217,731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(18,230)</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(8,079)</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323,590</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8,933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8,933</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216</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3,307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3,307</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134,836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226,664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(17,822)</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336,094</w:t>
            </w:r>
          </w:p>
        </w:tc>
      </w:tr>
      <w:tr>
        <w:trPr>
          <w:trHeight w:val="20"/>
        </w:trPr>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-1045845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-702310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-359410</wp:posOffset>
            </wp:positionV>
            <wp:extent cx="722947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500"/>
            <w:col w:w="6120"/>
          </w:cols>
          <w:pgMar w:left="240" w:top="341" w:right="259" w:bottom="1440" w:gutter="0" w:footer="0" w:header="0"/>
          <w:type w:val="continuous"/>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ind w:left="40"/>
              <w:spacing w:after="0"/>
              <w:rPr>
                <w:sz w:val="20"/>
                <w:szCs w:val="20"/>
                <w:color w:val="auto"/>
              </w:rPr>
            </w:pPr>
            <w:r>
              <w:rPr>
                <w:rFonts w:ascii="Arial" w:cs="Arial" w:eastAsia="Arial" w:hAnsi="Arial"/>
                <w:sz w:val="14"/>
                <w:szCs w:val="14"/>
                <w:color w:val="auto"/>
              </w:rPr>
              <w:t>Balances, January 1, 2018</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5"/>
                <w:szCs w:val="15"/>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128,235</w:t>
            </w:r>
          </w:p>
        </w:tc>
        <w:tc>
          <w:tcPr>
            <w:tcW w:w="120" w:type="dxa"/>
            <w:vAlign w:val="bottom"/>
          </w:tcPr>
          <w:p>
            <w:pPr>
              <w:spacing w:after="0"/>
              <w:rPr>
                <w:sz w:val="15"/>
                <w:szCs w:val="15"/>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231,330</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(18,470)</w:t>
            </w:r>
          </w:p>
        </w:tc>
        <w:tc>
          <w:tcPr>
            <w:tcW w:w="100" w:type="dxa"/>
            <w:vAlign w:val="bottom"/>
          </w:tcPr>
          <w:p>
            <w:pPr>
              <w:spacing w:after="0"/>
              <w:rPr>
                <w:sz w:val="15"/>
                <w:szCs w:val="15"/>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15"/>
                <w:szCs w:val="15"/>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335,586</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4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deferred shares (2,250 shares)</w:t>
            </w:r>
          </w:p>
        </w:tc>
        <w:tc>
          <w:tcPr>
            <w:tcW w:w="3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Treasury shares sold to Employee Stock Purchase Plan (4,560 shares)</w:t>
            </w:r>
          </w:p>
        </w:tc>
        <w:tc>
          <w:tcPr>
            <w:tcW w:w="34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Treasury shares purchased to satisfy tax withholding obligations (868 shares)</w:t>
            </w:r>
          </w:p>
        </w:tc>
        <w:tc>
          <w:tcPr>
            <w:tcW w:w="34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34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March 31, 2018</w:t>
            </w:r>
          </w:p>
        </w:tc>
        <w:tc>
          <w:tcPr>
            <w:tcW w:w="34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130,330</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226,177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(18,365)</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331,923</w:t>
            </w:r>
          </w:p>
        </w:tc>
        <w:tc>
          <w:tcPr>
            <w:tcW w:w="0" w:type="dxa"/>
            <w:vAlign w:val="bottom"/>
          </w:tcPr>
          <w:p>
            <w:pPr>
              <w:spacing w:after="0"/>
              <w:rPr>
                <w:sz w:val="1"/>
                <w:szCs w:val="1"/>
                <w:color w:val="auto"/>
              </w:rPr>
            </w:pPr>
          </w:p>
        </w:tc>
      </w:tr>
      <w:tr>
        <w:trPr>
          <w:trHeight w:val="60"/>
        </w:trPr>
        <w:tc>
          <w:tcPr>
            <w:tcW w:w="468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6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00"/>
          </w:cols>
          <w:pgMar w:left="240" w:top="341"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48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Common</w:t>
            </w:r>
          </w:p>
        </w:tc>
        <w:tc>
          <w:tcPr>
            <w:tcW w:w="1080" w:type="dxa"/>
            <w:vAlign w:val="bottom"/>
            <w:vMerge w:val="continue"/>
          </w:tcPr>
          <w:p>
            <w:pPr>
              <w:spacing w:after="0"/>
              <w:rPr>
                <w:sz w:val="12"/>
                <w:szCs w:val="12"/>
                <w:color w:val="auto"/>
              </w:rPr>
            </w:pP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Retained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Paid-In</w:t>
            </w:r>
          </w:p>
        </w:tc>
        <w:tc>
          <w:tcPr>
            <w:tcW w:w="10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Earnings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Balances, July 1, 2018</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Exercise of stock options (12,500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Issuance of deferred shares (314,711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w w:val="97"/>
              </w:rPr>
              <w:t>Treasury shares sold to Employee Stock Purchase Plan (12,031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Open market purchases of treasury shares (310,532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shares purchased to satisfy tax withholding obligations (79,111 shares)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4"/>
                <w:szCs w:val="14"/>
                <w:color w:val="auto"/>
              </w:rPr>
              <w:t>Balances, March 31, 2019</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132,198</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211,494</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(17,717)</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(7,411)</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318,843</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15,170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15,170</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(452)</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128</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6,306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235</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(5,190)</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(1,685)</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9,045</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134,836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226,664</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(17,822)</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336,094</w:t>
            </w:r>
          </w:p>
        </w:tc>
      </w:tr>
      <w:tr>
        <w:trPr>
          <w:trHeight w:val="20"/>
        </w:trPr>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-1388745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-1045845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-702310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-359410</wp:posOffset>
            </wp:positionV>
            <wp:extent cx="722947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500"/>
            <w:col w:w="6120"/>
          </w:cols>
          <w:pgMar w:left="240" w:top="341" w:right="259" w:bottom="1440" w:gutter="0" w:footer="0" w:header="0"/>
          <w:type w:val="continuous"/>
        </w:sectPr>
      </w:pP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Balances, July 1, 2017</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3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rPr>
              <w:t>Issuance of deferred shares (253,124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0"/>
                <w:szCs w:val="20"/>
                <w:color w:val="auto"/>
              </w:rPr>
            </w:pPr>
            <w:r>
              <w:rPr>
                <w:rFonts w:ascii="Arial" w:cs="Arial" w:eastAsia="Arial" w:hAnsi="Arial"/>
                <w:sz w:val="14"/>
                <w:szCs w:val="14"/>
                <w:color w:val="auto"/>
                <w:w w:val="97"/>
              </w:rPr>
              <w:t>Treasury shares sold to Employee Stock Purchase Plan (16,843 shares)</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shares purchased to satisfy tax withholding obligations (52,911 shares)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3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4"/>
                <w:szCs w:val="14"/>
                <w:color w:val="auto"/>
              </w:rPr>
              <w:t>Balances, March 31, 2018</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128,419</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222,974</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(22,539)</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(7,324)</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321,809</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3,203</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826</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4,467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224</w:t>
            </w:r>
          </w:p>
        </w:tc>
      </w:tr>
      <w:tr>
        <w:trPr>
          <w:trHeight w:val="270"/>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276"/>
        </w:trPr>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6,488</w:t>
            </w:r>
          </w:p>
        </w:tc>
      </w:tr>
      <w:tr>
        <w:trPr>
          <w:trHeight w:val="237"/>
        </w:trPr>
        <w:tc>
          <w:tcPr>
            <w:tcW w:w="460" w:type="dxa"/>
            <w:vAlign w:val="bottom"/>
          </w:tcPr>
          <w:p>
            <w:pPr>
              <w:jc w:val="right"/>
              <w:ind w:right="168"/>
              <w:spacing w:after="0"/>
              <w:rPr>
                <w:sz w:val="20"/>
                <w:szCs w:val="20"/>
                <w:color w:val="auto"/>
              </w:rPr>
            </w:pPr>
            <w:r>
              <w:rPr>
                <w:rFonts w:ascii="Arial" w:cs="Arial" w:eastAsia="Arial" w:hAnsi="Arial"/>
                <w:sz w:val="14"/>
                <w:szCs w:val="14"/>
                <w:color w:val="auto"/>
                <w:w w:val="85"/>
              </w:rPr>
              <w:t>279</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130,330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226,177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(18,365)</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(6,498)</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331,923</w:t>
            </w:r>
          </w:p>
        </w:tc>
      </w:tr>
      <w:tr>
        <w:trPr>
          <w:trHeight w:val="20"/>
        </w:trPr>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-1217295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-874395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-530860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-187960</wp:posOffset>
            </wp:positionV>
            <wp:extent cx="722947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500"/>
            <w:col w:w="6120"/>
          </w:cols>
          <w:pgMar w:left="240" w:top="34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- 8-</w:t>
      </w:r>
    </w:p>
    <w:p>
      <w:pPr>
        <w:sectPr>
          <w:pgSz w:w="11900" w:h="16838" w:orient="portrait"/>
          <w:cols w:equalWidth="0" w:num="1">
            <w:col w:w="11400"/>
          </w:cols>
          <w:pgMar w:left="240" w:top="341"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2018, included in the Company’s Annual Report on Form 10-K for the year then ended. The results of operations for the nine-month period ended March 31, 2019 may not necessarily be indicative of the results of operations for the full year ending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have updated our revenue recognition accounting policy as a result of adopting the Financial Accounting Standards Board ("FASB")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on July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Our other significant accounting policies are detailed in "Note 1 - Summary of Significant Accounting Policies" of our Annual Report on Form 10-K for the year ended June 30,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Revenue Recognition Standard</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on July 1, 2018. The standard outlines a single comprehensive model for entities to use in accounting for revenue arising from contracts with customers and supersedes most previous revenue recognition guidance, including industry-specific guidance, and is applicable to all of the Company's contracts with customers. The core principle of the revenue model is that "an entity recognizes revenue to depict the transfer of promised goods or services to customers in an amount that reflects the consideration to which the entity expects to be entitled in exchange for those goods or services." The Company used the modified retrospective method of application. Under the modified retrospective method, revenue recognized on completed contracts is not restated, however contracts in progress are accounted for as if they were under this new standard at inception. Any difference between historical revenue and revenue under the new standard is recorded as a cumulative effect adjustment to retained earnings as of the date of adoption. The cumulative impact of adopting Topic 606 was immaterial and did not require an adjustment to retained earnings. See Note 2 – Revenue for new disclosures required as a result of adopting Topic 606.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 Early adoption of the amendments is permitted, but we do not plan to do so at this time.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expect the ASU to have a material impact to the amount or pattern of recognition of the Company's earnings or cash flows. However, we do expect the ASU to have a material impact to the Company's balance sheet.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We also have month-to-month rentals of equipment that are used directly on our job sites. At this time, we believe most of these rentals will not be capitalized; however our analysis is not yet complete and we cannot yet quantify the impact to our balance sheet. Our conclusions are preliminary and could change as we continue with the implementation.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but does not plan to do so at this time.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$805.3 million of remaining performance obligations yet to be satisfied as of March 31, 2019. The Company expects to recognize approximately $714.2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advance payments and billings in excess of revenue recognized. The following table provides information about CIE and BIE: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75,353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the Company's CIE and BIE primarily results from the timing of revenue recognized relative to its billings. The amount of revenue recognized during the nine months ended March 31, 2019 that was included in the prior period BIE balance was $120.7 million. This revenue consists primarily of work performed during the period on contracts with customers that had advance billings.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Gross amounts of contact assets and liabilities on uncompleted contracts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w w:val="92"/>
              </w:rPr>
              <w:t>June 30,</w:t>
            </w:r>
          </w:p>
        </w:tc>
      </w:t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1,765,137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2,081,799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2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1,812,019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2,125,907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(44,108)</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March 31, 2019 and June 30, 2018 included retentions to be collected within one year of $20.8 million and $25.9 million, respectively. Contract retentions collectible beyond one year are included in other assets in the Condensed Consolidated Balance Sheet and totaled $17.1 million as of March 31, 2019 and $2.6 million as of June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table presents revenue disaggregated by the geographic area where the work was performed: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345,953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226,089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985,603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706,934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10,691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18,056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27,486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87,911</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358,887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245,645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1,017,966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798,466</w:t>
            </w:r>
          </w:p>
        </w:tc>
      </w:tr>
      <w:tr>
        <w:trPr>
          <w:trHeight w:val="27"/>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Process Heating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Company sold non-core assets associated with a business that marketed process heating equipment for $3.9 million in cash, including $0.2 million of customary final post-closing adjustments paid in October 2018. The Company recognized a gain of $0.4 million on the sale, which was included in Other in the Condensed Consolidated Statements of Income. The revenues and operating results of the business, which were included in the Oil Gas &amp; Chemical segment, were not material.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16,760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96,162</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Disposal of business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balance at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24,807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30,829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20,969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93,316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left="540" w:hanging="316"/>
        <w:spacing w:after="0" w:line="247"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August 2018, the Company disposed of a business that marketed process heating equipment. See Note 3 - Disposals for more information about the disposal. The business disposed of constituted its own reporting unit and the amount of goodwill written off was all of the goodwill assigned to that reporting unit. None of the goodwill was considered impaired since the Company recorded a gain on the disposal.</w:t>
      </w:r>
    </w:p>
    <w:p>
      <w:pPr>
        <w:spacing w:after="0" w:line="1" w:lineRule="exact"/>
        <w:rPr>
          <w:rFonts w:ascii="Arial" w:cs="Arial" w:eastAsia="Arial" w:hAnsi="Arial"/>
          <w:sz w:val="14"/>
          <w:szCs w:val="14"/>
          <w:color w:val="auto"/>
        </w:rPr>
      </w:pPr>
    </w:p>
    <w:p>
      <w:pPr>
        <w:ind w:left="540" w:hanging="316"/>
        <w:spacing w:after="0" w:line="255" w:lineRule="auto"/>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-529590</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its goodwill for impairment annually in May. The Company did not note any impairment indicators as of March 31, 2019. However, if our market view of project opportunities or gross margins deteriorates, then the annual goodwill impairment test could result in the recognition of an impairment to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At March 31, 2019</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19,417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20,282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At June 30, 2018</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21,799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42,594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22,814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totaled $0.8 million and $2.5 million during the three and nine months ended March 31, 2019 and $0.9 million and $3.9 million during the three and nine months ended March 31,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was related to March 31, 2019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2019</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2020</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3,735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2,875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2024</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March 31, 2019</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20,282</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March 31, 2019, Covenant EBITDA was $51.4 million. Consolidated Funded Indebtedness at March 31, 2019 was $23.9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145,812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154,188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130,322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Cuts and Jobs Act (the "Act") was enacted on December 22, 2017. The Act makes broad and complex changes to the U.S. tax code, which have affected our current results and will affect our future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significant changes in the tax code that became effective for the Company beginning July 1, 2018:</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eliminating the deduction for domestic production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the annual deduction for business interest;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taxing global intangible low-tax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allowing a deduction for domestically earned foreign intangible income; and</w:t>
      </w:r>
    </w:p>
    <w:p>
      <w:pPr>
        <w:spacing w:after="0" w:line="171" w:lineRule="exact"/>
        <w:rPr>
          <w:rFonts w:ascii="Arial" w:cs="Arial" w:eastAsia="Arial" w:hAnsi="Arial"/>
          <w:sz w:val="18"/>
          <w:szCs w:val="18"/>
          <w:color w:val="auto"/>
        </w:rPr>
      </w:pPr>
    </w:p>
    <w:p>
      <w:pPr>
        <w:ind w:right="2460" w:firstLine="332"/>
        <w:spacing w:after="0" w:line="438"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establishing a new base erosion and anti-abuse tax on payments between U.S. taxpayers and foreign related parties. We completed the accounting for the Act as of December 31, 2018 and accounted for the tax effect of the Act as follows: </w:t>
      </w:r>
      <w:r>
        <w:rPr>
          <w:rFonts w:ascii="Arial" w:cs="Arial" w:eastAsia="Arial" w:hAnsi="Arial"/>
          <w:sz w:val="18"/>
          <w:szCs w:val="18"/>
          <w:u w:val="single" w:color="auto"/>
          <w:color w:val="auto"/>
        </w:rPr>
        <w:t>Deferred Taxes Remeasurement</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remeasured our domestic deferred tax assets and liabilities based on the rates at which we expect them to reverse in the future. At June 30, 2018, we completed the remeasurement of our domestic deferred tax assets and liabilities which resulted in an income tax benefit of $0.5 million included in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One-time Transition Tax on Unrepatriated Earnings of Certain Foreign Subsidiaries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 includes a one-time transition tax based on our total post-1986 foreign earnings and profits ("E&amp;P") which we have previously deferred from U.S. income taxes. Based on our completed calculations surrounding this tax, we incurred no additional tax related to this provision since our foreign subsidiaries have overall negative E&amp;P.</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Intangible Low-Tax Income (“GILTI”)</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 creates a new requirement that certain income earned by controlled foreign corporations must be included currently in the gross income of the U.S. shareholder. Under U.S. GAAP, we have made an accounting policy election to treat taxes due on future U.S. inclusions in taxable income related to GILTI as a current-period expense when incurred instead of factoring such amounts into the measurement of our deferred taxes. For fiscal 2019, we project to have no U.S. taxable income inclusion related to GILTI.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Allowances on Foreign Tax Credit Carryforwards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assess our ability to utilize our foreign tax credits in light of the lower U.S. federal income tax rate. As of March 31, 2019, we had $1.5 million of foreign tax credit carryforwards, the majority of which relate to our branch operations in Canada. Future operations of our Canadian branches will impact our ability to utilize these credits. During this quarter we concluded that we are unlikely to realize the benefit of foreign tax credits generated by our Canadian operations, which expire in fiscal 2021. Therefore, we recorded a valuation allowance of $0.6 million. During our second fiscal quarter, we placed a valuation on $0.2 million of credits expiring in fiscal 2019 and fiscal 2020. The remaining $0.7 million of credits will expire in fiscal 2023 through fiscal 2025 if not utilized.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Indefinite Reinvestment Assertion</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do not provide for outside basis differences under the indefinite reinvestment assertion of ASC 740-30. Based on our analysis of the Act, we do not anticipate the need to provide for additional taxes for basis differences or withholding taxes on remitted foreign earnings in the immediate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rates for the three and nine months ended March 31, 2019 were 30.5% and 27.9%, respectively, compared to 14.2% and 38.1% for the same periods a year ago. We expected our fiscal 2019 effective tax rate to be approximately 27.0%. The effective tax rates for both periods in fiscal 2019 were negatively impacted by a valuation allowance of $0.6 million placed on foreign tax credits generated by our operations in Canada, which we believe will not be utilized prior to their expiration. The effective tax rate for the nine months ended March 31, 2019 was positively impacted by $0.3 million of excess tax benefits related to the vesting of stock-based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$11.5 million at March 31, 2019 and $15.0 million at June 30, 2018.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181"/>
        </w:trPr>
        <w:tc>
          <w:tcPr>
            <w:tcW w:w="4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7"/>
          </w:tcPr>
          <w:p>
            <w:pPr>
              <w:jc w:val="center"/>
              <w:ind w:right="340"/>
              <w:spacing w:after="0"/>
              <w:rPr>
                <w:sz w:val="20"/>
                <w:szCs w:val="20"/>
                <w:color w:val="auto"/>
              </w:rPr>
            </w:pPr>
            <w:r>
              <w:rPr>
                <w:rFonts w:ascii="Arial" w:cs="Arial" w:eastAsia="Arial" w:hAnsi="Arial"/>
                <w:sz w:val="13"/>
                <w:szCs w:val="13"/>
                <w:color w:val="auto"/>
                <w:w w:val="86"/>
              </w:rPr>
              <w:t>(In thousands, except per share data)</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58"/>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304"/>
        </w:trPr>
        <w:tc>
          <w:tcPr>
            <w:tcW w:w="4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8,933</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15,170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3,203</w:t>
            </w:r>
          </w:p>
        </w:tc>
      </w:tr>
      <w:tr>
        <w:trPr>
          <w:trHeight w:val="251"/>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26,918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26,747</w:t>
            </w:r>
          </w:p>
        </w:tc>
      </w:tr>
      <w:tr>
        <w:trPr>
          <w:trHeight w:val="20"/>
        </w:trPr>
        <w:tc>
          <w:tcPr>
            <w:tcW w:w="4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4400" w:type="dxa"/>
            <w:vAlign w:val="bottom"/>
          </w:tcPr>
          <w:p>
            <w:pPr>
              <w:ind w:left="40"/>
              <w:spacing w:after="0"/>
              <w:rPr>
                <w:sz w:val="20"/>
                <w:szCs w:val="20"/>
                <w:color w:val="auto"/>
              </w:rPr>
            </w:pPr>
            <w:r>
              <w:rPr>
                <w:rFonts w:ascii="Arial" w:cs="Arial" w:eastAsia="Arial" w:hAnsi="Arial"/>
                <w:sz w:val="18"/>
                <w:szCs w:val="18"/>
                <w:color w:val="auto"/>
              </w:rPr>
              <w:t>Basic earnings (loss) per share</w:t>
            </w: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0.12</w:t>
            </w:r>
          </w:p>
        </w:tc>
      </w:tr>
      <w:tr>
        <w:trPr>
          <w:trHeight w:val="237"/>
        </w:trPr>
        <w:tc>
          <w:tcPr>
            <w:tcW w:w="4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26,788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26,918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26,747</w:t>
            </w:r>
          </w:p>
        </w:tc>
      </w:tr>
      <w:tr>
        <w:trPr>
          <w:trHeight w:val="27"/>
        </w:trPr>
        <w:tc>
          <w:tcPr>
            <w:tcW w:w="4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278</w:t>
            </w:r>
          </w:p>
        </w:tc>
      </w:tr>
      <w:tr>
        <w:trPr>
          <w:trHeight w:val="27"/>
        </w:trPr>
        <w:tc>
          <w:tcPr>
            <w:tcW w:w="4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27,417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26,817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27,587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27,054</w:t>
            </w:r>
          </w:p>
        </w:tc>
      </w:tr>
      <w:tr>
        <w:trPr>
          <w:trHeight w:val="20"/>
        </w:trPr>
        <w:tc>
          <w:tcPr>
            <w:tcW w:w="4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440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1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0.12</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81"/>
        </w:trPr>
        <w:tc>
          <w:tcPr>
            <w:tcW w:w="8580" w:type="dxa"/>
            <w:vAlign w:val="bottom"/>
            <w:gridSpan w:val="8"/>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9"/>
        </w:trPr>
        <w:tc>
          <w:tcPr>
            <w:tcW w:w="4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196"/>
        </w:trPr>
        <w:tc>
          <w:tcPr>
            <w:tcW w:w="4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7"/>
          </w:tcPr>
          <w:p>
            <w:pPr>
              <w:jc w:val="center"/>
              <w:ind w:right="34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Nonvested deferred shares</w:t>
            </w: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276</w:t>
            </w:r>
          </w:p>
        </w:tc>
      </w:tr>
      <w:tr>
        <w:trPr>
          <w:trHeight w:val="27"/>
        </w:trPr>
        <w:tc>
          <w:tcPr>
            <w:tcW w:w="44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r>
      <w:tr>
        <w:trPr>
          <w:trHeight w:val="20"/>
        </w:trPr>
        <w:tc>
          <w:tcPr>
            <w:tcW w:w="4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2018.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CIE/BIE,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140" w:type="dxa"/>
            <w:vAlign w:val="bottom"/>
          </w:tcPr>
          <w:p>
            <w:pPr>
              <w:jc w:val="center"/>
              <w:ind w:right="172"/>
              <w:spacing w:after="0" w:line="153"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60,669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58,378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163,543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203,201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242,946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134,822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78,859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374,787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221,664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237,225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134,507</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360,188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247,902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1,022,052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802,318</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203,201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244,322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242,402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372,876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218,357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81,283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41,976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237,225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134,506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358,887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245,645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1,017,966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798,466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10,736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27,550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88,213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70,485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7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 (loss)</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12,794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20,541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140" w:type="dxa"/>
            <w:vAlign w:val="bottom"/>
          </w:tcPr>
          <w:p>
            <w:pPr>
              <w:jc w:val="center"/>
              <w:ind w:right="17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121,978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111,064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149,695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58,816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77,251</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631,433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558,033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- 20-</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Except for the Revenue Recognition accounting policy which has been updated for the adoption the Financial Accounting Standards Board ("FASB")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July 1, 2018, there have been no material changes in our critical accounting policies from those reported in our fiscal 2018 Annual Report on Form 10-K filed with the SEC. For more information on our critical accounting policies, see Part II, Item 7 of our fiscal 2018 Annual Report on Form 10-K. The following section provides certain information with respect to our critical accounting estimates as of the close of our most recent quarterly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$11.5 million at March 31, 2019 and $15.0 million at June 30, 2018. The amounts ultimately realized may be significantly different than the recorded amounts resulting in a material adjustment to future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its goodwill for impairment annually in May. The Company did not note any impairment indicators as of March 31, 2019. However, if our market view of project opportunities or gross margins deteriorates, then the annual goodwill impairment test could result in the recognition of an impairment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that amends accounting for leases. Under the new guidance, lessees will recognize the following for all leases (with the exception of short-term leases) at the lease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plans to apply the new leases standard using the modified retrospective method, which recognizes a cumulative-effect adjustment to the opening balance of retained earnings in the period of adoption. The ASU is effective for fiscal years beginning after December 15, 2018, including interim periods within those fiscal years. Early adoption of the amendments is permitted, but we do not plan to do so at this time.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expect the ASU to have a material impact to the amount or pattern of recognition of the Company's earnings or cash flows. However, we do expect the ASU to have a material impact to the Company's balance sheet. As of June 30, 2018, the Company had $33.1 million of future minimum lease payments under non-cancelable operating leases, primarily for facilities. See Note 8 of Item 8. Financial Statements and Supplementary Data in our 2018 Form 10-K for more information about the timing and amount of future operating lease payments. We also have month-to-month rentals of equipment that are used directly on our job sites. At this time, we believe most of these rentals will not be capitalized; however our analysis is not yet complete and we cannot yet quantify the impact to our balance sheet. Our conclusions are preliminary and could change as we continue with the implementation.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but does not plan to do so at this time.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2017-09, Compensation-Stock Compensation (Topic 718): Scope of Modification Accounting</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2017, the FASB issued ASU 2017-09 which clarifies when changes to the terms or conditions of a share-based payment award must be accounted for as a modification. Entities should apply the modification accounting guidance if the value, vesting conditions or classification of the award changes. The Company adopted ASU 2017-09 on July 1, 2018, which did not have a material impact on our financial position, results of operations or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high voltage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turnarounds, plant maintenance,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13" w:lineRule="exact"/>
        <w:rPr>
          <w:sz w:val="20"/>
          <w:szCs w:val="20"/>
          <w:color w:val="auto"/>
        </w:rPr>
      </w:pPr>
    </w:p>
    <w:p>
      <w:pPr>
        <w:ind w:right="4280"/>
        <w:spacing w:after="0" w:line="440" w:lineRule="auto"/>
        <w:rPr>
          <w:sz w:val="20"/>
          <w:szCs w:val="20"/>
          <w:color w:val="auto"/>
        </w:rPr>
      </w:pPr>
      <w:r>
        <w:rPr>
          <w:rFonts w:ascii="Arial" w:cs="Arial" w:eastAsia="Arial" w:hAnsi="Arial"/>
          <w:sz w:val="18"/>
          <w:szCs w:val="18"/>
          <w:b w:val="1"/>
          <w:bCs w:val="1"/>
          <w:color w:val="auto"/>
        </w:rPr>
        <w:t xml:space="preserve">Three Months Ended March 31, 2019 Compared to the Three Months Ended March 31, 2018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revenue was $358.9 million for the three months ended March 31, 2019, compared to $245.6 million in the same period in the prior fiscal year. On a segment basis, consolidated revenue increased in the Storage Solutions, Industrial, Oil Gas &amp; Chemical and Electrical Infrastructure segments by $57.5 million, $39.3 million, $14.2 million and $2.3 million, respectively.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increased to $36.9 million in the three months ended March 31, 2019 compared to $14.9 million in the same period in the prior fiscal year. Gross margin increased to 10.3% in the three months ended March 31, 2019 compared to 6.1% in the same period in the prior fiscal year. Fiscal 2019 gross margin was positively impacted by higher revenues, which led to improved recovery of construction overhead costs, and improved project execution.</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Consolidated SG&amp;A expenses were $24.1 million in the three months ended March 31, 2019 compared to $20.8 million in the same period a year earlier. The increase was primarily due to improved operating results, which led to higher incentive compensation expense, and higher stock compensation cost.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was $0.3 million in the three months ended March 31, 2019 compared to $0.6 million in the same period a year ago. The decrease was due to a lower average debt balance during the three months ended March 31, 2019. Interest income was $0.3 million in the three months ended March 31, 2019 compared to $0.1 million in the same period a year ago due to an increase in our average cash balance and higher interest rates.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effective tax rate for the three months ended March 31, 2019 was 30.5% compared to 14.2% for the same period a year ago. We expected our effective tax rate to be approximately 27.0% in fiscal 2019 and 32.0% in fiscal 2018. The effective tax rate in fiscal 2019 was negatively impacted by a valuation allowance of $0.6 million placed on foreign tax credits generated by our operations in Canada, which we believe will not be utilized prior to their expiration. The rate for the three months ended March 31, 2018 was negatively impacted by a $0.7 million valuation allowance recorded on a deferred tax asset in connection with stock-based compensation and by a $0.2 million domestic deferred tax remeasurement adjustment in connection with accounting for the Tax Cuts and Jobs Act.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ended March 31, 2019, net income and the related fully diluted earnings per share were $8.9 million and $0.33, respectively, compared to a net loss and related fully diluted loss per share of $5.2 million and $0.19,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increased $2.3 million to $60.7 million in the three months ended March 31, 2019 compared to $58.4 million in the same period a year earlier. The increase is primarily due to an increase in power generation package work, largely offset by reductions in power delivery and our strategic shift away from larger power generation EPC work. The segment gross margin was 10.2% in fiscal 2019 and 3.0% in fiscal 2018. The fiscal 2019 segment gross margin was positively impacted by strong project execution on power generation package work. The segment gross margin of 3.0% in fiscal 2018 was negatively impacted by lower than expected direct margins, under recovery of construction overhead costs due to lower than anticipated volumes, and increased competition.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Oil Gas &amp; Chemical segment was $82.5 million in the three months ended March 31, 2019 compared to $68.4 million in the same period a year earlier. The increase of $14.2 million is primarily due to higher volumes of turnaround and maintenance work. The segment gross margin was 13.0% for the three months ended March 31, 2019 compared to 6.9% in the same period last year. The fiscal 2019 segment gross margin benefited from improved recovery of construction overhead costs and strong execution on capital projects. The fiscal 2018 segment gross margin was negatively impacted by lower than previously forecasted direct margins on a limited number of projects and the under-recovery of construction overhead costs.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Storage Solutions segment was $134.4 million in the three months ended March 31, 2019 compared to $76.9 million in the same period a year earlier, an increase of $57.5 million. The increase in segment revenue is primarily a result of increased tank and terminal construction work, and higher levels of repair and maintenance spending. The segment gross margin was 10.8% in the three months ended March 31, 2019 and 5.4% in the three months ended March 31, 2018. The fiscal 2018 segment gross margin was negatively impacted lower than previously forecasted margins on a limited number of projects and lower volumes, which led to the under-recovery of construction overhead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 for the Industrial segment increased $39.3 million to $81.3 million in the three months ended March 31, 2019 compared to $42.0 million in the same period a year earlier. The increase in revenue is primarily attributable to higher volumes of iron and steel work. The segment gross margin was 6.6% in the three months ended March 31, 2019 compared to 10.1% in the same period a year earlier. The fiscal 2019 segment gross margin was negatively impacted by lower than previously forecasted margins on a thermal vacuum chamber project nearing completion and a high volume of lower margin iron and steel work. The fiscal 2018 segment gross margin was positively impacted by a favorable project closeout.</w:t>
      </w:r>
    </w:p>
    <w:p>
      <w:pPr>
        <w:spacing w:after="0" w:line="115" w:lineRule="exact"/>
        <w:rPr>
          <w:sz w:val="20"/>
          <w:szCs w:val="20"/>
          <w:color w:val="auto"/>
        </w:rPr>
      </w:pPr>
    </w:p>
    <w:p>
      <w:pPr>
        <w:ind w:right="4480"/>
        <w:spacing w:after="0" w:line="440" w:lineRule="auto"/>
        <w:rPr>
          <w:sz w:val="20"/>
          <w:szCs w:val="20"/>
          <w:color w:val="auto"/>
        </w:rPr>
      </w:pPr>
      <w:r>
        <w:rPr>
          <w:rFonts w:ascii="Arial" w:cs="Arial" w:eastAsia="Arial" w:hAnsi="Arial"/>
          <w:sz w:val="18"/>
          <w:szCs w:val="18"/>
          <w:b w:val="1"/>
          <w:bCs w:val="1"/>
          <w:color w:val="auto"/>
        </w:rPr>
        <w:t xml:space="preserve">Nine Months Ended March 31, 2019 Compared to the Nine Months Ended March 31, 2018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$1.018 billion for the nine months ended March 31, 2019, compared to $798.5 million in the same period in the prior fiscal year. On a segment basis, consolidated revenue increased in the Storage Solutions, Industrial, and Oil Gas &amp; Chemical segments by $154.6 million, $102.7 million and $1.9 million, respectively. These increases were partially offset by a decrease in consolidated revenue in the Electrical Infrastructure segment of $39.7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gross profit increased to $88.2 million in the nine months ended March 31, 2019 compared to $70.5 million in the same period in the prior fiscal year. Gross margin was 8.7% in the nine months ended March 31, 2019 compared to 8.8% in the same period in the prior fiscal year. For the first and second quarters of fiscal 2019, gross margin was negatively impacted by the wind down of lower margin work awarded in a highly competitive environment and lower than previously forecasted margins on a limited number of those projects.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SG&amp;A expenses were $67.7 million in the nine months ended March 31, 2019 compared to $63.9 million in the same period a year earlier. The increase was primarily due to improved operating results, which led to higher incentive compensation expense, and higher stock compensation expense. These increases were partially offset by lower amortization expense on intangible assets that fully amortized in fiscal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was $1.0 million in the nine months ended March 31, 2019, compared to $2.1 million in the same period a year ago. The decrease was due to a lower average debt balance during the nine months ended March 31, 2019. Interest income was $0.9 million in the nine months ended March 31, 2019 compared to $0.2 million in the same period a year ago due to an increase in our average cash balance and higher interest rates.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tax rate for the nine months ended March 31, 2019 was 27.9% compared to 38.1% for the same period a year ago. We expected our effective tax rate to be approximately 27.0% in fiscal 2019 and 32.0% in fiscal 2018. The effective tax rate in fiscal 2019 was negatively impacted by a valuation allowance of $0.6 million placed on foreign tax credits generated by our operations in Canada, which we believe will not be utilized prior to their expiration. This was partially offset by $0.3 million of excess tax benefits related to the vesting of stock-based compensation. The effective tax rate for the nine months ended March 31, 2018 was negatively impacted by $1.3 million of unfavorable stock-based compensation tax adjustments, largely offset by a favorable $1.0 million domestic deferred tax remeasurement adjustment in connection with accounting for the Tax Cuts and Jobs Act.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 months ended March 31, 2019, net income and the related fully diluted earnings per share were $15.2 million and $0.55, respectively, compared to net income and related fully diluted earnings per share of $3.2 million and $0.12, respectively, in the same period a year earlier.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Electrical Infrastructure segment decreased $39.7 million to $163.5 million in the nine months ended March 31, 2019 compared to $203.2 million in the same period a year earlier. The decrease is primarily due to the strategic shift away from larger EPC power generation work to smaller packages, as well as a lower volume of power delivery projects. The segment gross margin was 8.0% in fiscal 2019 and 7.7% in fiscal 2018. The fiscal 2019 segment gross margin was negatively impacted by lower than previously forecasted margins on a limited number of projects and lower direct margins due to working off backlog that was awarded during a period of increased competition, partially offset by strong project execution on power generation package work. The fiscal 2018 segment gross margin was negatively impacted by higher construction overhead costs and by lower than previously forecasted margins on a limited number of projects.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Oil Gas &amp; Chemical segment was $244.3 million in the nine months ended March 31, 2019 compared to $242.4 million in the same period a year earlier. The increase of $1.9 million is primarily due to higher volumes of turnaround and maintenance work, largely offset by a decrease in capital work. The segment gross margin was 10.4% for the nine months ended March 31, 2019 compared to 11.4% in the same period last year. Fiscal 2018 segment gross margin benefited from strong project execution on a capital project.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$372.9 million in the nine months ended March 31, 2019 compared to $218.3 million in the same period a year earlier, an increase of $154.6 million. The increase in segment revenue is primarily a result of increased tank and terminal construction work, and higher levels of repair and maintenance spending. The segment gross margin was 9.5% in the nine months ended March 31, 2019 and 7.8% in the nine months ended March 31, 2018. For the first and second quarters of fiscal 2019, gross margin was negatively impacted by the wind down of lower margin work awarded in a highly competitive environment and lower than previously forecasted margins on a limited number of those projects. The fiscal 2018 segment gross margin was negatively impacted by lower volumes, which led to the under-recovery of construction overhead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Industrial segment increased $102.7 million to $237.2 million in the nine months ended March 31, 2019 compared to $134.5 million in the same period a year earlier. The increase in revenue is primarily attributable to higher volumes of iron and steel spending and increased thermal vacuum chamber work. The segment gross margin was 6.0% in the nine months ended March 31, 2019 compared to 7.7% in the same period a year earlier. The fiscal 2019 segment gross margin was negatively impacted by lower than previously forecasted margin on a thermal vacuum chamber project nearing completion and a high volume of lower margin iron and steel work.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the notice is significant relative to the overall project and if we conclude that the likelihood of the full project proceeding as high. For all other arrangements, we calculate backlog as the estimated contract amount less revenues recognized as of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102,738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177,861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545,204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220,593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1,046,396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59,151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72,434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242,004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458,931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(358,887)</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Backlog as of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101,220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167,751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652,817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224,652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1,146,440</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2019:</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40" w:type="dxa"/>
            <w:vAlign w:val="bottom"/>
          </w:tcPr>
          <w:p>
            <w:pPr>
              <w:spacing w:after="0"/>
              <w:rPr>
                <w:sz w:val="14"/>
                <w:szCs w:val="14"/>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113,957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227,452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613,360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263,827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1,218,596</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150,806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184,621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412,333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198,050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945,810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(1,017,966)</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Backlog as of March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101,220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167,751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652,817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224,652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1,146,440</w:t>
            </w:r>
          </w:p>
        </w:tc>
        <w:tc>
          <w:tcPr>
            <w:tcW w:w="0" w:type="dxa"/>
            <w:vAlign w:val="bottom"/>
          </w:tcPr>
          <w:p>
            <w:pPr>
              <w:spacing w:after="0"/>
              <w:rPr>
                <w:sz w:val="1"/>
                <w:szCs w:val="1"/>
                <w:color w:val="auto"/>
              </w:rPr>
            </w:pPr>
          </w:p>
        </w:tc>
      </w:tr>
      <w:tr>
        <w:trPr>
          <w:trHeight w:val="67"/>
        </w:trPr>
        <w:tc>
          <w:tcPr>
            <w:tcW w:w="46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 interim periods and, based on our view of the market and project funnel, is not indicative of the longer term opportunities available to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include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net income (loss) before interest expense, income taxes, depreciation and amortization. We present EBITDA because it is used by the financial community as a method of measuring our performance and of evaluating the market value of companies considered to be in similar businesses. We believe that the line item on our Consolidated Statements of Income entitled “Net income (loss)”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(loss),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0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4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196"/>
        </w:trPr>
        <w:tc>
          <w:tcPr>
            <w:tcW w:w="4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3,203</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2,080</w:t>
            </w:r>
          </w:p>
        </w:tc>
      </w:tr>
      <w:tr>
        <w:trPr>
          <w:trHeight w:val="27"/>
        </w:trPr>
        <w:tc>
          <w:tcPr>
            <w:tcW w:w="4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1,968</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13,623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15,546</w:t>
            </w:r>
          </w:p>
        </w:tc>
      </w:tr>
      <w:tr>
        <w:trPr>
          <w:trHeight w:val="27"/>
        </w:trPr>
        <w:tc>
          <w:tcPr>
            <w:tcW w:w="40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17,656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35,609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22,797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- 29-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define liquidity as the ongoing ability to pay our liabilities as they become due, fund business operations and meet all monetary contractual obligations. Our primary sources of liquidity as of March 31, 2019 were cash and cash equivalents on hand, capacity under our senior secured revolving credit facility and cash and cash equivalents generated from operations before consideration of changes in working capital. Cash and cash equivalents on hand at March 31, 2019 totaled $49.7 million and availability under the senior secured revolving credit facility totaled $130.3 million resulting in available liquidity of $180.0 million as of March 31, 2019. The Company's liquidity continues to be adequate to support its short-term needs and long-term strategic growth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March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December 31, 2018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137,336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(21,813)</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59,625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borrowings on credit facility</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March 31, 2019</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179,998</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nine months ended March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2018</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137,243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(14,381)</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43,929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borrowings on credit facility</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(2,297)</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letters of credit outstanding</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Foreign currency translation of outstanding borrowings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as of March 31, 2019</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179,998</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the Liquidity and Capital Resources section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420" w:hanging="315"/>
        <w:spacing w:after="0" w:line="277" w:lineRule="auto"/>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- 30-</w:t>
      </w:r>
    </w:p>
    <w:p>
      <w:pPr>
        <w:sectPr>
          <w:pgSz w:w="11900" w:h="16838" w:orient="portrait"/>
          <w:cols w:equalWidth="0" w:num="1">
            <w:col w:w="11420"/>
          </w:cols>
          <w:pgMar w:left="240" w:top="34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Nine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used by operating activities for the nine months ended March 31, 2019 totaled $1.1 million. The various components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6840" w:type="dxa"/>
            <w:vAlign w:val="bottom"/>
            <w:gridSpan w:val="2"/>
          </w:tcPr>
          <w:p>
            <w:pPr>
              <w:jc w:val="right"/>
              <w:ind w:right="3170"/>
              <w:spacing w:after="0"/>
              <w:rPr>
                <w:sz w:val="20"/>
                <w:szCs w:val="20"/>
                <w:color w:val="auto"/>
              </w:rPr>
            </w:pPr>
            <w:r>
              <w:rPr>
                <w:rFonts w:ascii="Arial" w:cs="Arial" w:eastAsia="Arial" w:hAnsi="Arial"/>
                <w:sz w:val="18"/>
                <w:szCs w:val="18"/>
                <w:b w:val="1"/>
                <w:bCs w:val="1"/>
                <w:color w:val="auto"/>
              </w:rPr>
              <w:t>Net Cash Used by Operating Activities</w:t>
            </w:r>
          </w:p>
        </w:tc>
        <w:tc>
          <w:tcPr>
            <w:tcW w:w="9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6840" w:type="dxa"/>
            <w:vAlign w:val="bottom"/>
            <w:gridSpan w:val="2"/>
          </w:tcPr>
          <w:p>
            <w:pPr>
              <w:jc w:val="right"/>
              <w:ind w:right="413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3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21,326</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(39,482)</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Net cash used by operating activities</w:t>
            </w:r>
          </w:p>
        </w:tc>
        <w:tc>
          <w:tcPr>
            <w:tcW w:w="64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r>
      <w:tr>
        <w:trPr>
          <w:trHeight w:val="20"/>
        </w:trPr>
        <w:tc>
          <w:tcPr>
            <w:tcW w:w="3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changes, net of the effects of a disposal of a business (see Item 1. Financial Statements, Note 3 - Disposals), at March 31, 2019 in comparison to June 30, 2018 include the following:</w:t>
      </w:r>
    </w:p>
    <w:p>
      <w:pPr>
        <w:spacing w:after="0" w:line="170" w:lineRule="exact"/>
        <w:rPr>
          <w:sz w:val="20"/>
          <w:szCs w:val="20"/>
          <w:color w:val="auto"/>
        </w:rPr>
      </w:pPr>
    </w:p>
    <w:p>
      <w:pPr>
        <w:ind w:left="980" w:right="16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Accounts receivable, net of bad debt expense recognized during the period, increased $71.4 million during the nine months ended March 31, 2019, which decreased cash flows from operating activities. The variance is primarily attributable to higher volumes of work and the timing of billing and collections.</w:t>
      </w:r>
    </w:p>
    <w:p>
      <w:pPr>
        <w:spacing w:after="0" w:line="181" w:lineRule="exact"/>
        <w:rPr>
          <w:rFonts w:ascii="Arial" w:cs="Arial" w:eastAsia="Arial" w:hAnsi="Arial"/>
          <w:sz w:val="18"/>
          <w:szCs w:val="18"/>
          <w:color w:val="auto"/>
        </w:rPr>
      </w:pPr>
    </w:p>
    <w:p>
      <w:pPr>
        <w:ind w:left="980" w:hanging="324"/>
        <w:spacing w:after="0" w:line="25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$0.9 million, which increased cash flows from operating activities. Billings on uncompleted contracts in excess of costs and estimated earnings ("BIE") increased $1.6 million, which increased cash flows from operating activities. The net change in CIE and BIE increased cash $2.5 million for the nine months ended March 31, 2019. CIE and BIE balances can experience significant fluctuations based on the timing of when job costs are incurred and the invoicing of those job costs to the customer.</w:t>
      </w:r>
    </w:p>
    <w:p>
      <w:pPr>
        <w:spacing w:after="0" w:line="188"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Inventories increased $3.5 million, which decreased cash flows from operating activities. The increase in inventories is primarily related to aluminum coil purchased to support our storage tank products business.</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assets and liabilities increased $14.8 million, which decreased cash flows from operating activities. The increase is primarily related to an increase in retentions that are expected to be collected beyond one year in connection with large projects. These increases were partially offset by an increase in net income taxes payable.</w:t>
      </w:r>
    </w:p>
    <w:p>
      <w:pPr>
        <w:spacing w:after="0" w:line="181" w:lineRule="exact"/>
        <w:rPr>
          <w:rFonts w:ascii="Arial" w:cs="Arial" w:eastAsia="Arial" w:hAnsi="Arial"/>
          <w:sz w:val="18"/>
          <w:szCs w:val="18"/>
          <w:color w:val="auto"/>
        </w:rPr>
      </w:pPr>
    </w:p>
    <w:p>
      <w:pPr>
        <w:ind w:left="980" w:right="14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Accounts payable and accrued expenses increased by $47.6 million during the nine months ended March 31, 2019, which increased cash flows from operating activities. The variance is primarily attributable to higher work volumes and the timing of vendor payments.</w:t>
      </w:r>
    </w:p>
    <w:p>
      <w:pPr>
        <w:sectPr>
          <w:pgSz w:w="11900" w:h="16838" w:orient="portrait"/>
          <w:cols w:equalWidth="0" w:num="1">
            <w:col w:w="11420"/>
          </w:cols>
          <w:pgMar w:left="240" w:top="34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- 31-</w:t>
      </w:r>
    </w:p>
    <w:p>
      <w:pPr>
        <w:sectPr>
          <w:pgSz w:w="11900" w:h="16838" w:orient="portrait"/>
          <w:cols w:equalWidth="0" w:num="1">
            <w:col w:w="11420"/>
          </w:cols>
          <w:pgMar w:left="240" w:top="341"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$8.8 million of cash in the nine months ended March 31, 2019 primarily due to $13.7 million of capital expenditures, partially offset by $3.9 million of proceeds from the disposal of a business (see Item 1. Financial Statements, Note 3 - Disposals) and $1.0 million of proceeds from other assets sales. Capital expenditures consisted of: $4.9 million for transportation equipment, $4.6 million for software and office equipment, $3.8 million for construction and fabrication equipment, and $0.4 million for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used $4.2 million of cash in the nine months ended March 31, 2019 primarily due to share repurchases of $5.2 million and the repurchase of $1.7 million of Company stock for payment of withholding taxes due on equity-based compensation, partially offset by net borrowings of $2.3 million under the Company's Senior Secured Revolving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credit facility includes a sub-facility for revolving loans denominated in Australian Dollars, Canadian Dollars, Euros and Pounds Sterling in an aggregate amount not to exceed the U.S. Dollar equivalent of $75.0 million and a $200.0 million sublimit for letters of credit.</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March 31, 2019, Covenant EBITDA was $51.4 million. Consolidated Funded Indebtedness at March 31, 2019 was $23.9 million.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Covenant EBITDA differs from EBITDA, as reported under "Results of Operations - Non-GAAP Financial Measure," primarily because it permits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to:</w:t>
      </w:r>
    </w:p>
    <w:p>
      <w:pPr>
        <w:spacing w:after="0" w:line="15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March 31,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145,812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189,741</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154,188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110,259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8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37,073</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130,322</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73,186</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580"/>
        <w:spacing w:after="0" w:line="438" w:lineRule="auto"/>
        <w:rPr>
          <w:sz w:val="20"/>
          <w:szCs w:val="20"/>
          <w:color w:val="auto"/>
        </w:rPr>
      </w:pPr>
      <w:r>
        <w:rPr>
          <w:rFonts w:ascii="Arial" w:cs="Arial" w:eastAsia="Arial" w:hAnsi="Arial"/>
          <w:sz w:val="18"/>
          <w:szCs w:val="18"/>
          <w:color w:val="auto"/>
        </w:rPr>
        <w:t xml:space="preserve">At March 31, 2019,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In December 2018, the Company repurchased 310,532 shares of its common stock for $5.2 million under the November 2018 Program.</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1,084,795 treasury shares as of March 31, 2019 and intends to utilize these treasury shares in connection with equity awards under the Company’s stock incentive plans and for sales to the Employee Stock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impact of the Tax Cuts and Jobs Act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2018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economic, market or business conditions in general and in the oil, gas, power, iron and steel, agricultural and mining industries in particular;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and other commodity prices which affect our customers'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including the imposition, cancellation or delay of tariffs on imported goods;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2018, filed with the Securities and Exchange Commission. For more information on market risk, see Part II, Item 7A in our fiscal 2018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2019. Based on the foregoing, our Chief Executive Officer and Chief Financial Officer concluded that our disclosure controls and procedures were effective at the reasonable assurance level at March 31, 2019.</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with respect to purchases made by the Company of its common stock during the third quarter of fiscal year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January 1 to January 31, 2019</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February 1 to February 28,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1 to March 31, 2019</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70"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described under the caption “Stock Repurchase Program and Treasury Shares” in the Liquidity and Capital Resources section of Part I, Item 2 of this Form 10-Q, on November 6, 2018, the Board of Directors approved a new stock buyback program (the “November 2018 Program”), which replaced the December 2016 Program. Under the November 2018 Program, the Company may repurchase common stock of the Company in any calendar year commencing with calendar year 2018, up to a maximum of $30.0 million per calendar year provided that the aggregate number of shares repurchased may not exceed 10%, or approximately 2.7 million, of the Company's shares outstanding as of November 6, 2018. The November 2018 Program will continue unless and until it is modified or revoked by the Board of Directors.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Pursuant to Section 302 of Sarbanes-Oxley Act of 2002 – CEO.</w:t>
              </w:r>
            </w:hyperlink>
          </w:p>
        </w:tc>
        <w:tc>
          <w:tcPr>
            <w:tcW w:w="1240" w:type="dxa"/>
            <w:vAlign w:val="bottom"/>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6800" w:type="dxa"/>
            <w:vAlign w:val="bottom"/>
            <w:gridSpan w:val="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Pursuant to Section 302 of Sarbanes-Oxley Act of 2002 – CFO.</w:t>
              </w:r>
            </w:hyperlink>
          </w:p>
        </w:tc>
      </w:tr>
      <w:tr>
        <w:trPr>
          <w:trHeight w:val="20"/>
        </w:trPr>
        <w:tc>
          <w:tcPr>
            <w:tcW w:w="2160" w:type="dxa"/>
            <w:vAlign w:val="bottom"/>
            <w:gridSpan w:val="3"/>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Pursuant to 18 U.S.C. 1350 (section 906 of Sarbanes-Oxley Act of 2002) – CEO.</w:t>
              </w:r>
            </w:hyperlink>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Pursuant to 18 U.S.C. 1350 (section 906 of Sarbanes-Oxley Act of 2002) – CFO.</w:t>
              </w:r>
            </w:hyperlink>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1760" w:type="dxa"/>
            <w:vAlign w:val="bottom"/>
            <w:tcBorders>
              <w:bottom w:val="single" w:sz="8" w:color="0000FF"/>
            </w:tcBorders>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Mine Safety Disclosure.</w:t>
              </w:r>
            </w:hyperlink>
          </w:p>
        </w:tc>
        <w:tc>
          <w:tcPr>
            <w:tcW w:w="5040" w:type="dxa"/>
            <w:vAlign w:val="bottom"/>
            <w:gridSpan w:val="5"/>
          </w:tcPr>
          <w:p>
            <w:pPr>
              <w:spacing w:after="0"/>
              <w:rPr>
                <w:sz w:val="24"/>
                <w:szCs w:val="24"/>
                <w:color w:val="auto"/>
              </w:rPr>
            </w:pPr>
          </w:p>
        </w:tc>
      </w:tr>
      <w:tr>
        <w:trPr>
          <w:trHeight w:val="41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86"/>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gridSpan w:val="2"/>
          </w:tcPr>
          <w:p>
            <w:pPr>
              <w:ind w:left="3340"/>
              <w:spacing w:after="0"/>
              <w:rPr>
                <w:sz w:val="20"/>
                <w:szCs w:val="20"/>
                <w:color w:val="auto"/>
              </w:rPr>
            </w:pPr>
            <w:r>
              <w:rPr>
                <w:rFonts w:ascii="Arial" w:cs="Arial" w:eastAsia="Arial" w:hAnsi="Arial"/>
                <w:sz w:val="18"/>
                <w:szCs w:val="18"/>
                <w:color w:val="auto"/>
              </w:rPr>
              <w:t>- 37-</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2019</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34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2019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2019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March 31, 2019:</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r>
        <w:trPr>
          <w:trHeight w:val="132"/>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Permanente Cement</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Plan &amp; Quarry 04-</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4"/>
              </w:rPr>
              <w:t>04075</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2019-12-28T12:18:14Z</dcterms:created>
  <dcterms:modified xsi:type="dcterms:W3CDTF">2019-12-28T12:18:14Z</dcterms:modified>
</cp:coreProperties>
</file>