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19"/>
        <w:spacing w:after="0"/>
        <w:tabs>
          <w:tab w:leader="none" w:pos="56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320"/>
          </w:cols>
          <w:pgMar w:left="240" w:top="230" w:right="339" w:bottom="1440" w:gutter="0" w:footer="0" w:header="0"/>
        </w:sectPr>
      </w:pP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4">
            <w:col w:w="1620" w:space="160"/>
            <w:col w:w="160" w:space="540"/>
            <w:col w:w="2880" w:space="180"/>
            <w:col w:w="5780"/>
          </w:cols>
          <w:pgMar w:left="240" w:top="230" w:right="339" w:bottom="144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30" w:right="339" w:bottom="1440" w:gutter="0" w:footer="0" w:header="0"/>
          <w:type w:val="continuous"/>
        </w:sectPr>
      </w:pPr>
    </w:p>
    <w:p>
      <w:pPr>
        <w:spacing w:after="0" w:line="24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0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21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Matrix Service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N/A</w:t>
      </w:r>
    </w:p>
    <w:p>
      <w:pPr>
        <w:spacing w:after="0" w:line="4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900" w:hanging="446"/>
        <w:spacing w:after="0" w:line="250"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Tulsa, Oklahoma 74135</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2012 ANNUAL MEETING OF STOCKHOLDERS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 is hereby given that the Annual Meeting of the Stockholders of Matrix Service Company, a Delaware corporation, (the “Company” or “Matrix”), will be held at the Company’s Corporate Headquarters, 5100 East Skelly Drive, Tulsa, Oklahoma, on the 15th day of November 2012, at 10:30 a.m., Central time, for the following purposes:</w:t>
      </w:r>
    </w:p>
    <w:p>
      <w:pPr>
        <w:spacing w:after="0" w:line="59" w:lineRule="exact"/>
        <w:rPr>
          <w:sz w:val="20"/>
          <w:szCs w:val="20"/>
          <w:color w:val="auto"/>
        </w:rPr>
      </w:pPr>
    </w:p>
    <w:p>
      <w:pPr>
        <w:ind w:left="900" w:right="5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five persons to serve as members of the Board of Directors of the Company until the 2013 annual stockholders meeting or until their successors have been elected and qualified;</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act upon a proposal to ratify the engagement of Deloitte &amp; Touche LLP as the Company’s independent registered public accounting firm for fiscal 2013;</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act upon a proposal to approve the Matrix Service Company 2012 Stock and Incentive Compensation Plan;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7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Board of Directors has fixed the close of business on September 28, 2012 as the record date for the meeting (the “Record Date”), and only holders of record of the Company’s common stock at such time are entitled to notice of and to vote at the meeting and any adjournment thereof.</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492250"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22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S. Cavanah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October 10,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895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895985"/>
                    </a:xfrm>
                    <a:prstGeom prst="rect">
                      <a:avLst/>
                    </a:prstGeom>
                    <a:noFill/>
                  </pic:spPr>
                </pic:pic>
              </a:graphicData>
            </a:graphic>
          </wp:anchor>
        </w:drawing>
      </w:r>
    </w:p>
    <w:p>
      <w:pPr>
        <w:spacing w:after="0" w:line="233" w:lineRule="exact"/>
        <w:rPr>
          <w:sz w:val="20"/>
          <w:szCs w:val="20"/>
          <w:color w:val="auto"/>
        </w:rPr>
      </w:pPr>
    </w:p>
    <w:p>
      <w:pPr>
        <w:ind w:left="260" w:right="300"/>
        <w:spacing w:after="0" w:line="293" w:lineRule="auto"/>
        <w:rPr>
          <w:sz w:val="20"/>
          <w:szCs w:val="20"/>
          <w:color w:val="auto"/>
        </w:rPr>
      </w:pPr>
      <w:r>
        <w:rPr>
          <w:rFonts w:ascii="Arial" w:cs="Arial" w:eastAsia="Arial" w:hAnsi="Arial"/>
          <w:sz w:val="16"/>
          <w:szCs w:val="16"/>
          <w:b w:val="1"/>
          <w:bCs w:val="1"/>
          <w:color w:val="auto"/>
        </w:rPr>
        <w:t>IT IS IMPORTANT THAT YOUR SHARES BE REPRESENTED AT THE ANNUAL MEETING REGARDLESS OF WHETHER YOU PLAN TO ATTEND. WHETHER OR NOT YOU EXPECT TO ATTEND THE MEETING, WE HOPE YOU WILL TAKE THE TIME TO VOTE YOUR SHARES. THEREFORE PLEASE MARK, SIGN, DATE AND RETURN THE ENCLOSED PROXY PROMPTLY. YOU ALSO HAVE THE OPTION OF VOTING YOUR SHARES ON THE INTERNET OR BY TELEPHONE. VOTING INSTRUCTIONS ARE PRINTED ON YOUR PROXY. IF YOU VOTE BY INTERNET OR BY TELEPHONE, YOU DO NOT NEED TO MAIL BACK YOUR PROXY. IF YOU ARE PRESENT AT THE MEETING AND WISH TO DO SO, YOU MAY REVOKE THE PROXY AND VOTE IN PERSON.</w:t>
      </w:r>
    </w:p>
    <w:p>
      <w:pPr>
        <w:spacing w:after="0" w:line="16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Stockholders Meeting to be held on November 15, 2012. Stockholders may view this proxy statement, our form of proxy and our 2012 Annual Report to Stockholders over the Internet by accessing our website at </w:t>
      </w:r>
      <w:r>
        <w:rPr>
          <w:rFonts w:ascii="Arial" w:cs="Arial" w:eastAsia="Arial" w:hAnsi="Arial"/>
          <w:sz w:val="18"/>
          <w:szCs w:val="18"/>
          <w:b w:val="1"/>
          <w:bCs w:val="1"/>
          <w:u w:val="single" w:color="auto"/>
          <w:color w:val="auto"/>
        </w:rPr>
        <w:t>http://www.matrixservicecompany.com</w:t>
      </w:r>
      <w:r>
        <w:rPr>
          <w:rFonts w:ascii="Arial" w:cs="Arial" w:eastAsia="Arial" w:hAnsi="Arial"/>
          <w:sz w:val="18"/>
          <w:szCs w:val="18"/>
          <w:b w:val="1"/>
          <w:bCs w:val="1"/>
          <w:color w:val="auto"/>
        </w:rPr>
        <w:t>.</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w w:val="99"/>
              </w:rPr>
              <w:t>MATRIX SERVICE COMPANY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w w:val="88"/>
              </w:rPr>
              <w:t>5100 East Skelly Drive, Suite 700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88"/>
              </w:rPr>
              <w:t>Tulsa, Oklahoma 74135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gridSpan w:val="5"/>
          </w:tcPr>
          <w:p>
            <w:pPr>
              <w:jc w:val="center"/>
              <w:ind w:right="4400"/>
              <w:spacing w:after="0"/>
              <w:rPr>
                <w:sz w:val="20"/>
                <w:szCs w:val="20"/>
                <w:color w:val="auto"/>
              </w:rPr>
            </w:pPr>
            <w:r>
              <w:rPr>
                <w:rFonts w:ascii="Arial" w:cs="Arial" w:eastAsia="Arial" w:hAnsi="Arial"/>
                <w:sz w:val="18"/>
                <w:szCs w:val="18"/>
                <w:b w:val="1"/>
                <w:bCs w:val="1"/>
                <w:color w:val="auto"/>
                <w:w w:val="97"/>
              </w:rPr>
              <w:t>PROXY STATEMENT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Borders>
              <w:top w:val="single" w:sz="8" w:color="CCEEFF"/>
              <w:bottom w:val="single" w:sz="8" w:color="0000EE"/>
            </w:tcBorders>
            <w:gridSpan w:val="17"/>
            <w:shd w:val="clear" w:color="auto" w:fill="CCEEFF"/>
          </w:tcPr>
          <w:p>
            <w:pPr>
              <w:spacing w:after="0" w:line="136" w:lineRule="exact"/>
              <w:rPr>
                <w:rFonts w:ascii="Arial" w:cs="Arial" w:eastAsia="Arial" w:hAnsi="Arial"/>
                <w:sz w:val="15"/>
                <w:szCs w:val="15"/>
                <w:color w:val="0000EE"/>
              </w:rPr>
            </w:pPr>
            <w:hyperlink w:anchor="page5">
              <w:r>
                <w:rPr>
                  <w:rFonts w:ascii="Arial" w:cs="Arial" w:eastAsia="Arial" w:hAnsi="Arial"/>
                  <w:sz w:val="15"/>
                  <w:szCs w:val="15"/>
                  <w:color w:val="0000EE"/>
                </w:rPr>
                <w:t>Solicitation and Revocation of Proxies</w:t>
              </w:r>
            </w:hyperlink>
          </w:p>
        </w:tc>
        <w:tc>
          <w:tcPr>
            <w:tcW w:w="8320" w:type="dxa"/>
            <w:vAlign w:val="bottom"/>
            <w:tcBorders>
              <w:top w:val="single" w:sz="8" w:color="CCEEFF"/>
              <w:bottom w:val="single" w:sz="8" w:color="CCEEFF"/>
            </w:tcBorders>
            <w:gridSpan w:val="25"/>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20" w:type="dxa"/>
            <w:vAlign w:val="bottom"/>
            <w:gridSpan w:val="4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Stockholders Entitled to Vote</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Proposal Number 1: Election of Directors</w:t>
              </w:r>
            </w:hyperlink>
          </w:p>
        </w:tc>
        <w:tc>
          <w:tcPr>
            <w:tcW w:w="8100" w:type="dxa"/>
            <w:vAlign w:val="bottom"/>
            <w:tcBorders>
              <w:bottom w:val="single" w:sz="8" w:color="CCEEFF"/>
            </w:tcBorders>
            <w:gridSpan w:val="20"/>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Nominated Director Biographies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Corporate Governance and Board Matters</w:t>
              </w:r>
            </w:hyperlink>
          </w:p>
        </w:tc>
        <w:tc>
          <w:tcPr>
            <w:tcW w:w="8080" w:type="dxa"/>
            <w:vAlign w:val="bottom"/>
            <w:tcBorders>
              <w:bottom w:val="single" w:sz="8" w:color="CCEEFF"/>
            </w:tcBorders>
            <w:gridSpan w:val="19"/>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Director Independence Guidelines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Board Leadership Structure and Role in Risk Oversight</w:t>
              </w:r>
            </w:hyperlink>
          </w:p>
        </w:tc>
        <w:tc>
          <w:tcPr>
            <w:tcW w:w="6700" w:type="dxa"/>
            <w:vAlign w:val="bottom"/>
            <w:tcBorders>
              <w:bottom w:val="single" w:sz="8" w:color="CCEEFF"/>
            </w:tcBorders>
            <w:gridSpan w:val="10"/>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Meetings and Committees of the Board of Directors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0" w:type="dxa"/>
            <w:vAlign w:val="bottom"/>
            <w:gridSpan w:val="41"/>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Director Nomination Process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04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Executive Sessions</w:t>
              </w:r>
            </w:hyperlink>
          </w:p>
        </w:tc>
        <w:tc>
          <w:tcPr>
            <w:tcW w:w="8560" w:type="dxa"/>
            <w:vAlign w:val="bottom"/>
            <w:tcBorders>
              <w:top w:val="single" w:sz="8" w:color="CCEEFF"/>
            </w:tcBorders>
            <w:gridSpan w:val="29"/>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Communications with the Board of Directors</w:t>
              </w:r>
            </w:hyperlink>
          </w:p>
        </w:tc>
        <w:tc>
          <w:tcPr>
            <w:tcW w:w="7420" w:type="dxa"/>
            <w:vAlign w:val="bottom"/>
            <w:tcBorders>
              <w:bottom w:val="single" w:sz="8" w:color="CCEEFF"/>
            </w:tcBorders>
            <w:gridSpan w:val="1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Equity Ownership Guidelines for Directors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Director Compensation</w:t>
              </w:r>
            </w:hyperlink>
          </w:p>
        </w:tc>
        <w:tc>
          <w:tcPr>
            <w:tcW w:w="9380" w:type="dxa"/>
            <w:vAlign w:val="bottom"/>
            <w:tcBorders>
              <w:bottom w:val="single" w:sz="8" w:color="CCEEFF"/>
            </w:tcBorders>
            <w:gridSpan w:val="38"/>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General</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0" w:type="dxa"/>
            <w:vAlign w:val="bottom"/>
            <w:gridSpan w:val="41"/>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Director Compensation</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20" w:type="dxa"/>
            <w:vAlign w:val="bottom"/>
            <w:gridSpan w:val="42"/>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Audit Committee Matters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0" w:type="dxa"/>
            <w:vAlign w:val="bottom"/>
            <w:gridSpan w:val="41"/>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Report of the Audit Committee of the Board of Directors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4000" w:type="dxa"/>
            <w:vAlign w:val="bottom"/>
            <w:tcBorders>
              <w:top w:val="single" w:sz="8" w:color="0000EE"/>
            </w:tcBorders>
            <w:gridSpan w:val="33"/>
          </w:tcPr>
          <w:p>
            <w:pPr>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Fees of Independent Registered Public Accounting Firm</w:t>
              </w:r>
            </w:hyperlink>
          </w:p>
        </w:tc>
        <w:tc>
          <w:tcPr>
            <w:tcW w:w="6600" w:type="dxa"/>
            <w:vAlign w:val="bottom"/>
            <w:tcBorders>
              <w:top w:val="single" w:sz="8" w:color="CCEEFF"/>
            </w:tcBorders>
            <w:gridSpan w:val="8"/>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Audit Committee Pre-Approval Policy</w:t>
              </w:r>
            </w:hyperlink>
          </w:p>
        </w:tc>
        <w:tc>
          <w:tcPr>
            <w:tcW w:w="7880" w:type="dxa"/>
            <w:vAlign w:val="bottom"/>
            <w:tcBorders>
              <w:bottom w:val="single" w:sz="8" w:color="CCEEFF"/>
            </w:tcBorders>
            <w:gridSpan w:val="18"/>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20" w:type="dxa"/>
            <w:vAlign w:val="bottom"/>
            <w:gridSpan w:val="42"/>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Proposal Number 2: Ratification of Selection of Independent Registered Public Accounting Firm</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20" w:type="dxa"/>
            <w:vAlign w:val="bottom"/>
            <w:gridSpan w:val="4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Executive Officer Information</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Executive Officer Biographies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Compensation Discussion and Analysis</w:t>
              </w:r>
            </w:hyperlink>
          </w:p>
        </w:tc>
        <w:tc>
          <w:tcPr>
            <w:tcW w:w="8240" w:type="dxa"/>
            <w:vAlign w:val="bottom"/>
            <w:tcBorders>
              <w:bottom w:val="single" w:sz="8" w:color="CCEEFF"/>
            </w:tcBorders>
            <w:gridSpan w:val="23"/>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Executive Summary</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0" w:type="dxa"/>
            <w:vAlign w:val="bottom"/>
            <w:gridSpan w:val="41"/>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Compensation Philosophy and Objectives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Key Elements of Executive Compensation</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Clawback Policy</w:t>
              </w:r>
            </w:hyperlink>
          </w:p>
        </w:tc>
        <w:tc>
          <w:tcPr>
            <w:tcW w:w="9400" w:type="dxa"/>
            <w:vAlign w:val="bottom"/>
            <w:tcBorders>
              <w:bottom w:val="single" w:sz="8" w:color="CCEEFF"/>
            </w:tcBorders>
            <w:gridSpan w:val="39"/>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Program as it Relates to Risk</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0" w:type="dxa"/>
            <w:vAlign w:val="bottom"/>
            <w:gridSpan w:val="4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Equity Ownership Guidelines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Report of the Compensation Committee of the Board of Directors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Executive Officer Compensation</w:t>
              </w:r>
            </w:hyperlink>
          </w:p>
        </w:tc>
        <w:tc>
          <w:tcPr>
            <w:tcW w:w="8720" w:type="dxa"/>
            <w:vAlign w:val="bottom"/>
            <w:tcBorders>
              <w:bottom w:val="single" w:sz="8" w:color="CCEEFF"/>
            </w:tcBorders>
            <w:gridSpan w:val="31"/>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Summary Compensation Table</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Grants of Plan-Based Awards</w:t>
              </w:r>
            </w:hyperlink>
          </w:p>
        </w:tc>
        <w:tc>
          <w:tcPr>
            <w:tcW w:w="8520" w:type="dxa"/>
            <w:vAlign w:val="bottom"/>
            <w:tcBorders>
              <w:bottom w:val="single" w:sz="8" w:color="CCEEFF"/>
            </w:tcBorders>
            <w:gridSpan w:val="28"/>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Outstanding Equity Awards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Option Exercises and Stock Vested</w:t>
              </w:r>
            </w:hyperlink>
          </w:p>
        </w:tc>
        <w:tc>
          <w:tcPr>
            <w:tcW w:w="8140" w:type="dxa"/>
            <w:vAlign w:val="bottom"/>
            <w:tcBorders>
              <w:bottom w:val="single" w:sz="8" w:color="CCEEFF"/>
            </w:tcBorders>
            <w:gridSpan w:val="21"/>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0" w:type="dxa"/>
            <w:vAlign w:val="bottom"/>
            <w:gridSpan w:val="41"/>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Potential Payments Upon Termination or Change of Control</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20" w:type="dxa"/>
            <w:vAlign w:val="bottom"/>
            <w:gridSpan w:val="4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Proposal Number 3: Advisory Vote to Approve Named Executive Officer Compensation</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tcBorders>
              <w:top w:val="single" w:sz="8" w:color="0000EE"/>
            </w:tcBorders>
            <w:gridSpan w:val="40"/>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Certain Relationships and Related Transactions</w:t>
              </w:r>
            </w:hyperlink>
          </w:p>
        </w:tc>
        <w:tc>
          <w:tcPr>
            <w:tcW w:w="4820" w:type="dxa"/>
            <w:vAlign w:val="bottom"/>
            <w:tcBorders>
              <w:top w:val="single" w:sz="8" w:color="CCEEFF"/>
            </w:tcBorders>
            <w:gridSpan w:val="2"/>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0" w:type="dxa"/>
            <w:vAlign w:val="bottom"/>
            <w:gridSpan w:val="4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Review, Approval or Ratification of Transactions with Related Persons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20" w:type="dxa"/>
            <w:vAlign w:val="bottom"/>
            <w:gridSpan w:val="4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Security Ownership of Certain Beneficial Owners and Management</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0" w:type="dxa"/>
            <w:vAlign w:val="bottom"/>
            <w:gridSpan w:val="41"/>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Equity Ownership Guidelines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60" w:type="dxa"/>
            <w:vAlign w:val="bottom"/>
            <w:tcBorders>
              <w:bottom w:val="single" w:sz="8" w:color="0000EE"/>
            </w:tcBorders>
            <w:gridSpan w:val="34"/>
          </w:tcPr>
          <w:p>
            <w:pPr>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Section 16(a) Beneficial Ownership Reporting Compliance</w:t>
              </w:r>
            </w:hyperlink>
          </w:p>
        </w:tc>
        <w:tc>
          <w:tcPr>
            <w:tcW w:w="6440" w:type="dxa"/>
            <w:vAlign w:val="bottom"/>
            <w:gridSpan w:val="7"/>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20" w:type="dxa"/>
            <w:vAlign w:val="bottom"/>
            <w:tcBorders>
              <w:top w:val="single" w:sz="8" w:color="CCEEFF"/>
            </w:tcBorders>
            <w:gridSpan w:val="13"/>
            <w:shd w:val="clear" w:color="auto" w:fill="CCEEFF"/>
          </w:tcPr>
          <w:p>
            <w:pPr>
              <w:spacing w:after="0" w:line="136" w:lineRule="exact"/>
              <w:rPr>
                <w:rFonts w:ascii="Arial" w:cs="Arial" w:eastAsia="Arial" w:hAnsi="Arial"/>
                <w:sz w:val="15"/>
                <w:szCs w:val="15"/>
                <w:color w:val="0000EE"/>
              </w:rPr>
            </w:pPr>
            <w:hyperlink w:anchor="page41">
              <w:r>
                <w:rPr>
                  <w:rFonts w:ascii="Arial" w:cs="Arial" w:eastAsia="Arial" w:hAnsi="Arial"/>
                  <w:sz w:val="15"/>
                  <w:szCs w:val="15"/>
                  <w:color w:val="0000EE"/>
                </w:rPr>
                <w:t>Proposal Number 4: Approval of the Matrix Service Company 2012 Stock and Incentive Compensation Plan</w:t>
              </w:r>
            </w:hyperlink>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37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20" w:type="dxa"/>
            <w:vAlign w:val="bottom"/>
            <w:tcBorders>
              <w:top w:val="single" w:sz="8" w:color="0000EE"/>
            </w:tcBorders>
            <w:gridSpan w:val="11"/>
          </w:tcPr>
          <w:p>
            <w:pPr>
              <w:ind w:left="42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Summary of the Plan</w:t>
              </w:r>
            </w:hyperlink>
          </w:p>
        </w:tc>
        <w:tc>
          <w:tcPr>
            <w:tcW w:w="3400" w:type="dxa"/>
            <w:vAlign w:val="bottom"/>
            <w:tcBorders>
              <w:top w:val="single" w:sz="8" w:color="CCEEFF"/>
            </w:tcBorders>
            <w:gridSpan w:val="2"/>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0" w:type="dxa"/>
            <w:vAlign w:val="bottom"/>
            <w:gridSpan w:val="12"/>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Federal Income Tax Consequences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44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Plan Benefits</w:t>
              </w:r>
            </w:hyperlink>
          </w:p>
        </w:tc>
        <w:tc>
          <w:tcPr>
            <w:tcW w:w="8160" w:type="dxa"/>
            <w:vAlign w:val="bottom"/>
            <w:tcBorders>
              <w:top w:val="single" w:sz="8" w:color="CCEEFF"/>
            </w:tcBorders>
            <w:gridSpan w:val="5"/>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0" w:type="dxa"/>
            <w:vAlign w:val="bottom"/>
            <w:gridSpan w:val="12"/>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Vote Required</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20" w:type="dxa"/>
            <w:vAlign w:val="bottom"/>
            <w:gridSpan w:val="13"/>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Securities Authorized for Issuance Under Equity Compensation Plans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20" w:type="dxa"/>
            <w:vAlign w:val="bottom"/>
            <w:gridSpan w:val="13"/>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Proposals of Stockholders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Other Matters</w:t>
              </w:r>
            </w:hyperlink>
          </w:p>
        </w:tc>
        <w:tc>
          <w:tcPr>
            <w:tcW w:w="9200" w:type="dxa"/>
            <w:vAlign w:val="bottom"/>
            <w:tcBorders>
              <w:top w:val="single" w:sz="8" w:color="CCEEFF"/>
            </w:tcBorders>
            <w:gridSpan w:val="8"/>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0" w:type="dxa"/>
            <w:vAlign w:val="bottom"/>
            <w:gridSpan w:val="12"/>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Matters That May Come Before the Annual Meeting</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37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Availability of Form 10-K</w:t>
              </w:r>
            </w:hyperlink>
          </w:p>
        </w:tc>
        <w:tc>
          <w:tcPr>
            <w:tcW w:w="6900" w:type="dxa"/>
            <w:vAlign w:val="bottom"/>
            <w:tcBorders>
              <w:top w:val="single" w:sz="8" w:color="CCEEFF"/>
            </w:tcBorders>
            <w:gridSpan w:val="4"/>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20" w:type="dxa"/>
            <w:vAlign w:val="bottom"/>
            <w:gridSpan w:val="13"/>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Important Notice Regarding the Availability of Proxy Materials for the Stockholders Meeting to be held on November 15, 2012</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7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November 15, 2012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accompanying proxy is solicited by the Board of Directors of Matrix Service Company (“Matrix”, the “Company”, “we”, “our” or “us”) for use at the Annual Meeting of Stockholders to be held on November 15, 2012, and at any adjournments thereof for the purposes set forth in the accompanying Notice of 2012 Annual Meeting of Stockholders. The Annual Meeting will be held at 10:30 a.m., Central time, at the Company’s Corporate Headquarters, 5100 East Skelly Drive, Tulsa, Oklahoma. This proxy statement and accompanying proxy were first sent on or about October 10, 2012 to stockholders of record on September 28, 2012. The annual report of the Company on Form 10-K for the fiscal year ended June 30, 2012 accompanies this proxy statement.</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the accompanying proxy is properly executed and returned or a stockholder votes his or her proxy by Internet or telephone, the shares represented by the proxy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whether by mail, Internet or telephone, has the power to revoke it at any time before it is voted by executing a subsequent proxy and sending it to Kevin S. Cavanah, Secretary, Matrix Service Company, 5100 East Skelly Drive, Suite 700, Tulsa, Oklahoma, 74135, or by a later dated vote by Internet or by telephone. The proxy also may be revoked if the stockholder is present at the meeting and elects to vote in person.</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but may be reimbursed for their out-of-pocket expenses in connection therewith.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ENTITLED TO VOTE</w:t>
      </w:r>
    </w:p>
    <w:p>
      <w:pPr>
        <w:spacing w:after="0" w:line="1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the close of business on the record date of September 28, 2012 there were 25,835,653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 for the transaction of business.</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affirmative vote of a plurality of the votes cast at the meeting is required for the election of directors. Votes withheld from nominees for directors, abstentions and broker non-votes will be counted for purposes of determining whether a quorum has been reached. Votes will be tabulated by an inspector of election appointed by the Board of Directors of the Company. With regard to the election of directors, votes may be cast in favor of or withheld from each nominee; votes that are withheld will have no effect on the vote. Abstentions may be specified on all proposals, except the election of directors. Abstentions on Proposal Numbers 2, 3 and 4 will have the effect of a negative vote. A “broker non-vote” will have no effect on the outcome of the election of directors or the other proposals.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6"/>
          <w:szCs w:val="16"/>
          <w:b w:val="1"/>
          <w:bCs w:val="1"/>
          <w:color w:val="auto"/>
        </w:rPr>
        <w:t>Please note that an uncontested election of directors is no longer</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considered a routine matter. This means that brokers may not vote your shares on the election of directors if you have not given your broker specific instructions as to how to vote. Please be sure to give specific voting instructions to your broker so that your vote can be counted.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Certificate of Incorporation and Bylaws provide that the number of directors on the Board shall be fixed from time to time by the Board of Directors but shall not be less than three nor more than 15 persons. The Board has fixed its size at six members. Directors hold office until the next annual meeting of the stockholders of the Company or until their successors have been elected and qualified. Vacancies may be filled by a majority vote of the remaining directors based on the recommendations of the Nominating and Corporate Governance Committee.</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recommends that you vote “For” the election of the five nominees identified below who have been nominated to serve as directors until the next annual meeting of stockholders or until their successors are duly elected and qualified. Proxies solicited hereby will be voted “For” all five nominees unless stockholders specify otherwise in their proxies. The five nominees who receive the highest number of affirmative votes of the shares voting shall be elected as directors.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David J. Tippeconnic is not seeking re-election as a director, as he has elected to retire from the Board of Directors as of the date of the Annual Meeting. Mr. Tippeconnic has served as a director since October 2005. The Board appreciates Mr. Tippeconnic’s seven years of service to the Company as well as his valuable insight and business advice over the years. The Board position being vacated by Mr. Tippeconnic will remain vacant. Our Bylaws provide that any Board vacancy may be filled by the affirmative vote of a majority of the remaining directors. The Nominating and Corporate Governance Committee and the Board of Directors have not yet identified anyone to fill the vacancy. Accordingly, the accompanying proxy solicits your vote for only five directors.</w:t>
      </w:r>
    </w:p>
    <w:p>
      <w:pPr>
        <w:spacing w:after="0" w:line="11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If, at the time of the 2012 Annual Meeting of Stockholders, any of the nominees should be unable or decline to serve, the discretionary authority provided in the proxy may be used to vote for a substitute or substitutes who may be recommended by the Nominating and Corporate Governance Committee and who the Board of Directors may propose to replace such nominee. The Board of Directors has no reason to believe that any substitute nominee or nominees will be required.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65"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Michael J. Hall</w:t>
      </w:r>
      <w:r>
        <w:rPr>
          <w:rFonts w:ascii="Arial" w:cs="Arial" w:eastAsia="Arial" w:hAnsi="Arial"/>
          <w:sz w:val="18"/>
          <w:szCs w:val="18"/>
          <w:color w:val="auto"/>
        </w:rPr>
        <w:t>, age 68, was first elected as a director of the Company effective October 1998 and was elected Chairman of the Board in November 2006.</w:t>
      </w:r>
      <w:r>
        <w:rPr>
          <w:rFonts w:ascii="Arial" w:cs="Arial" w:eastAsia="Arial" w:hAnsi="Arial"/>
          <w:sz w:val="18"/>
          <w:szCs w:val="18"/>
          <w:b w:val="1"/>
          <w:bCs w:val="1"/>
          <w:color w:val="auto"/>
        </w:rPr>
        <w:t xml:space="preserve"> </w:t>
      </w:r>
      <w:r>
        <w:rPr>
          <w:rFonts w:ascii="Arial" w:cs="Arial" w:eastAsia="Arial" w:hAnsi="Arial"/>
          <w:sz w:val="18"/>
          <w:szCs w:val="18"/>
          <w:color w:val="auto"/>
        </w:rPr>
        <w:t>Mr. Hall previously served as President and Chief Executive Officer of the Company from March 2005 until his retirement in November 2006. Mr. Hall also served as Vice President, Finance and Chief Financial Officer (“CFO”) of the Company from November 1998 until his initial retirement in May 2004. Prior to working for Matrix, Mr. Hall was Vice President and Chief Financial Officer for Pexco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 Mr. Hall graduated Summa Cum Laude from Boston College with a degree in Accounting and earned his Masters of Business Administration degree with honors from Stanford Graduate School of Business. Mr. Hall is a member of the Board of Directors of Alliance G.P., LLC (the general partner of Alliance Holdings, G.P., L.P.); a member of the Board of Directors of Alliance Resource Management G.P., LLC (the managing general partner of Alliance Resources Partners, L.P.); a former director and Chairman of the Board of Integrated Electrical Services, Inc.; and a former Independent Trustee and Chairman of the Board of Trustees for American Performance Funds.</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specific experience, qualifications, attributes or skills that led to the conclusion Mr. Hall should serve as a Director include his long history of service in senior corporate leadership positions, his significant knowledge of the construction and energy industries, and his extensive experience and expertise in complex financial and operational matters gained from his service as a Chief Financial Officer and a Chief Executive Officer.</w:t>
      </w:r>
    </w:p>
    <w:p>
      <w:pPr>
        <w:spacing w:after="0" w:line="10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b w:val="1"/>
          <w:bCs w:val="1"/>
          <w:color w:val="auto"/>
        </w:rPr>
        <w:t>John R. Hewitt</w:t>
      </w:r>
      <w:r>
        <w:rPr>
          <w:rFonts w:ascii="Arial" w:cs="Arial" w:eastAsia="Arial" w:hAnsi="Arial"/>
          <w:sz w:val="16"/>
          <w:szCs w:val="16"/>
          <w:color w:val="auto"/>
        </w:rPr>
        <w:t>, age 54, was appointed as President and Chief Executive Officer (“CEO”) and as a director of the Company in May 2011. Mr. Hewitt has spent</w:t>
      </w:r>
      <w:r>
        <w:rPr>
          <w:rFonts w:ascii="Arial" w:cs="Arial" w:eastAsia="Arial" w:hAnsi="Arial"/>
          <w:sz w:val="16"/>
          <w:szCs w:val="16"/>
          <w:b w:val="1"/>
          <w:bCs w:val="1"/>
          <w:color w:val="auto"/>
        </w:rPr>
        <w:t xml:space="preserve"> </w:t>
      </w:r>
      <w:r>
        <w:rPr>
          <w:rFonts w:ascii="Arial" w:cs="Arial" w:eastAsia="Arial" w:hAnsi="Arial"/>
          <w:sz w:val="16"/>
          <w:szCs w:val="16"/>
          <w:color w:val="auto"/>
        </w:rPr>
        <w:t>his entire career in the engineering, procurement, and construction industry. Prior to joining Matrix Service, Mr. Hewitt worked for approximately 25 years for various operating businesses of Aker Solutions ASA (“Aker”) and its predecessor companies, which provide engineering and construction services, technology products, and integrated solutions to the energy and process industries worldwide. Up until his appointment with the Company, Mr. Hewitt served as vice president of Aker Solutions, where he was responsible for providing executive oversight on major capital projects in the power and liquefied natural gas industries. He also served as President, United States Operations, Aker Solutions E&amp;C US, Inc. from 2007 to 2009 where he was responsible for managing all construction services in North America. Prior to that he served as President, Aker Construction Inc. where he had full profit and loss responsibility for a multi-disciplined direct hire industrial construction business operating throughout North America.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the current President and CEO of the Company, Mr. Hewitt provides a management representative on the Board of Directors with extensive knowledge of day-to-day operations. As a result, he can facilitate the Board of Directors’ access to timely and relevant information and its oversight of management’s strategy, planning and performance. In addition, Mr. Hewitt brings to the Board of Directors considerable management and leadership experience, extensive knowledge of the energy industry and our business, and significant experience with mergers and acquisitions.</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I. Edgar (Ed) Hendrix</w:t>
      </w:r>
      <w:r>
        <w:rPr>
          <w:rFonts w:ascii="Arial" w:cs="Arial" w:eastAsia="Arial" w:hAnsi="Arial"/>
          <w:sz w:val="16"/>
          <w:szCs w:val="16"/>
          <w:color w:val="auto"/>
        </w:rPr>
        <w:t>, age 68, was first elected as a director of the Company effective October 2000 and served as Chairman of the Board of Directors from</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2005 until November 2006. Mr. Hendrix served as President of Patriot Energy Resources, LLC from 2005 through March of 2012. Mr. Hendrix served as Executive Vice President and Chief Financial Officer of Loudfire, Inc. from 2002 to 2004. Prior to 2002, Mr. Hendrix served as Executive Vice President and Chief Financial Officer of Spectrum Field Services, Inc., and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degree from the University of Oklahoma. Mr. Hendrix is a former member of the Board of Trustees for American Performance Funds and former Chairman of the Board of Red River Energy, Inc.</w:t>
      </w:r>
    </w:p>
    <w:p>
      <w:pPr>
        <w:spacing w:after="0" w:line="11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specific experience, qualifications, attributes or skills that led to the conclusion Mr. Hendrix should serve as a Director include his long history of service in senior corporate leadership positions, his significant knowledge of the energy industry, and his extensive experience and expertise in complex financial matters gained from his service as Treasurer of a public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69, was first elected as a director of the Company effective October 2000. Mr. Lackey has served as Chairman of the Board of Directors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NORDAM Group (“NORDAM”), an aircraft component manufacturing and repair firm, since October 2005 and as Chief Executive Officer of NORDAM from April 2002 until January 2009.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in the Oklahoma Cabinet as Secretary of Health and Human Services. Before his service in state government, Mr. Lackey was President of Flint industries, an oil and gas services and commercial construction firm. He was appointed Chief Financial Officer for Flint in 1977, later became Chief Operating Officer (COO) and, ultimately, President. A graduate of the University of Mississippi with a Bachelor of Science degree in Mathematics, Mr. Lackey earned a Masters of Business Administration degree in Finance from the University of Texas. He also served in the United States Army as an artillery officer. Mr. Lackey is a director of Aaon, Inc., an advisory director of Commerce Bankshares, a director of the Tulsa Chamber of Commerce, and a director of St. John Health Systems.</w:t>
      </w:r>
    </w:p>
    <w:p>
      <w:pPr>
        <w:spacing w:after="0" w:line="12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specific experience, qualifications, attributes or skills that led to the conclusion Mr. Lackey should serve as a Director include his long history of service in senior corporate leadership positions and his extensive experience in the manufacturing, construction and energy industries, including his experience as both a COO and CFO of a leading commercial construction contractor.</w:t>
      </w:r>
    </w:p>
    <w:p>
      <w:pPr>
        <w:spacing w:after="0" w:line="13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color w:val="auto"/>
        </w:rPr>
        <w:t>Tom E. Maxwell</w:t>
      </w:r>
      <w:r>
        <w:rPr>
          <w:rFonts w:ascii="Arial" w:cs="Arial" w:eastAsia="Arial" w:hAnsi="Arial"/>
          <w:sz w:val="16"/>
          <w:szCs w:val="16"/>
          <w:color w:val="auto"/>
        </w:rPr>
        <w:t>, age 67, was first elected as a director of the Company effective May 2003. Mr. Maxwell is President and Chief Executive Officer of Flintco,</w:t>
      </w:r>
      <w:r>
        <w:rPr>
          <w:rFonts w:ascii="Arial" w:cs="Arial" w:eastAsia="Arial" w:hAnsi="Arial"/>
          <w:sz w:val="16"/>
          <w:szCs w:val="16"/>
          <w:b w:val="1"/>
          <w:bCs w:val="1"/>
          <w:color w:val="auto"/>
        </w:rPr>
        <w:t xml:space="preserve"> </w:t>
      </w:r>
      <w:r>
        <w:rPr>
          <w:rFonts w:ascii="Arial" w:cs="Arial" w:eastAsia="Arial" w:hAnsi="Arial"/>
          <w:sz w:val="16"/>
          <w:szCs w:val="16"/>
          <w:color w:val="auto"/>
        </w:rPr>
        <w:t>LLC., which is ranked 20</w:t>
      </w:r>
      <w:r>
        <w:rPr>
          <w:rFonts w:ascii="Arial" w:cs="Arial" w:eastAsia="Arial" w:hAnsi="Arial"/>
          <w:sz w:val="10"/>
          <w:szCs w:val="10"/>
          <w:color w:val="auto"/>
        </w:rPr>
        <w:t>th</w:t>
      </w:r>
      <w:r>
        <w:rPr>
          <w:rFonts w:ascii="Arial" w:cs="Arial" w:eastAsia="Arial" w:hAnsi="Arial"/>
          <w:sz w:val="16"/>
          <w:szCs w:val="16"/>
          <w:color w:val="auto"/>
        </w:rPr>
        <w:t xml:space="preserve"> by Engineering News-Record among commercial construction companies in the United States. He has held this position for 25 years. Prior to his election to President and Chief Executive Officer of Flintco, LLC., Mr. Maxwell was the Chief Financial Officer of Flintco for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Maxwell began his career with five years at Deloitte and Touche and was the Chief Financial Officer of a public company, Kinark Corporation, for nine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Maxwell earned Undergraduate and Masters Degrees in Accounting at the University of Oklahoma and is a Certified Public Accountant (inactive).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Maxwell is a director of Summit Bank. In addition, Mr. Maxwell serves as a director for the Tulsa Metro Chamber of Commerce and Hillcrest Hospital.</w:t>
      </w:r>
    </w:p>
    <w:p>
      <w:pPr>
        <w:spacing w:after="0" w:line="18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specific experience, qualifications, attributes or skills that led to the conclusion Mr. Maxwell should serve as a Director include his long history of service in senior corporate leadership positions and his extensive experience in the construction and the energy industries, including his experience as both a CEO and CFO of a leading commercial construction contractor.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that the stockholders vote “For” the election of each of the above named nominees.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and ethical operations.</w:t>
      </w:r>
    </w:p>
    <w:p>
      <w:pPr>
        <w:spacing w:after="0" w:line="140"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on the Corporate Governance page included in the “Investor Relations” section of the Company’s website at </w:t>
      </w:r>
      <w:r>
        <w:rPr>
          <w:rFonts w:ascii="Arial" w:cs="Arial" w:eastAsia="Arial" w:hAnsi="Arial"/>
          <w:sz w:val="15"/>
          <w:szCs w:val="15"/>
          <w:u w:val="single" w:color="auto"/>
          <w:color w:val="auto"/>
        </w:rPr>
        <w:t>http://www.matrixservicecompany.com</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Pursuant to the applicable rules for companies traded on the NASDAQ Global Market System (“NASDAQ”) and the rules and regulations of the Securities and Exchange Commission (“SEC”), the Board of Directors has adopted director independence guidelines. In accordance with these guidelines, each independent director must be determined to have no relationship with the Company which, in the opinion of the Company’s Board of Directors,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of Directors has affirmatively determined that each of Mr. Hall, Mr. Hendrix, Mr. Lackey, Mr. Maxwell and Mr. Tippeconnic are “independent” under the guidelines. Mr. Hewitt is not considered to be independent because of his current employment as President and Chief Executive Officer of the Company. In evaluating Mr. Hall’s independence, the Board of Directors considered the fact that, following the November 2010 resignations of the prior President and CEO, and previous Vice President of Finance and CFO, Mr. Hall assumed additional oversight responsibilities for the executive management team until Mr. Hewitt’s hiring in May 2011 and received additional compensation for his enhanced responsibilities. The Board of Directors concluded that the temporary assumption of enhanced responsibilities and the receipt of additional compensation did not impair Mr. Hall’s independent judgment as a member of the Board of Directors.</w:t>
      </w:r>
    </w:p>
    <w:p>
      <w:pPr>
        <w:spacing w:after="0" w:line="12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 xml:space="preserve">The full text of the Company’s director independence guidelines is included in the Company’s Corporate Governance Guidelines, which is available on the Corporate Governance page included in the “Investor Relations” section of the Company’s website at </w:t>
      </w:r>
      <w:r>
        <w:rPr>
          <w:rFonts w:ascii="Arial" w:cs="Arial" w:eastAsia="Arial" w:hAnsi="Arial"/>
          <w:sz w:val="16"/>
          <w:szCs w:val="16"/>
          <w:u w:val="single" w:color="auto"/>
          <w:color w:val="auto"/>
        </w:rPr>
        <w:t>http://www.matrixservicecompany.com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Board of Directors has no policy mandating the separation of the offices of Chairman of the Board and Chief Executive Officer. However, as the oversight responsibilities of directors continues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11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If, in the future, the Chief Executive Officer is serving as Chairman of the Board, then the Board of Directors will name a lead director who would, among other specified responsibilities, serve as the leader of the independent directors and facilitate communication between the Chairman/CEO and the other directors.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has five independent members and only one non-independent member.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of Directors, along with the independent oversight of the board by the non-executive Chairman, benefits our Company and our stockholders.</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Audit Committee and full Board jointly oversee the Company’s risk management processes. The Audit Committee receives regular reports from management regarding the Company’s assessment of risks. In addition, the Audit Committee and the full Board of Directors focus on the most significant risks facing the Company and the Company’s general risk management strategy, and also ensure that risks undertaken by the Company are consistent with the Board of Directors’ appetite for risk. While the Board of Directors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Board of Directors met eight times during fiscal year 2012. The Board has three standing committees – the Audit Committee, the Compensation Committee, and the Nominating and Corporate Governance Committee. Each of the members of each of the committees qualifies as an “independent director” under the NASDAQ listing standards. During fiscal 2012, each director attended a minimum of 75% of the total number of meetings of the Board and of the total number of meetings held by all committees of which he was a member.</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of Directors attended the 2011 annual meeting.</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00" w:type="dxa"/>
            <w:vAlign w:val="bottom"/>
            <w:gridSpan w:val="4"/>
          </w:tcPr>
          <w:p>
            <w:pPr>
              <w:spacing w:after="0"/>
              <w:rPr>
                <w:sz w:val="20"/>
                <w:szCs w:val="20"/>
                <w:color w:val="auto"/>
              </w:rPr>
            </w:pPr>
            <w:r>
              <w:rPr>
                <w:rFonts w:ascii="Arial" w:cs="Arial" w:eastAsia="Arial" w:hAnsi="Arial"/>
                <w:sz w:val="18"/>
                <w:szCs w:val="18"/>
                <w:b w:val="1"/>
                <w:bCs w:val="1"/>
                <w:color w:val="auto"/>
              </w:rPr>
              <w:t>Audit Committee</w:t>
            </w:r>
          </w:p>
        </w:tc>
        <w:tc>
          <w:tcPr>
            <w:tcW w:w="0" w:type="dxa"/>
            <w:vAlign w:val="bottom"/>
          </w:tcPr>
          <w:p>
            <w:pPr>
              <w:spacing w:after="0"/>
              <w:rPr>
                <w:sz w:val="1"/>
                <w:szCs w:val="1"/>
                <w:color w:val="auto"/>
              </w:rPr>
            </w:pPr>
          </w:p>
        </w:tc>
      </w:tr>
      <w:tr>
        <w:trPr>
          <w:trHeight w:val="20"/>
        </w:trPr>
        <w:tc>
          <w:tcPr>
            <w:tcW w:w="34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1200" w:type="dxa"/>
            <w:vAlign w:val="bottom"/>
          </w:tcPr>
          <w:p>
            <w:pPr>
              <w:spacing w:after="0"/>
              <w:rPr>
                <w:sz w:val="24"/>
                <w:szCs w:val="24"/>
                <w:color w:val="auto"/>
              </w:rPr>
            </w:pPr>
          </w:p>
        </w:tc>
        <w:tc>
          <w:tcPr>
            <w:tcW w:w="5900" w:type="dxa"/>
            <w:vAlign w:val="bottom"/>
            <w:gridSpan w:val="4"/>
          </w:tcPr>
          <w:p>
            <w:pPr>
              <w:ind w:left="1080"/>
              <w:spacing w:after="0"/>
              <w:rPr>
                <w:sz w:val="20"/>
                <w:szCs w:val="20"/>
                <w:color w:val="auto"/>
              </w:rPr>
            </w:pPr>
            <w:r>
              <w:rPr>
                <w:rFonts w:ascii="Arial" w:cs="Arial" w:eastAsia="Arial" w:hAnsi="Arial"/>
                <w:sz w:val="14"/>
                <w:szCs w:val="14"/>
                <w:b w:val="1"/>
                <w:bCs w:val="1"/>
                <w:color w:val="auto"/>
              </w:rPr>
              <w:t>Fiscal 2012 Committee Service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 Edgar Hendrix, Chairman</w:t>
            </w:r>
          </w:p>
        </w:tc>
        <w:tc>
          <w:tcPr>
            <w:tcW w:w="120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Paul K. Lackey, Member</w:t>
            </w:r>
          </w:p>
        </w:tc>
        <w:tc>
          <w:tcPr>
            <w:tcW w:w="1200" w:type="dxa"/>
            <w:vAlign w:val="bottom"/>
          </w:tcPr>
          <w:p>
            <w:pPr>
              <w:spacing w:after="0"/>
              <w:rPr>
                <w:sz w:val="18"/>
                <w:szCs w:val="18"/>
                <w:color w:val="auto"/>
              </w:rPr>
            </w:pPr>
          </w:p>
        </w:tc>
        <w:tc>
          <w:tcPr>
            <w:tcW w:w="5900" w:type="dxa"/>
            <w:vAlign w:val="bottom"/>
            <w:gridSpan w:val="4"/>
          </w:tcPr>
          <w:p>
            <w:pPr>
              <w:ind w:left="108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 E. Maxwell, Member</w:t>
            </w:r>
          </w:p>
        </w:tc>
        <w:tc>
          <w:tcPr>
            <w:tcW w:w="120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1200" w:type="dxa"/>
            <w:vAlign w:val="bottom"/>
          </w:tcPr>
          <w:p>
            <w:pPr>
              <w:spacing w:after="0"/>
              <w:rPr>
                <w:sz w:val="19"/>
                <w:szCs w:val="19"/>
                <w:color w:val="auto"/>
              </w:rPr>
            </w:pPr>
          </w:p>
        </w:tc>
        <w:tc>
          <w:tcPr>
            <w:tcW w:w="5900" w:type="dxa"/>
            <w:vAlign w:val="bottom"/>
            <w:gridSpan w:val="4"/>
          </w:tcPr>
          <w:p>
            <w:pPr>
              <w:ind w:left="108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charter. A copy of the Audit Committee Charter is available on the Corporate Governance page included in the “Investor Relations” section of the Company’s website at </w:t>
      </w:r>
      <w:r>
        <w:rPr>
          <w:rFonts w:ascii="Arial" w:cs="Arial" w:eastAsia="Arial" w:hAnsi="Arial"/>
          <w:sz w:val="18"/>
          <w:szCs w:val="18"/>
          <w:u w:val="single" w:color="auto"/>
          <w:color w:val="auto"/>
        </w:rPr>
        <w:t>http://www.matrixservicecompany.com</w:t>
      </w:r>
      <w:r>
        <w:rPr>
          <w:rFonts w:ascii="Arial" w:cs="Arial" w:eastAsia="Arial" w:hAnsi="Arial"/>
          <w:sz w:val="18"/>
          <w:szCs w:val="18"/>
          <w:color w:val="auto"/>
        </w:rPr>
        <w:t>. The Audit Committee held four meetings during fiscal 2012.</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Compensation Committee</w:t>
            </w:r>
          </w:p>
        </w:tc>
        <w:tc>
          <w:tcPr>
            <w:tcW w:w="4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6220" w:type="dxa"/>
            <w:vAlign w:val="bottom"/>
            <w:gridSpan w:val="4"/>
          </w:tcPr>
          <w:p>
            <w:pPr>
              <w:ind w:left="1400"/>
              <w:spacing w:after="0"/>
              <w:rPr>
                <w:sz w:val="20"/>
                <w:szCs w:val="20"/>
                <w:color w:val="auto"/>
              </w:rPr>
            </w:pPr>
            <w:r>
              <w:rPr>
                <w:rFonts w:ascii="Arial" w:cs="Arial" w:eastAsia="Arial" w:hAnsi="Arial"/>
                <w:sz w:val="14"/>
                <w:szCs w:val="14"/>
                <w:b w:val="1"/>
                <w:bCs w:val="1"/>
                <w:color w:val="auto"/>
              </w:rPr>
              <w:t>Fiscal 2012 Committee Service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K. Lackey, Chairman</w:t>
            </w:r>
          </w:p>
        </w:tc>
        <w:tc>
          <w:tcPr>
            <w:tcW w:w="6220" w:type="dxa"/>
            <w:vAlign w:val="bottom"/>
            <w:gridSpan w:val="4"/>
            <w:shd w:val="clear" w:color="auto" w:fill="CCEEFF"/>
          </w:tcPr>
          <w:p>
            <w:pPr>
              <w:ind w:left="140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6220" w:type="dxa"/>
            <w:vAlign w:val="bottom"/>
            <w:gridSpan w:val="4"/>
          </w:tcPr>
          <w:p>
            <w:pPr>
              <w:ind w:left="140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 E. Maxwell, Member</w:t>
            </w:r>
          </w:p>
        </w:tc>
        <w:tc>
          <w:tcPr>
            <w:tcW w:w="6220" w:type="dxa"/>
            <w:vAlign w:val="bottom"/>
            <w:gridSpan w:val="4"/>
            <w:shd w:val="clear" w:color="auto" w:fill="CCEEFF"/>
          </w:tcPr>
          <w:p>
            <w:pPr>
              <w:ind w:left="140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6220" w:type="dxa"/>
            <w:vAlign w:val="bottom"/>
            <w:gridSpan w:val="4"/>
          </w:tcPr>
          <w:p>
            <w:pPr>
              <w:ind w:left="140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Compensation Committee’s functions include reviewing and approving executive salary, bonus, long-term equity incentive awards, perquisites and other benefits. In addition, the Compensation Committee, in conjunction with the Board of Directors,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Compensation Committee operates under a written charter. The Company has made a copy of its Compensation Committee Charter available on the Corporate Governance page included in the “Investor Relations” section of the Company’s website at </w:t>
      </w:r>
      <w:r>
        <w:rPr>
          <w:rFonts w:ascii="Arial" w:cs="Arial" w:eastAsia="Arial" w:hAnsi="Arial"/>
          <w:sz w:val="16"/>
          <w:szCs w:val="16"/>
          <w:u w:val="single" w:color="auto"/>
          <w:color w:val="auto"/>
        </w:rPr>
        <w:t>http://www.matrixservicecompany.com</w:t>
      </w:r>
      <w:r>
        <w:rPr>
          <w:rFonts w:ascii="Arial" w:cs="Arial" w:eastAsia="Arial" w:hAnsi="Arial"/>
          <w:sz w:val="16"/>
          <w:szCs w:val="16"/>
          <w:color w:val="auto"/>
        </w:rPr>
        <w:t>. The Compensation Committee held six meetings during fiscal 2012. The Compensation Committee has no authority under its charter to delegate some or all of its authority to subcommittees or other persons and it has no current plans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fiscal 2012, the Compensation Committee was composed of I. Edgar Hendrix, Paul K. Lackey, Tom E. Maxwell and David J. Tippeconnic, all of whom are non-employee directors of the Company. During fiscal 2012,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180" w:type="dxa"/>
            <w:vAlign w:val="bottom"/>
            <w:gridSpan w:val="4"/>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0" w:type="dxa"/>
            <w:vAlign w:val="bottom"/>
          </w:tcPr>
          <w:p>
            <w:pPr>
              <w:spacing w:after="0"/>
              <w:rPr>
                <w:sz w:val="1"/>
                <w:szCs w:val="1"/>
                <w:color w:val="auto"/>
              </w:rPr>
            </w:pPr>
          </w:p>
        </w:tc>
      </w:tr>
      <w:tr>
        <w:trPr>
          <w:trHeight w:val="20"/>
        </w:trPr>
        <w:tc>
          <w:tcPr>
            <w:tcW w:w="3320" w:type="dxa"/>
            <w:vAlign w:val="bottom"/>
            <w:gridSpan w:val="3"/>
          </w:tcPr>
          <w:p>
            <w:pPr>
              <w:spacing w:after="0" w:line="20" w:lineRule="exact"/>
              <w:rPr>
                <w:sz w:val="1"/>
                <w:szCs w:val="1"/>
                <w:color w:val="auto"/>
              </w:rPr>
            </w:pPr>
          </w:p>
        </w:tc>
        <w:tc>
          <w:tcPr>
            <w:tcW w:w="3860" w:type="dxa"/>
            <w:vAlign w:val="bottom"/>
            <w:gridSpan w:val="2"/>
            <w:shd w:val="clear" w:color="auto" w:fill="00000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7180" w:type="dxa"/>
            <w:vAlign w:val="bottom"/>
            <w:gridSpan w:val="4"/>
          </w:tcPr>
          <w:p>
            <w:pPr>
              <w:ind w:left="2360"/>
              <w:spacing w:after="0"/>
              <w:rPr>
                <w:sz w:val="20"/>
                <w:szCs w:val="20"/>
                <w:color w:val="auto"/>
              </w:rPr>
            </w:pPr>
            <w:r>
              <w:rPr>
                <w:rFonts w:ascii="Arial" w:cs="Arial" w:eastAsia="Arial" w:hAnsi="Arial"/>
                <w:sz w:val="14"/>
                <w:szCs w:val="14"/>
                <w:b w:val="1"/>
                <w:bCs w:val="1"/>
                <w:color w:val="auto"/>
              </w:rPr>
              <w:t>Fiscal 2012 Committee Service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 E. Maxwell, Chairman</w:t>
            </w:r>
          </w:p>
        </w:tc>
        <w:tc>
          <w:tcPr>
            <w:tcW w:w="7180" w:type="dxa"/>
            <w:vAlign w:val="bottom"/>
            <w:gridSpan w:val="4"/>
            <w:shd w:val="clear" w:color="auto" w:fill="CCEEFF"/>
          </w:tcPr>
          <w:p>
            <w:pPr>
              <w:ind w:left="236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7180" w:type="dxa"/>
            <w:vAlign w:val="bottom"/>
            <w:gridSpan w:val="4"/>
          </w:tcPr>
          <w:p>
            <w:pPr>
              <w:ind w:left="236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K. Lackey, Member</w:t>
            </w:r>
          </w:p>
        </w:tc>
        <w:tc>
          <w:tcPr>
            <w:tcW w:w="7180" w:type="dxa"/>
            <w:vAlign w:val="bottom"/>
            <w:gridSpan w:val="4"/>
            <w:shd w:val="clear" w:color="auto" w:fill="CCEEFF"/>
          </w:tcPr>
          <w:p>
            <w:pPr>
              <w:ind w:left="236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7180" w:type="dxa"/>
            <w:vAlign w:val="bottom"/>
            <w:gridSpan w:val="4"/>
          </w:tcPr>
          <w:p>
            <w:pPr>
              <w:ind w:left="2360"/>
              <w:spacing w:after="0"/>
              <w:rPr>
                <w:sz w:val="20"/>
                <w:szCs w:val="20"/>
                <w:color w:val="auto"/>
              </w:rPr>
            </w:pPr>
            <w:r>
              <w:rPr>
                <w:rFonts w:ascii="Arial" w:cs="Arial" w:eastAsia="Arial" w:hAnsi="Arial"/>
                <w:sz w:val="18"/>
                <w:szCs w:val="18"/>
                <w:color w:val="auto"/>
              </w:rPr>
              <w:t>Served all of Fiscal 2012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on the Corporate Governance page included in the “Investor Relations” section of the Company’s website at </w:t>
      </w:r>
      <w:r>
        <w:rPr>
          <w:rFonts w:ascii="Arial" w:cs="Arial" w:eastAsia="Arial" w:hAnsi="Arial"/>
          <w:sz w:val="16"/>
          <w:szCs w:val="16"/>
          <w:u w:val="single" w:color="auto"/>
          <w:color w:val="auto"/>
        </w:rPr>
        <w:t>http://www.matrixservicecompany.com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four meetings during fiscal 2012.</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to address the director qualifications discussed below.</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Committee does not assign specific weights to particular criteria and no particular criterion is a prerequisite for each prospective nominee. Our Board of Directors believes that the backgrounds and qualifications of its directors, considered as a group, should provide a composite mix of experience, knowledge and abilities that will allow it to fulfill its responsibilities. Although the Committee may also consider other aspects of diversity, including geographic, gender, age and ethnic diversity, these factors are not a prerequisite for any prospective nominee. Consequently, while the Committee evaluates the mix of experience and skills of the Board of Directors as a group, the Committee does not monitor the effectiveness of its policies with respect to geographic, gender, age or ethnic diversity.</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Kevin S. Cavanah, Secretary of Matrix Service Company, at 5100 East Skelly Drive, Suite 700, Tulsa, Oklahoma 74135. The written notice should give each such nominee’s name, address, appropriate biographical information, a description of all arrangements or understandings between the stockholder and each such nominee and any other person or persons (naming such person or persons),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eighty days prior to the date of any annual or special meeting; provided, however, that in the event that the date of such annual or special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Executive sessions of the non-management directors are held periodically. The sessions are chaired by the independent, non-executive Chairman of the Board. Any non-management director may request that an additional executive session be scheduled. Executive sessions of the independent directors are held at least once each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5100 East Skelly Drive, Suite 700, Tulsa, Oklahoma 74135. Stockholders and other interested parties may also contact the Board or any of the directors via the Company’s online submission form by clicking on the “Contact the Board” link included on the Corporate Governance page included in the “Investor Relations” section of the Company’s website at </w:t>
      </w:r>
      <w:r>
        <w:rPr>
          <w:rFonts w:ascii="Arial" w:cs="Arial" w:eastAsia="Arial" w:hAnsi="Arial"/>
          <w:sz w:val="16"/>
          <w:szCs w:val="16"/>
          <w:u w:val="single" w:color="auto"/>
          <w:color w:val="auto"/>
        </w:rPr>
        <w:t>http://www.matrixservicecompany.com</w:t>
      </w:r>
      <w:r>
        <w:rPr>
          <w:rFonts w:ascii="Arial" w:cs="Arial" w:eastAsia="Arial" w:hAnsi="Arial"/>
          <w:sz w:val="16"/>
          <w:szCs w:val="16"/>
          <w:color w:val="auto"/>
        </w:rPr>
        <w:t>. All communications will be compiled by the Company’s Corporate Secretary and submitted to the Board or the individual director on a periodic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Each non-employee director is strongly encouraged to have a significant investment in the Company. The Company’s Stock Ownership Guidelines for Directors require each non-employee director own 16,500 shares of our common stock. The following types of equity can be used to satisfy the stock ownership requirements:</w:t>
      </w:r>
    </w:p>
    <w:p>
      <w:pPr>
        <w:spacing w:after="0" w:line="59" w:lineRule="exact"/>
        <w:rPr>
          <w:sz w:val="20"/>
          <w:szCs w:val="20"/>
          <w:color w:val="auto"/>
        </w:rPr>
      </w:pPr>
    </w:p>
    <w:p>
      <w:pPr>
        <w:ind w:left="1480" w:right="500" w:hanging="567"/>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owned separately by the director or owned either jointly with, or separately by, immediate family members residing in the same household;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held in trust for the benefit of the director or his immediate family members;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w:t>
      </w:r>
    </w:p>
    <w:p>
      <w:pPr>
        <w:spacing w:after="0" w:line="90" w:lineRule="exact"/>
        <w:rPr>
          <w:rFonts w:ascii="Arial" w:cs="Arial" w:eastAsia="Arial" w:hAnsi="Arial"/>
          <w:sz w:val="18"/>
          <w:szCs w:val="18"/>
          <w:color w:val="auto"/>
        </w:rPr>
      </w:pPr>
    </w:p>
    <w:p>
      <w:pPr>
        <w:ind w:left="1480" w:right="800" w:hanging="567"/>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in-the-money vested unexercised stock options;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phantom shares held on behalf of a director under the Board’s deferred compensation plan.</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Existing directors have five years from the August 2011 date of adoption of the guidelines to attain this level of ownership. Directors elected after the date of the adoption of the Stock Ownership Guidelines will have five years from the date of their election to the Board to attain this level of ownership. Even though our directors have until September 2016 to comply with the Stock Ownership Guidelines, all of the non-employee directors currently satisfy the requirements.</w:t>
      </w:r>
    </w:p>
    <w:p>
      <w:pPr>
        <w:spacing w:after="0" w:line="10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Since Mr. Hewitt is the Chief Executive Officer of the Company, he must comply with the Equity Ownership Guidelines for Executive Officers, which are discussed in this proxy statement under the caption “Equity Ownership Guidelines.”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Management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elements of our non-employee director compensation consist of cash compensation and equity compensation. Our objective with director compensation is to position ourselves to attract and retain individuals with relevant business and leadership backgrounds and experience by providing a competitive package of cash and equity compensation.</w:t>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 The Compensation Committee of the Board of Directors (the “Committee”) engages a third party compensation consultant to periodically review director compensation and make recommendations. The Committee reviews benchmark data from outside consultants and makes recommendations to the full Board for approval.</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Director compensation is generally reviewed on a bi-annual basis. In fiscal 2010, the Committee engaged a third party compensation consultant, Hewitt Associates LLC (“Hewitt Associates”), to conduct a market study of current director compensation. Hewitt Associates obtained benchmark data using published compensation surveys and proxy analysis of selected benchmark companies similar in size, location and industry. The companies included in the survey are consistent with those that we use to benchmark executive compensation.</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Based on the consultant’s findings and recommendations, the Committee affirmed that total compensation for directors beginning in fiscal 2011 should be approximately $125,000 per year with approximately 50% in cash and 50% in equity. The objective is to provide both a short-term cash component and a long-term component to total compensation that aligns the interests of directors with those of our stockholders through stock ownership. Therefore, the Committee recommended that the equity component of director compensation should be time-based restricted stock units (“RSU’s”).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2011, the Committee engaged Meridian Compensation Partners, LLC (“Meridian”) to provide a report on executive compensation trends, equity usage and share ownership guidelines. No benchmark study was conducted, but Meridian affirmed the results of the most recent Hewitt study. Therefore, no changes to the compensation outlined above were made to fiscal 2012 director compensation.</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annual cash retainer for fiscal 2012 was $60,000 plus $5,000 for each of the Committee Chairmen. The additional fee for the Chairman of the Board was 25% of the annual retainer, or $15,000. Cash compensation may be taken in the form of cash payments or may be deferred with interest.</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RSU awards for directors are 100% time-based with cliff vesting which occurs on the earlier of the third anniversary of the date of the award or the director’s departure from the Board for any reason.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basis for historical RSU awards to non-employee directors is detailed below:</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$65,000 annual value of the award represents approximately 50% of total compensation.</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actual number of RSU’s is determined by dividing the annual value of $65,000 by the 20-day moving average price of the Company’s common stock price calculated five days prior to the grant date.</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light of the low prevailing price of our common stock on the dates used to determine the number of RSU’s to be awarded and in order to achieve a more sustainable “burn rate” for RSU awards, the Committee approved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changing the calculation for determining shares from the method outlined above to a fixed share award for fiscal 2012. The Committee evaluated the Company’s historical stock price and previous three years of RSU awards to directors in establishing the fixed share level. For the fiscal 2012 award, a fixed number of 5,500 shares was established. The Committee agreed to evaluate the fixed amount of shares no less frequently than every two years.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Board of Directors also has a Deferred Fee Plan which allows directors to defer all or a portion of their cash compensation with interest. The effective interest rate for the subsequent calendar year is researched and approved by the Committee at the regularly-scheduled meeting each November. For fiscal 2012, the average interest rate was 5.0%. Non-employee directors are also permitted to invest their cash retainer in Company common stock through the Company’s 2011 Employee Stock Purchase Plan (“ESPP”). Investment through the ESPP is limited to $60,000 per calendar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director in fiscal 2012 is summarized in the table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Fees</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Earned</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or Paid</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Stock</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in Cash</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6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60" w:type="dxa"/>
            <w:vAlign w:val="bottom"/>
          </w:tcPr>
          <w:p>
            <w:pPr>
              <w:spacing w:after="0"/>
              <w:rPr>
                <w:sz w:val="12"/>
                <w:szCs w:val="12"/>
                <w:color w:val="auto"/>
              </w:rPr>
            </w:pPr>
          </w:p>
        </w:tc>
        <w:tc>
          <w:tcPr>
            <w:tcW w:w="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8"/>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Name (1)</w:t>
            </w:r>
          </w:p>
        </w:tc>
        <w:tc>
          <w:tcPr>
            <w:tcW w:w="17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(2)</w:t>
            </w:r>
          </w:p>
        </w:tc>
        <w:tc>
          <w:tcPr>
            <w:tcW w:w="6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58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(4)</w:t>
            </w:r>
          </w:p>
        </w:tc>
        <w:tc>
          <w:tcPr>
            <w:tcW w:w="6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(5)</w:t>
            </w:r>
          </w:p>
        </w:tc>
        <w:tc>
          <w:tcPr>
            <w:tcW w:w="6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4"/>
                <w:szCs w:val="14"/>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J. Hall</w:t>
            </w:r>
          </w:p>
        </w:tc>
        <w:tc>
          <w:tcPr>
            <w:tcW w:w="2840" w:type="dxa"/>
            <w:vAlign w:val="bottom"/>
            <w:gridSpan w:val="3"/>
            <w:shd w:val="clear" w:color="auto" w:fill="CCEEFF"/>
          </w:tcPr>
          <w:p>
            <w:pPr>
              <w:ind w:left="1880"/>
              <w:spacing w:after="0" w:line="149" w:lineRule="exact"/>
              <w:rPr>
                <w:sz w:val="20"/>
                <w:szCs w:val="20"/>
                <w:color w:val="auto"/>
              </w:rPr>
            </w:pPr>
            <w:r>
              <w:rPr>
                <w:rFonts w:ascii="Arial" w:cs="Arial" w:eastAsia="Arial" w:hAnsi="Arial"/>
                <w:sz w:val="14"/>
                <w:szCs w:val="14"/>
                <w:color w:val="auto"/>
              </w:rPr>
              <w:t>75,000</w:t>
            </w: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54,285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129,285</w:t>
            </w: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I. Edgar Hendrix</w:t>
            </w:r>
          </w:p>
        </w:tc>
        <w:tc>
          <w:tcPr>
            <w:tcW w:w="2840" w:type="dxa"/>
            <w:vAlign w:val="bottom"/>
            <w:gridSpan w:val="3"/>
          </w:tcPr>
          <w:p>
            <w:pPr>
              <w:ind w:left="1880"/>
              <w:spacing w:after="0" w:line="149" w:lineRule="exact"/>
              <w:rPr>
                <w:sz w:val="20"/>
                <w:szCs w:val="20"/>
                <w:color w:val="auto"/>
              </w:rPr>
            </w:pPr>
            <w:r>
              <w:rPr>
                <w:rFonts w:ascii="Arial" w:cs="Arial" w:eastAsia="Arial" w:hAnsi="Arial"/>
                <w:sz w:val="14"/>
                <w:szCs w:val="14"/>
                <w:color w:val="auto"/>
              </w:rPr>
              <w:t>65,000</w:t>
            </w: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54,285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1,760</w:t>
            </w:r>
          </w:p>
        </w:tc>
        <w:tc>
          <w:tcPr>
            <w:tcW w:w="60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121,045</w:t>
            </w: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Paul K. Lackey</w:t>
            </w:r>
          </w:p>
        </w:tc>
        <w:tc>
          <w:tcPr>
            <w:tcW w:w="2840" w:type="dxa"/>
            <w:vAlign w:val="bottom"/>
            <w:gridSpan w:val="3"/>
            <w:shd w:val="clear" w:color="auto" w:fill="CCEEFF"/>
          </w:tcPr>
          <w:p>
            <w:pPr>
              <w:ind w:left="1880"/>
              <w:spacing w:after="0" w:line="149" w:lineRule="exact"/>
              <w:rPr>
                <w:sz w:val="20"/>
                <w:szCs w:val="20"/>
                <w:color w:val="auto"/>
              </w:rPr>
            </w:pPr>
            <w:r>
              <w:rPr>
                <w:rFonts w:ascii="Arial" w:cs="Arial" w:eastAsia="Arial" w:hAnsi="Arial"/>
                <w:sz w:val="14"/>
                <w:szCs w:val="14"/>
                <w:color w:val="auto"/>
              </w:rPr>
              <w:t>65,000</w:t>
            </w: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54,285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2,575</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121,860</w:t>
            </w: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Tom E. Maxwell</w:t>
            </w:r>
          </w:p>
        </w:tc>
        <w:tc>
          <w:tcPr>
            <w:tcW w:w="2840" w:type="dxa"/>
            <w:vAlign w:val="bottom"/>
            <w:gridSpan w:val="3"/>
          </w:tcPr>
          <w:p>
            <w:pPr>
              <w:ind w:left="1880"/>
              <w:spacing w:after="0" w:line="149" w:lineRule="exact"/>
              <w:rPr>
                <w:sz w:val="20"/>
                <w:szCs w:val="20"/>
                <w:color w:val="auto"/>
              </w:rPr>
            </w:pPr>
            <w:r>
              <w:rPr>
                <w:rFonts w:ascii="Arial" w:cs="Arial" w:eastAsia="Arial" w:hAnsi="Arial"/>
                <w:sz w:val="14"/>
                <w:szCs w:val="14"/>
                <w:color w:val="auto"/>
              </w:rPr>
              <w:t>65,000</w:t>
            </w: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54,285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2,503</w:t>
            </w:r>
          </w:p>
        </w:tc>
        <w:tc>
          <w:tcPr>
            <w:tcW w:w="60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121,788</w:t>
            </w: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J. Tippeconnic</w:t>
            </w:r>
          </w:p>
        </w:tc>
        <w:tc>
          <w:tcPr>
            <w:tcW w:w="2840" w:type="dxa"/>
            <w:vAlign w:val="bottom"/>
            <w:gridSpan w:val="3"/>
            <w:shd w:val="clear" w:color="auto" w:fill="CCEEFF"/>
          </w:tcPr>
          <w:p>
            <w:pPr>
              <w:ind w:left="1880"/>
              <w:spacing w:after="0" w:line="149" w:lineRule="exact"/>
              <w:rPr>
                <w:sz w:val="20"/>
                <w:szCs w:val="20"/>
                <w:color w:val="auto"/>
              </w:rPr>
            </w:pPr>
            <w:r>
              <w:rPr>
                <w:rFonts w:ascii="Arial" w:cs="Arial" w:eastAsia="Arial" w:hAnsi="Arial"/>
                <w:sz w:val="14"/>
                <w:szCs w:val="14"/>
                <w:color w:val="auto"/>
              </w:rPr>
              <w:t>60,000</w:t>
            </w: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54,285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116,671</w:t>
            </w:r>
          </w:p>
        </w:tc>
      </w:tr>
    </w:tbl>
    <w:p>
      <w:pPr>
        <w:spacing w:after="0" w:line="192" w:lineRule="exact"/>
        <w:rPr>
          <w:sz w:val="20"/>
          <w:szCs w:val="20"/>
          <w:color w:val="auto"/>
        </w:rPr>
      </w:pPr>
    </w:p>
    <w:p>
      <w:pPr>
        <w:ind w:left="800" w:right="20" w:hanging="454"/>
        <w:spacing w:after="0" w:line="239"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John R. Hewitt is not included in this table since he is a current employee and thus received no compensation for his service as a director. The compensation received by Mr. Hewitt as an employee is shown in the Summary Compensation Table for our Named Executive Officers.</w:t>
      </w:r>
    </w:p>
    <w:p>
      <w:pPr>
        <w:spacing w:after="0" w:line="57" w:lineRule="exact"/>
        <w:rPr>
          <w:rFonts w:ascii="Arial" w:cs="Arial" w:eastAsia="Arial" w:hAnsi="Arial"/>
          <w:sz w:val="14"/>
          <w:szCs w:val="14"/>
          <w:color w:val="auto"/>
        </w:rPr>
      </w:pPr>
    </w:p>
    <w:p>
      <w:pPr>
        <w:ind w:left="800" w:right="20" w:hanging="454"/>
        <w:spacing w:after="0" w:line="233"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retainer fees earned in the fiscal year but paid subsequent to the completion of the fiscal year and fees earned in the fiscal year but deferred under the Deferred Fee Plan for members of the Board of Directors of Matrix Service Company. Mr. Hendrix deferred $31,688 in fees, Mr. Tippeconnic deferred fees totaling $60,000, and Mr. Lackey and Mr. Maxwell deferred fees of $65,000 each. The Deferred Fee Plan is discussed in note (5) below.</w:t>
      </w:r>
    </w:p>
    <w:p>
      <w:pPr>
        <w:spacing w:after="0" w:line="57" w:lineRule="exact"/>
        <w:rPr>
          <w:rFonts w:ascii="Arial" w:cs="Arial" w:eastAsia="Arial" w:hAnsi="Arial"/>
          <w:sz w:val="14"/>
          <w:szCs w:val="14"/>
          <w:color w:val="auto"/>
        </w:rPr>
      </w:pPr>
    </w:p>
    <w:p>
      <w:pPr>
        <w:ind w:left="800" w:right="60" w:hanging="454"/>
        <w:spacing w:after="0" w:line="230"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the period determined in accordance with the applicable accounting guidance for equity-based awards. For further information on the valuation of these awards see Notes 1 and 11 to the Consolidated Financial Statements included in our fiscal 2012 Annual Report on Form 10-K. For services provided as a member of the Board of Directors, each non-employee director received an award of 5,500 RSUs with a grant date fair value of $54,285. As of June 30, 2012, Mr. Hall, Mr. Hendrix, Mr. Lackey, Mr. Maxwell and Mr. Tippeconnic each had 14,000 unvested RSUs.</w:t>
      </w:r>
    </w:p>
    <w:p>
      <w:pPr>
        <w:spacing w:after="0" w:line="58" w:lineRule="exact"/>
        <w:rPr>
          <w:rFonts w:ascii="Arial" w:cs="Arial" w:eastAsia="Arial" w:hAnsi="Arial"/>
          <w:sz w:val="14"/>
          <w:szCs w:val="14"/>
          <w:color w:val="auto"/>
        </w:rPr>
      </w:pPr>
    </w:p>
    <w:p>
      <w:pPr>
        <w:ind w:left="800" w:right="140" w:hanging="454"/>
        <w:spacing w:after="0" w:line="239"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There were no stock option awards granted to non-employee directors in fiscal 2012. As of June 30, 2012, Messrs. Hendrix and Tippeconnic had 5,000 stock options outstanding, Mr. Lackey had 10,000 stock options outstanding and Mr. Maxwell had 15,000 stock options outstanding.</w:t>
      </w:r>
    </w:p>
    <w:p>
      <w:pPr>
        <w:spacing w:after="0" w:line="57" w:lineRule="exact"/>
        <w:rPr>
          <w:rFonts w:ascii="Arial" w:cs="Arial" w:eastAsia="Arial" w:hAnsi="Arial"/>
          <w:sz w:val="14"/>
          <w:szCs w:val="14"/>
          <w:color w:val="auto"/>
        </w:rPr>
      </w:pPr>
    </w:p>
    <w:p>
      <w:pPr>
        <w:ind w:left="800" w:right="300" w:hanging="454"/>
        <w:spacing w:after="0" w:line="233"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non-employee director may defer all or part of director fees earned into the Deferred Fee Plan for Members of the Board of Directors of Matrix Service Company (the “Deferred Fee Plan”). Under the Deferred Fee Plan, directors are allowed to defer fees and earn interest. The amounts shown represent interest earned under the plan in excess of a market rate. For fiscal 2012, the market rate for the deferrals was 3.9% as compared to the actual average rate paid of 5.0%.</w:t>
      </w:r>
    </w:p>
    <w:p>
      <w:pPr>
        <w:spacing w:after="0" w:line="139" w:lineRule="exact"/>
        <w:rPr>
          <w:sz w:val="20"/>
          <w:szCs w:val="20"/>
          <w:color w:val="auto"/>
        </w:rPr>
      </w:pPr>
    </w:p>
    <w:p>
      <w:pPr>
        <w:ind w:left="360" w:right="80"/>
        <w:spacing w:after="0" w:line="239" w:lineRule="auto"/>
        <w:rPr>
          <w:sz w:val="20"/>
          <w:szCs w:val="20"/>
          <w:color w:val="auto"/>
        </w:rPr>
      </w:pPr>
      <w:r>
        <w:rPr>
          <w:rFonts w:ascii="Arial" w:cs="Arial" w:eastAsia="Arial" w:hAnsi="Arial"/>
          <w:sz w:val="14"/>
          <w:szCs w:val="14"/>
          <w:color w:val="auto"/>
        </w:rPr>
        <w:t>Previously, directors were allowed to defer fees in the form of phantom shares. The fees were converted into phantom shares based on the price of our stock on the deferral election date. At June 30, 2012, Mr. Maxwell held 1,565 phantom shares valued at $17,731.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reports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39" w:lineRule="exact"/>
        <w:rPr>
          <w:sz w:val="20"/>
          <w:szCs w:val="20"/>
          <w:color w:val="auto"/>
        </w:rPr>
      </w:pPr>
    </w:p>
    <w:p>
      <w:pPr>
        <w:ind w:left="900" w:right="400" w:hanging="446"/>
        <w:spacing w:after="0" w:line="35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ind w:left="900" w:right="2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June 30, 2012;</w:t>
      </w:r>
    </w:p>
    <w:p>
      <w:pPr>
        <w:spacing w:after="0" w:line="5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Statement on Auditing Standards No. 61, Communication with Audit Committees, as currently amended (AICPA Professional Standards, Vol. 1 AU Section 380), as adopted by the Public Company Accounting Oversight Board in Rule 3000T; and</w:t>
      </w:r>
    </w:p>
    <w:p>
      <w:pPr>
        <w:spacing w:after="0" w:line="59"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year ended June 30, 2012 for filing with the Securities and Exchange Commission. The Audit Committee, subject to ratification by the stockholders, has selected Deloitte &amp; Touche LLP as the Company’s independent registered public accounting firm for the year ending June 30, 2013.</w:t>
      </w:r>
    </w:p>
    <w:p>
      <w:pPr>
        <w:spacing w:after="0" w:line="14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I. Edgar Hendrix qualifies as a financial expert as defined by the SEC rules adopted pursuant to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Audit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Audit Committee Member</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report of the Audit Committee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Fees billed for audit services in fiscal 2012 and 2011 include fees associated with the annual audit, the reviews of our quarterly reports on Form 10-Q, the audit of our internal controls, and services performed in connection with other filings with the SEC. Fees billed for other services in fiscal 2011 were related to our planned international expansion.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60" w:type="dxa"/>
            <w:vAlign w:val="bottom"/>
            <w:gridSpan w:val="4"/>
          </w:tcPr>
          <w:p>
            <w:pPr>
              <w:ind w:left="320"/>
              <w:spacing w:after="0"/>
              <w:rPr>
                <w:sz w:val="20"/>
                <w:szCs w:val="20"/>
                <w:color w:val="auto"/>
              </w:rPr>
            </w:pPr>
            <w:r>
              <w:rPr>
                <w:rFonts w:ascii="Arial" w:cs="Arial" w:eastAsia="Arial" w:hAnsi="Arial"/>
                <w:sz w:val="14"/>
                <w:szCs w:val="14"/>
                <w:b w:val="1"/>
                <w:bCs w:val="1"/>
                <w:color w:val="auto"/>
              </w:rPr>
              <w:t>Deloitte &amp; Touche LLP</w:t>
            </w:r>
          </w:p>
        </w:tc>
      </w:tr>
      <w:tr>
        <w:trPr>
          <w:trHeight w:val="142"/>
        </w:trPr>
        <w:tc>
          <w:tcPr>
            <w:tcW w:w="20" w:type="dxa"/>
            <w:vAlign w:val="bottom"/>
          </w:tcPr>
          <w:p>
            <w:pPr>
              <w:spacing w:after="0"/>
              <w:rPr>
                <w:sz w:val="12"/>
                <w:szCs w:val="12"/>
                <w:color w:val="auto"/>
              </w:rPr>
            </w:pPr>
          </w:p>
        </w:tc>
        <w:tc>
          <w:tcPr>
            <w:tcW w:w="84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5"/>
              </w:rPr>
              <w:t>Fiscal 2012</w:t>
            </w:r>
          </w:p>
        </w:tc>
        <w:tc>
          <w:tcPr>
            <w:tcW w:w="6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Fiscal 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Services</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$850,973</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$800,000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Services</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850,973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819,805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6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engaged the firm of Deloitte &amp; Touche LLP as the Company’s independent registered public accounting firm for the fiscal year ending June 30, 2013. Deloitte &amp; Touche LLP has served as independent auditors for the Company since January 2006.</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40"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5"/>
          <w:szCs w:val="15"/>
          <w:b w:val="1"/>
          <w:bCs w:val="1"/>
          <w:i w:val="1"/>
          <w:iCs w:val="1"/>
          <w:color w:val="auto"/>
        </w:rPr>
        <w:t>The Board of Directors recommends that the stockholders vote “For” ratification of Deloitte &amp; Touche LLP’s engagement.</w:t>
      </w:r>
    </w:p>
    <w:p>
      <w:pPr>
        <w:spacing w:after="0" w:line="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representative of Deloitte &amp; Touche LLP is expected to be present at the Annual Meeting of Stockholders and will have an opportunity to make a statement, if he or she desires to do so, and to respond to appropriate questions from those attending the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Mr. Hewitt, the Company’s President and Chief Executive Officer, who serves on the Board of Directors and whose biographical information is set forth under the caption, “Nominated Director Biographies,” the executive officers of the Company are:</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Nancy E. Austin, </w:t>
      </w:r>
      <w:r>
        <w:rPr>
          <w:rFonts w:ascii="Arial" w:cs="Arial" w:eastAsia="Arial" w:hAnsi="Arial"/>
          <w:sz w:val="18"/>
          <w:szCs w:val="18"/>
          <w:color w:val="auto"/>
        </w:rPr>
        <w:t>age 45, has served as Vice President, Human Resources for the Company since January 2006. Mrs. Austin served as Director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 Professional in Human Resources (PHR). She is also a member of the Society for Human Resource Management and World-at-Work.</w:t>
      </w:r>
    </w:p>
    <w:p>
      <w:pPr>
        <w:spacing w:after="0" w:line="13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 xml:space="preserve">Kevin S. Cavanah, </w:t>
      </w:r>
      <w:r>
        <w:rPr>
          <w:rFonts w:ascii="Arial" w:cs="Arial" w:eastAsia="Arial" w:hAnsi="Arial"/>
          <w:sz w:val="16"/>
          <w:szCs w:val="16"/>
          <w:color w:val="auto"/>
        </w:rPr>
        <w:t>age 48, has served as Secretary, Vice President – Finance and Chief Financial Officer for the Company since December 2010. Mr. Cavanah</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Vice President, Accounting and Financial Reporting for the Company from August 2007 to December 2010 and as Controller from April 2003 to December 2010. Prior to joining the Company, Mr. Cavanah served as an Accounting Manager for Williams Communications from 2001 to 2003 and as an Accounting Manager for The Williams Companies, Inc. from 1998 to 2001. Prior to joining the Williams Companies, Inc., Mr. Cavanah served as an Audit Manager for Ernst &amp; Young, LLP. Mr. Cavanah has a Bachelor of Science in Business Administration degree in Accounting from the University of Arkansas. He is a member of Financial Executives International and a board member of Owasso Community Resources.</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Jack Frost</w:t>
      </w:r>
      <w:r>
        <w:rPr>
          <w:rFonts w:ascii="Arial" w:cs="Arial" w:eastAsia="Arial" w:hAnsi="Arial"/>
          <w:sz w:val="16"/>
          <w:szCs w:val="16"/>
          <w:color w:val="auto"/>
        </w:rPr>
        <w:t>, age 54, has served as Vice President – Environmental, Health and Safety since February 2012. Prior to joining Matrix, Mr. Frost served from 2010 to</w:t>
      </w:r>
      <w:r>
        <w:rPr>
          <w:rFonts w:ascii="Arial" w:cs="Arial" w:eastAsia="Arial" w:hAnsi="Arial"/>
          <w:sz w:val="16"/>
          <w:szCs w:val="16"/>
          <w:b w:val="1"/>
          <w:bCs w:val="1"/>
          <w:color w:val="auto"/>
        </w:rPr>
        <w:t xml:space="preserve"> </w:t>
      </w:r>
      <w:r>
        <w:rPr>
          <w:rFonts w:ascii="Arial" w:cs="Arial" w:eastAsia="Arial" w:hAnsi="Arial"/>
          <w:sz w:val="16"/>
          <w:szCs w:val="16"/>
          <w:color w:val="auto"/>
        </w:rPr>
        <w:t>2012 as Global Director of Quality, Heath, Safety, Environmental and Security (“QHSES”) for Tesco Corporation and was responsible for the development and implementation of all global strategic and tactical QHSES initiatives. Previous to Tesco, Mr. Frost was the Global Director of QHSES for Wellstream International from 2008 to 2010. Mr. Frost was the Europe-Eurasia Environmental, Health and Safety Manager for Hess Corporation from 2004-2008. Mr. Frost holds a Bachelor of Arts degree in Legal Studies from the University of Louisiana at Monroe. He is a Board Certified Safety Professional and holds an Associate in Risk Management designation. Mr. Frost is a member of the American Society of Safety Engineers.</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Joseph F. Montalbano</w:t>
      </w:r>
      <w:r>
        <w:rPr>
          <w:rFonts w:ascii="Arial" w:cs="Arial" w:eastAsia="Arial" w:hAnsi="Arial"/>
          <w:sz w:val="18"/>
          <w:szCs w:val="18"/>
          <w:color w:val="auto"/>
        </w:rPr>
        <w:t>, age 63, has served as Vice President and Chief Operating Officer since May 2008. From 2002 to 2008, Mr. Montalbano served as Senior</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 Senior Project Director Energy Sector of Black &amp; Veatch, where he was responsible for all construction projects under his direction. Prior to working at Black &amp; Veatch, from 1972 to 2002 Mr. Montalbano served numerous project management roles with a national construction firm serving the energy sector. Mr. Montalbano holds a Bachelor of Science degree in Electrical Engineering and Masters of Science degree in Electrical Engineering from Polytechnic Institute of Brooklyn. He earned a Masters in Business Administration degree from New York Institute of Technology and is registered as a Professional Engineer in multiple states.</w:t>
      </w:r>
    </w:p>
    <w:p>
      <w:pPr>
        <w:spacing w:after="0" w:line="13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Matthew J. Petrizzo</w:t>
      </w:r>
      <w:r>
        <w:rPr>
          <w:rFonts w:ascii="Arial" w:cs="Arial" w:eastAsia="Arial" w:hAnsi="Arial"/>
          <w:sz w:val="16"/>
          <w:szCs w:val="16"/>
          <w:color w:val="auto"/>
        </w:rPr>
        <w:t>, age 50, has served as President, Matrix SME., since June 2008. He previously served as Vice President, Matrix SME from November 2007</w:t>
      </w:r>
      <w:r>
        <w:rPr>
          <w:rFonts w:ascii="Arial" w:cs="Arial" w:eastAsia="Arial" w:hAnsi="Arial"/>
          <w:sz w:val="16"/>
          <w:szCs w:val="16"/>
          <w:b w:val="1"/>
          <w:bCs w:val="1"/>
          <w:color w:val="auto"/>
        </w:rPr>
        <w:t xml:space="preserve"> </w:t>
      </w:r>
      <w:r>
        <w:rPr>
          <w:rFonts w:ascii="Arial" w:cs="Arial" w:eastAsia="Arial" w:hAnsi="Arial"/>
          <w:sz w:val="16"/>
          <w:szCs w:val="16"/>
          <w:color w:val="auto"/>
        </w:rPr>
        <w:t>to June 2008. Prior to joining the Company, Mr. Petrizzo served as a Project Director for Washington Group International from 2006 to 2007. Mr. Petrizzo also worked in various capacities for Washington Group International from 2001 to 2006 and for Washington Group legacy companies, Raytheon Engineers and Constructors from 1994 to 2001 and Ebasco Services Inc. from 1984 to 1994. Mr. Petrizzo graduated from Hofstra University with a degree in Electrical Engineering and is a Registered Professional Engineer in the state of New Jersey.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James P. Ryan</w:t>
      </w:r>
      <w:r>
        <w:rPr>
          <w:rFonts w:ascii="Arial" w:cs="Arial" w:eastAsia="Arial" w:hAnsi="Arial"/>
          <w:sz w:val="16"/>
          <w:szCs w:val="16"/>
          <w:color w:val="auto"/>
        </w:rPr>
        <w:t>, age 57, has served as President, Matrix Service since August 2005. He previously served the Company as Chief Operating Officer from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2004 to August 2005 and as Vice President of Matrix Service from October 1999 to October 2004. Prior to joining Matrix Service, Mr. Ryan worked for Gibraltar Construction Company from January 1993 to September 1999 providing construction management services. Previous employers include MW Kellogg, Kiewit Industrial Company and Hoffman Construction Company. Mr. Ryan also previously provided independent consulting services to the power industry. Mr. Ryan graduated from Purdue University with a degree in Civil Engineering in 1979.</w:t>
      </w:r>
    </w:p>
    <w:p>
      <w:pPr>
        <w:spacing w:after="0" w:line="10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Jason W. Turner</w:t>
      </w:r>
      <w:r>
        <w:rPr>
          <w:rFonts w:ascii="Arial" w:cs="Arial" w:eastAsia="Arial" w:hAnsi="Arial"/>
          <w:sz w:val="16"/>
          <w:szCs w:val="16"/>
          <w:color w:val="auto"/>
        </w:rPr>
        <w:t>, age 41, has served as Vice President and Treasurer since May 2010. Mr. Turner served as Director of Finance for Matrix Service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w:t>
      </w:r>
    </w:p>
    <w:p>
      <w:pPr>
        <w:spacing w:after="0" w:line="1"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Mr. Turner worked for the Federal Reserve Bank and in commercial banking. Mr. Turner has a Bachelor of Science Degree in Finance from Oklahoma State University and an MBA from the University of Tulsa. Mr. Turner is a member of Financial Executives International and the National Investor Relations Institute.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This Compensation Discussion and Analysis explains our compensation philosophy, objectives and practices in place for our President and Chief Executive Officer (“CEO”), our Chief Financial Officer (“CFO”) and our other named executive officers (collectively, the “Named Executive Officers”) during fiscal 2012. Annual compensation for our Named Executive Officers is determined by the Compensation Committee of the Board of Directors (the “Committee”) and is supported by market data and advice from their independent compensation consultant, Meridian Compensation Partners, LLC (“Meridian”).</w:t>
      </w:r>
    </w:p>
    <w:p>
      <w:pPr>
        <w:spacing w:after="0" w:line="113"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Summarized below are the highlights of key decision and actions taken regarding the compensation of our Named Executive Officers in fiscal 2012. These actions were approved by the Compensation Committee, with advice from Meridian and are consistent with our stated compensation philosophy.</w:t>
      </w:r>
    </w:p>
    <w:p>
      <w:pPr>
        <w:spacing w:after="0" w:line="4" w:lineRule="exact"/>
        <w:rPr>
          <w:sz w:val="20"/>
          <w:szCs w:val="20"/>
          <w:color w:val="auto"/>
        </w:rPr>
      </w:pPr>
    </w:p>
    <w:p>
      <w:pPr>
        <w:ind w:left="900" w:right="280" w:hanging="446"/>
        <w:spacing w:after="0" w:line="25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 Salaries: Market data from Meridian for the CEO, CFO and Chief Operating Officer (“COO”) indicated we were paying these individuals significantly below the median of the peer group for base pay. For this reason and based upon their respective performance and contribution, the Committee awarded the CEO and CFO 10% base salary increases to $550,000 and $258,500, respectively, and the COO a 14.3% increase to $400,050. The other two Named Executive Officers received salary increases of 3% and 8%, based on their experience, performance and position relative to the market median for their positions.</w:t>
      </w:r>
    </w:p>
    <w:p>
      <w:pPr>
        <w:spacing w:after="0" w:line="61" w:lineRule="exact"/>
        <w:rPr>
          <w:rFonts w:ascii="Arial" w:cs="Arial" w:eastAsia="Arial" w:hAnsi="Arial"/>
          <w:sz w:val="18"/>
          <w:szCs w:val="18"/>
          <w:color w:val="auto"/>
        </w:rPr>
      </w:pPr>
    </w:p>
    <w:p>
      <w:pPr>
        <w:ind w:left="900" w:right="100" w:hanging="446"/>
        <w:spacing w:after="0" w:line="289"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Annual Incentive Compensation: For fiscal 2012, annual incentives were based primarily on the achievement of established financial and safety objectives. The Company did not achieve its consolidated financial objectives in fiscal 2012, with actual earnings per share (“EPS”) of $0.65 less than the Threshold amount of $0.74. No annual incentives were paid to four of the five Named Executive Officers based on financial measures, which represented 85% of the total bonus opportunity. One operating company President did earn a Threshold financial award for the portion of the incentive tied to the financial performance of his operating company. The consolidated Company and one operating company did achieve maximum performance under the safety metric representing the remaining 15% of the bonus opportunity. The CEO, CFO, COO and one operating company President received maximum bonus payments for the portion of the award related to safety performance. The other operating company President earned just below the maximum safety award based on the safety performance of his respective company.</w:t>
      </w:r>
    </w:p>
    <w:p>
      <w:pPr>
        <w:spacing w:after="0" w:line="37" w:lineRule="exact"/>
        <w:rPr>
          <w:rFonts w:ascii="Arial" w:cs="Arial" w:eastAsia="Arial" w:hAnsi="Arial"/>
          <w:sz w:val="16"/>
          <w:szCs w:val="16"/>
          <w:color w:val="auto"/>
        </w:rPr>
      </w:pPr>
    </w:p>
    <w:p>
      <w:pPr>
        <w:ind w:left="900" w:hanging="446"/>
        <w:spacing w:after="0" w:line="25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Long-Term Incentive Awards: Awards granted in fiscal 2012 were in line with the Company’s plan for establishing the total value of awards and the number of shares to grant. The fiscal 2012 awards consisted of a combination of time-based Restricted Stock Units (“RSU’s”) and stock options. Restrictions on time-based RSU’s will lapse in equal installments over a four-year period, while stock options cliff vest at the end of the three years following the November 17, 2011 grant date. The Committee concluded that utilizing a combination of RSUs and stock options would best conserve the shares available for awards to the Company’s officers and key employees under the Company’s 2004 Stock Incentive Plan. The combination of time-based RSU’s and stock options provides a retention component to the long-term incentive awards, while aligning the executives with the interests of our stockholders. The Committee expects to re-introduce performance-based RSU’s as a component of the long-term incentive awards for fiscal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Philosophy and Objectives</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execute our business strategy. Our compensation philosophy and approach is designed to support these objectives.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Our compensation philosophy is to provide the opportunity for outstanding compensation when superior performance is demonstrated. This pay-for-performance philosophy is reflected in each aspect of the compensation package for executive officers and management team members. All components of compensation for executive officers and key management are reviewed periodically to ensure consistency with our compensation philosophy and to verify that the overall level of compensation is competitive. We use the following principles in the design and administration of our executive compensation program:</w:t>
      </w:r>
    </w:p>
    <w:p>
      <w:pPr>
        <w:spacing w:after="0" w:line="32" w:lineRule="exact"/>
        <w:rPr>
          <w:sz w:val="20"/>
          <w:szCs w:val="20"/>
          <w:color w:val="auto"/>
        </w:rPr>
      </w:pPr>
    </w:p>
    <w:p>
      <w:pPr>
        <w:ind w:left="900" w:right="38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10"/>
          <w:szCs w:val="10"/>
          <w:color w:val="auto"/>
        </w:rPr>
        <w:t>th</w:t>
      </w:r>
      <w:r>
        <w:rPr>
          <w:rFonts w:ascii="Arial" w:cs="Arial" w:eastAsia="Arial" w:hAnsi="Arial"/>
          <w:sz w:val="16"/>
          <w:szCs w:val="16"/>
          <w:color w:val="auto"/>
        </w:rPr>
        <w:t xml:space="preserve"> percentile) market levels.</w:t>
      </w:r>
    </w:p>
    <w:p>
      <w:pPr>
        <w:spacing w:after="0" w:line="4"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59"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11"/>
          <w:szCs w:val="11"/>
          <w:color w:val="auto"/>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Performance – In addition to company-wide, business unit and operating unit measures, our programs emphasize individual performance and the achievement of personal objectives.</w:t>
      </w:r>
    </w:p>
    <w:p>
      <w:pPr>
        <w:spacing w:after="0" w:line="50" w:lineRule="exact"/>
        <w:rPr>
          <w:rFonts w:ascii="Arial" w:cs="Arial" w:eastAsia="Arial" w:hAnsi="Arial"/>
          <w:sz w:val="18"/>
          <w:szCs w:val="18"/>
          <w:color w:val="auto"/>
        </w:rPr>
      </w:pPr>
    </w:p>
    <w:p>
      <w:pPr>
        <w:ind w:left="900" w:right="880" w:hanging="446"/>
        <w:spacing w:after="0" w:line="370"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Integrated Approach – We look at compensation in total and strive to achieve an appropriate balance of immediate, annual and long-term compensation components, with the ultimate goal of aligning executive compensation with the creation of long-term stockholder value.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executive compensation program is administered by the Compensation Committee of the Board of Directors (the “Committee”). The role of the Committee is to provide oversight and direction to ensure the establishment of executive compensation programs that are competitive in nature, enable us to attract top talent, and align the interests of our executive officers and our stockholders.</w:t>
      </w:r>
    </w:p>
    <w:p>
      <w:pPr>
        <w:spacing w:after="0" w:line="140"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Committee is supported by our Vice President, Human Resources, and other executive officers as needed or requested, in the design, review and administration of our executive compensation programs. The Committee engages a third party compensation consulting firm to evaluate Board and executive officer compensation, evaluate Company practices in relation to other companies and provide associated recommendations.</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fiscal 2012, the Committee engaged Meridian to evaluate the mix of targeted compensation and the other types of programs that we offer. Meridian was engaged exclusively by the Committee and does not provide other services to the Company or senior management. The Committee sought to evaluate the competitiveness of the compensation package offered to our executives in both form and structure. Meridian’s executive compensation practices analysis included a review of proxy information for the following companies: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Astec Industries Inc.</w:t>
            </w:r>
          </w:p>
        </w:tc>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Michael Baker Corp.</w:t>
            </w:r>
          </w:p>
        </w:tc>
      </w:tr>
      <w:tr>
        <w:trPr>
          <w:trHeight w:val="216"/>
        </w:trPr>
        <w:tc>
          <w:tcPr>
            <w:tcW w:w="4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Columbus McKinnon Corp.</w:t>
            </w:r>
          </w:p>
        </w:tc>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MYR Group Inc.</w:t>
            </w:r>
          </w:p>
        </w:tc>
      </w:tr>
      <w:tr>
        <w:trPr>
          <w:trHeight w:val="216"/>
        </w:trPr>
        <w:tc>
          <w:tcPr>
            <w:tcW w:w="4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Dresser-Rand Group Inc.</w:t>
            </w:r>
          </w:p>
        </w:tc>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Pike Electric Corp.</w:t>
            </w:r>
          </w:p>
        </w:tc>
      </w:tr>
      <w:tr>
        <w:trPr>
          <w:trHeight w:val="216"/>
        </w:trPr>
        <w:tc>
          <w:tcPr>
            <w:tcW w:w="4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Dycom Industries Inc.</w:t>
            </w:r>
          </w:p>
        </w:tc>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Primoris Services Corporation</w:t>
            </w:r>
          </w:p>
        </w:tc>
      </w:tr>
      <w:tr>
        <w:trPr>
          <w:trHeight w:val="216"/>
        </w:trPr>
        <w:tc>
          <w:tcPr>
            <w:tcW w:w="4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Gardner Denver Inc.</w:t>
            </w:r>
          </w:p>
        </w:tc>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Sterling Construction Co. Inc.</w:t>
            </w:r>
          </w:p>
        </w:tc>
      </w:tr>
      <w:tr>
        <w:trPr>
          <w:trHeight w:val="216"/>
        </w:trPr>
        <w:tc>
          <w:tcPr>
            <w:tcW w:w="4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Granite Construction</w:t>
            </w:r>
          </w:p>
        </w:tc>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Team Inc.</w:t>
            </w:r>
          </w:p>
        </w:tc>
      </w:tr>
      <w:tr>
        <w:trPr>
          <w:trHeight w:val="216"/>
        </w:trPr>
        <w:tc>
          <w:tcPr>
            <w:tcW w:w="4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Hill International, Inc.</w:t>
            </w:r>
          </w:p>
        </w:tc>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Tetra Tech Inc.</w:t>
            </w:r>
          </w:p>
        </w:tc>
      </w:tr>
      <w:tr>
        <w:trPr>
          <w:trHeight w:val="216"/>
        </w:trPr>
        <w:tc>
          <w:tcPr>
            <w:tcW w:w="4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Insituform Technologies Inc.</w:t>
            </w:r>
          </w:p>
        </w:tc>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Titan International Inc.</w:t>
            </w:r>
          </w:p>
        </w:tc>
      </w:tr>
      <w:tr>
        <w:trPr>
          <w:trHeight w:val="216"/>
        </w:trPr>
        <w:tc>
          <w:tcPr>
            <w:tcW w:w="4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Layne Christensen Co.</w:t>
            </w:r>
          </w:p>
        </w:tc>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VSE Corporation</w:t>
            </w:r>
          </w:p>
        </w:tc>
      </w:tr>
      <w:tr>
        <w:trPr>
          <w:trHeight w:val="238"/>
        </w:trPr>
        <w:tc>
          <w:tcPr>
            <w:tcW w:w="460" w:type="dxa"/>
            <w:vAlign w:val="bottom"/>
          </w:tcPr>
          <w:p>
            <w:pPr>
              <w:spacing w:after="0"/>
              <w:rPr>
                <w:sz w:val="20"/>
                <w:szCs w:val="20"/>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Mastec Inc.</w:t>
            </w:r>
          </w:p>
        </w:tc>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Willbros Group, Inc.</w:t>
            </w:r>
          </w:p>
        </w:tc>
      </w:tr>
      <w:tr>
        <w:trPr>
          <w:trHeight w:val="376"/>
        </w:trPr>
        <w:tc>
          <w:tcPr>
            <w:tcW w:w="8380" w:type="dxa"/>
            <w:vAlign w:val="bottom"/>
            <w:gridSpan w:val="2"/>
          </w:tcPr>
          <w:p>
            <w:pPr>
              <w:jc w:val="right"/>
              <w:ind w:right="332"/>
              <w:spacing w:after="0"/>
              <w:rPr>
                <w:sz w:val="20"/>
                <w:szCs w:val="20"/>
                <w:color w:val="auto"/>
              </w:rPr>
            </w:pPr>
            <w:r>
              <w:rPr>
                <w:rFonts w:ascii="Arial" w:cs="Arial" w:eastAsia="Arial" w:hAnsi="Arial"/>
                <w:sz w:val="18"/>
                <w:szCs w:val="18"/>
                <w:color w:val="auto"/>
                <w:w w:val="89"/>
              </w:rPr>
              <w:t>Meridian concluded that overall our executive compensation was slightly below the 50</w:t>
            </w:r>
            <w:r>
              <w:rPr>
                <w:rFonts w:ascii="Arial" w:cs="Arial" w:eastAsia="Arial" w:hAnsi="Arial"/>
                <w:sz w:val="11"/>
                <w:szCs w:val="11"/>
                <w:color w:val="auto"/>
                <w:w w:val="89"/>
              </w:rPr>
              <w:t>th</w:t>
            </w:r>
            <w:r>
              <w:rPr>
                <w:rFonts w:ascii="Arial" w:cs="Arial" w:eastAsia="Arial" w:hAnsi="Arial"/>
                <w:sz w:val="18"/>
                <w:szCs w:val="18"/>
                <w:color w:val="auto"/>
                <w:w w:val="89"/>
              </w:rPr>
              <w:t xml:space="preserve"> percentile of the market.</w:t>
            </w:r>
          </w:p>
        </w:tc>
        <w:tc>
          <w:tcPr>
            <w:tcW w:w="2580" w:type="dxa"/>
            <w:vAlign w:val="bottom"/>
          </w:tcPr>
          <w:p>
            <w:pPr>
              <w:spacing w:after="0"/>
              <w:rPr>
                <w:sz w:val="24"/>
                <w:szCs w:val="24"/>
                <w:color w:val="auto"/>
              </w:rPr>
            </w:pPr>
          </w:p>
        </w:tc>
      </w:tr>
      <w:tr>
        <w:trPr>
          <w:trHeight w:val="365"/>
        </w:trPr>
        <w:tc>
          <w:tcPr>
            <w:tcW w:w="8380" w:type="dxa"/>
            <w:vAlign w:val="bottom"/>
            <w:gridSpan w:val="2"/>
          </w:tcPr>
          <w:p>
            <w:pPr>
              <w:jc w:val="right"/>
              <w:ind w:right="2492"/>
              <w:spacing w:after="0"/>
              <w:rPr>
                <w:sz w:val="20"/>
                <w:szCs w:val="20"/>
                <w:color w:val="auto"/>
              </w:rPr>
            </w:pPr>
            <w:r>
              <w:rPr>
                <w:rFonts w:ascii="Arial" w:cs="Arial" w:eastAsia="Arial" w:hAnsi="Arial"/>
                <w:sz w:val="18"/>
                <w:szCs w:val="18"/>
                <w:color w:val="auto"/>
              </w:rPr>
              <w:t>17</w:t>
            </w:r>
          </w:p>
        </w:tc>
        <w:tc>
          <w:tcPr>
            <w:tcW w:w="25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If and when compensation adjustments are required, the CEO considers all relevant information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management present.</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implementing our compensation philosophy, the Committee also compares our CEO’s total compensation to the total compensation of the other executive officers included in the Summary Compensation Table of this proxy statement (collectively, the “Named Executive Officers”) over time.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officers.</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Committee typically reviews base salaries for officers at its regularly-scheduled meeting in August or September. At this meeting, the Committee also reviews and approves incentive payments for the previous fiscal year and establishes incentive targets for the new fiscal year under the short-term incentive plan. Long-term incentive awards are approved by the Committee at a meeting immediately following the annual stockholders meeting each November. The Committee may also approve base pay, short-term incentive and long-term equity incentive grants for executive officers during the year for promotions or new hires.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Elements of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Pay;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Annual/Short-Term Cash Incentive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Incentive Equity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Benefits;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Pay</w:t>
      </w:r>
    </w:p>
    <w:p>
      <w:pPr>
        <w:spacing w:after="0" w:line="9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Base pay is the foundation of our executive compensation package. Our practice in establishing executive base pay, and that for other managers and employees, is to determine the market median or “50</w:t>
      </w:r>
      <w:r>
        <w:rPr>
          <w:rFonts w:ascii="Arial" w:cs="Arial" w:eastAsia="Arial" w:hAnsi="Arial"/>
          <w:sz w:val="10"/>
          <w:szCs w:val="10"/>
          <w:color w:val="auto"/>
        </w:rPr>
        <w:t>th</w:t>
      </w:r>
      <w:r>
        <w:rPr>
          <w:rFonts w:ascii="Arial" w:cs="Arial" w:eastAsia="Arial" w:hAnsi="Arial"/>
          <w:sz w:val="15"/>
          <w:szCs w:val="15"/>
          <w:color w:val="auto"/>
        </w:rPr>
        <w:t xml:space="preserve"> percentile” among comparable companies. This data is obtained through our third party compensation consultant. Base pay is then established based on the Named Executive Officer’s responsibilities, role in the organization, level and type of work experience, and individual job performance. We expect to engage a compensation consultant to review and benchmark competitive market pay data on no less than a bi-annual basis.</w:t>
      </w:r>
    </w:p>
    <w:p>
      <w:pPr>
        <w:spacing w:after="0" w:line="9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utilize a market-based job evaluation system to establish and ensure equitable, competitive pay levels throughout the organization. Salary grades and ranges are established by evaluating positions based on the external market data and internal equity. All of our employees, including the Named Executive Officers, are assigned to a salary grade. Broad ranges of salary are associated with each grade.</w:t>
      </w:r>
    </w:p>
    <w:p>
      <w:pPr>
        <w:spacing w:after="0" w:line="14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Base pay and salary grade also play a factor in determining other short- and long-term incentive compensation awards. Short-term incentive awards are a percentage of base salary and long-term incentives are based on a Named Executive Officer’s salary grade.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Mr. John R. Hewitt was appointed President and Chief Executive Officer of the Company effective May 4, 2011. In connection with his employment, Mr. Hewitt’s annual base salary was set at $500,000. In August 2011, the Committee reviewed Mr. Hewitt’s performance and base salary, in light of the competitive market data provided by Meridian. Based on his excellent performance to date in the CEO role and his compensation relative to the market data, the Committee adjusted Mr. Hewitt’s base salary to $550,000 effective November 1, 2011, which continues to be significantly below the median for the peer group.</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Base pay compensation for our other Named Executive Officers (Joseph F. Montalbano, Kevin S. Cavanah, James P. Ryan and Matthew J. Petrizzo) is administered in line with our established compensation philosophy discussed above. Based upon their individual performance and the market data provided by Meridian, Mr. Hewitt recommended the following adjustments:</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Mr. Montalbano, a base pay increase of 14.3% to $400,050, as his salary was significantly below the median for his position;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Mr. Cavanah, a base pay increase of 10% to $258,500, as his salary was also significantly below the median for his position;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Mr. Ryan, a base pay increase of 3% to $312,399;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Mr. Petrizzo, a base pay increase of 8% to $304,020, as his salary was also below the median for his 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Mr. Hewitt’s recommendations.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annual/short-term incentive compensation plan is designed to offer the opportunity for substantial annual cash incentive awards for delivering outstanding performance.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w:t>
      </w:r>
    </w:p>
    <w:p>
      <w:pPr>
        <w:spacing w:after="0" w:line="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emphasize overall company and business unit performance in the structuring of reward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2012, our annual/short-term incentive targets were established for all of our Named Executive Officers as follows:</w:t>
      </w:r>
    </w:p>
    <w:p>
      <w:pPr>
        <w:spacing w:after="0" w:line="90" w:lineRule="exact"/>
        <w:rPr>
          <w:sz w:val="20"/>
          <w:szCs w:val="20"/>
          <w:color w:val="auto"/>
        </w:rPr>
      </w:pPr>
    </w:p>
    <w:p>
      <w:pPr>
        <w:ind w:left="900" w:right="100" w:hanging="446"/>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base calculation of incentives is tied to objective measures for financial performance and safety performance. Incentives for executive officers below the CEO are recommended by the CEO and reviewed and approved by the Committee, which is free to reject or revise the CEO’s recommendations. Incentive compensation payments to the CEO are determined solely by the Committee in executive session, without management present.</w:t>
      </w:r>
    </w:p>
    <w:p>
      <w:pPr>
        <w:spacing w:after="0" w:line="62"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August 2011, for the fiscal 2012 plan, management recommended and the Committee approved, the continued use of a hurdle rate based on return on sales. At the beginning of each fiscal year, a hurdle rate is established based on a minimum level of pre-incentive operating income that must be earned before any incentives are paid. Once the hurdle rate is earned, the incentive pool will be funded with 25% of each dollar earned above the hurdle rate. If the hurdle rate is not achieved, no incentive payments are made, with the exception of incentive payments related to our safety performance, which are funded irrespective of our achievement of the hurdle rate.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fiscal 2012 financial performance, a consolidated annual income goal was established by the Committee at the August 2011 board meeting.</w:t>
      </w:r>
    </w:p>
    <w:p>
      <w:pPr>
        <w:spacing w:after="0" w:line="113" w:lineRule="exact"/>
        <w:rPr>
          <w:rFonts w:ascii="Arial" w:cs="Arial" w:eastAsia="Arial" w:hAnsi="Arial"/>
          <w:sz w:val="16"/>
          <w:szCs w:val="16"/>
          <w:color w:val="auto"/>
        </w:rPr>
      </w:pPr>
    </w:p>
    <w:p>
      <w:pPr>
        <w:ind w:left="900" w:right="4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incentives for Mr. Hewitt, Mr. Montalbano, and Mr. Cavanah, were tied to our fully diluted earnings per share, or “EPS”. Financial incentives for Mr. Ryan and Mr. Petrizzo were tied both to our EPS and their respective operating company pre-tax, pre-interest, post-incentive income (“Pre-Tax Income”).</w:t>
      </w:r>
    </w:p>
    <w:p>
      <w:pPr>
        <w:spacing w:after="0" w:line="59"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Safety performance targets were established based on our total recordable incident rate, or “TRIR.” The TRIR levels established for fiscal 2012 were 1.20 for Threshold payout, 0.95 for Target payout and 0.70 for Maximum payout. Incentives for Mr. Hewitt, Mr. Montalbano, and Mr. Cavanah, were tied to our consolidated safety performance. Incentives for Mr. Ryan and Mr. Petrizzo were tied to the safety performance of their respective operating companies. Additional safety criteria, including the enhancement of our “zero incident” safety culture were also evaluated.</w:t>
      </w:r>
    </w:p>
    <w:p>
      <w:pPr>
        <w:spacing w:after="0" w:line="31" w:lineRule="exact"/>
        <w:rPr>
          <w:rFonts w:ascii="Arial" w:cs="Arial" w:eastAsia="Arial" w:hAnsi="Arial"/>
          <w:sz w:val="16"/>
          <w:szCs w:val="16"/>
          <w:color w:val="auto"/>
        </w:rPr>
      </w:pPr>
    </w:p>
    <w:p>
      <w:pPr>
        <w:ind w:left="900" w:right="2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Once all targets were established for the Company, “Threshold” and “Maximum” levels of performance were defined. Threshold was defined as 80% of Target and Maximum was defined as 120% of Target. No incentives are paid for performance below the Threshold level.</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actual performance in relation to established measures was presented to, and evaluated by, the Committee at the August 2012 board meeting.</w:t>
      </w:r>
    </w:p>
    <w:p>
      <w:pPr>
        <w:spacing w:after="0" w:line="19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Performance measures established shortly after the beginning of the fiscal year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Short-term incentive compensation payable to the Named Executive Officers for fiscal 2012 was based on the attainment of the following objectives: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Safety:</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TRIR of 0.95 Target; 1.20 Threshold; 0.70 Maximum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 toward building consistency and strengthening the “zero incident” safety culture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Financial:</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fully-diluted EPS of $0.93 Target; $0.74 Threshold; $1.12 Maximum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evaluated actual results in each category against the expected levels of performance: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xml:space="preserve"> In fiscal 2012, we achieved a TRIR of 0.65 and made significant enhancements to our “zero incident” safety culture.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xml:space="preserve"> Our fiscal 2012 fully diluted EPS was $0.65.</w:t>
      </w:r>
    </w:p>
    <w:p>
      <w:pPr>
        <w:spacing w:after="0" w:line="90" w:lineRule="exact"/>
        <w:rPr>
          <w:sz w:val="20"/>
          <w:szCs w:val="20"/>
          <w:color w:val="auto"/>
        </w:rPr>
      </w:pPr>
    </w:p>
    <w:p>
      <w:pPr>
        <w:jc w:val="both"/>
        <w:ind w:right="400"/>
        <w:spacing w:after="0" w:line="370" w:lineRule="auto"/>
        <w:rPr>
          <w:sz w:val="20"/>
          <w:szCs w:val="20"/>
          <w:color w:val="auto"/>
        </w:rPr>
      </w:pPr>
      <w:r>
        <w:rPr>
          <w:rFonts w:ascii="Arial" w:cs="Arial" w:eastAsia="Arial" w:hAnsi="Arial"/>
          <w:sz w:val="15"/>
          <w:szCs w:val="15"/>
          <w:color w:val="auto"/>
        </w:rPr>
        <w:t>For fiscal 2012, the consolidated Company did not achieve the threshold performance level for consolidated EPS but did achieve the maximum performance under the safety metric. Accordingly, for Mr. Hewitt the fiscal 2012 bonus approved by the Committee was $80,000, or 14.6% of his fiscal 2012 base salary.</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Committee approved an incentive payment to Mr. Montalbano of $43,129, or 10.8% of his fiscal 2012 annual base salary. The Committee approved an incentive payment to Mr. Cavanah of $28,200 or 10.9% of his fiscal 2012 annual base salary. Incentive payments to Mr. Montalbano and Mr. Cavanah were based on the consolidated Company achieving a maximum safety award. No incentives were paid on the financial performance objectives.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Committee approved an incentive payment for Mr. Petrizzo of $33,358, which represents 11.0% of his fiscal 2012 annual base salary, for maximum safety performance within his operating company. No incentives were paid on the financial performance objectives. The Committee approved an incentive payment for Mr. Ryan of $67,755, which represents a 21.7% of his annual base salary. The incentive payment to Mr. Ryan was based on threshold level performance under the financial metric and slightly below maximum level performance for the safety metric within his operating company.</w:t>
      </w:r>
    </w:p>
    <w:p>
      <w:pPr>
        <w:spacing w:after="0" w:line="11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our objectives and may be modified, discontinued or replaced based on our changing objectives and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purpose for providing long-term incentive compensation to executive officers is to tie executive rewards directly to the enhancement of long-term stockholder value. Offering the opportunity for executive officers and other key members of management to earn an ownership position in the Company enables us to remain competitive and attract, retain and motivate top executive and management talent. We believe equity ownership helps to create and maintain a long-term perspective among executive officers and provides a direct link to our long-term growth and profitability.</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Committee believes that the use of RSU’s is the most appropriate form of equity to achieve our stated objectives, as it is a full value award that strongly and directly links management and stockholder interests. As a full value award, RSU’s are less dilutive to stockholders, since we are able to issue fewer shares in order to attain the desired level of equity compensation for our executive officers and managers. RSU awards are granted on an annual basis and generally contain both a performance- and a time-based element. Performance criteria link the equity reward to our strategic objectives and stockholder value. Time-based shares promote executive officer/management retention. Specific, individual grants vary by level/role in the organization. The amount of each award corresponds to the respective salary grade for each executive officer and manager.</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Grants made during fiscal 2012 are shown in the Grants of Plan-Based Awards table. Long-term equity awards were granted at the November 2011 Committee meeting following the Company’s 2011 annual stockholders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basis for the November 2011 equity award to executive officers is detailed below:</w:t>
      </w:r>
    </w:p>
    <w:p>
      <w:pPr>
        <w:spacing w:after="0" w:line="90" w:lineRule="exact"/>
        <w:rPr>
          <w:sz w:val="20"/>
          <w:szCs w:val="20"/>
          <w:color w:val="auto"/>
        </w:rPr>
      </w:pPr>
    </w:p>
    <w:p>
      <w:pPr>
        <w:ind w:left="900" w:right="3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August 2011, the Committee engaged Meridian to evaluate equity usage and share ownership guidelines. The Meridian analysis indicated a relatively high annual run rate, due in part to a relatively low number of total shares outstanding, and a limitation on the current number of shares available to grant under the Company’s 2004 Stock Incentive Plan.</w:t>
      </w:r>
    </w:p>
    <w:p>
      <w:pPr>
        <w:spacing w:after="0" w:line="59" w:lineRule="exact"/>
        <w:rPr>
          <w:rFonts w:ascii="Arial" w:cs="Arial" w:eastAsia="Arial" w:hAnsi="Arial"/>
          <w:sz w:val="18"/>
          <w:szCs w:val="18"/>
          <w:color w:val="auto"/>
        </w:rPr>
      </w:pPr>
    </w:p>
    <w:p>
      <w:pPr>
        <w:ind w:left="1920" w:right="360" w:hanging="440"/>
        <w:spacing w:after="0" w:line="268" w:lineRule="auto"/>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Prior to fiscal 2011, RSU awards for the Named Executive Officers were 50% time-based and either 50% performance-based or a combination of performance and market based.</w:t>
      </w:r>
    </w:p>
    <w:p>
      <w:pPr>
        <w:spacing w:after="0" w:line="5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After extensive discussion of a number of possible alternatives, the Committee determined that the fiscal 2012 grant would be comprised of a combination of time-based RSU’s and stock options. The Committee concluded that a combination of time-based RSUs and stock options would best conserve the number of shares available for awards under the Company’s 2004 Stock Incentive Plan. Moreover, although the fiscal 2012 awards did not include a performance-based RSU award, the Committee noted that the stock option awards would only become valuable if the Company’s stock price rises during the term of the option. The Committee expects that it will re-introduce performance-based RSUs as a significant component of the long-term incentive award for fiscal 2013.</w:t>
      </w:r>
    </w:p>
    <w:p>
      <w:pPr>
        <w:spacing w:after="0" w:line="39"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Therefore, for the November 2011 award grant, management proposed and the Committee approved long-term incentive awards to the Named Executive Officers consisting of the following:</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award consisted of 50% time-based RSUs and 50% stock options.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the RSU award, the vesting occurs in equal increments over a period of four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hanging="440"/>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the stock option award, the options cliff vest at the end of a three-year period.</w:t>
      </w:r>
    </w:p>
    <w:p>
      <w:pPr>
        <w:spacing w:after="0" w:line="90" w:lineRule="exact"/>
        <w:rPr>
          <w:rFonts w:ascii="Arial" w:cs="Arial" w:eastAsia="Arial" w:hAnsi="Arial"/>
          <w:sz w:val="18"/>
          <w:szCs w:val="18"/>
          <w:color w:val="auto"/>
        </w:rPr>
      </w:pPr>
    </w:p>
    <w:p>
      <w:pPr>
        <w:ind w:left="900" w:right="180" w:hanging="446"/>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November 2011 meeting, the Committee approved an award for Mr. Hewitt of 88,300 shares, 50% of which (44,150 shares) was time-based RSU’s and 50% of which (44,150 shares) was stock options, with the terms as noted above. However, subsequent to this award, it was determined that Mr. Hewitt should have received a grant of 100% RSU’s per the terms of his initial employment offer. Effective May 1, 2012, the Committee approved the cancellation of the 44,150 stock option award and approved a new award of 44,150 RSU’s, consistent with Mr. Hewitt’s employment offer.</w:t>
      </w:r>
    </w:p>
    <w:p>
      <w:pPr>
        <w:spacing w:after="0" w:line="61" w:lineRule="exact"/>
        <w:rPr>
          <w:rFonts w:ascii="Arial" w:cs="Arial" w:eastAsia="Arial" w:hAnsi="Arial"/>
          <w:sz w:val="18"/>
          <w:szCs w:val="18"/>
          <w:color w:val="auto"/>
        </w:rPr>
      </w:pPr>
    </w:p>
    <w:p>
      <w:pPr>
        <w:ind w:left="1920" w:hanging="440"/>
        <w:spacing w:after="0" w:line="259"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Mr. Montalbano, Mr. Cavanah, Mr. Ryan and Mr. Petrizzo, we followed our standard plan formula for determining the total number of shares to award. The number of RSUs and stock options awarded and the grant date fair values are included in the Grants of Plan-Based Awards Table included in this proxy statement.</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Equity compensation is reviewed and evaluated periodically to ensure that it meets our objectives and may be modified, discontinued or replaced based on the changing objectives and requirements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w:t>
      </w:r>
    </w:p>
    <w:p>
      <w:pPr>
        <w:spacing w:after="0" w:line="4"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u w:val="single" w:color="auto"/>
          <w:color w:val="auto"/>
        </w:rPr>
        <w:t>Retirement Benefits</w:t>
      </w:r>
      <w:r>
        <w:rPr>
          <w:rFonts w:ascii="Arial" w:cs="Arial" w:eastAsia="Arial" w:hAnsi="Arial"/>
          <w:sz w:val="18"/>
          <w:szCs w:val="18"/>
          <w:color w:val="auto"/>
        </w:rPr>
        <w:t xml:space="preserve"> – We sponsor a 401(k) Savings Plan which allows executive officers, and other employees, to contribute up to 25% of their salary (up to the annual IRS maximum). The Company’s Safe Harbor Matching Contribution is a 100% matching contribution on salary deferrals up to the first 3% of compensation and 50% on the next 2% of salary deferrals. All matching contributions are 100% vested. Executive officers participate and receive benefits under the plan in the same manner as all other eligible participants. We do not sponsor or maintain any other pension, deferred compensation or other supplemental retirement plans for executive officers.</w:t>
      </w:r>
    </w:p>
    <w:p>
      <w:pPr>
        <w:spacing w:after="0" w:line="62"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 xml:space="preserve"> – In addition to the group term life policy offered to all eligible employees, we provide additional life insurance to our executive officers, at no cost to the officer.</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CEO</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provides a $500,000 term life insurance policy for the CEO.</w:t>
      </w:r>
    </w:p>
    <w:p>
      <w:pPr>
        <w:spacing w:after="0" w:line="90"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i w:val="1"/>
          <w:iCs w:val="1"/>
          <w:u w:val="single" w:color="auto"/>
          <w:color w:val="auto"/>
        </w:rPr>
        <w:t>Executive Officers and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 We provide an additional corporate term life insurance policy for all executive officers at the levels outlined</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CEO, COO and CFO – $600,000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Other Executive Officers – $400,000</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w:t>
      </w:r>
    </w:p>
    <w:p>
      <w:pPr>
        <w:spacing w:after="0" w:line="9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We have entered into Change of Control/Severance Agreements with each Named Executive Officer.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Clawback Policy</w:t>
      </w:r>
    </w:p>
    <w:p>
      <w:pPr>
        <w:spacing w:after="0" w:line="96"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Consistent with the principles of responsible oversight, the Company’s Board of Directors has adopted a clawback policy, and the Company’s equity award agreements also include a clawback provision. The clawback policy provides that, to the extent permitted by law, if the Board of Directors, with the recommendation of the Committee, determines that:</w:t>
      </w:r>
    </w:p>
    <w:p>
      <w:pPr>
        <w:spacing w:after="0" w:line="59" w:lineRule="exact"/>
        <w:rPr>
          <w:sz w:val="20"/>
          <w:szCs w:val="20"/>
          <w:color w:val="auto"/>
        </w:rPr>
      </w:pPr>
    </w:p>
    <w:p>
      <w:pPr>
        <w:ind w:left="900" w:right="18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an executive officer, and such compensation was based on the achievement of any financial results that were subsequently the subject of any material restatement of our financial statements filed with the SEC;</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executive officer engaged in grossly negligent or intentional misconduct that caused or substantially caused the material restatement;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171"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we will seek to recover from the executive officer such compensation, in whole or in part, as we deem appropriate under the circumstances. The Board of Directors has sole discretion in determining whether an officer’s conduct has or has not met any particular standard of conduct under law or Company policy.</w:t>
      </w:r>
    </w:p>
    <w:p>
      <w:pPr>
        <w:spacing w:after="0" w:line="6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Pursuant to the Dodd-Frank Wall Street Reform and Consumer Protection Act, which was signed into law on July 21, 2010, the SEC was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Program as it Relates to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our compensation policies and practices for both executives and non-executives as they relate to risk and have determined that they are not reasonably likely to have a material adverse effect on the Company. In reaching this conclusion, we considered the various elements of our compensation program that are designed to help mitigate excessive risk taking, including:</w:t>
      </w:r>
    </w:p>
    <w:p>
      <w:pPr>
        <w:spacing w:after="0" w:line="59" w:lineRule="exact"/>
        <w:rPr>
          <w:sz w:val="20"/>
          <w:szCs w:val="20"/>
          <w:color w:val="auto"/>
        </w:rPr>
      </w:pPr>
    </w:p>
    <w:p>
      <w:pPr>
        <w:ind w:left="900" w:right="4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Components of Compensation: We use a mix of compensation elements including base salary, short-term incentives and long-term incentives to avoid placing too much emphasis on any one component of compensation.</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Short-term Incentive: Our short-term incentive compensation plan does not allow for unlimited payouts. Short-term incentive payments cannot exceed 150% of target levels.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Equity Awards: Our long-term incentive awards drive a long-term perspective and vest over a period of three or four years. Our performance-based long-term incentive awards are capped and cannot exceed 150% of target levels.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Committee Oversight: The Committee reviews and administers all awards under short- and long-term incentive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Performance Measures: Our performance goal setting process is aligned with our business strategy and the interests of our stockholders.</w:t>
      </w:r>
    </w:p>
    <w:p>
      <w:pPr>
        <w:spacing w:after="0" w:line="113"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Clawback Policy: We have the ability to recover any excess incentive-based compensation awarded to any of our executive officers as a result of an accounting restatement due to material non-compliance with the reporting requirements under federal securities laws.</w:t>
      </w:r>
    </w:p>
    <w:p>
      <w:pPr>
        <w:spacing w:after="0" w:line="4"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Ownership Guidelines: Our stock ownership guidelines require our senior management to maintain a significant portion of their personal wealth in our common stock for the duration of their employment with our Company.</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compensation program is designed to motivate our Named Executive Officers and other Company officers to achieve business objectives that generate strong stockholder returns and to encourage ethical behaviors.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of Directors believes that our executive officers should demonstrate their commitment to, and belief in, the Company’s long-term profitability. Stock ownership more closely aligns our executive officers’ interests and actions with the interests of the Company’s stockholders. Accordingly, each officer is expected to maintain a significant investment in the Company through the ownership of our common stock. See the discussion under the caption “Equity Ownership Guidelines” for a description of our guidelines.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Compensation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Compensation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Compensation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Compensation Committee Member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COMPENSATION</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tables set forth certain information regarding compensation of the Chief Executive Officer, the Chief Financial Officer and each of the Company’s three other most highly compensated executive officers who were serving as executive officers at the end of fiscal 2012, based on total compensation earned during fiscal 2012, for services in all capacities to the Company and its subsidiaries. Each of the executive officers listed below are referred to collectively as the Named Executive Officers (“NEOs”).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periods presented, the Company experienced the following personnel changes regarding our NEOs:</w:t>
      </w:r>
    </w:p>
    <w:p>
      <w:pPr>
        <w:spacing w:after="0" w:line="90" w:lineRule="exact"/>
        <w:rPr>
          <w:sz w:val="20"/>
          <w:szCs w:val="20"/>
          <w:color w:val="auto"/>
        </w:rPr>
      </w:pPr>
    </w:p>
    <w:p>
      <w:pPr>
        <w:ind w:left="900" w:right="2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December 6, 2010, Kevin S. Cavanah was promoted to serve as Chief Financial Officer. Mr. Cavanah had previously served as Vice President, Accounting and Financial Reporting.</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March 31, 2011, the Company announced that John R. Hewitt had accepted the position as President and Chief Executive Officer. Mr. Hewitt began his employment on May 4,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total compensation in fiscal 2012, 2011, and 2010 for the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Non-Equity</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Deferred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82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Name and</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Option</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All 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99"/>
              </w:rPr>
              <w:t>Salary</w:t>
            </w: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Bonus</w:t>
            </w:r>
          </w:p>
        </w:tc>
        <w:tc>
          <w:tcPr>
            <w:tcW w:w="8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Awards</w:t>
            </w:r>
          </w:p>
        </w:tc>
        <w:tc>
          <w:tcPr>
            <w:tcW w:w="12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2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Earnings</w:t>
            </w:r>
          </w:p>
        </w:tc>
        <w:tc>
          <w:tcPr>
            <w:tcW w:w="13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Principal Position</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40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 (1)</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 (1)</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 (2)</w:t>
            </w: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580" w:type="dxa"/>
            <w:vAlign w:val="bottom"/>
            <w:gridSpan w:val="3"/>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John R. Hewitt</w:t>
            </w: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80" w:type="dxa"/>
            <w:vAlign w:val="bottom"/>
            <w:gridSpan w:val="3"/>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2012</w:t>
            </w:r>
          </w:p>
        </w:tc>
        <w:tc>
          <w:tcPr>
            <w:tcW w:w="36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527,307</w:t>
            </w:r>
          </w:p>
        </w:tc>
        <w:tc>
          <w:tcPr>
            <w:tcW w:w="380" w:type="dxa"/>
            <w:vAlign w:val="bottom"/>
            <w:vMerge w:val="continue"/>
            <w:shd w:val="clear" w:color="auto" w:fill="CCEEFF"/>
          </w:tcPr>
          <w:p>
            <w:pPr>
              <w:spacing w:after="0"/>
              <w:rPr>
                <w:sz w:val="11"/>
                <w:szCs w:val="11"/>
                <w:color w:val="auto"/>
              </w:rPr>
            </w:pPr>
          </w:p>
        </w:tc>
        <w:tc>
          <w:tcPr>
            <w:tcW w:w="400" w:type="dxa"/>
            <w:vAlign w:val="bottom"/>
            <w:shd w:val="clear" w:color="auto" w:fill="CCEEFF"/>
          </w:tcPr>
          <w:p>
            <w:pPr>
              <w:ind w:left="200"/>
              <w:spacing w:after="0" w:line="136" w:lineRule="exact"/>
              <w:rPr>
                <w:sz w:val="20"/>
                <w:szCs w:val="20"/>
                <w:color w:val="auto"/>
              </w:rPr>
            </w:pPr>
            <w:r>
              <w:rPr>
                <w:rFonts w:ascii="Arial" w:cs="Arial" w:eastAsia="Arial" w:hAnsi="Arial"/>
                <w:sz w:val="14"/>
                <w:szCs w:val="14"/>
                <w:color w:val="auto"/>
              </w:rPr>
              <w:t>—</w:t>
            </w:r>
          </w:p>
        </w:tc>
        <w:tc>
          <w:tcPr>
            <w:tcW w:w="50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885,649</w:t>
            </w:r>
          </w:p>
        </w:tc>
        <w:tc>
          <w:tcPr>
            <w:tcW w:w="36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vMerge w:val="continue"/>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80,000</w:t>
            </w:r>
          </w:p>
        </w:tc>
        <w:tc>
          <w:tcPr>
            <w:tcW w:w="380" w:type="dxa"/>
            <w:vAlign w:val="bottom"/>
            <w:vMerge w:val="continue"/>
            <w:shd w:val="clear" w:color="auto" w:fill="CCEEFF"/>
          </w:tcPr>
          <w:p>
            <w:pPr>
              <w:spacing w:after="0"/>
              <w:rPr>
                <w:sz w:val="11"/>
                <w:szCs w:val="11"/>
                <w:color w:val="auto"/>
              </w:rPr>
            </w:pPr>
          </w:p>
        </w:tc>
        <w:tc>
          <w:tcPr>
            <w:tcW w:w="840" w:type="dxa"/>
            <w:vAlign w:val="bottom"/>
            <w:shd w:val="clear" w:color="auto" w:fill="CCEEFF"/>
          </w:tcPr>
          <w:p>
            <w:pPr>
              <w:ind w:left="620"/>
              <w:spacing w:after="0" w:line="136" w:lineRule="exact"/>
              <w:rPr>
                <w:sz w:val="20"/>
                <w:szCs w:val="20"/>
                <w:color w:val="auto"/>
              </w:rPr>
            </w:pPr>
            <w:r>
              <w:rPr>
                <w:rFonts w:ascii="Arial" w:cs="Arial" w:eastAsia="Arial" w:hAnsi="Arial"/>
                <w:sz w:val="14"/>
                <w:szCs w:val="14"/>
                <w:color w:val="auto"/>
              </w:rPr>
              <w:t>—</w:t>
            </w:r>
          </w:p>
        </w:tc>
        <w:tc>
          <w:tcPr>
            <w:tcW w:w="360" w:type="dxa"/>
            <w:vAlign w:val="bottom"/>
            <w:vMerge w:val="continue"/>
            <w:shd w:val="clear" w:color="auto" w:fill="CCEEFF"/>
          </w:tcPr>
          <w:p>
            <w:pPr>
              <w:spacing w:after="0"/>
              <w:rPr>
                <w:sz w:val="11"/>
                <w:szCs w:val="11"/>
                <w:color w:val="auto"/>
              </w:rPr>
            </w:pPr>
          </w:p>
        </w:tc>
        <w:tc>
          <w:tcPr>
            <w:tcW w:w="134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4"/>
                <w:szCs w:val="14"/>
                <w:color w:val="auto"/>
              </w:rPr>
              <w:t>181,782(4)</w:t>
            </w: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1,674,738</w:t>
            </w:r>
          </w:p>
        </w:tc>
        <w:tc>
          <w:tcPr>
            <w:tcW w:w="0" w:type="dxa"/>
            <w:vAlign w:val="bottom"/>
          </w:tcPr>
          <w:p>
            <w:pPr>
              <w:spacing w:after="0"/>
              <w:rPr>
                <w:sz w:val="1"/>
                <w:szCs w:val="1"/>
                <w:color w:val="auto"/>
              </w:rPr>
            </w:pPr>
          </w:p>
        </w:tc>
      </w:tr>
      <w:tr>
        <w:trPr>
          <w:trHeight w:val="149"/>
        </w:trPr>
        <w:tc>
          <w:tcPr>
            <w:tcW w:w="2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2011</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63,462</w:t>
            </w:r>
          </w:p>
        </w:tc>
        <w:tc>
          <w:tcPr>
            <w:tcW w:w="9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50,000(3)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516,000</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56,001</w:t>
            </w: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50,367(5)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735,830</w:t>
            </w:r>
          </w:p>
        </w:tc>
        <w:tc>
          <w:tcPr>
            <w:tcW w:w="0" w:type="dxa"/>
            <w:vAlign w:val="bottom"/>
          </w:tcPr>
          <w:p>
            <w:pPr>
              <w:spacing w:after="0"/>
              <w:rPr>
                <w:sz w:val="1"/>
                <w:szCs w:val="1"/>
                <w:color w:val="auto"/>
              </w:rPr>
            </w:pPr>
          </w:p>
        </w:tc>
      </w:tr>
      <w:tr>
        <w:trPr>
          <w:trHeight w:val="138"/>
        </w:trPr>
        <w:tc>
          <w:tcPr>
            <w:tcW w:w="2580" w:type="dxa"/>
            <w:vAlign w:val="bottom"/>
            <w:gridSpan w:val="3"/>
          </w:tcPr>
          <w:p>
            <w:pPr>
              <w:spacing w:after="0" w:line="138" w:lineRule="exact"/>
              <w:rPr>
                <w:sz w:val="20"/>
                <w:szCs w:val="20"/>
                <w:color w:val="auto"/>
              </w:rPr>
            </w:pPr>
            <w:r>
              <w:rPr>
                <w:rFonts w:ascii="Arial" w:cs="Arial" w:eastAsia="Arial" w:hAnsi="Arial"/>
                <w:sz w:val="14"/>
                <w:szCs w:val="14"/>
                <w:color w:val="auto"/>
              </w:rPr>
              <w:t>Joseph F. Montalbano</w:t>
            </w:r>
          </w:p>
        </w:tc>
        <w:tc>
          <w:tcPr>
            <w:tcW w:w="6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2012</w:t>
            </w:r>
          </w:p>
        </w:tc>
        <w:tc>
          <w:tcPr>
            <w:tcW w:w="360" w:type="dxa"/>
            <w:vAlign w:val="bottom"/>
          </w:tcPr>
          <w:p>
            <w:pPr>
              <w:spacing w:after="0"/>
              <w:rPr>
                <w:sz w:val="11"/>
                <w:szCs w:val="11"/>
                <w:color w:val="auto"/>
              </w:rPr>
            </w:pPr>
          </w:p>
        </w:tc>
        <w:tc>
          <w:tcPr>
            <w:tcW w:w="86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w w:val="90"/>
              </w:rPr>
              <w:t>381,570</w:t>
            </w:r>
          </w:p>
        </w:tc>
        <w:tc>
          <w:tcPr>
            <w:tcW w:w="90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4"/>
              </w:rPr>
              <w:t>207,764</w:t>
            </w:r>
          </w:p>
        </w:tc>
        <w:tc>
          <w:tcPr>
            <w:tcW w:w="360" w:type="dxa"/>
            <w:vAlign w:val="bottom"/>
          </w:tcPr>
          <w:p>
            <w:pPr>
              <w:spacing w:after="0"/>
              <w:rPr>
                <w:sz w:val="11"/>
                <w:szCs w:val="11"/>
                <w:color w:val="auto"/>
              </w:rPr>
            </w:pPr>
          </w:p>
        </w:tc>
        <w:tc>
          <w:tcPr>
            <w:tcW w:w="86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w w:val="90"/>
              </w:rPr>
              <w:t>118,137</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43,129</w:t>
            </w:r>
          </w:p>
        </w:tc>
        <w:tc>
          <w:tcPr>
            <w:tcW w:w="380" w:type="dxa"/>
            <w:vAlign w:val="bottom"/>
          </w:tcPr>
          <w:p>
            <w:pPr>
              <w:spacing w:after="0"/>
              <w:rPr>
                <w:sz w:val="11"/>
                <w:szCs w:val="11"/>
                <w:color w:val="auto"/>
              </w:rPr>
            </w:pPr>
          </w:p>
        </w:tc>
        <w:tc>
          <w:tcPr>
            <w:tcW w:w="1200" w:type="dxa"/>
            <w:vAlign w:val="bottom"/>
            <w:gridSpan w:val="2"/>
          </w:tcPr>
          <w:p>
            <w:pPr>
              <w:ind w:left="620"/>
              <w:spacing w:after="0" w:line="138"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16,661(6)</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767,261</w:t>
            </w:r>
          </w:p>
        </w:tc>
        <w:tc>
          <w:tcPr>
            <w:tcW w:w="0" w:type="dxa"/>
            <w:vAlign w:val="bottom"/>
          </w:tcPr>
          <w:p>
            <w:pPr>
              <w:spacing w:after="0"/>
              <w:rPr>
                <w:sz w:val="1"/>
                <w:szCs w:val="1"/>
                <w:color w:val="auto"/>
              </w:rPr>
            </w:pPr>
          </w:p>
        </w:tc>
      </w:tr>
      <w:tr>
        <w:trPr>
          <w:trHeight w:val="149"/>
        </w:trPr>
        <w:tc>
          <w:tcPr>
            <w:tcW w:w="2580" w:type="dxa"/>
            <w:vAlign w:val="bottom"/>
            <w:gridSpan w:val="3"/>
          </w:tcPr>
          <w:p>
            <w:pPr>
              <w:spacing w:after="0" w:line="149" w:lineRule="exact"/>
              <w:rPr>
                <w:sz w:val="20"/>
                <w:szCs w:val="20"/>
                <w:color w:val="auto"/>
              </w:rPr>
            </w:pPr>
            <w:r>
              <w:rPr>
                <w:rFonts w:ascii="Arial" w:cs="Arial" w:eastAsia="Arial" w:hAnsi="Arial"/>
                <w:sz w:val="14"/>
                <w:szCs w:val="14"/>
                <w:color w:val="auto"/>
              </w:rPr>
              <w:t>Chief Operating Officer</w:t>
            </w: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2011</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350,000</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330,560</w:t>
            </w:r>
          </w:p>
        </w:tc>
        <w:tc>
          <w:tcPr>
            <w:tcW w:w="36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175,346</w:t>
            </w:r>
          </w:p>
        </w:tc>
        <w:tc>
          <w:tcPr>
            <w:tcW w:w="380" w:type="dxa"/>
            <w:vAlign w:val="bottom"/>
          </w:tcPr>
          <w:p>
            <w:pPr>
              <w:spacing w:after="0"/>
              <w:rPr>
                <w:sz w:val="12"/>
                <w:szCs w:val="12"/>
                <w:color w:val="auto"/>
              </w:rPr>
            </w:pPr>
          </w:p>
        </w:tc>
        <w:tc>
          <w:tcPr>
            <w:tcW w:w="12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13,809(6)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869,715</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3"/>
                <w:szCs w:val="13"/>
                <w:color w:val="auto"/>
              </w:rPr>
            </w:pPr>
          </w:p>
        </w:tc>
        <w:tc>
          <w:tcPr>
            <w:tcW w:w="8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0"/>
              </w:rPr>
              <w:t>343,269</w:t>
            </w:r>
          </w:p>
        </w:tc>
        <w:tc>
          <w:tcPr>
            <w:tcW w:w="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280,800</w:t>
            </w:r>
          </w:p>
        </w:tc>
        <w:tc>
          <w:tcPr>
            <w:tcW w:w="360" w:type="dxa"/>
            <w:vAlign w:val="bottom"/>
          </w:tcPr>
          <w:p>
            <w:pPr>
              <w:spacing w:after="0"/>
              <w:rPr>
                <w:sz w:val="13"/>
                <w:szCs w:val="13"/>
                <w:color w:val="auto"/>
              </w:rPr>
            </w:pPr>
          </w:p>
        </w:tc>
        <w:tc>
          <w:tcPr>
            <w:tcW w:w="86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175,000</w:t>
            </w:r>
          </w:p>
        </w:tc>
        <w:tc>
          <w:tcPr>
            <w:tcW w:w="380" w:type="dxa"/>
            <w:vAlign w:val="bottom"/>
          </w:tcPr>
          <w:p>
            <w:pPr>
              <w:spacing w:after="0"/>
              <w:rPr>
                <w:sz w:val="13"/>
                <w:szCs w:val="13"/>
                <w:color w:val="auto"/>
              </w:rPr>
            </w:pPr>
          </w:p>
        </w:tc>
        <w:tc>
          <w:tcPr>
            <w:tcW w:w="120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25,717(6)</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824,786</w:t>
            </w:r>
          </w:p>
        </w:tc>
        <w:tc>
          <w:tcPr>
            <w:tcW w:w="0" w:type="dxa"/>
            <w:vAlign w:val="bottom"/>
          </w:tcPr>
          <w:p>
            <w:pPr>
              <w:spacing w:after="0"/>
              <w:rPr>
                <w:sz w:val="1"/>
                <w:szCs w:val="1"/>
                <w:color w:val="auto"/>
              </w:rPr>
            </w:pPr>
          </w:p>
        </w:tc>
      </w:tr>
      <w:tr>
        <w:trPr>
          <w:trHeight w:val="149"/>
        </w:trPr>
        <w:tc>
          <w:tcPr>
            <w:tcW w:w="2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Kevin S. Cavanah</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0"/>
              </w:rPr>
              <w:t>249,823</w:t>
            </w:r>
          </w:p>
        </w:tc>
        <w:tc>
          <w:tcPr>
            <w:tcW w:w="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166,310</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94,566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28,200</w:t>
            </w: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14,048(6)</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552,947</w:t>
            </w:r>
          </w:p>
        </w:tc>
        <w:tc>
          <w:tcPr>
            <w:tcW w:w="0" w:type="dxa"/>
            <w:vAlign w:val="bottom"/>
          </w:tcPr>
          <w:p>
            <w:pPr>
              <w:spacing w:after="0"/>
              <w:rPr>
                <w:sz w:val="1"/>
                <w:szCs w:val="1"/>
                <w:color w:val="auto"/>
              </w:rPr>
            </w:pPr>
          </w:p>
        </w:tc>
      </w:tr>
      <w:tr>
        <w:trPr>
          <w:trHeight w:val="149"/>
        </w:trPr>
        <w:tc>
          <w:tcPr>
            <w:tcW w:w="2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Financial Officer</w:t>
            </w: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2011</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0"/>
              </w:rPr>
              <w:t>213,896</w:t>
            </w:r>
          </w:p>
        </w:tc>
        <w:tc>
          <w:tcPr>
            <w:tcW w:w="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245,410</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100,250</w:t>
            </w: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9,587(6)</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569,143</w:t>
            </w:r>
          </w:p>
        </w:tc>
        <w:tc>
          <w:tcPr>
            <w:tcW w:w="0" w:type="dxa"/>
            <w:vAlign w:val="bottom"/>
          </w:tcPr>
          <w:p>
            <w:pPr>
              <w:spacing w:after="0"/>
              <w:rPr>
                <w:sz w:val="1"/>
                <w:szCs w:val="1"/>
                <w:color w:val="auto"/>
              </w:rPr>
            </w:pPr>
          </w:p>
        </w:tc>
      </w:tr>
      <w:tr>
        <w:trPr>
          <w:trHeight w:val="138"/>
        </w:trPr>
        <w:tc>
          <w:tcPr>
            <w:tcW w:w="2580" w:type="dxa"/>
            <w:vAlign w:val="bottom"/>
            <w:gridSpan w:val="3"/>
          </w:tcPr>
          <w:p>
            <w:pPr>
              <w:spacing w:after="0" w:line="138" w:lineRule="exact"/>
              <w:rPr>
                <w:sz w:val="20"/>
                <w:szCs w:val="20"/>
                <w:color w:val="auto"/>
              </w:rPr>
            </w:pPr>
            <w:r>
              <w:rPr>
                <w:rFonts w:ascii="Arial" w:cs="Arial" w:eastAsia="Arial" w:hAnsi="Arial"/>
                <w:sz w:val="14"/>
                <w:szCs w:val="14"/>
                <w:color w:val="auto"/>
              </w:rPr>
              <w:t>Matthew J. Petrizzo</w:t>
            </w:r>
          </w:p>
        </w:tc>
        <w:tc>
          <w:tcPr>
            <w:tcW w:w="6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2012</w:t>
            </w:r>
          </w:p>
        </w:tc>
        <w:tc>
          <w:tcPr>
            <w:tcW w:w="360" w:type="dxa"/>
            <w:vAlign w:val="bottom"/>
          </w:tcPr>
          <w:p>
            <w:pPr>
              <w:spacing w:after="0"/>
              <w:rPr>
                <w:sz w:val="11"/>
                <w:szCs w:val="11"/>
                <w:color w:val="auto"/>
              </w:rPr>
            </w:pPr>
          </w:p>
        </w:tc>
        <w:tc>
          <w:tcPr>
            <w:tcW w:w="86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w w:val="90"/>
              </w:rPr>
              <w:t>295,705</w:t>
            </w:r>
          </w:p>
        </w:tc>
        <w:tc>
          <w:tcPr>
            <w:tcW w:w="90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4"/>
              </w:rPr>
              <w:t>153,972</w:t>
            </w:r>
          </w:p>
        </w:tc>
        <w:tc>
          <w:tcPr>
            <w:tcW w:w="360" w:type="dxa"/>
            <w:vAlign w:val="bottom"/>
          </w:tcPr>
          <w:p>
            <w:pPr>
              <w:spacing w:after="0"/>
              <w:rPr>
                <w:sz w:val="11"/>
                <w:szCs w:val="11"/>
                <w:color w:val="auto"/>
              </w:rPr>
            </w:pPr>
          </w:p>
        </w:tc>
        <w:tc>
          <w:tcPr>
            <w:tcW w:w="86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87,550</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33,358</w:t>
            </w:r>
          </w:p>
        </w:tc>
        <w:tc>
          <w:tcPr>
            <w:tcW w:w="380" w:type="dxa"/>
            <w:vAlign w:val="bottom"/>
          </w:tcPr>
          <w:p>
            <w:pPr>
              <w:spacing w:after="0"/>
              <w:rPr>
                <w:sz w:val="11"/>
                <w:szCs w:val="11"/>
                <w:color w:val="auto"/>
              </w:rPr>
            </w:pPr>
          </w:p>
        </w:tc>
        <w:tc>
          <w:tcPr>
            <w:tcW w:w="1200" w:type="dxa"/>
            <w:vAlign w:val="bottom"/>
            <w:gridSpan w:val="2"/>
          </w:tcPr>
          <w:p>
            <w:pPr>
              <w:ind w:left="620"/>
              <w:spacing w:after="0" w:line="138"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12,671(6)</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583,256</w:t>
            </w:r>
          </w:p>
        </w:tc>
        <w:tc>
          <w:tcPr>
            <w:tcW w:w="0" w:type="dxa"/>
            <w:vAlign w:val="bottom"/>
          </w:tcPr>
          <w:p>
            <w:pPr>
              <w:spacing w:after="0"/>
              <w:rPr>
                <w:sz w:val="1"/>
                <w:szCs w:val="1"/>
                <w:color w:val="auto"/>
              </w:rPr>
            </w:pPr>
          </w:p>
        </w:tc>
      </w:tr>
      <w:tr>
        <w:trPr>
          <w:trHeight w:val="149"/>
        </w:trPr>
        <w:tc>
          <w:tcPr>
            <w:tcW w:w="2580" w:type="dxa"/>
            <w:vAlign w:val="bottom"/>
            <w:gridSpan w:val="3"/>
          </w:tcPr>
          <w:p>
            <w:pPr>
              <w:spacing w:after="0" w:line="149" w:lineRule="exact"/>
              <w:rPr>
                <w:sz w:val="20"/>
                <w:szCs w:val="20"/>
                <w:color w:val="auto"/>
              </w:rPr>
            </w:pPr>
            <w:r>
              <w:rPr>
                <w:rFonts w:ascii="Arial" w:cs="Arial" w:eastAsia="Arial" w:hAnsi="Arial"/>
                <w:sz w:val="14"/>
                <w:szCs w:val="14"/>
                <w:color w:val="auto"/>
              </w:rPr>
              <w:t>President—Matrix SME</w:t>
            </w: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2011</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275,788</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258,250</w:t>
            </w:r>
          </w:p>
        </w:tc>
        <w:tc>
          <w:tcPr>
            <w:tcW w:w="36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109,167</w:t>
            </w:r>
          </w:p>
        </w:tc>
        <w:tc>
          <w:tcPr>
            <w:tcW w:w="380" w:type="dxa"/>
            <w:vAlign w:val="bottom"/>
          </w:tcPr>
          <w:p>
            <w:pPr>
              <w:spacing w:after="0"/>
              <w:rPr>
                <w:sz w:val="12"/>
                <w:szCs w:val="12"/>
                <w:color w:val="auto"/>
              </w:rPr>
            </w:pPr>
          </w:p>
        </w:tc>
        <w:tc>
          <w:tcPr>
            <w:tcW w:w="12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10,915(6)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654,120</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3"/>
                <w:szCs w:val="13"/>
                <w:color w:val="auto"/>
              </w:rPr>
            </w:pPr>
          </w:p>
        </w:tc>
        <w:tc>
          <w:tcPr>
            <w:tcW w:w="8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0"/>
              </w:rPr>
              <w:t>256,846</w:t>
            </w:r>
          </w:p>
        </w:tc>
        <w:tc>
          <w:tcPr>
            <w:tcW w:w="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216,280</w:t>
            </w:r>
          </w:p>
        </w:tc>
        <w:tc>
          <w:tcPr>
            <w:tcW w:w="360" w:type="dxa"/>
            <w:vAlign w:val="bottom"/>
          </w:tcPr>
          <w:p>
            <w:pPr>
              <w:spacing w:after="0"/>
              <w:rPr>
                <w:sz w:val="13"/>
                <w:szCs w:val="13"/>
                <w:color w:val="auto"/>
              </w:rPr>
            </w:pPr>
          </w:p>
        </w:tc>
        <w:tc>
          <w:tcPr>
            <w:tcW w:w="86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23,035(6)</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496,161</w:t>
            </w:r>
          </w:p>
        </w:tc>
        <w:tc>
          <w:tcPr>
            <w:tcW w:w="0" w:type="dxa"/>
            <w:vAlign w:val="bottom"/>
          </w:tcPr>
          <w:p>
            <w:pPr>
              <w:spacing w:after="0"/>
              <w:rPr>
                <w:sz w:val="1"/>
                <w:szCs w:val="1"/>
                <w:color w:val="auto"/>
              </w:rPr>
            </w:pPr>
          </w:p>
        </w:tc>
      </w:tr>
      <w:tr>
        <w:trPr>
          <w:trHeight w:val="149"/>
        </w:trPr>
        <w:tc>
          <w:tcPr>
            <w:tcW w:w="2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0"/>
              </w:rPr>
              <w:t>309,074</w:t>
            </w:r>
          </w:p>
        </w:tc>
        <w:tc>
          <w:tcPr>
            <w:tcW w:w="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167,297</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95,127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67,755</w:t>
            </w: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13,112(6)</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652,365</w:t>
            </w:r>
          </w:p>
        </w:tc>
        <w:tc>
          <w:tcPr>
            <w:tcW w:w="0" w:type="dxa"/>
            <w:vAlign w:val="bottom"/>
          </w:tcPr>
          <w:p>
            <w:pPr>
              <w:spacing w:after="0"/>
              <w:rPr>
                <w:sz w:val="1"/>
                <w:szCs w:val="1"/>
                <w:color w:val="auto"/>
              </w:rPr>
            </w:pPr>
          </w:p>
        </w:tc>
      </w:tr>
      <w:tr>
        <w:trPr>
          <w:trHeight w:val="149"/>
        </w:trPr>
        <w:tc>
          <w:tcPr>
            <w:tcW w:w="2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President—Matrix Service</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2011</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0"/>
              </w:rPr>
              <w:t>303,300</w:t>
            </w:r>
          </w:p>
        </w:tc>
        <w:tc>
          <w:tcPr>
            <w:tcW w:w="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227,260</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98,156</w:t>
            </w: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11,907(6)</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640,623</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0"/>
              </w:rPr>
              <w:t>293,968</w:t>
            </w:r>
          </w:p>
        </w:tc>
        <w:tc>
          <w:tcPr>
            <w:tcW w:w="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198,560</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22,920(6)</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515,448</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60" w:hanging="344"/>
        <w:spacing w:after="0" w:line="230"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the period determined in accordance with ASC718 – Compensation – Stock Compensation. A portion of the awards that were granted in fiscal 2010 are subject to certain performance or market conditions and the grant date fair value is based upon the probable outcome of those conditions. All fiscal 2012 and 2011 awards are time based with a fixed payout. The value of the fiscal 2010 awards at the grant date assuming that the highest level of performance conditions are achieved is $329,760 for Mr. Montalbano, $253,000 for Mr. Petrizzo and $231,200 for Mr. Ryan.</w:t>
      </w:r>
    </w:p>
    <w:p>
      <w:pPr>
        <w:spacing w:after="0" w:line="125" w:lineRule="exact"/>
        <w:rPr>
          <w:rFonts w:ascii="Arial" w:cs="Arial" w:eastAsia="Arial" w:hAnsi="Arial"/>
          <w:sz w:val="14"/>
          <w:szCs w:val="14"/>
          <w:color w:val="auto"/>
        </w:rPr>
      </w:pPr>
    </w:p>
    <w:p>
      <w:pPr>
        <w:ind w:left="460" w:right="160"/>
        <w:spacing w:after="0" w:line="239" w:lineRule="auto"/>
        <w:rPr>
          <w:rFonts w:ascii="Arial" w:cs="Arial" w:eastAsia="Arial" w:hAnsi="Arial"/>
          <w:sz w:val="14"/>
          <w:szCs w:val="14"/>
          <w:color w:val="auto"/>
        </w:rPr>
      </w:pPr>
      <w:r>
        <w:rPr>
          <w:rFonts w:ascii="Arial" w:cs="Arial" w:eastAsia="Arial" w:hAnsi="Arial"/>
          <w:sz w:val="14"/>
          <w:szCs w:val="14"/>
          <w:color w:val="auto"/>
        </w:rPr>
        <w:t>For further information on the assumptions used in the valuation of these awards see Note 1 and Note 11 included in the Notes to Consolidated Financial Statements included in our fiscal 2012 Annual Report on Form 10-K.</w:t>
      </w:r>
    </w:p>
    <w:p>
      <w:pPr>
        <w:spacing w:after="0" w:line="57" w:lineRule="exact"/>
        <w:rPr>
          <w:rFonts w:ascii="Arial" w:cs="Arial" w:eastAsia="Arial" w:hAnsi="Arial"/>
          <w:sz w:val="14"/>
          <w:szCs w:val="14"/>
          <w:color w:val="auto"/>
        </w:rPr>
      </w:pPr>
    </w:p>
    <w:p>
      <w:pPr>
        <w:ind w:left="460" w:right="60" w:hanging="344"/>
        <w:spacing w:after="0" w:line="239"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amounts payable to Named Executive Officers under the annual/short-term incentive compensation plan for the applicable fiscal year performance. The amount payable to Mr. Montalbano in fiscal 2010 was guaranteed upon his hire in fiscal 2008.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right="200"/>
        <w:spacing w:after="0" w:line="239" w:lineRule="auto"/>
        <w:rPr>
          <w:sz w:val="20"/>
          <w:szCs w:val="20"/>
          <w:color w:val="auto"/>
        </w:rPr>
      </w:pPr>
      <w:r>
        <w:rPr>
          <w:rFonts w:ascii="Arial" w:cs="Arial" w:eastAsia="Arial" w:hAnsi="Arial"/>
          <w:sz w:val="14"/>
          <w:szCs w:val="14"/>
          <w:color w:val="auto"/>
        </w:rPr>
        <w:t>Company agreed to credit Mr. Hewitt with three months of service for the purpose of determining the prorated amount earned under the short-term incentive compensation plan in fiscal 2011 upon his hire on May 4, 2011.</w:t>
      </w:r>
    </w:p>
    <w:p>
      <w:pPr>
        <w:spacing w:after="0" w:line="58" w:lineRule="exact"/>
        <w:rPr>
          <w:sz w:val="20"/>
          <w:szCs w:val="20"/>
          <w:color w:val="auto"/>
        </w:rPr>
      </w:pPr>
    </w:p>
    <w:p>
      <w:pPr>
        <w:ind w:left="460" w:hanging="344"/>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 shown represents a sign-on bonus paid to Mr. Hewitt upon initial employment with us.</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amounts paid by us on behalf of Mr. Hewitt for life and disability insurance, matching contributions to Mr. Hewitt’s 401(k) account, and moving expenses totaling $166,139.</w:t>
      </w:r>
    </w:p>
    <w:p>
      <w:pPr>
        <w:spacing w:after="0" w:line="91" w:lineRule="exact"/>
        <w:rPr>
          <w:rFonts w:ascii="Arial" w:cs="Arial" w:eastAsia="Arial" w:hAnsi="Arial"/>
          <w:sz w:val="12"/>
          <w:szCs w:val="12"/>
          <w:color w:val="auto"/>
        </w:rPr>
      </w:pPr>
    </w:p>
    <w:p>
      <w:pPr>
        <w:ind w:left="460" w:hanging="344"/>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amount paid by us on behalf of Mr. Hewitt for life and disability insurance as well as moving expenses totaling $50,309.</w:t>
      </w:r>
    </w:p>
    <w:p>
      <w:pPr>
        <w:spacing w:after="0" w:line="68" w:lineRule="exact"/>
        <w:rPr>
          <w:rFonts w:ascii="Arial" w:cs="Arial" w:eastAsia="Arial" w:hAnsi="Arial"/>
          <w:sz w:val="14"/>
          <w:szCs w:val="14"/>
          <w:color w:val="auto"/>
        </w:rPr>
      </w:pPr>
    </w:p>
    <w:p>
      <w:pPr>
        <w:ind w:left="460" w:right="20" w:hanging="344"/>
        <w:spacing w:after="0" w:line="239" w:lineRule="auto"/>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for life insurance and disability premiums and matching contributions to the Named Executive Officer’s account in our qualified 401(k) plan.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Fiscal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grants of plan-based awards in fiscal 2012 to the Named Executive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60" w:type="dxa"/>
            <w:vAlign w:val="bottom"/>
            <w:tcBorders>
              <w:top w:val="single" w:sz="8" w:color="auto"/>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Estimated Possible Payouts under</w:t>
            </w:r>
          </w:p>
        </w:tc>
        <w:tc>
          <w:tcPr>
            <w:tcW w:w="2260" w:type="dxa"/>
            <w:vAlign w:val="bottom"/>
            <w:tcBorders>
              <w:top w:val="single" w:sz="8" w:color="auto"/>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Non-equity Incentive Plan</w:t>
            </w:r>
          </w:p>
        </w:tc>
        <w:tc>
          <w:tcPr>
            <w:tcW w:w="226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under Equity Incentive Plan</w:t>
            </w: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5"/>
        </w:trPr>
        <w:tc>
          <w:tcPr>
            <w:tcW w:w="19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 (1)</w:t>
            </w:r>
          </w:p>
        </w:tc>
        <w:tc>
          <w:tcPr>
            <w:tcW w:w="7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8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30"/>
        </w:trPr>
        <w:tc>
          <w:tcPr>
            <w:tcW w:w="1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60" w:type="dxa"/>
            <w:vAlign w:val="bottom"/>
          </w:tcPr>
          <w:p>
            <w:pPr>
              <w:jc w:val="center"/>
              <w:ind w:left="52"/>
              <w:spacing w:after="0" w:line="130" w:lineRule="exact"/>
              <w:rPr>
                <w:sz w:val="20"/>
                <w:szCs w:val="20"/>
                <w:color w:val="auto"/>
              </w:rPr>
            </w:pPr>
            <w:r>
              <w:rPr>
                <w:rFonts w:ascii="Arial" w:cs="Arial" w:eastAsia="Arial" w:hAnsi="Arial"/>
                <w:sz w:val="14"/>
                <w:szCs w:val="14"/>
                <w:b w:val="1"/>
                <w:bCs w:val="1"/>
                <w:color w:val="auto"/>
              </w:rPr>
              <w:t>All</w:t>
            </w: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Other</w:t>
            </w: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3"/>
              </w:rPr>
              <w:t>Stock</w:t>
            </w: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1"/>
              </w:rPr>
              <w:t>All Other</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spacing w:after="0"/>
              <w:rPr>
                <w:sz w:val="12"/>
                <w:szCs w:val="12"/>
                <w:color w:val="auto"/>
              </w:rPr>
            </w:pP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Number</w:t>
            </w:r>
          </w:p>
        </w:tc>
        <w:tc>
          <w:tcPr>
            <w:tcW w:w="10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6"/>
              </w:rPr>
              <w:t>Awards: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49"/>
        </w:trPr>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90"/>
              </w:rPr>
              <w:t>of</w:t>
            </w: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49"/>
        </w:trPr>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79"/>
              </w:rPr>
              <w:t>shares</w:t>
            </w:r>
          </w:p>
        </w:tc>
        <w:tc>
          <w:tcPr>
            <w:tcW w:w="10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Securities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of Stock</w:t>
            </w: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Underlying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149"/>
        </w:trPr>
        <w:tc>
          <w:tcPr>
            <w:tcW w:w="194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Approval</w:t>
            </w:r>
          </w:p>
        </w:tc>
        <w:tc>
          <w:tcPr>
            <w:tcW w:w="680" w:type="dxa"/>
            <w:vAlign w:val="bottom"/>
            <w:tcBorders>
              <w:right w:val="single" w:sz="8" w:color="auto"/>
            </w:tcBorders>
          </w:tcPr>
          <w:p>
            <w:pPr>
              <w:jc w:val="right"/>
              <w:ind w:right="132"/>
              <w:spacing w:after="0" w:line="149" w:lineRule="exact"/>
              <w:rPr>
                <w:sz w:val="20"/>
                <w:szCs w:val="20"/>
                <w:color w:val="auto"/>
              </w:rPr>
            </w:pPr>
            <w:r>
              <w:rPr>
                <w:rFonts w:ascii="Arial" w:cs="Arial" w:eastAsia="Arial" w:hAnsi="Arial"/>
                <w:sz w:val="14"/>
                <w:szCs w:val="14"/>
                <w:b w:val="1"/>
                <w:bCs w:val="1"/>
                <w:color w:val="auto"/>
              </w:rPr>
              <w:t>Grant</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Threshold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Target</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Maximum</w:t>
            </w:r>
          </w:p>
        </w:tc>
        <w:tc>
          <w:tcPr>
            <w:tcW w:w="8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7"/>
              </w:rPr>
              <w:t>Threshold</w:t>
            </w:r>
          </w:p>
        </w:tc>
        <w:tc>
          <w:tcPr>
            <w:tcW w:w="6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Target</w:t>
            </w:r>
          </w:p>
        </w:tc>
        <w:tc>
          <w:tcPr>
            <w:tcW w:w="8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Maximum</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or Units</w:t>
            </w: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Options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75"/>
        </w:trPr>
        <w:tc>
          <w:tcPr>
            <w:tcW w:w="19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Name</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Date</w:t>
            </w:r>
          </w:p>
        </w:tc>
        <w:tc>
          <w:tcPr>
            <w:tcW w:w="680" w:type="dxa"/>
            <w:vAlign w:val="bottom"/>
            <w:tcBorders>
              <w:bottom w:val="single" w:sz="8" w:color="auto"/>
              <w:right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Date</w:t>
            </w: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 (2)</w:t>
            </w: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 (3)</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w:t>
            </w: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(4)</w:t>
            </w:r>
          </w:p>
        </w:tc>
      </w:tr>
      <w:tr>
        <w:trPr>
          <w:trHeight w:val="142"/>
        </w:trPr>
        <w:tc>
          <w:tcPr>
            <w:tcW w:w="1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John R. Hewitt</w:t>
            </w:r>
          </w:p>
        </w:tc>
        <w:tc>
          <w:tcPr>
            <w:tcW w:w="8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8/30/11</w:t>
            </w:r>
          </w:p>
        </w:tc>
        <w:tc>
          <w:tcPr>
            <w:tcW w:w="68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266,667</w:t>
            </w:r>
          </w:p>
        </w:tc>
        <w:tc>
          <w:tcPr>
            <w:tcW w:w="7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400,001</w:t>
            </w:r>
          </w:p>
        </w:tc>
        <w:tc>
          <w:tcPr>
            <w:tcW w:w="780" w:type="dxa"/>
            <w:vAlign w:val="bottom"/>
            <w:tcBorders>
              <w:right w:val="single" w:sz="8" w:color="CCEEFF"/>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533,334</w:t>
            </w:r>
          </w:p>
        </w:tc>
        <w:tc>
          <w:tcPr>
            <w:tcW w:w="840" w:type="dxa"/>
            <w:vAlign w:val="bottom"/>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58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ind w:left="112"/>
              <w:spacing w:after="0" w:line="142" w:lineRule="exact"/>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w:t>
            </w:r>
          </w:p>
        </w:tc>
      </w:tr>
      <w:tr>
        <w:trPr>
          <w:trHeight w:val="149"/>
        </w:trPr>
        <w:tc>
          <w:tcPr>
            <w:tcW w:w="19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11/17/11</w:t>
            </w:r>
          </w:p>
        </w:tc>
        <w:tc>
          <w:tcPr>
            <w:tcW w:w="680" w:type="dxa"/>
            <w:vAlign w:val="bottom"/>
            <w:tcBorders>
              <w:righ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11/17/11</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44,150</w:t>
            </w:r>
          </w:p>
        </w:tc>
        <w:tc>
          <w:tcPr>
            <w:tcW w:w="10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 (5)</w:t>
            </w:r>
          </w:p>
        </w:tc>
        <w:tc>
          <w:tcPr>
            <w:tcW w:w="72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1"/>
              </w:rPr>
              <w:t>435,760(5)</w:t>
            </w:r>
          </w:p>
        </w:tc>
      </w:tr>
      <w:tr>
        <w:trPr>
          <w:trHeight w:val="149"/>
        </w:trPr>
        <w:tc>
          <w:tcPr>
            <w:tcW w:w="19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5/01/12</w:t>
            </w:r>
          </w:p>
        </w:tc>
        <w:tc>
          <w:tcPr>
            <w:tcW w:w="680" w:type="dxa"/>
            <w:vAlign w:val="bottom"/>
            <w:tcBorders>
              <w:righ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5/01/12</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44,150</w:t>
            </w:r>
          </w:p>
        </w:tc>
        <w:tc>
          <w:tcPr>
            <w:tcW w:w="10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449,889</w:t>
            </w:r>
          </w:p>
        </w:tc>
      </w:tr>
      <w:tr>
        <w:trPr>
          <w:trHeight w:val="138"/>
        </w:trPr>
        <w:tc>
          <w:tcPr>
            <w:tcW w:w="1940" w:type="dxa"/>
            <w:vAlign w:val="bottom"/>
          </w:tcPr>
          <w:p>
            <w:pPr>
              <w:spacing w:after="0" w:line="138" w:lineRule="exact"/>
              <w:rPr>
                <w:sz w:val="20"/>
                <w:szCs w:val="20"/>
                <w:color w:val="auto"/>
              </w:rPr>
            </w:pPr>
            <w:r>
              <w:rPr>
                <w:rFonts w:ascii="Arial" w:cs="Arial" w:eastAsia="Arial" w:hAnsi="Arial"/>
                <w:sz w:val="14"/>
                <w:szCs w:val="14"/>
                <w:color w:val="auto"/>
              </w:rPr>
              <w:t>Joseph F. Montalbano</w:t>
            </w:r>
          </w:p>
        </w:tc>
        <w:tc>
          <w:tcPr>
            <w:tcW w:w="8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8/30/11</w:t>
            </w:r>
          </w:p>
        </w:tc>
        <w:tc>
          <w:tcPr>
            <w:tcW w:w="6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95,842</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6"/>
              </w:rPr>
              <w:t>191,684</w:t>
            </w:r>
          </w:p>
        </w:tc>
        <w:tc>
          <w:tcPr>
            <w:tcW w:w="7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287,525</w:t>
            </w:r>
          </w:p>
        </w:tc>
        <w:tc>
          <w:tcPr>
            <w:tcW w:w="840" w:type="dxa"/>
            <w:vAlign w:val="bottom"/>
          </w:tcPr>
          <w:p>
            <w:pPr>
              <w:ind w:left="56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ind w:left="500"/>
              <w:spacing w:after="0" w:line="13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w:t>
            </w:r>
          </w:p>
        </w:tc>
        <w:tc>
          <w:tcPr>
            <w:tcW w:w="1060" w:type="dxa"/>
            <w:vAlign w:val="bottom"/>
          </w:tcPr>
          <w:p>
            <w:pPr>
              <w:ind w:left="580"/>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9"/>
              </w:rPr>
              <w:t>—</w:t>
            </w:r>
          </w:p>
        </w:tc>
        <w:tc>
          <w:tcPr>
            <w:tcW w:w="800" w:type="dxa"/>
            <w:vAlign w:val="bottom"/>
          </w:tcPr>
          <w:p>
            <w:pPr>
              <w:jc w:val="right"/>
              <w:ind w:right="212"/>
              <w:spacing w:after="0" w:line="138" w:lineRule="exact"/>
              <w:rPr>
                <w:sz w:val="20"/>
                <w:szCs w:val="20"/>
                <w:color w:val="auto"/>
              </w:rPr>
            </w:pPr>
            <w:r>
              <w:rPr>
                <w:rFonts w:ascii="Arial" w:cs="Arial" w:eastAsia="Arial" w:hAnsi="Arial"/>
                <w:sz w:val="14"/>
                <w:szCs w:val="14"/>
                <w:color w:val="auto"/>
              </w:rPr>
              <w:t>—</w:t>
            </w:r>
          </w:p>
        </w:tc>
      </w:tr>
      <w:tr>
        <w:trPr>
          <w:trHeight w:val="159"/>
        </w:trPr>
        <w:tc>
          <w:tcPr>
            <w:tcW w:w="1940" w:type="dxa"/>
            <w:vAlign w:val="bottom"/>
          </w:tcPr>
          <w:p>
            <w:pPr>
              <w:spacing w:after="0"/>
              <w:rPr>
                <w:sz w:val="13"/>
                <w:szCs w:val="13"/>
                <w:color w:val="auto"/>
              </w:rPr>
            </w:pPr>
          </w:p>
        </w:tc>
        <w:tc>
          <w:tcPr>
            <w:tcW w:w="840" w:type="dxa"/>
            <w:vAlign w:val="bottom"/>
          </w:tcPr>
          <w:p>
            <w:pPr>
              <w:jc w:val="right"/>
              <w:ind w:right="52"/>
              <w:spacing w:after="0" w:line="159" w:lineRule="exact"/>
              <w:rPr>
                <w:sz w:val="20"/>
                <w:szCs w:val="20"/>
                <w:color w:val="auto"/>
              </w:rPr>
            </w:pPr>
            <w:r>
              <w:rPr>
                <w:rFonts w:ascii="Arial" w:cs="Arial" w:eastAsia="Arial" w:hAnsi="Arial"/>
                <w:sz w:val="14"/>
                <w:szCs w:val="14"/>
                <w:color w:val="auto"/>
              </w:rPr>
              <w:t>11/17/11</w:t>
            </w: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w w:val="99"/>
              </w:rPr>
              <w:t>11/17/11</w:t>
            </w:r>
          </w:p>
        </w:tc>
        <w:tc>
          <w:tcPr>
            <w:tcW w:w="7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ind w:left="56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line="159" w:lineRule="exact"/>
              <w:rPr>
                <w:sz w:val="20"/>
                <w:szCs w:val="20"/>
                <w:color w:val="auto"/>
              </w:rPr>
            </w:pPr>
            <w:r>
              <w:rPr>
                <w:rFonts w:ascii="Arial" w:cs="Arial" w:eastAsia="Arial" w:hAnsi="Arial"/>
                <w:sz w:val="14"/>
                <w:szCs w:val="14"/>
                <w:color w:val="auto"/>
              </w:rPr>
              <w:t>21,050</w:t>
            </w:r>
          </w:p>
        </w:tc>
        <w:tc>
          <w:tcPr>
            <w:tcW w:w="1060" w:type="dxa"/>
            <w:vAlign w:val="bottom"/>
          </w:tcPr>
          <w:p>
            <w:pPr>
              <w:ind w:left="420"/>
              <w:spacing w:after="0" w:line="159" w:lineRule="exact"/>
              <w:rPr>
                <w:sz w:val="20"/>
                <w:szCs w:val="20"/>
                <w:color w:val="auto"/>
              </w:rPr>
            </w:pPr>
            <w:r>
              <w:rPr>
                <w:rFonts w:ascii="Arial" w:cs="Arial" w:eastAsia="Arial" w:hAnsi="Arial"/>
                <w:sz w:val="14"/>
                <w:szCs w:val="14"/>
                <w:color w:val="auto"/>
              </w:rPr>
              <w:t>21,050</w:t>
            </w:r>
          </w:p>
        </w:tc>
        <w:tc>
          <w:tcPr>
            <w:tcW w:w="720" w:type="dxa"/>
            <w:vAlign w:val="bottom"/>
          </w:tcPr>
          <w:p>
            <w:pPr>
              <w:jc w:val="center"/>
              <w:ind w:left="72"/>
              <w:spacing w:after="0" w:line="159" w:lineRule="exact"/>
              <w:rPr>
                <w:sz w:val="20"/>
                <w:szCs w:val="20"/>
                <w:color w:val="auto"/>
              </w:rPr>
            </w:pPr>
            <w:r>
              <w:rPr>
                <w:rFonts w:ascii="Arial" w:cs="Arial" w:eastAsia="Arial" w:hAnsi="Arial"/>
                <w:sz w:val="14"/>
                <w:szCs w:val="14"/>
                <w:color w:val="auto"/>
                <w:w w:val="85"/>
              </w:rPr>
              <w:t>10.19</w:t>
            </w:r>
          </w:p>
        </w:tc>
        <w:tc>
          <w:tcPr>
            <w:tcW w:w="800" w:type="dxa"/>
            <w:vAlign w:val="bottom"/>
          </w:tcPr>
          <w:p>
            <w:pPr>
              <w:ind w:left="160"/>
              <w:spacing w:after="0" w:line="159" w:lineRule="exact"/>
              <w:rPr>
                <w:sz w:val="20"/>
                <w:szCs w:val="20"/>
                <w:color w:val="auto"/>
              </w:rPr>
            </w:pPr>
            <w:r>
              <w:rPr>
                <w:rFonts w:ascii="Arial" w:cs="Arial" w:eastAsia="Arial" w:hAnsi="Arial"/>
                <w:sz w:val="14"/>
                <w:szCs w:val="14"/>
                <w:color w:val="auto"/>
              </w:rPr>
              <w:t>325,901</w:t>
            </w: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Kevin S. Cavanah</w:t>
            </w: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8/30/11</w:t>
            </w:r>
          </w:p>
        </w:tc>
        <w:tc>
          <w:tcPr>
            <w:tcW w:w="68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62,667</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125,333</w:t>
            </w:r>
          </w:p>
        </w:tc>
        <w:tc>
          <w:tcPr>
            <w:tcW w:w="780" w:type="dxa"/>
            <w:vAlign w:val="bottom"/>
            <w:tcBorders>
              <w:righ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188,000</w:t>
            </w:r>
          </w:p>
        </w:tc>
        <w:tc>
          <w:tcPr>
            <w:tcW w:w="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r>
      <w:tr>
        <w:trPr>
          <w:trHeight w:val="149"/>
        </w:trPr>
        <w:tc>
          <w:tcPr>
            <w:tcW w:w="19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11/17/11</w:t>
            </w:r>
          </w:p>
        </w:tc>
        <w:tc>
          <w:tcPr>
            <w:tcW w:w="680" w:type="dxa"/>
            <w:vAlign w:val="bottom"/>
            <w:tcBorders>
              <w:righ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11/17/11</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16,850</w:t>
            </w:r>
          </w:p>
        </w:tc>
        <w:tc>
          <w:tcPr>
            <w:tcW w:w="1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16,850</w:t>
            </w:r>
          </w:p>
        </w:tc>
        <w:tc>
          <w:tcPr>
            <w:tcW w:w="72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10.19</w:t>
            </w:r>
          </w:p>
        </w:tc>
        <w:tc>
          <w:tcPr>
            <w:tcW w:w="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260,876</w:t>
            </w:r>
          </w:p>
        </w:tc>
      </w:tr>
      <w:tr>
        <w:trPr>
          <w:trHeight w:val="138"/>
        </w:trPr>
        <w:tc>
          <w:tcPr>
            <w:tcW w:w="1940" w:type="dxa"/>
            <w:vAlign w:val="bottom"/>
          </w:tcPr>
          <w:p>
            <w:pPr>
              <w:spacing w:after="0" w:line="138" w:lineRule="exact"/>
              <w:rPr>
                <w:sz w:val="20"/>
                <w:szCs w:val="20"/>
                <w:color w:val="auto"/>
              </w:rPr>
            </w:pPr>
            <w:r>
              <w:rPr>
                <w:rFonts w:ascii="Arial" w:cs="Arial" w:eastAsia="Arial" w:hAnsi="Arial"/>
                <w:sz w:val="14"/>
                <w:szCs w:val="14"/>
                <w:color w:val="auto"/>
              </w:rPr>
              <w:t>Matthew J. Petrizzo</w:t>
            </w:r>
          </w:p>
        </w:tc>
        <w:tc>
          <w:tcPr>
            <w:tcW w:w="8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8/30/11</w:t>
            </w:r>
          </w:p>
        </w:tc>
        <w:tc>
          <w:tcPr>
            <w:tcW w:w="6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74,128</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6"/>
              </w:rPr>
              <w:t>148,257</w:t>
            </w:r>
          </w:p>
        </w:tc>
        <w:tc>
          <w:tcPr>
            <w:tcW w:w="7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222,385</w:t>
            </w:r>
          </w:p>
        </w:tc>
        <w:tc>
          <w:tcPr>
            <w:tcW w:w="840" w:type="dxa"/>
            <w:vAlign w:val="bottom"/>
          </w:tcPr>
          <w:p>
            <w:pPr>
              <w:ind w:left="56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ind w:left="500"/>
              <w:spacing w:after="0" w:line="13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w:t>
            </w:r>
          </w:p>
        </w:tc>
        <w:tc>
          <w:tcPr>
            <w:tcW w:w="1060" w:type="dxa"/>
            <w:vAlign w:val="bottom"/>
          </w:tcPr>
          <w:p>
            <w:pPr>
              <w:ind w:left="580"/>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9"/>
              </w:rPr>
              <w:t>—</w:t>
            </w:r>
          </w:p>
        </w:tc>
        <w:tc>
          <w:tcPr>
            <w:tcW w:w="800" w:type="dxa"/>
            <w:vAlign w:val="bottom"/>
          </w:tcPr>
          <w:p>
            <w:pPr>
              <w:jc w:val="right"/>
              <w:ind w:right="212"/>
              <w:spacing w:after="0" w:line="138" w:lineRule="exact"/>
              <w:rPr>
                <w:sz w:val="20"/>
                <w:szCs w:val="20"/>
                <w:color w:val="auto"/>
              </w:rPr>
            </w:pPr>
            <w:r>
              <w:rPr>
                <w:rFonts w:ascii="Arial" w:cs="Arial" w:eastAsia="Arial" w:hAnsi="Arial"/>
                <w:sz w:val="14"/>
                <w:szCs w:val="14"/>
                <w:color w:val="auto"/>
              </w:rPr>
              <w:t>—</w:t>
            </w:r>
          </w:p>
        </w:tc>
      </w:tr>
      <w:tr>
        <w:trPr>
          <w:trHeight w:val="159"/>
        </w:trPr>
        <w:tc>
          <w:tcPr>
            <w:tcW w:w="1940" w:type="dxa"/>
            <w:vAlign w:val="bottom"/>
          </w:tcPr>
          <w:p>
            <w:pPr>
              <w:spacing w:after="0"/>
              <w:rPr>
                <w:sz w:val="13"/>
                <w:szCs w:val="13"/>
                <w:color w:val="auto"/>
              </w:rPr>
            </w:pPr>
          </w:p>
        </w:tc>
        <w:tc>
          <w:tcPr>
            <w:tcW w:w="840" w:type="dxa"/>
            <w:vAlign w:val="bottom"/>
          </w:tcPr>
          <w:p>
            <w:pPr>
              <w:jc w:val="right"/>
              <w:ind w:right="52"/>
              <w:spacing w:after="0" w:line="159" w:lineRule="exact"/>
              <w:rPr>
                <w:sz w:val="20"/>
                <w:szCs w:val="20"/>
                <w:color w:val="auto"/>
              </w:rPr>
            </w:pPr>
            <w:r>
              <w:rPr>
                <w:rFonts w:ascii="Arial" w:cs="Arial" w:eastAsia="Arial" w:hAnsi="Arial"/>
                <w:sz w:val="14"/>
                <w:szCs w:val="14"/>
                <w:color w:val="auto"/>
              </w:rPr>
              <w:t>11/17/11</w:t>
            </w: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w w:val="99"/>
              </w:rPr>
              <w:t>11/17/11</w:t>
            </w:r>
          </w:p>
        </w:tc>
        <w:tc>
          <w:tcPr>
            <w:tcW w:w="7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ind w:left="56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line="159" w:lineRule="exact"/>
              <w:rPr>
                <w:sz w:val="20"/>
                <w:szCs w:val="20"/>
                <w:color w:val="auto"/>
              </w:rPr>
            </w:pPr>
            <w:r>
              <w:rPr>
                <w:rFonts w:ascii="Arial" w:cs="Arial" w:eastAsia="Arial" w:hAnsi="Arial"/>
                <w:sz w:val="14"/>
                <w:szCs w:val="14"/>
                <w:color w:val="auto"/>
              </w:rPr>
              <w:t>15,600</w:t>
            </w:r>
          </w:p>
        </w:tc>
        <w:tc>
          <w:tcPr>
            <w:tcW w:w="1060" w:type="dxa"/>
            <w:vAlign w:val="bottom"/>
          </w:tcPr>
          <w:p>
            <w:pPr>
              <w:ind w:left="420"/>
              <w:spacing w:after="0" w:line="159" w:lineRule="exact"/>
              <w:rPr>
                <w:sz w:val="20"/>
                <w:szCs w:val="20"/>
                <w:color w:val="auto"/>
              </w:rPr>
            </w:pPr>
            <w:r>
              <w:rPr>
                <w:rFonts w:ascii="Arial" w:cs="Arial" w:eastAsia="Arial" w:hAnsi="Arial"/>
                <w:sz w:val="14"/>
                <w:szCs w:val="14"/>
                <w:color w:val="auto"/>
              </w:rPr>
              <w:t>15,600</w:t>
            </w:r>
          </w:p>
        </w:tc>
        <w:tc>
          <w:tcPr>
            <w:tcW w:w="720" w:type="dxa"/>
            <w:vAlign w:val="bottom"/>
          </w:tcPr>
          <w:p>
            <w:pPr>
              <w:jc w:val="center"/>
              <w:ind w:left="72"/>
              <w:spacing w:after="0" w:line="159" w:lineRule="exact"/>
              <w:rPr>
                <w:sz w:val="20"/>
                <w:szCs w:val="20"/>
                <w:color w:val="auto"/>
              </w:rPr>
            </w:pPr>
            <w:r>
              <w:rPr>
                <w:rFonts w:ascii="Arial" w:cs="Arial" w:eastAsia="Arial" w:hAnsi="Arial"/>
                <w:sz w:val="14"/>
                <w:szCs w:val="14"/>
                <w:color w:val="auto"/>
                <w:w w:val="85"/>
              </w:rPr>
              <w:t>10.19</w:t>
            </w:r>
          </w:p>
        </w:tc>
        <w:tc>
          <w:tcPr>
            <w:tcW w:w="800" w:type="dxa"/>
            <w:vAlign w:val="bottom"/>
          </w:tcPr>
          <w:p>
            <w:pPr>
              <w:ind w:left="160"/>
              <w:spacing w:after="0" w:line="159" w:lineRule="exact"/>
              <w:rPr>
                <w:sz w:val="20"/>
                <w:szCs w:val="20"/>
                <w:color w:val="auto"/>
              </w:rPr>
            </w:pPr>
            <w:r>
              <w:rPr>
                <w:rFonts w:ascii="Arial" w:cs="Arial" w:eastAsia="Arial" w:hAnsi="Arial"/>
                <w:sz w:val="14"/>
                <w:szCs w:val="14"/>
                <w:color w:val="auto"/>
              </w:rPr>
              <w:t>241,522</w:t>
            </w: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8/30/11</w:t>
            </w:r>
          </w:p>
        </w:tc>
        <w:tc>
          <w:tcPr>
            <w:tcW w:w="68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77,342</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154,683</w:t>
            </w:r>
          </w:p>
        </w:tc>
        <w:tc>
          <w:tcPr>
            <w:tcW w:w="780" w:type="dxa"/>
            <w:vAlign w:val="bottom"/>
            <w:tcBorders>
              <w:righ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232,025</w:t>
            </w:r>
          </w:p>
        </w:tc>
        <w:tc>
          <w:tcPr>
            <w:tcW w:w="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r>
      <w:tr>
        <w:trPr>
          <w:trHeight w:val="149"/>
        </w:trPr>
        <w:tc>
          <w:tcPr>
            <w:tcW w:w="19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11/17/11</w:t>
            </w:r>
          </w:p>
        </w:tc>
        <w:tc>
          <w:tcPr>
            <w:tcW w:w="680" w:type="dxa"/>
            <w:vAlign w:val="bottom"/>
            <w:tcBorders>
              <w:righ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11/17/11</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16,950</w:t>
            </w:r>
          </w:p>
        </w:tc>
        <w:tc>
          <w:tcPr>
            <w:tcW w:w="1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16,950</w:t>
            </w:r>
          </w:p>
        </w:tc>
        <w:tc>
          <w:tcPr>
            <w:tcW w:w="72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10.19</w:t>
            </w:r>
          </w:p>
        </w:tc>
        <w:tc>
          <w:tcPr>
            <w:tcW w:w="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262,424</w:t>
            </w:r>
          </w:p>
        </w:tc>
      </w:tr>
    </w:tbl>
    <w:p>
      <w:pPr>
        <w:spacing w:after="0" w:line="70" w:lineRule="exact"/>
        <w:rPr>
          <w:sz w:val="20"/>
          <w:szCs w:val="20"/>
          <w:color w:val="auto"/>
        </w:rPr>
      </w:pPr>
    </w:p>
    <w:p>
      <w:pPr>
        <w:ind w:left="340" w:right="260" w:hanging="332"/>
        <w:spacing w:after="0" w:line="23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amounts shown are the targeted cash incentive compensation award potential for each Named Executive Officer under our annual/short-term incentive compensation plan described in the Compensation Discussion and Analysis. Actual payouts to the Named Executive Officers for the applicable fiscal year are reported in the Summary Compensation Table as “Non-Equity Incentive Plan Compensation”.</w:t>
      </w:r>
    </w:p>
    <w:p>
      <w:pPr>
        <w:spacing w:after="0" w:line="57" w:lineRule="exact"/>
        <w:rPr>
          <w:rFonts w:ascii="Arial" w:cs="Arial" w:eastAsia="Arial" w:hAnsi="Arial"/>
          <w:sz w:val="14"/>
          <w:szCs w:val="14"/>
          <w:color w:val="auto"/>
        </w:rPr>
      </w:pPr>
    </w:p>
    <w:p>
      <w:pPr>
        <w:ind w:left="340" w:right="180" w:hanging="332"/>
        <w:spacing w:after="0" w:line="23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shown are the number of shares of restricted stock units granted to the Named Executive Officers in fiscal 2012. The restricted stock unit awards granted in fiscal 2012 were time based awards that vest in four equal annual installments beginning one year after the grant date.</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Amounts shown are the number of stock options granted to the Named Executive Officers in fiscal 2012. The stock options expire in 10 years and cliff vest three years after the grant date.</w:t>
      </w:r>
    </w:p>
    <w:p>
      <w:pPr>
        <w:spacing w:after="0" w:line="91" w:lineRule="exact"/>
        <w:rPr>
          <w:rFonts w:ascii="Arial" w:cs="Arial" w:eastAsia="Arial" w:hAnsi="Arial"/>
          <w:sz w:val="12"/>
          <w:szCs w:val="12"/>
          <w:color w:val="auto"/>
        </w:rPr>
      </w:pPr>
    </w:p>
    <w:p>
      <w:pPr>
        <w:ind w:left="340" w:right="20" w:hanging="332"/>
        <w:spacing w:after="0" w:line="278" w:lineRule="auto"/>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Amounts shown are calculated based upon the grant date fair value calculated in accordance with ASC718 – Compensation—Stock Compensation. The grant date fair value for restricted stock units is calculated by multiplying the number of restricted stock units awarded by the closing stock price on the date of grant. The grant date fair value of the stock options is calculated by multiplying the grant date fair value, as determined by the Black Scholes option pricing model, by the number of stock options awarded. See Notes 1 and 11 of the Notes to the Consolidated Financial Statements included in the Company’s fiscal 2012 Annual Report on Form 10-K for a full discussion of the Company’s stock based compensation accounting policy.</w:t>
      </w:r>
    </w:p>
    <w:p>
      <w:pPr>
        <w:spacing w:after="0" w:line="35" w:lineRule="exact"/>
        <w:rPr>
          <w:rFonts w:ascii="Arial" w:cs="Arial" w:eastAsia="Arial" w:hAnsi="Arial"/>
          <w:sz w:val="12"/>
          <w:szCs w:val="12"/>
          <w:color w:val="auto"/>
        </w:rPr>
      </w:pPr>
    </w:p>
    <w:p>
      <w:pPr>
        <w:ind w:left="340" w:right="20" w:hanging="332"/>
        <w:spacing w:after="0" w:line="278" w:lineRule="auto"/>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On November 17, 2011 Mr. Hewitt was awarded 44,150 restricted stock units and 44,150 stock options. It was subsequently determined that, under Mr. Hewitt’s offer letter, 100% of the award should have been in the form of restricted stock units. On May 1, 2012 the stock option award was cancelled by mutual agreement of Mr. Hewitt and the Company and replaced by an award of 44,150 restricted stock units. The restricted stock units will vest in four equal annual installments commencing on November 17, 2012. Since the stock option award was cancelled, the amounts shown do not include the award of 44,150 stock options granted to Mr. Hewitt on November 17, 2011. The grant date fair value of the option award was $247,779.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2012</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outstanding equity awards held by the Named Executive Officers as of June 30,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Equity</w:t>
            </w: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Incentive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Plan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Awards: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5"/>
              </w:rPr>
              <w:t>of</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5"/>
              </w:rPr>
              <w:t>of</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Market</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Unearned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Value of</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Shares,</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or Units</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Shares</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Units or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of Stock</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or Units</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4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that</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of Stock</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Rights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4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have</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that have</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that have</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that have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Options (#)</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not</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not</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not</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not</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5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4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Price</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Vested</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Vested</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Vested</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200" w:type="dxa"/>
            <w:vAlign w:val="bottom"/>
            <w:gridSpan w:val="2"/>
          </w:tcPr>
          <w:p>
            <w:pPr>
              <w:jc w:val="center"/>
              <w:ind w:left="332"/>
              <w:spacing w:after="0" w:line="148" w:lineRule="exact"/>
              <w:rPr>
                <w:sz w:val="20"/>
                <w:szCs w:val="20"/>
                <w:color w:val="auto"/>
              </w:rPr>
            </w:pPr>
            <w:r>
              <w:rPr>
                <w:rFonts w:ascii="Arial" w:cs="Arial" w:eastAsia="Arial" w:hAnsi="Arial"/>
                <w:sz w:val="14"/>
                <w:szCs w:val="14"/>
                <w:b w:val="1"/>
                <w:bCs w:val="1"/>
                <w:color w:val="auto"/>
                <w:w w:val="93"/>
              </w:rPr>
              <w:t>(1)</w:t>
            </w:r>
          </w:p>
        </w:tc>
        <w:tc>
          <w:tcPr>
            <w:tcW w:w="40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10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40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40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80" w:type="dxa"/>
            <w:vAlign w:val="bottom"/>
            <w:tcBorders>
              <w:top w:val="single" w:sz="8" w:color="CCEEFF"/>
            </w:tcBorders>
            <w:gridSpan w:val="3"/>
            <w:shd w:val="clear" w:color="auto" w:fill="CCEEFF"/>
          </w:tcPr>
          <w:p>
            <w:pPr>
              <w:spacing w:after="0" w:line="136" w:lineRule="exact"/>
              <w:rPr>
                <w:sz w:val="20"/>
                <w:szCs w:val="20"/>
                <w:color w:val="auto"/>
              </w:rPr>
            </w:pPr>
            <w:r>
              <w:rPr>
                <w:rFonts w:ascii="Arial" w:cs="Arial" w:eastAsia="Arial" w:hAnsi="Arial"/>
                <w:sz w:val="14"/>
                <w:szCs w:val="14"/>
                <w:color w:val="auto"/>
              </w:rPr>
              <w:t>John R. Hewitt</w:t>
            </w:r>
          </w:p>
        </w:tc>
        <w:tc>
          <w:tcPr>
            <w:tcW w:w="3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ind w:left="600"/>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120,300</w:t>
            </w:r>
          </w:p>
        </w:tc>
        <w:tc>
          <w:tcPr>
            <w:tcW w:w="3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1,362,999</w:t>
            </w:r>
          </w:p>
        </w:tc>
        <w:tc>
          <w:tcPr>
            <w:tcW w:w="4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ind w:left="252"/>
              <w:spacing w:after="0" w:line="136" w:lineRule="exact"/>
              <w:rPr>
                <w:sz w:val="20"/>
                <w:szCs w:val="20"/>
                <w:color w:val="auto"/>
              </w:rPr>
            </w:pPr>
            <w:r>
              <w:rPr>
                <w:rFonts w:ascii="Arial" w:cs="Arial" w:eastAsia="Arial" w:hAnsi="Arial"/>
                <w:sz w:val="14"/>
                <w:szCs w:val="14"/>
                <w:color w:val="auto"/>
                <w:w w:val="99"/>
              </w:rPr>
              <w:t>—</w:t>
            </w:r>
          </w:p>
        </w:tc>
        <w:tc>
          <w:tcPr>
            <w:tcW w:w="4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gridSpan w:val="3"/>
          </w:tcPr>
          <w:p>
            <w:pPr>
              <w:spacing w:after="0" w:line="149" w:lineRule="exact"/>
              <w:rPr>
                <w:sz w:val="20"/>
                <w:szCs w:val="20"/>
                <w:color w:val="auto"/>
              </w:rPr>
            </w:pPr>
            <w:r>
              <w:rPr>
                <w:rFonts w:ascii="Arial" w:cs="Arial" w:eastAsia="Arial" w:hAnsi="Arial"/>
                <w:sz w:val="14"/>
                <w:szCs w:val="14"/>
                <w:color w:val="auto"/>
              </w:rPr>
              <w:t>Joseph P. Montalbano</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21,050</w:t>
            </w:r>
          </w:p>
        </w:tc>
        <w:tc>
          <w:tcPr>
            <w:tcW w:w="4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10.19</w:t>
            </w:r>
          </w:p>
        </w:tc>
        <w:tc>
          <w:tcPr>
            <w:tcW w:w="4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11/17/2021</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63,996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725,075</w:t>
            </w:r>
          </w:p>
        </w:tc>
        <w:tc>
          <w:tcPr>
            <w:tcW w:w="400" w:type="dxa"/>
            <w:vAlign w:val="bottom"/>
          </w:tcPr>
          <w:p>
            <w:pPr>
              <w:spacing w:after="0"/>
              <w:rPr>
                <w:sz w:val="12"/>
                <w:szCs w:val="12"/>
                <w:color w:val="auto"/>
              </w:rPr>
            </w:pPr>
          </w:p>
        </w:tc>
        <w:tc>
          <w:tcPr>
            <w:tcW w:w="580" w:type="dxa"/>
            <w:vAlign w:val="bottom"/>
          </w:tcPr>
          <w:p>
            <w:pPr>
              <w:jc w:val="center"/>
              <w:ind w:left="212"/>
              <w:spacing w:after="0" w:line="149" w:lineRule="exact"/>
              <w:rPr>
                <w:sz w:val="20"/>
                <w:szCs w:val="20"/>
                <w:color w:val="auto"/>
              </w:rPr>
            </w:pPr>
            <w:r>
              <w:rPr>
                <w:rFonts w:ascii="Arial" w:cs="Arial" w:eastAsia="Arial" w:hAnsi="Arial"/>
                <w:sz w:val="14"/>
                <w:szCs w:val="14"/>
                <w:color w:val="auto"/>
                <w:w w:val="85"/>
              </w:rPr>
              <w:t>6,000</w:t>
            </w:r>
          </w:p>
        </w:tc>
        <w:tc>
          <w:tcPr>
            <w:tcW w:w="4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67,980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Kevin S. Cavanah</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4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w:t>
            </w:r>
          </w:p>
        </w:tc>
        <w:tc>
          <w:tcPr>
            <w:tcW w:w="4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10/21/2013</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41,880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474,500</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1,125</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4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4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10/26/2014</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4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4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08/17/2015</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4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4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10/21/2015</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16,850</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w:t>
            </w:r>
          </w:p>
        </w:tc>
        <w:tc>
          <w:tcPr>
            <w:tcW w:w="4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11/17/2021</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3"/>
          </w:tcPr>
          <w:p>
            <w:pPr>
              <w:spacing w:after="0" w:line="149" w:lineRule="exact"/>
              <w:rPr>
                <w:sz w:val="20"/>
                <w:szCs w:val="20"/>
                <w:color w:val="auto"/>
              </w:rPr>
            </w:pPr>
            <w:r>
              <w:rPr>
                <w:rFonts w:ascii="Arial" w:cs="Arial" w:eastAsia="Arial" w:hAnsi="Arial"/>
                <w:sz w:val="14"/>
                <w:szCs w:val="14"/>
                <w:color w:val="auto"/>
              </w:rPr>
              <w:t>Matthew P. Petrizzo</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15,600</w:t>
            </w:r>
          </w:p>
        </w:tc>
        <w:tc>
          <w:tcPr>
            <w:tcW w:w="4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10.19</w:t>
            </w:r>
          </w:p>
        </w:tc>
        <w:tc>
          <w:tcPr>
            <w:tcW w:w="4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11/17/2021</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47,650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539,875</w:t>
            </w:r>
          </w:p>
        </w:tc>
        <w:tc>
          <w:tcPr>
            <w:tcW w:w="400" w:type="dxa"/>
            <w:vAlign w:val="bottom"/>
          </w:tcPr>
          <w:p>
            <w:pPr>
              <w:spacing w:after="0"/>
              <w:rPr>
                <w:sz w:val="12"/>
                <w:szCs w:val="12"/>
                <w:color w:val="auto"/>
              </w:rPr>
            </w:pPr>
          </w:p>
        </w:tc>
        <w:tc>
          <w:tcPr>
            <w:tcW w:w="580" w:type="dxa"/>
            <w:vAlign w:val="bottom"/>
          </w:tcPr>
          <w:p>
            <w:pPr>
              <w:jc w:val="center"/>
              <w:ind w:left="212"/>
              <w:spacing w:after="0" w:line="149" w:lineRule="exact"/>
              <w:rPr>
                <w:sz w:val="20"/>
                <w:szCs w:val="20"/>
                <w:color w:val="auto"/>
              </w:rPr>
            </w:pPr>
            <w:r>
              <w:rPr>
                <w:rFonts w:ascii="Arial" w:cs="Arial" w:eastAsia="Arial" w:hAnsi="Arial"/>
                <w:sz w:val="14"/>
                <w:szCs w:val="14"/>
                <w:color w:val="auto"/>
                <w:w w:val="85"/>
              </w:rPr>
              <w:t>4,500</w:t>
            </w:r>
          </w:p>
        </w:tc>
        <w:tc>
          <w:tcPr>
            <w:tcW w:w="4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50,985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4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w:t>
            </w:r>
          </w:p>
        </w:tc>
        <w:tc>
          <w:tcPr>
            <w:tcW w:w="4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10/21/2013</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44,350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502,486</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4,000</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24,700</w:t>
            </w:r>
          </w:p>
        </w:tc>
        <w:tc>
          <w:tcPr>
            <w:tcW w:w="4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4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10/26/2014</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4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4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10/21/2015</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16,950</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w:t>
            </w:r>
          </w:p>
        </w:tc>
        <w:tc>
          <w:tcPr>
            <w:tcW w:w="4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11/17/2021</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options were granted on November 17, 2011 and cliff vest on November 17, 2014.</w:t>
      </w:r>
    </w:p>
    <w:p>
      <w:pPr>
        <w:spacing w:after="0" w:line="68" w:lineRule="exact"/>
        <w:rPr>
          <w:rFonts w:ascii="Arial" w:cs="Arial" w:eastAsia="Arial" w:hAnsi="Arial"/>
          <w:sz w:val="14"/>
          <w:szCs w:val="14"/>
          <w:color w:val="auto"/>
        </w:rPr>
      </w:pPr>
    </w:p>
    <w:p>
      <w:pPr>
        <w:ind w:left="340" w:hanging="224"/>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June 29, 2012 of $11.33.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8"/>
              </w:rPr>
              <w:t>Equity Incentive Plan</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Number of Shares or</w:t>
            </w:r>
          </w:p>
        </w:tc>
        <w:tc>
          <w:tcPr>
            <w:tcW w:w="600" w:type="dxa"/>
            <w:vAlign w:val="bottom"/>
          </w:tcPr>
          <w:p>
            <w:pPr>
              <w:spacing w:after="0"/>
              <w:rPr>
                <w:sz w:val="12"/>
                <w:szCs w:val="12"/>
                <w:color w:val="auto"/>
              </w:rPr>
            </w:pPr>
          </w:p>
        </w:tc>
        <w:tc>
          <w:tcPr>
            <w:tcW w:w="23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Awards: Number of Unearned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Units of Stock that have not</w:t>
            </w:r>
          </w:p>
        </w:tc>
        <w:tc>
          <w:tcPr>
            <w:tcW w:w="600" w:type="dxa"/>
            <w:vAlign w:val="bottom"/>
          </w:tcPr>
          <w:p>
            <w:pPr>
              <w:spacing w:after="0"/>
              <w:rPr>
                <w:sz w:val="12"/>
                <w:szCs w:val="12"/>
                <w:color w:val="auto"/>
              </w:rPr>
            </w:pPr>
          </w:p>
        </w:tc>
        <w:tc>
          <w:tcPr>
            <w:tcW w:w="23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Shares, Units or Other Rights</w:t>
            </w:r>
          </w:p>
        </w:tc>
        <w:tc>
          <w:tcPr>
            <w:tcW w:w="0" w:type="dxa"/>
            <w:vAlign w:val="bottom"/>
          </w:tcPr>
          <w:p>
            <w:pPr>
              <w:spacing w:after="0"/>
              <w:rPr>
                <w:sz w:val="1"/>
                <w:szCs w:val="1"/>
                <w:color w:val="auto"/>
              </w:rPr>
            </w:pPr>
          </w:p>
        </w:tc>
      </w:tr>
      <w:tr>
        <w:trPr>
          <w:trHeight w:val="161"/>
        </w:trPr>
        <w:tc>
          <w:tcPr>
            <w:tcW w:w="420" w:type="dxa"/>
            <w:vAlign w:val="bottom"/>
          </w:tcPr>
          <w:p>
            <w:pPr>
              <w:spacing w:after="0"/>
              <w:rPr>
                <w:sz w:val="14"/>
                <w:szCs w:val="14"/>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266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left="32"/>
              <w:spacing w:after="0"/>
              <w:rPr>
                <w:sz w:val="20"/>
                <w:szCs w:val="20"/>
                <w:color w:val="auto"/>
              </w:rPr>
            </w:pPr>
            <w:r>
              <w:rPr>
                <w:rFonts w:ascii="Arial" w:cs="Arial" w:eastAsia="Arial" w:hAnsi="Arial"/>
                <w:sz w:val="14"/>
                <w:szCs w:val="14"/>
                <w:b w:val="1"/>
                <w:bCs w:val="1"/>
                <w:color w:val="auto"/>
                <w:w w:val="82"/>
              </w:rPr>
              <w:t>Vested</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4"/>
              </w:rPr>
              <w:t>that have not Vested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4"/>
                <w:szCs w:val="14"/>
                <w:b w:val="1"/>
                <w:bCs w:val="1"/>
                <w:color w:val="auto"/>
              </w:rPr>
              <w:t>Shares</w:t>
            </w:r>
          </w:p>
        </w:tc>
        <w:tc>
          <w:tcPr>
            <w:tcW w:w="82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Vest Date</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Vest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20" w:type="dxa"/>
            <w:vAlign w:val="bottom"/>
            <w:tcBorders>
              <w:top w:val="single" w:sz="8" w:color="CCEEFF"/>
            </w:tcBorders>
            <w:gridSpan w:val="3"/>
            <w:shd w:val="clear" w:color="auto" w:fill="CCEEFF"/>
          </w:tcPr>
          <w:p>
            <w:pPr>
              <w:spacing w:after="0" w:line="136" w:lineRule="exact"/>
              <w:rPr>
                <w:sz w:val="20"/>
                <w:szCs w:val="20"/>
                <w:color w:val="auto"/>
              </w:rPr>
            </w:pPr>
            <w:r>
              <w:rPr>
                <w:rFonts w:ascii="Arial" w:cs="Arial" w:eastAsia="Arial" w:hAnsi="Arial"/>
                <w:sz w:val="14"/>
                <w:szCs w:val="14"/>
                <w:color w:val="auto"/>
              </w:rPr>
              <w:t>John R. Hewitt</w:t>
            </w:r>
          </w:p>
        </w:tc>
        <w:tc>
          <w:tcPr>
            <w:tcW w:w="2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22,076</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11/17/2012</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8,000</w:t>
            </w: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05/04/2013</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22,076</w:t>
            </w: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11/17/2013</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05/04/2014</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22,074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11/17/2014</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05/04/2015</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22,074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11/17/2015</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05/04/2016</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20" w:type="dxa"/>
            <w:vAlign w:val="bottom"/>
            <w:gridSpan w:val="3"/>
          </w:tcPr>
          <w:p>
            <w:pPr>
              <w:spacing w:after="0" w:line="138" w:lineRule="exact"/>
              <w:rPr>
                <w:sz w:val="20"/>
                <w:szCs w:val="20"/>
                <w:color w:val="auto"/>
              </w:rPr>
            </w:pPr>
            <w:r>
              <w:rPr>
                <w:rFonts w:ascii="Arial" w:cs="Arial" w:eastAsia="Arial" w:hAnsi="Arial"/>
                <w:sz w:val="14"/>
                <w:szCs w:val="14"/>
                <w:color w:val="auto"/>
              </w:rPr>
              <w:t>Joseph F. Montalbano</w:t>
            </w:r>
          </w:p>
        </w:tc>
        <w:tc>
          <w:tcPr>
            <w:tcW w:w="2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6,000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08/14/2012</w:t>
            </w:r>
          </w:p>
        </w:tc>
        <w:tc>
          <w:tcPr>
            <w:tcW w:w="146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6,000(1)</w:t>
            </w:r>
          </w:p>
        </w:tc>
        <w:tc>
          <w:tcPr>
            <w:tcW w:w="152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2,400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5,263</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11/17/2012</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6,400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12/02/2012</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4,146</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05/19/2013</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2,400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10/23/2013</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5,263</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11/17/2013</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6,400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12/02/2013</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2,400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10/23/2014</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5,262</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11/17/2014</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6,400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12/02/2014</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5,262</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11/17/2015</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54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6,400</w:t>
            </w:r>
          </w:p>
        </w:tc>
        <w:tc>
          <w:tcPr>
            <w:tcW w:w="600" w:type="dxa"/>
            <w:vAlign w:val="bottom"/>
          </w:tcPr>
          <w:p>
            <w:pPr>
              <w:spacing w:after="0"/>
              <w:rPr>
                <w:sz w:val="13"/>
                <w:szCs w:val="13"/>
                <w:color w:val="auto"/>
              </w:rPr>
            </w:pPr>
          </w:p>
        </w:tc>
        <w:tc>
          <w:tcPr>
            <w:tcW w:w="8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12/02/2015</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Kevin S. Cavanah</w:t>
            </w:r>
          </w:p>
        </w:tc>
        <w:tc>
          <w:tcPr>
            <w:tcW w:w="22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4,000</w:t>
            </w: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08/14/2012</w:t>
            </w:r>
          </w:p>
        </w:tc>
        <w:tc>
          <w:tcPr>
            <w:tcW w:w="14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1,125(1)</w:t>
            </w:r>
          </w:p>
        </w:tc>
        <w:tc>
          <w:tcPr>
            <w:tcW w:w="15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10/21/2012</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280</w:t>
            </w: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10/22/2012</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11/17/2012</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12/06/2012</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10/21/2013</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10/23/2013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11/17/2013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12/06/2013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10/23/2014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4,212</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11/17/2014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12/06/2014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4,212</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11/17/2015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12/06/2015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20" w:type="dxa"/>
            <w:vAlign w:val="bottom"/>
            <w:gridSpan w:val="3"/>
          </w:tcPr>
          <w:p>
            <w:pPr>
              <w:spacing w:after="0" w:line="138" w:lineRule="exact"/>
              <w:rPr>
                <w:sz w:val="20"/>
                <w:szCs w:val="20"/>
                <w:color w:val="auto"/>
              </w:rPr>
            </w:pPr>
            <w:r>
              <w:rPr>
                <w:rFonts w:ascii="Arial" w:cs="Arial" w:eastAsia="Arial" w:hAnsi="Arial"/>
                <w:sz w:val="14"/>
                <w:szCs w:val="14"/>
                <w:color w:val="auto"/>
              </w:rPr>
              <w:t>Matthew J. Petrizzo</w:t>
            </w:r>
          </w:p>
        </w:tc>
        <w:tc>
          <w:tcPr>
            <w:tcW w:w="2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08/14/2012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4,500(1)</w:t>
            </w:r>
          </w:p>
        </w:tc>
        <w:tc>
          <w:tcPr>
            <w:tcW w:w="600" w:type="dxa"/>
            <w:vAlign w:val="bottom"/>
          </w:tcPr>
          <w:p>
            <w:pPr>
              <w:spacing w:after="0"/>
              <w:rPr>
                <w:sz w:val="11"/>
                <w:szCs w:val="11"/>
                <w:color w:val="auto"/>
              </w:rPr>
            </w:pPr>
          </w:p>
        </w:tc>
        <w:tc>
          <w:tcPr>
            <w:tcW w:w="9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1,800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1,650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11/12/2012</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3,900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11/17/2012</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12/02/2012</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1,800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10/23/2013</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3,900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11/17/2013</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12/02/2013</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1,800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10/23/2014</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3,900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11/17/2014</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12/02/2014</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3,900</w:t>
            </w:r>
          </w:p>
        </w:tc>
        <w:tc>
          <w:tcPr>
            <w:tcW w:w="6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11/17/2015</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54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5,000</w:t>
            </w:r>
          </w:p>
        </w:tc>
        <w:tc>
          <w:tcPr>
            <w:tcW w:w="600" w:type="dxa"/>
            <w:vAlign w:val="bottom"/>
          </w:tcPr>
          <w:p>
            <w:pPr>
              <w:spacing w:after="0"/>
              <w:rPr>
                <w:sz w:val="13"/>
                <w:szCs w:val="13"/>
                <w:color w:val="auto"/>
              </w:rPr>
            </w:pPr>
          </w:p>
        </w:tc>
        <w:tc>
          <w:tcPr>
            <w:tcW w:w="8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12/02/2015</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22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08/14/2012</w:t>
            </w:r>
          </w:p>
        </w:tc>
        <w:tc>
          <w:tcPr>
            <w:tcW w:w="14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4,000(1)</w:t>
            </w:r>
          </w:p>
        </w:tc>
        <w:tc>
          <w:tcPr>
            <w:tcW w:w="15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1,600</w:t>
            </w: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10/23/2012</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4,238</w:t>
            </w: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11/17/2012</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12/02/2012</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10/23/2013</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4,238</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11/17/2013</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12/02/2013</w:t>
            </w: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10/23/2014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11/17/2014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12/02/2014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11/17/2015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12/02/2015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20" w:type="dxa"/>
            <w:vAlign w:val="bottom"/>
            <w:gridSpan w:val="2"/>
          </w:tcPr>
          <w:p>
            <w:pPr>
              <w:jc w:val="right"/>
              <w:ind w:right="372"/>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80" w:hanging="332"/>
        <w:spacing w:after="0" w:line="278"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These awards were granted in fiscal 2010. Fifty percent of the award was a performance based award. Under the performance based award, the Named Executive Officers will receive 50% of the award after three years if our cumulative fully-diluted EPS for the three-year period beginning in fiscal 2010 meets the established Threshold level of $2.75, 100% after three years if the cumulative fully-diluted EPS meets the established Target level of 3.30, and 150% after three years if the cumulative fully-diluted EPS meets the established Maximum level of $3.62. Phantom shares will be granted for awards earned above 100%. Shares awarded for performance that falls between the established levels will be calculated on a pro-rata basis.</w:t>
      </w:r>
    </w:p>
    <w:p>
      <w:pPr>
        <w:spacing w:after="0" w:line="116" w:lineRule="exact"/>
        <w:rPr>
          <w:rFonts w:ascii="Arial" w:cs="Arial" w:eastAsia="Arial" w:hAnsi="Arial"/>
          <w:sz w:val="12"/>
          <w:szCs w:val="12"/>
          <w:color w:val="auto"/>
        </w:rPr>
      </w:pPr>
    </w:p>
    <w:p>
      <w:pPr>
        <w:jc w:val="both"/>
        <w:ind w:left="360" w:right="180"/>
        <w:spacing w:after="0" w:line="189" w:lineRule="auto"/>
        <w:rPr>
          <w:rFonts w:ascii="Arial" w:cs="Arial" w:eastAsia="Arial" w:hAnsi="Arial"/>
          <w:sz w:val="12"/>
          <w:szCs w:val="12"/>
          <w:color w:val="auto"/>
        </w:rPr>
      </w:pPr>
      <w:r>
        <w:rPr>
          <w:rFonts w:ascii="Arial" w:cs="Arial" w:eastAsia="Arial" w:hAnsi="Arial"/>
          <w:sz w:val="13"/>
          <w:szCs w:val="13"/>
          <w:color w:val="auto"/>
        </w:rPr>
        <w:t>The remaining fifty percent of the award was a market based award. Under the market based award, the Named Executive Officers receive 50% of the award if, on the third anniversary of the grant, the Company’s Total Shareholder Return (“TSR”) is between the 40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65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when compared to the TSR of a group of peer companies, 100% of the award if the Company’s TSR is between the 65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90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and 150% if the Company’s TSR exceeds the 90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Phantom shares will be granted for awards earned above 100%. Shares awarded for performance that falls between the established levels will be calculated on a pro-rata basis.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2012</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restricted stock units in fiscal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1172"/>
              <w:spacing w:after="0"/>
              <w:rPr>
                <w:sz w:val="20"/>
                <w:szCs w:val="20"/>
                <w:color w:val="auto"/>
              </w:rPr>
            </w:pPr>
            <w:r>
              <w:rPr>
                <w:rFonts w:ascii="Arial" w:cs="Arial" w:eastAsia="Arial" w:hAnsi="Arial"/>
                <w:sz w:val="14"/>
                <w:szCs w:val="14"/>
                <w:b w:val="1"/>
                <w:bCs w:val="1"/>
                <w:color w:val="auto"/>
              </w:rPr>
              <w:t>Fiscal 2012</w:t>
            </w:r>
          </w:p>
        </w:tc>
        <w:tc>
          <w:tcPr>
            <w:tcW w:w="8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Option Awards</w:t>
            </w:r>
          </w:p>
        </w:tc>
        <w:tc>
          <w:tcPr>
            <w:tcW w:w="90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2"/>
          </w:tcPr>
          <w:p>
            <w:pPr>
              <w:jc w:val="right"/>
              <w:ind w:right="1092"/>
              <w:spacing w:after="0" w:line="142" w:lineRule="exact"/>
              <w:rPr>
                <w:sz w:val="20"/>
                <w:szCs w:val="20"/>
                <w:color w:val="auto"/>
              </w:rPr>
            </w:pPr>
            <w:r>
              <w:rPr>
                <w:rFonts w:ascii="Arial" w:cs="Arial" w:eastAsia="Arial" w:hAnsi="Arial"/>
                <w:sz w:val="14"/>
                <w:szCs w:val="14"/>
                <w:b w:val="1"/>
                <w:bCs w:val="1"/>
                <w:color w:val="auto"/>
                <w:w w:val="88"/>
              </w:rPr>
              <w:t>Stock Awards</w:t>
            </w:r>
          </w:p>
        </w:tc>
        <w:tc>
          <w:tcPr>
            <w:tcW w:w="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 on</w:t>
            </w:r>
          </w:p>
        </w:tc>
        <w:tc>
          <w:tcPr>
            <w:tcW w:w="90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9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8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Vesting</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3"/>
              </w:rPr>
              <w:t>Name</w:t>
            </w:r>
          </w:p>
        </w:tc>
        <w:tc>
          <w:tcPr>
            <w:tcW w:w="348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Exercise (#)</w:t>
            </w:r>
          </w:p>
        </w:tc>
        <w:tc>
          <w:tcPr>
            <w:tcW w:w="2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 (1)</w:t>
            </w:r>
          </w:p>
        </w:tc>
        <w:tc>
          <w:tcPr>
            <w:tcW w:w="90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Vesting (#)</w:t>
            </w:r>
          </w:p>
        </w:tc>
        <w:tc>
          <w:tcPr>
            <w:tcW w:w="88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4"/>
              </w:rPr>
              <w:t>($) (2)</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John R. Hewitt</w:t>
            </w:r>
          </w:p>
        </w:tc>
        <w:tc>
          <w:tcPr>
            <w:tcW w:w="110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2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99,760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20" w:type="dxa"/>
            <w:vAlign w:val="bottom"/>
            <w:gridSpan w:val="3"/>
          </w:tcPr>
          <w:p>
            <w:pPr>
              <w:spacing w:after="0" w:line="149" w:lineRule="exact"/>
              <w:rPr>
                <w:sz w:val="20"/>
                <w:szCs w:val="20"/>
                <w:color w:val="auto"/>
              </w:rPr>
            </w:pPr>
            <w:r>
              <w:rPr>
                <w:rFonts w:ascii="Arial" w:cs="Arial" w:eastAsia="Arial" w:hAnsi="Arial"/>
                <w:sz w:val="14"/>
                <w:szCs w:val="14"/>
                <w:color w:val="auto"/>
              </w:rPr>
              <w:t>Joseph F. Montalbano</w:t>
            </w:r>
          </w:p>
        </w:tc>
        <w:tc>
          <w:tcPr>
            <w:tcW w:w="1100" w:type="dxa"/>
            <w:vAlign w:val="bottom"/>
          </w:tcPr>
          <w:p>
            <w:pPr>
              <w:ind w:left="9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12,947</w:t>
            </w:r>
          </w:p>
        </w:tc>
        <w:tc>
          <w:tcPr>
            <w:tcW w:w="2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127,459</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Kevin S. Cavanah</w:t>
            </w:r>
          </w:p>
        </w:tc>
        <w:tc>
          <w:tcPr>
            <w:tcW w:w="110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6,050</w:t>
            </w:r>
          </w:p>
        </w:tc>
        <w:tc>
          <w:tcPr>
            <w:tcW w:w="2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57,388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20" w:type="dxa"/>
            <w:vAlign w:val="bottom"/>
            <w:gridSpan w:val="3"/>
          </w:tcPr>
          <w:p>
            <w:pPr>
              <w:spacing w:after="0" w:line="149" w:lineRule="exact"/>
              <w:rPr>
                <w:sz w:val="20"/>
                <w:szCs w:val="20"/>
                <w:color w:val="auto"/>
              </w:rPr>
            </w:pPr>
            <w:r>
              <w:rPr>
                <w:rFonts w:ascii="Arial" w:cs="Arial" w:eastAsia="Arial" w:hAnsi="Arial"/>
                <w:sz w:val="14"/>
                <w:szCs w:val="14"/>
                <w:color w:val="auto"/>
              </w:rPr>
              <w:t>Matthew J. Petrizzo</w:t>
            </w:r>
          </w:p>
        </w:tc>
        <w:tc>
          <w:tcPr>
            <w:tcW w:w="1100" w:type="dxa"/>
            <w:vAlign w:val="bottom"/>
          </w:tcPr>
          <w:p>
            <w:pPr>
              <w:ind w:left="9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8,450</w:t>
            </w:r>
          </w:p>
        </w:tc>
        <w:tc>
          <w:tcPr>
            <w:tcW w:w="2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81,452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110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6,330</w:t>
            </w:r>
          </w:p>
        </w:tc>
        <w:tc>
          <w:tcPr>
            <w:tcW w:w="2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59,595</w:t>
            </w:r>
          </w:p>
        </w:tc>
        <w:tc>
          <w:tcPr>
            <w:tcW w:w="60" w:type="dxa"/>
            <w:vAlign w:val="bottom"/>
            <w:shd w:val="clear" w:color="auto" w:fill="CCEEFF"/>
          </w:tcPr>
          <w:p>
            <w:pPr>
              <w:spacing w:after="0"/>
              <w:rPr>
                <w:sz w:val="12"/>
                <w:szCs w:val="12"/>
                <w:color w:val="auto"/>
              </w:rPr>
            </w:pPr>
          </w:p>
        </w:tc>
      </w:tr>
    </w:tbl>
    <w:p>
      <w:pPr>
        <w:spacing w:after="0" w:line="70" w:lineRule="exact"/>
        <w:rPr>
          <w:sz w:val="20"/>
          <w:szCs w:val="20"/>
          <w:color w:val="auto"/>
        </w:rPr>
      </w:pPr>
    </w:p>
    <w:p>
      <w:pPr>
        <w:ind w:left="340" w:right="460" w:hanging="332"/>
        <w:spacing w:after="0" w:line="239"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have entered into Change of Control/Severance Agreements with Mr. Hewitt, Mr. Cavanah, Mr. Montalbano, Mr. Petrizzo and Mr. Ryan.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90" w:lineRule="exact"/>
        <w:rPr>
          <w:sz w:val="20"/>
          <w:szCs w:val="20"/>
          <w:color w:val="auto"/>
        </w:rPr>
      </w:pPr>
    </w:p>
    <w:p>
      <w:pPr>
        <w:ind w:left="900" w:right="3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the Change of Control date;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“Change of Control” means (i) a “change in ownership” of the Company of greater than 50% of the outstanding voting stock of the Company within a six month period; (ii) a “change in the effective control” of the Company as determined by a change of greater than 35% of the outstanding voting stock of the Company by a person or persons acting as a group within a twelve month period; or (iii) a “change in the ownership” of a substantial portion of the assets of the Company as these terms are defined under Internal Revenue Code § 409A(a)(2)(A)(v) and Treasury Regulations § 1.409A-3(g)(5) or other then existing and applicable Treasury Regulations promulgated under Code § 409A that define the terms “change of control” for deferred compensation arrangements.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charged under state or federal law; or willful violation of Company policy. A determination by the Company’s Board of Directors that an event constituting “Cause” under this Agreement has occurred is binding upon the Company and the executive.</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3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an executive suffers an Adverse Event within 24 months of a Change of Control, benefits are paid as follows:</w:t>
      </w:r>
    </w:p>
    <w:p>
      <w:pPr>
        <w:spacing w:after="0" w:line="90" w:lineRule="exact"/>
        <w:rPr>
          <w:sz w:val="20"/>
          <w:szCs w:val="20"/>
          <w:color w:val="auto"/>
        </w:rPr>
      </w:pPr>
    </w:p>
    <w:p>
      <w:pPr>
        <w:jc w:val="both"/>
        <w:ind w:left="920" w:right="60"/>
        <w:spacing w:after="0" w:line="259" w:lineRule="auto"/>
        <w:rPr>
          <w:sz w:val="20"/>
          <w:szCs w:val="20"/>
          <w:color w:val="auto"/>
        </w:rPr>
      </w:pPr>
      <w:r>
        <w:rPr>
          <w:rFonts w:ascii="Arial" w:cs="Arial" w:eastAsia="Arial" w:hAnsi="Arial"/>
          <w:sz w:val="18"/>
          <w:szCs w:val="18"/>
          <w:color w:val="auto"/>
        </w:rPr>
        <w:t>Mr. Hewitt, Mr. Cavanah and Mr. Montalbano – Paid an amount equal to two years of base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59" w:lineRule="exact"/>
        <w:rPr>
          <w:sz w:val="20"/>
          <w:szCs w:val="20"/>
          <w:color w:val="auto"/>
        </w:rPr>
      </w:pPr>
    </w:p>
    <w:p>
      <w:pPr>
        <w:ind w:left="920" w:right="220"/>
        <w:spacing w:after="0" w:line="332" w:lineRule="auto"/>
        <w:rPr>
          <w:sz w:val="20"/>
          <w:szCs w:val="20"/>
          <w:color w:val="auto"/>
        </w:rPr>
      </w:pPr>
      <w:r>
        <w:rPr>
          <w:rFonts w:ascii="Arial" w:cs="Arial" w:eastAsia="Arial" w:hAnsi="Arial"/>
          <w:sz w:val="16"/>
          <w:szCs w:val="16"/>
          <w:color w:val="auto"/>
        </w:rPr>
        <w:t>Mr. Ryan and Mr. Petrizzo – Paid an amount equal to one year of base salary plus the average annual bonus compensation paid to the executive in the previous three calendar years. All forms of equity benefits vest and restrictions on such benefits lapse immediately.</w:t>
      </w:r>
    </w:p>
    <w:p>
      <w:pPr>
        <w:spacing w:after="0" w:line="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an executive is terminated from employment for reasons other than Cause, benefits are paid as follows:</w:t>
      </w:r>
    </w:p>
    <w:p>
      <w:pPr>
        <w:spacing w:after="0" w:line="9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Mr. Hewitt – Paid an amount equal to one year of base salary plus bonus compensation in an amount equal to 75% of base salary. If severance occurs after one full year of employment but no later than two full years of employment, Mr. Hewitt will be immediately vested in 50% of the initial stock grant provided at hire only and the remainder of the award will be forfeited.</w:t>
      </w:r>
    </w:p>
    <w:p>
      <w:pPr>
        <w:spacing w:after="0" w:line="59"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Mr. Cavanah, Mr. Montalbano, Mr. Ryan and Mr. Petrizzo – Paid an amount equal to one year of base salary plus the lesser of the average annual bonus compensation paid to the executive in the previous three years or the number of full fiscal years the executive has been employed in the position.</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have also entered into Change of Control Agreements with other executive officers and key members of management. These agreements are designed to promote stability, continuity and focus for key personnel during periods of uncertainty that may be created by potential change of control situations. We seek to offer some security and protection when asking officers and managers to remain engaged through uncertain times.</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 other than Cause, either on the date of the Change of Control or within six months of the Change of Control date. There is no general severance clause in these agreements.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the event payment of benefits is triggered under these agreements, the executive officer/manager will be paid an amount equal to one year of base salary. In addition, all equity awards immediately vest and all restrictions on such benefits lapse. All benefits paid under these agreements are conditional upon the executive officer/manager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officer/manager is terminated for Cause, all benefits and payments under the agreement are forfeited.</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thirty days of the date of the event. In no case shall the payment of the severance benefits be paid later than March 15 following the calendar year in which the event occurred.</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2012 termination date and, where applicable, using the closing price of our common stock on June 29, 2012 of $11.33. These amounts are estimates only. The actual amounts to be paid out can only be determined at the time of such executive officer’s separation from us.</w:t>
      </w:r>
    </w:p>
    <w:p>
      <w:pPr>
        <w:spacing w:after="0" w:line="143"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stock option or restricted stock unit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Death, Disability or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2960" w:type="dxa"/>
            <w:vAlign w:val="bottom"/>
            <w:tcBorders>
              <w:right w:val="single" w:sz="8" w:color="auto"/>
            </w:tcBorders>
            <w:gridSpan w:val="4"/>
          </w:tcPr>
          <w:p>
            <w:pPr>
              <w:jc w:val="right"/>
              <w:ind w:right="232"/>
              <w:spacing w:after="0" w:line="149" w:lineRule="exact"/>
              <w:rPr>
                <w:sz w:val="20"/>
                <w:szCs w:val="20"/>
                <w:color w:val="auto"/>
              </w:rPr>
            </w:pPr>
            <w:r>
              <w:rPr>
                <w:rFonts w:ascii="Arial" w:cs="Arial" w:eastAsia="Arial" w:hAnsi="Arial"/>
                <w:sz w:val="14"/>
                <w:szCs w:val="14"/>
                <w:b w:val="1"/>
                <w:bCs w:val="1"/>
                <w:color w:val="auto"/>
                <w:w w:val="96"/>
              </w:rPr>
              <w:t>Change of Control with Adverse Event or</w:t>
            </w:r>
          </w:p>
        </w:tc>
        <w:tc>
          <w:tcPr>
            <w:tcW w:w="2980" w:type="dxa"/>
            <w:vAlign w:val="bottom"/>
            <w:tcBorders>
              <w:right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Termination by the Company at any Time</w:t>
            </w:r>
          </w:p>
        </w:tc>
        <w:tc>
          <w:tcPr>
            <w:tcW w:w="860" w:type="dxa"/>
            <w:vAlign w:val="bottom"/>
            <w:tcBorders>
              <w:right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Voluntary</w:t>
            </w:r>
          </w:p>
        </w:tc>
        <w:tc>
          <w:tcPr>
            <w:tcW w:w="1480" w:type="dxa"/>
            <w:vAlign w:val="bottom"/>
            <w:tcBorders>
              <w:right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Change of Control</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Termination</w:t>
            </w:r>
          </w:p>
        </w:tc>
        <w:tc>
          <w:tcPr>
            <w:tcW w:w="860" w:type="dxa"/>
            <w:vAlign w:val="bottom"/>
            <w:tcBorders>
              <w:bottom w:val="single" w:sz="8" w:color="auto"/>
              <w:right w:val="single" w:sz="8" w:color="auto"/>
            </w:tcBorders>
          </w:tcPr>
          <w:p>
            <w:pPr>
              <w:spacing w:after="0"/>
              <w:rPr>
                <w:sz w:val="14"/>
                <w:szCs w:val="14"/>
                <w:color w:val="auto"/>
              </w:rPr>
            </w:pPr>
          </w:p>
        </w:tc>
        <w:tc>
          <w:tcPr>
            <w:tcW w:w="298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for Reasons Other than Cause</w:t>
            </w:r>
          </w:p>
        </w:tc>
        <w:tc>
          <w:tcPr>
            <w:tcW w:w="86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Termination</w:t>
            </w:r>
          </w:p>
        </w:tc>
        <w:tc>
          <w:tcPr>
            <w:tcW w:w="148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(No Adverse Event)</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Value of</w:t>
            </w:r>
          </w:p>
        </w:tc>
        <w:tc>
          <w:tcPr>
            <w:tcW w:w="860" w:type="dxa"/>
            <w:vAlign w:val="bottom"/>
            <w:tcBorders>
              <w:right w:val="single" w:sz="8" w:color="auto"/>
            </w:tcBorders>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900" w:type="dxa"/>
            <w:vAlign w:val="bottom"/>
            <w:tcBorders>
              <w:right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4"/>
              </w:rPr>
              <w:t>Value of</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860" w:type="dxa"/>
            <w:vAlign w:val="bottom"/>
            <w:tcBorders>
              <w:right w:val="single" w:sz="8" w:color="auto"/>
            </w:tcBorders>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90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Restricted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Stock for</w:t>
            </w: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Stock for</w:t>
            </w:r>
          </w:p>
        </w:tc>
        <w:tc>
          <w:tcPr>
            <w:tcW w:w="860" w:type="dxa"/>
            <w:vAlign w:val="bottom"/>
            <w:tcBorders>
              <w:right w:val="single" w:sz="8" w:color="auto"/>
            </w:tcBorders>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Stock for</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6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which</w:t>
            </w: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860" w:type="dxa"/>
            <w:vAlign w:val="bottom"/>
            <w:tcBorders>
              <w:right w:val="single" w:sz="8" w:color="auto"/>
            </w:tcBorders>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90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which</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that</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Restrictions</w:t>
            </w: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860" w:type="dxa"/>
            <w:vAlign w:val="bottom"/>
            <w:tcBorders>
              <w:right w:val="single" w:sz="8" w:color="auto"/>
            </w:tcBorders>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w:t>
            </w:r>
          </w:p>
        </w:tc>
        <w:tc>
          <w:tcPr>
            <w:tcW w:w="90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would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Salary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would</w:t>
            </w:r>
          </w:p>
        </w:tc>
        <w:tc>
          <w:tcPr>
            <w:tcW w:w="86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No</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90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would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Severance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86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Lapse</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1"/>
              </w:rPr>
              <w:t>Severance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Lapse</w:t>
            </w:r>
          </w:p>
        </w:tc>
        <w:tc>
          <w:tcPr>
            <w:tcW w:w="86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90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Lapse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Potential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8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4"/>
                <w:szCs w:val="14"/>
                <w:b w:val="1"/>
                <w:bCs w:val="1"/>
                <w:color w:val="auto"/>
              </w:rPr>
              <w:t>Name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(3)</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(4)</w:t>
            </w: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 (1)</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(5)</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(4)</w:t>
            </w:r>
          </w:p>
        </w:tc>
        <w:tc>
          <w:tcPr>
            <w:tcW w:w="86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Benefits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90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 (4)</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John R. Hewitt</w:t>
            </w:r>
          </w:p>
        </w:tc>
        <w:tc>
          <w:tcPr>
            <w:tcW w:w="7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1,100,000</w:t>
            </w:r>
          </w:p>
        </w:tc>
        <w:tc>
          <w:tcPr>
            <w:tcW w:w="7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80,000</w:t>
            </w:r>
          </w:p>
        </w:tc>
        <w:tc>
          <w:tcPr>
            <w:tcW w:w="6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1,362,999</w:t>
            </w:r>
          </w:p>
        </w:tc>
        <w:tc>
          <w:tcPr>
            <w:tcW w:w="7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550,000</w:t>
            </w:r>
          </w:p>
        </w:tc>
        <w:tc>
          <w:tcPr>
            <w:tcW w:w="7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412,500</w:t>
            </w:r>
          </w:p>
        </w:tc>
        <w:tc>
          <w:tcPr>
            <w:tcW w:w="60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135,960</w:t>
            </w:r>
          </w:p>
        </w:tc>
        <w:tc>
          <w:tcPr>
            <w:tcW w:w="860" w:type="dxa"/>
            <w:vAlign w:val="bottom"/>
            <w:tcBorders>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1,362,999</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2,542,999</w:t>
            </w:r>
          </w:p>
        </w:tc>
        <w:tc>
          <w:tcPr>
            <w:tcW w:w="0" w:type="dxa"/>
            <w:vAlign w:val="bottom"/>
          </w:tcPr>
          <w:p>
            <w:pPr>
              <w:spacing w:after="0"/>
              <w:rPr>
                <w:sz w:val="1"/>
                <w:szCs w:val="1"/>
                <w:color w:val="auto"/>
              </w:rPr>
            </w:pPr>
          </w:p>
        </w:tc>
      </w:tr>
      <w:tr>
        <w:trPr>
          <w:trHeight w:val="405"/>
        </w:trPr>
        <w:tc>
          <w:tcPr>
            <w:tcW w:w="24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Joseph F. Montalbano</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800,100</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131,158</w:t>
            </w:r>
          </w:p>
        </w:tc>
        <w:tc>
          <w:tcPr>
            <w:tcW w:w="600" w:type="dxa"/>
            <w:vAlign w:val="bottom"/>
          </w:tcPr>
          <w:p>
            <w:pPr>
              <w:jc w:val="right"/>
              <w:spacing w:after="0"/>
              <w:rPr>
                <w:sz w:val="20"/>
                <w:szCs w:val="20"/>
                <w:color w:val="auto"/>
              </w:rPr>
            </w:pPr>
            <w:r>
              <w:rPr>
                <w:rFonts w:ascii="Arial" w:cs="Arial" w:eastAsia="Arial" w:hAnsi="Arial"/>
                <w:sz w:val="14"/>
                <w:szCs w:val="14"/>
                <w:color w:val="auto"/>
              </w:rPr>
              <w:t>23,997</w:t>
            </w:r>
          </w:p>
        </w:tc>
        <w:tc>
          <w:tcPr>
            <w:tcW w:w="860" w:type="dxa"/>
            <w:vAlign w:val="bottom"/>
            <w:tcBorders>
              <w:right w:val="single" w:sz="8" w:color="auto"/>
            </w:tcBorders>
          </w:tcPr>
          <w:p>
            <w:pPr>
              <w:jc w:val="right"/>
              <w:ind w:right="52"/>
              <w:spacing w:after="0"/>
              <w:rPr>
                <w:sz w:val="20"/>
                <w:szCs w:val="20"/>
                <w:color w:val="auto"/>
              </w:rPr>
            </w:pPr>
            <w:r>
              <w:rPr>
                <w:rFonts w:ascii="Arial" w:cs="Arial" w:eastAsia="Arial" w:hAnsi="Arial"/>
                <w:sz w:val="14"/>
                <w:szCs w:val="14"/>
                <w:color w:val="auto"/>
              </w:rPr>
              <w:t>861,035</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400,050</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131,158</w:t>
            </w:r>
          </w:p>
        </w:tc>
        <w:tc>
          <w:tcPr>
            <w:tcW w:w="600" w:type="dxa"/>
            <w:vAlign w:val="bottom"/>
          </w:tcPr>
          <w:p>
            <w:pPr>
              <w:ind w:left="34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580" w:type="dxa"/>
            <w:vAlign w:val="bottom"/>
          </w:tcPr>
          <w:p>
            <w:pPr>
              <w:ind w:left="160"/>
              <w:spacing w:after="0"/>
              <w:rPr>
                <w:sz w:val="20"/>
                <w:szCs w:val="20"/>
                <w:color w:val="auto"/>
              </w:rPr>
            </w:pPr>
            <w:r>
              <w:rPr>
                <w:rFonts w:ascii="Arial" w:cs="Arial" w:eastAsia="Arial" w:hAnsi="Arial"/>
                <w:sz w:val="14"/>
                <w:szCs w:val="14"/>
                <w:color w:val="auto"/>
                <w:w w:val="93"/>
              </w:rPr>
              <w:t>23,997</w:t>
            </w:r>
          </w:p>
        </w:tc>
        <w:tc>
          <w:tcPr>
            <w:tcW w:w="90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861,035</w:t>
            </w:r>
          </w:p>
        </w:tc>
        <w:tc>
          <w:tcPr>
            <w:tcW w:w="740" w:type="dxa"/>
            <w:vAlign w:val="bottom"/>
          </w:tcPr>
          <w:p>
            <w:pPr>
              <w:jc w:val="right"/>
              <w:spacing w:after="0"/>
              <w:rPr>
                <w:sz w:val="20"/>
                <w:szCs w:val="20"/>
                <w:color w:val="auto"/>
              </w:rPr>
            </w:pPr>
            <w:r>
              <w:rPr>
                <w:rFonts w:ascii="Arial" w:cs="Arial" w:eastAsia="Arial" w:hAnsi="Arial"/>
                <w:sz w:val="14"/>
                <w:szCs w:val="14"/>
                <w:color w:val="auto"/>
              </w:rPr>
              <w:t>1,816,290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Kevin S. Cavanah</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517,000</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19,209</w:t>
            </w:r>
          </w:p>
        </w:tc>
        <w:tc>
          <w:tcPr>
            <w:tcW w:w="86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499,993</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258,500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28,200</w:t>
            </w:r>
          </w:p>
        </w:tc>
        <w:tc>
          <w:tcPr>
            <w:tcW w:w="6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19,209</w:t>
            </w:r>
          </w:p>
        </w:tc>
        <w:tc>
          <w:tcPr>
            <w:tcW w:w="9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499,993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1,064,402</w:t>
            </w:r>
          </w:p>
        </w:tc>
        <w:tc>
          <w:tcPr>
            <w:tcW w:w="0" w:type="dxa"/>
            <w:vAlign w:val="bottom"/>
          </w:tcPr>
          <w:p>
            <w:pPr>
              <w:spacing w:after="0"/>
              <w:rPr>
                <w:sz w:val="1"/>
                <w:szCs w:val="1"/>
                <w:color w:val="auto"/>
              </w:rPr>
            </w:pPr>
          </w:p>
        </w:tc>
      </w:tr>
      <w:tr>
        <w:trPr>
          <w:trHeight w:val="405"/>
        </w:trPr>
        <w:tc>
          <w:tcPr>
            <w:tcW w:w="24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Matthew J. Petrizzo</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304,020</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47,508</w:t>
            </w:r>
          </w:p>
        </w:tc>
        <w:tc>
          <w:tcPr>
            <w:tcW w:w="600" w:type="dxa"/>
            <w:vAlign w:val="bottom"/>
          </w:tcPr>
          <w:p>
            <w:pPr>
              <w:jc w:val="right"/>
              <w:spacing w:after="0"/>
              <w:rPr>
                <w:sz w:val="20"/>
                <w:szCs w:val="20"/>
                <w:color w:val="auto"/>
              </w:rPr>
            </w:pPr>
            <w:r>
              <w:rPr>
                <w:rFonts w:ascii="Arial" w:cs="Arial" w:eastAsia="Arial" w:hAnsi="Arial"/>
                <w:sz w:val="14"/>
                <w:szCs w:val="14"/>
                <w:color w:val="auto"/>
              </w:rPr>
              <w:t>17,784</w:t>
            </w:r>
          </w:p>
        </w:tc>
        <w:tc>
          <w:tcPr>
            <w:tcW w:w="860" w:type="dxa"/>
            <w:vAlign w:val="bottom"/>
            <w:tcBorders>
              <w:right w:val="single" w:sz="8" w:color="auto"/>
            </w:tcBorders>
          </w:tcPr>
          <w:p>
            <w:pPr>
              <w:jc w:val="right"/>
              <w:ind w:right="52"/>
              <w:spacing w:after="0"/>
              <w:rPr>
                <w:sz w:val="20"/>
                <w:szCs w:val="20"/>
                <w:color w:val="auto"/>
              </w:rPr>
            </w:pPr>
            <w:r>
              <w:rPr>
                <w:rFonts w:ascii="Arial" w:cs="Arial" w:eastAsia="Arial" w:hAnsi="Arial"/>
                <w:sz w:val="14"/>
                <w:szCs w:val="14"/>
                <w:color w:val="auto"/>
              </w:rPr>
              <w:t>641,845</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304,020</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47,508</w:t>
            </w:r>
          </w:p>
        </w:tc>
        <w:tc>
          <w:tcPr>
            <w:tcW w:w="600" w:type="dxa"/>
            <w:vAlign w:val="bottom"/>
          </w:tcPr>
          <w:p>
            <w:pPr>
              <w:ind w:left="34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580" w:type="dxa"/>
            <w:vAlign w:val="bottom"/>
          </w:tcPr>
          <w:p>
            <w:pPr>
              <w:ind w:left="160"/>
              <w:spacing w:after="0"/>
              <w:rPr>
                <w:sz w:val="20"/>
                <w:szCs w:val="20"/>
                <w:color w:val="auto"/>
              </w:rPr>
            </w:pPr>
            <w:r>
              <w:rPr>
                <w:rFonts w:ascii="Arial" w:cs="Arial" w:eastAsia="Arial" w:hAnsi="Arial"/>
                <w:sz w:val="14"/>
                <w:szCs w:val="14"/>
                <w:color w:val="auto"/>
                <w:w w:val="93"/>
              </w:rPr>
              <w:t>17,784</w:t>
            </w:r>
          </w:p>
        </w:tc>
        <w:tc>
          <w:tcPr>
            <w:tcW w:w="90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641,845</w:t>
            </w:r>
          </w:p>
        </w:tc>
        <w:tc>
          <w:tcPr>
            <w:tcW w:w="740" w:type="dxa"/>
            <w:vAlign w:val="bottom"/>
          </w:tcPr>
          <w:p>
            <w:pPr>
              <w:jc w:val="right"/>
              <w:spacing w:after="0"/>
              <w:rPr>
                <w:sz w:val="20"/>
                <w:szCs w:val="20"/>
                <w:color w:val="auto"/>
              </w:rPr>
            </w:pPr>
            <w:r>
              <w:rPr>
                <w:rFonts w:ascii="Arial" w:cs="Arial" w:eastAsia="Arial" w:hAnsi="Arial"/>
                <w:sz w:val="14"/>
                <w:szCs w:val="14"/>
                <w:color w:val="auto"/>
              </w:rPr>
              <w:t>1,011,157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312,399</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55,304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19,323</w:t>
            </w:r>
          </w:p>
        </w:tc>
        <w:tc>
          <w:tcPr>
            <w:tcW w:w="86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593,126</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312,399</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55,304</w:t>
            </w:r>
          </w:p>
        </w:tc>
        <w:tc>
          <w:tcPr>
            <w:tcW w:w="6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19,323</w:t>
            </w:r>
          </w:p>
        </w:tc>
        <w:tc>
          <w:tcPr>
            <w:tcW w:w="9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593,126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980,152</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payment of one or two years of base salary for the event specified based on annual base salary as of June 30, 2012.</w:t>
      </w:r>
    </w:p>
    <w:p>
      <w:pPr>
        <w:spacing w:after="0" w:line="68" w:lineRule="exact"/>
        <w:rPr>
          <w:rFonts w:ascii="Arial" w:cs="Arial" w:eastAsia="Arial" w:hAnsi="Arial"/>
          <w:sz w:val="14"/>
          <w:szCs w:val="14"/>
          <w:color w:val="auto"/>
        </w:rPr>
      </w:pPr>
    </w:p>
    <w:p>
      <w:pPr>
        <w:ind w:left="340" w:right="10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57" w:lineRule="exact"/>
        <w:rPr>
          <w:rFonts w:ascii="Arial" w:cs="Arial" w:eastAsia="Arial" w:hAnsi="Arial"/>
          <w:sz w:val="14"/>
          <w:szCs w:val="14"/>
          <w:color w:val="auto"/>
        </w:rPr>
      </w:pPr>
    </w:p>
    <w:p>
      <w:pPr>
        <w:ind w:left="340" w:right="100" w:hanging="332"/>
        <w:spacing w:after="0" w:line="318"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June 29, 2012, multiplied by the number of nonvested stock options at June 30, 2012.</w:t>
      </w:r>
    </w:p>
    <w:p>
      <w:pPr>
        <w:spacing w:after="0" w:line="12" w:lineRule="exact"/>
        <w:rPr>
          <w:rFonts w:ascii="Arial" w:cs="Arial" w:eastAsia="Arial" w:hAnsi="Arial"/>
          <w:sz w:val="12"/>
          <w:szCs w:val="12"/>
          <w:color w:val="auto"/>
        </w:rPr>
      </w:pPr>
    </w:p>
    <w:p>
      <w:pPr>
        <w:ind w:left="340" w:right="6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lapsing of restrictions on restricted stock units due to the specified event. The value is the number of unvested restricted stock units at June 30, 2012 multiplied by the market price of common stock at the close of business on June 29, 2012.</w:t>
      </w:r>
    </w:p>
    <w:p>
      <w:pPr>
        <w:spacing w:after="0" w:line="57" w:lineRule="exact"/>
        <w:rPr>
          <w:rFonts w:ascii="Arial" w:cs="Arial" w:eastAsia="Arial" w:hAnsi="Arial"/>
          <w:sz w:val="14"/>
          <w:szCs w:val="14"/>
          <w:color w:val="auto"/>
        </w:rPr>
      </w:pPr>
    </w:p>
    <w:p>
      <w:pPr>
        <w:ind w:left="340" w:right="20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75% of annual salary for Mr. Hewitt. For Mr. Montalbano, Mr. Cavanah, Mr. Petrizzo and Mr. Ryan, the amount represents payment of non-equity incentive severance for the event specified based on the average annual bonus compensation paid to the executive in the three preceeding calendar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3: Advisory Vote to Approve Named Executive Officer Compensation</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Section 14A of the Securities Exchange Act of 1934, as amended, we are seeking an advisory vote from our stockholders to approve our Named Executive Officer compensation, as set forth below.</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are asking for stockholder approval of the compensation of our Named Executive Officers as disclosed in this proxy statement in accordance with SEC rules, which disclosures include the disclosures under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under the heading “Compensation Discussion and Analysis,” our executive compensation and benefit programs are designed to attract, motivate and retain a talented management team and to appropriately reward individual contributions to the achievement of our strategic goals. The Board of Directors believes this approach establishes a solid alignment of our executives’ and stockholders’ interests.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principles in the design and administration of our executive compensation program:</w:t>
      </w:r>
    </w:p>
    <w:p>
      <w:pPr>
        <w:spacing w:after="0" w:line="90" w:lineRule="exact"/>
        <w:rPr>
          <w:sz w:val="20"/>
          <w:szCs w:val="20"/>
          <w:color w:val="auto"/>
        </w:rPr>
      </w:pPr>
    </w:p>
    <w:p>
      <w:pPr>
        <w:ind w:left="900" w:right="38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10"/>
          <w:szCs w:val="10"/>
          <w:color w:val="auto"/>
        </w:rPr>
        <w:t>th</w:t>
      </w:r>
      <w:r>
        <w:rPr>
          <w:rFonts w:ascii="Arial" w:cs="Arial" w:eastAsia="Arial" w:hAnsi="Arial"/>
          <w:sz w:val="16"/>
          <w:szCs w:val="16"/>
          <w:color w:val="auto"/>
        </w:rPr>
        <w:t xml:space="preserve"> percentile) market levels.</w:t>
      </w:r>
    </w:p>
    <w:p>
      <w:pPr>
        <w:spacing w:after="0" w:line="4"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59"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11"/>
          <w:szCs w:val="11"/>
          <w:color w:val="auto"/>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59"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50" w:lineRule="exact"/>
        <w:rPr>
          <w:rFonts w:ascii="Arial" w:cs="Arial" w:eastAsia="Arial" w:hAnsi="Arial"/>
          <w:sz w:val="18"/>
          <w:szCs w:val="18"/>
          <w:color w:val="auto"/>
        </w:rPr>
      </w:pPr>
    </w:p>
    <w:p>
      <w:pPr>
        <w:ind w:left="900" w:right="62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Approval of this advisory vote requires the affirmative vote of the majority of shares present in person or by proxy at the Annual Meeting and entitled to vote for the adoption of this proposal. </w:t>
      </w:r>
      <w:r>
        <w:rPr>
          <w:rFonts w:ascii="Arial" w:cs="Arial" w:eastAsia="Arial" w:hAnsi="Arial"/>
          <w:sz w:val="18"/>
          <w:szCs w:val="18"/>
          <w:b w:val="1"/>
          <w:bCs w:val="1"/>
          <w:color w:val="auto"/>
        </w:rPr>
        <w:t>The Board of Directors recommends a vote “For” the approval of the compensation of our Named Executive Officers as</w:t>
      </w:r>
      <w:r>
        <w:rPr>
          <w:rFonts w:ascii="Arial" w:cs="Arial" w:eastAsia="Arial" w:hAnsi="Arial"/>
          <w:sz w:val="18"/>
          <w:szCs w:val="18"/>
          <w:color w:val="auto"/>
        </w:rPr>
        <w:t xml:space="preserve"> </w:t>
      </w:r>
      <w:r>
        <w:rPr>
          <w:rFonts w:ascii="Arial" w:cs="Arial" w:eastAsia="Arial" w:hAnsi="Arial"/>
          <w:sz w:val="18"/>
          <w:szCs w:val="18"/>
          <w:b w:val="1"/>
          <w:bCs w:val="1"/>
          <w:color w:val="auto"/>
        </w:rPr>
        <w:t>disclosed in this proxy statement pursuant to the compensation disclosure rules of the SEC.</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Board of Directors welcomes our stockholders’ views on this subject, and will carefully consider the outcome of this vote. However, as an advisory vote, the outcome is not binding on us or the Board.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160" w:firstLine="3202"/>
        <w:spacing w:after="0" w:line="394" w:lineRule="auto"/>
        <w:rPr>
          <w:sz w:val="20"/>
          <w:szCs w:val="20"/>
          <w:color w:val="auto"/>
        </w:rPr>
      </w:pPr>
      <w:r>
        <w:rPr>
          <w:rFonts w:ascii="Arial" w:cs="Arial" w:eastAsia="Arial" w:hAnsi="Arial"/>
          <w:sz w:val="18"/>
          <w:szCs w:val="18"/>
          <w:b w:val="1"/>
          <w:bCs w:val="1"/>
          <w:color w:val="auto"/>
        </w:rPr>
        <w:t>CERTAIN RELATIONSHIPS AND RELATED TRANSACTIONS Review, Approval or Ratification of Transactions with Related Persons</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Company’s Corporate Governance Guidelines, which are available on the Corporate Governance page in the Investor Relations section of our website, </w:t>
      </w:r>
      <w:r>
        <w:rPr>
          <w:rFonts w:ascii="Arial" w:cs="Arial" w:eastAsia="Arial" w:hAnsi="Arial"/>
          <w:sz w:val="18"/>
          <w:szCs w:val="18"/>
          <w:u w:val="single" w:color="auto"/>
          <w:color w:val="auto"/>
        </w:rPr>
        <w:t>http://www.matrixservicecompany.com</w:t>
      </w:r>
      <w:r>
        <w:rPr>
          <w:rFonts w:ascii="Arial" w:cs="Arial" w:eastAsia="Arial" w:hAnsi="Arial"/>
          <w:sz w:val="18"/>
          <w:szCs w:val="18"/>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9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fiscal 2012, there were no related person transactions required to be disclosed under SEC rules and regulations.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following table sets forth, as of September 1, 2012, certain information with respect to the shares of common stock beneficially owned by (i) each person known by the Company to own beneficially more than 5% of its outstanding shares of Common Stock, (ii) each director and director nominee of the Company,</w:t>
      </w:r>
    </w:p>
    <w:p>
      <w:pPr>
        <w:ind w:right="120" w:firstLine="8"/>
        <w:spacing w:after="0" w:line="323" w:lineRule="auto"/>
        <w:tabs>
          <w:tab w:leader="none" w:pos="3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Identity of Beneficial Owner</w:t>
            </w: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Shares Beneficially Owned</w:t>
            </w:r>
          </w:p>
        </w:tc>
        <w:tc>
          <w:tcPr>
            <w:tcW w:w="154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Calculated Ownership % (1)</w:t>
            </w:r>
          </w:p>
        </w:tc>
        <w:tc>
          <w:tcPr>
            <w:tcW w:w="200" w:type="dxa"/>
            <w:vAlign w:val="bottom"/>
          </w:tcPr>
          <w:p>
            <w:pPr>
              <w:spacing w:after="0"/>
              <w:rPr>
                <w:sz w:val="14"/>
                <w:szCs w:val="14"/>
                <w:color w:val="auto"/>
              </w:rPr>
            </w:pPr>
          </w:p>
        </w:tc>
      </w:tr>
      <w:tr>
        <w:trPr>
          <w:trHeight w:val="210"/>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4520" w:type="dxa"/>
            <w:vAlign w:val="bottom"/>
            <w:gridSpan w:val="3"/>
            <w:shd w:val="clear" w:color="auto" w:fill="CCEEFF"/>
          </w:tcPr>
          <w:p>
            <w:pPr>
              <w:jc w:val="right"/>
              <w:ind w:right="1380"/>
              <w:spacing w:after="0"/>
              <w:rPr>
                <w:sz w:val="20"/>
                <w:szCs w:val="20"/>
                <w:color w:val="auto"/>
              </w:rPr>
            </w:pPr>
            <w:r>
              <w:rPr>
                <w:rFonts w:ascii="Arial" w:cs="Arial" w:eastAsia="Arial" w:hAnsi="Arial"/>
                <w:sz w:val="18"/>
                <w:szCs w:val="18"/>
                <w:color w:val="auto"/>
              </w:rPr>
              <w:t xml:space="preserve">2,777,749 </w:t>
            </w:r>
            <w:r>
              <w:rPr>
                <w:rFonts w:ascii="Arial" w:cs="Arial" w:eastAsia="Arial" w:hAnsi="Arial"/>
                <w:sz w:val="11"/>
                <w:szCs w:val="11"/>
                <w:color w:val="auto"/>
              </w:rPr>
              <w:t>(2)</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r>
      <w:tr>
        <w:trPr>
          <w:trHeight w:val="216"/>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745 Fifth Avenue</w:t>
            </w:r>
          </w:p>
        </w:tc>
        <w:tc>
          <w:tcPr>
            <w:tcW w:w="1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York, NY 10151</w:t>
            </w:r>
          </w:p>
        </w:tc>
        <w:tc>
          <w:tcPr>
            <w:tcW w:w="1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23"/>
        </w:trPr>
        <w:tc>
          <w:tcPr>
            <w:tcW w:w="494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4520" w:type="dxa"/>
            <w:vAlign w:val="bottom"/>
            <w:gridSpan w:val="3"/>
          </w:tcPr>
          <w:p>
            <w:pPr>
              <w:jc w:val="right"/>
              <w:ind w:right="1380"/>
              <w:spacing w:after="0"/>
              <w:rPr>
                <w:sz w:val="20"/>
                <w:szCs w:val="20"/>
                <w:color w:val="auto"/>
              </w:rPr>
            </w:pPr>
            <w:r>
              <w:rPr>
                <w:rFonts w:ascii="Arial" w:cs="Arial" w:eastAsia="Arial" w:hAnsi="Arial"/>
                <w:sz w:val="18"/>
                <w:szCs w:val="18"/>
                <w:color w:val="auto"/>
              </w:rPr>
              <w:t xml:space="preserve">2,291,354 </w:t>
            </w:r>
            <w:r>
              <w:rPr>
                <w:rFonts w:ascii="Arial" w:cs="Arial" w:eastAsia="Arial" w:hAnsi="Arial"/>
                <w:sz w:val="11"/>
                <w:szCs w:val="11"/>
                <w:color w:val="auto"/>
              </w:rPr>
              <w:t>(3)</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17"/>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1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York, NY 10022</w:t>
            </w:r>
          </w:p>
        </w:tc>
        <w:tc>
          <w:tcPr>
            <w:tcW w:w="1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23"/>
        </w:trPr>
        <w:tc>
          <w:tcPr>
            <w:tcW w:w="4940" w:type="dxa"/>
            <w:vAlign w:val="bottom"/>
            <w:gridSpan w:val="3"/>
          </w:tcPr>
          <w:p>
            <w:pPr>
              <w:spacing w:after="0"/>
              <w:rPr>
                <w:sz w:val="20"/>
                <w:szCs w:val="20"/>
                <w:color w:val="auto"/>
              </w:rPr>
            </w:pPr>
            <w:r>
              <w:rPr>
                <w:rFonts w:ascii="Arial" w:cs="Arial" w:eastAsia="Arial" w:hAnsi="Arial"/>
                <w:sz w:val="18"/>
                <w:szCs w:val="18"/>
                <w:color w:val="auto"/>
              </w:rPr>
              <w:t>Zesiger Capital Group LLC</w:t>
            </w:r>
          </w:p>
        </w:tc>
        <w:tc>
          <w:tcPr>
            <w:tcW w:w="4520" w:type="dxa"/>
            <w:vAlign w:val="bottom"/>
            <w:gridSpan w:val="3"/>
          </w:tcPr>
          <w:p>
            <w:pPr>
              <w:jc w:val="right"/>
              <w:ind w:right="1380"/>
              <w:spacing w:after="0"/>
              <w:rPr>
                <w:sz w:val="20"/>
                <w:szCs w:val="20"/>
                <w:color w:val="auto"/>
              </w:rPr>
            </w:pPr>
            <w:r>
              <w:rPr>
                <w:rFonts w:ascii="Arial" w:cs="Arial" w:eastAsia="Arial" w:hAnsi="Arial"/>
                <w:sz w:val="18"/>
                <w:szCs w:val="18"/>
                <w:color w:val="auto"/>
              </w:rPr>
              <w:t xml:space="preserve">1,907,900 </w:t>
            </w:r>
            <w:r>
              <w:rPr>
                <w:rFonts w:ascii="Arial" w:cs="Arial" w:eastAsia="Arial" w:hAnsi="Arial"/>
                <w:sz w:val="11"/>
                <w:szCs w:val="11"/>
                <w:color w:val="auto"/>
              </w:rPr>
              <w:t>(4)</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17"/>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460 Park Avenue, 22</w:t>
            </w:r>
            <w:r>
              <w:rPr>
                <w:rFonts w:ascii="Arial" w:cs="Arial" w:eastAsia="Arial" w:hAnsi="Arial"/>
                <w:sz w:val="11"/>
                <w:szCs w:val="11"/>
                <w:color w:val="auto"/>
              </w:rPr>
              <w:t>nd</w:t>
            </w:r>
            <w:r>
              <w:rPr>
                <w:rFonts w:ascii="Arial" w:cs="Arial" w:eastAsia="Arial" w:hAnsi="Arial"/>
                <w:sz w:val="18"/>
                <w:szCs w:val="18"/>
                <w:color w:val="auto"/>
              </w:rPr>
              <w:t xml:space="preserve"> Floor</w:t>
            </w:r>
          </w:p>
        </w:tc>
        <w:tc>
          <w:tcPr>
            <w:tcW w:w="1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2"/>
        </w:trPr>
        <w:tc>
          <w:tcPr>
            <w:tcW w:w="4940" w:type="dxa"/>
            <w:vAlign w:val="bottom"/>
            <w:gridSpan w:val="3"/>
          </w:tcPr>
          <w:p>
            <w:pPr>
              <w:ind w:left="220"/>
              <w:spacing w:after="0"/>
              <w:rPr>
                <w:sz w:val="20"/>
                <w:szCs w:val="20"/>
                <w:color w:val="auto"/>
              </w:rPr>
            </w:pPr>
            <w:r>
              <w:rPr>
                <w:rFonts w:ascii="Arial" w:cs="Arial" w:eastAsia="Arial" w:hAnsi="Arial"/>
                <w:sz w:val="18"/>
                <w:szCs w:val="18"/>
                <w:color w:val="auto"/>
              </w:rPr>
              <w:t>New York, NY 10022</w:t>
            </w:r>
          </w:p>
        </w:tc>
        <w:tc>
          <w:tcPr>
            <w:tcW w:w="1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17"/>
        </w:trPr>
        <w:tc>
          <w:tcPr>
            <w:tcW w:w="4940" w:type="dxa"/>
            <w:vAlign w:val="bottom"/>
            <w:gridSpan w:val="3"/>
          </w:tcPr>
          <w:p>
            <w:pPr>
              <w:spacing w:after="0"/>
              <w:rPr>
                <w:sz w:val="20"/>
                <w:szCs w:val="20"/>
                <w:color w:val="auto"/>
              </w:rPr>
            </w:pPr>
            <w:r>
              <w:rPr>
                <w:rFonts w:ascii="Arial" w:cs="Arial" w:eastAsia="Arial" w:hAnsi="Arial"/>
                <w:sz w:val="18"/>
                <w:szCs w:val="18"/>
                <w:color w:val="auto"/>
              </w:rPr>
              <w:t>The Vanguard Group, Inc.</w:t>
            </w:r>
          </w:p>
        </w:tc>
        <w:tc>
          <w:tcPr>
            <w:tcW w:w="4520" w:type="dxa"/>
            <w:vAlign w:val="bottom"/>
            <w:gridSpan w:val="3"/>
          </w:tcPr>
          <w:p>
            <w:pPr>
              <w:jc w:val="right"/>
              <w:ind w:right="1380"/>
              <w:spacing w:after="0"/>
              <w:rPr>
                <w:sz w:val="20"/>
                <w:szCs w:val="20"/>
                <w:color w:val="auto"/>
              </w:rPr>
            </w:pPr>
            <w:r>
              <w:rPr>
                <w:rFonts w:ascii="Arial" w:cs="Arial" w:eastAsia="Arial" w:hAnsi="Arial"/>
                <w:sz w:val="18"/>
                <w:szCs w:val="18"/>
                <w:color w:val="auto"/>
              </w:rPr>
              <w:t xml:space="preserve">1,515,754 </w:t>
            </w:r>
            <w:r>
              <w:rPr>
                <w:rFonts w:ascii="Arial" w:cs="Arial" w:eastAsia="Arial" w:hAnsi="Arial"/>
                <w:sz w:val="11"/>
                <w:szCs w:val="11"/>
                <w:color w:val="auto"/>
              </w:rPr>
              <w:t>(5)</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7"/>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100 Vanguard Blvd.</w:t>
            </w:r>
          </w:p>
        </w:tc>
        <w:tc>
          <w:tcPr>
            <w:tcW w:w="1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Malvern, PA 19355</w:t>
            </w:r>
          </w:p>
        </w:tc>
        <w:tc>
          <w:tcPr>
            <w:tcW w:w="1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23"/>
        </w:trPr>
        <w:tc>
          <w:tcPr>
            <w:tcW w:w="4940" w:type="dxa"/>
            <w:vAlign w:val="bottom"/>
            <w:gridSpan w:val="3"/>
          </w:tcPr>
          <w:p>
            <w:pPr>
              <w:spacing w:after="0"/>
              <w:rPr>
                <w:sz w:val="20"/>
                <w:szCs w:val="20"/>
                <w:color w:val="auto"/>
              </w:rPr>
            </w:pPr>
            <w:r>
              <w:rPr>
                <w:rFonts w:ascii="Arial" w:cs="Arial" w:eastAsia="Arial" w:hAnsi="Arial"/>
                <w:sz w:val="18"/>
                <w:szCs w:val="18"/>
                <w:color w:val="auto"/>
              </w:rPr>
              <w:t>Cortina Asset Management, LLC</w:t>
            </w:r>
          </w:p>
        </w:tc>
        <w:tc>
          <w:tcPr>
            <w:tcW w:w="4520" w:type="dxa"/>
            <w:vAlign w:val="bottom"/>
            <w:gridSpan w:val="3"/>
          </w:tcPr>
          <w:p>
            <w:pPr>
              <w:jc w:val="right"/>
              <w:ind w:right="1380"/>
              <w:spacing w:after="0"/>
              <w:rPr>
                <w:sz w:val="20"/>
                <w:szCs w:val="20"/>
                <w:color w:val="auto"/>
              </w:rPr>
            </w:pPr>
            <w:r>
              <w:rPr>
                <w:rFonts w:ascii="Arial" w:cs="Arial" w:eastAsia="Arial" w:hAnsi="Arial"/>
                <w:sz w:val="18"/>
                <w:szCs w:val="18"/>
                <w:color w:val="auto"/>
              </w:rPr>
              <w:t xml:space="preserve">1,391,655 </w:t>
            </w:r>
            <w:r>
              <w:rPr>
                <w:rFonts w:ascii="Arial" w:cs="Arial" w:eastAsia="Arial" w:hAnsi="Arial"/>
                <w:sz w:val="11"/>
                <w:szCs w:val="11"/>
                <w:color w:val="auto"/>
              </w:rPr>
              <w:t>(6)</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17"/>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825 N. Jefferson Street, Suite 400</w:t>
            </w:r>
          </w:p>
        </w:tc>
        <w:tc>
          <w:tcPr>
            <w:tcW w:w="1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Milwaukee, WI 53202</w:t>
            </w:r>
          </w:p>
        </w:tc>
        <w:tc>
          <w:tcPr>
            <w:tcW w:w="1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22"/>
        </w:trPr>
        <w:tc>
          <w:tcPr>
            <w:tcW w:w="4940" w:type="dxa"/>
            <w:vAlign w:val="bottom"/>
            <w:gridSpan w:val="3"/>
          </w:tcPr>
          <w:p>
            <w:pPr>
              <w:spacing w:after="0"/>
              <w:rPr>
                <w:sz w:val="20"/>
                <w:szCs w:val="20"/>
                <w:color w:val="auto"/>
              </w:rPr>
            </w:pPr>
            <w:r>
              <w:rPr>
                <w:rFonts w:ascii="Arial" w:cs="Arial" w:eastAsia="Arial" w:hAnsi="Arial"/>
                <w:sz w:val="18"/>
                <w:szCs w:val="18"/>
                <w:color w:val="auto"/>
              </w:rPr>
              <w:t>Michael J. Hall</w:t>
            </w:r>
          </w:p>
        </w:tc>
        <w:tc>
          <w:tcPr>
            <w:tcW w:w="452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 xml:space="preserve">57,100 </w:t>
            </w:r>
            <w:r>
              <w:rPr>
                <w:rFonts w:ascii="Arial" w:cs="Arial" w:eastAsia="Arial" w:hAnsi="Arial"/>
                <w:sz w:val="11"/>
                <w:szCs w:val="11"/>
                <w:color w:val="auto"/>
                <w:w w:val="89"/>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I. Edgar Hendrix</w:t>
            </w:r>
          </w:p>
        </w:tc>
        <w:tc>
          <w:tcPr>
            <w:tcW w:w="452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 xml:space="preserve">17,800 </w:t>
            </w:r>
            <w:r>
              <w:rPr>
                <w:rFonts w:ascii="Arial" w:cs="Arial" w:eastAsia="Arial" w:hAnsi="Arial"/>
                <w:sz w:val="11"/>
                <w:szCs w:val="11"/>
                <w:color w:val="auto"/>
                <w:w w:val="89"/>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Paul K. Lackey</w:t>
            </w:r>
          </w:p>
        </w:tc>
        <w:tc>
          <w:tcPr>
            <w:tcW w:w="452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 xml:space="preserve">22,100 </w:t>
            </w:r>
            <w:r>
              <w:rPr>
                <w:rFonts w:ascii="Arial" w:cs="Arial" w:eastAsia="Arial" w:hAnsi="Arial"/>
                <w:sz w:val="11"/>
                <w:szCs w:val="11"/>
                <w:color w:val="auto"/>
                <w:w w:val="89"/>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Tom E. Maxwell</w:t>
            </w:r>
          </w:p>
        </w:tc>
        <w:tc>
          <w:tcPr>
            <w:tcW w:w="452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 xml:space="preserve">28,100 </w:t>
            </w:r>
            <w:r>
              <w:rPr>
                <w:rFonts w:ascii="Arial" w:cs="Arial" w:eastAsia="Arial" w:hAnsi="Arial"/>
                <w:sz w:val="11"/>
                <w:szCs w:val="11"/>
                <w:color w:val="auto"/>
                <w:w w:val="89"/>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David J. Tippeconnic</w:t>
            </w:r>
          </w:p>
        </w:tc>
        <w:tc>
          <w:tcPr>
            <w:tcW w:w="452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 xml:space="preserve">38,100 </w:t>
            </w:r>
            <w:r>
              <w:rPr>
                <w:rFonts w:ascii="Arial" w:cs="Arial" w:eastAsia="Arial" w:hAnsi="Arial"/>
                <w:sz w:val="11"/>
                <w:szCs w:val="11"/>
                <w:color w:val="auto"/>
                <w:w w:val="89"/>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John R. Hewitt</w:t>
            </w:r>
          </w:p>
        </w:tc>
        <w:tc>
          <w:tcPr>
            <w:tcW w:w="452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5,464</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Joseph F. Montalbano</w:t>
            </w:r>
          </w:p>
        </w:tc>
        <w:tc>
          <w:tcPr>
            <w:tcW w:w="452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 xml:space="preserve">29,859 </w:t>
            </w:r>
            <w:r>
              <w:rPr>
                <w:rFonts w:ascii="Arial" w:cs="Arial" w:eastAsia="Arial" w:hAnsi="Arial"/>
                <w:sz w:val="11"/>
                <w:szCs w:val="11"/>
                <w:color w:val="auto"/>
                <w:w w:val="89"/>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Kevin S. Cavanah</w:t>
            </w:r>
          </w:p>
        </w:tc>
        <w:tc>
          <w:tcPr>
            <w:tcW w:w="452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 xml:space="preserve">36,413 </w:t>
            </w:r>
            <w:r>
              <w:rPr>
                <w:rFonts w:ascii="Arial" w:cs="Arial" w:eastAsia="Arial" w:hAnsi="Arial"/>
                <w:sz w:val="11"/>
                <w:szCs w:val="11"/>
                <w:color w:val="auto"/>
                <w:w w:val="89"/>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Matthew J. Petrizzo</w:t>
            </w:r>
          </w:p>
        </w:tc>
        <w:tc>
          <w:tcPr>
            <w:tcW w:w="452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 xml:space="preserve">15,265 </w:t>
            </w:r>
            <w:r>
              <w:rPr>
                <w:rFonts w:ascii="Arial" w:cs="Arial" w:eastAsia="Arial" w:hAnsi="Arial"/>
                <w:sz w:val="11"/>
                <w:szCs w:val="11"/>
                <w:color w:val="auto"/>
                <w:w w:val="89"/>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James P. Ryan</w:t>
            </w:r>
          </w:p>
        </w:tc>
        <w:tc>
          <w:tcPr>
            <w:tcW w:w="452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 xml:space="preserve">69,018 </w:t>
            </w:r>
            <w:r>
              <w:rPr>
                <w:rFonts w:ascii="Arial" w:cs="Arial" w:eastAsia="Arial" w:hAnsi="Arial"/>
                <w:sz w:val="11"/>
                <w:szCs w:val="11"/>
                <w:color w:val="auto"/>
                <w:w w:val="89"/>
              </w:rPr>
              <w:t>(7)</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318"/>
        </w:trPr>
        <w:tc>
          <w:tcPr>
            <w:tcW w:w="4940" w:type="dxa"/>
            <w:vAlign w:val="bottom"/>
            <w:gridSpan w:val="3"/>
          </w:tcPr>
          <w:p>
            <w:pPr>
              <w:spacing w:after="0"/>
              <w:rPr>
                <w:sz w:val="20"/>
                <w:szCs w:val="20"/>
                <w:color w:val="auto"/>
              </w:rPr>
            </w:pPr>
            <w:r>
              <w:rPr>
                <w:rFonts w:ascii="Arial" w:cs="Arial" w:eastAsia="Arial" w:hAnsi="Arial"/>
                <w:sz w:val="18"/>
                <w:szCs w:val="18"/>
                <w:color w:val="auto"/>
                <w:w w:val="95"/>
              </w:rPr>
              <w:t>All directors, director nominees and executive officers as a group</w:t>
            </w: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4940" w:type="dxa"/>
            <w:vAlign w:val="bottom"/>
            <w:gridSpan w:val="3"/>
          </w:tcPr>
          <w:p>
            <w:pPr>
              <w:ind w:left="220"/>
              <w:spacing w:after="0"/>
              <w:rPr>
                <w:sz w:val="20"/>
                <w:szCs w:val="20"/>
                <w:color w:val="auto"/>
              </w:rPr>
            </w:pPr>
            <w:r>
              <w:rPr>
                <w:rFonts w:ascii="Arial" w:cs="Arial" w:eastAsia="Arial" w:hAnsi="Arial"/>
                <w:sz w:val="18"/>
                <w:szCs w:val="18"/>
                <w:color w:val="auto"/>
              </w:rPr>
              <w:t>(13 persons)</w:t>
            </w:r>
          </w:p>
        </w:tc>
        <w:tc>
          <w:tcPr>
            <w:tcW w:w="4520" w:type="dxa"/>
            <w:vAlign w:val="bottom"/>
            <w:gridSpan w:val="3"/>
          </w:tcPr>
          <w:p>
            <w:pPr>
              <w:jc w:val="right"/>
              <w:ind w:right="1380"/>
              <w:spacing w:after="0"/>
              <w:rPr>
                <w:sz w:val="20"/>
                <w:szCs w:val="20"/>
                <w:color w:val="auto"/>
              </w:rPr>
            </w:pPr>
            <w:r>
              <w:rPr>
                <w:rFonts w:ascii="Arial" w:cs="Arial" w:eastAsia="Arial" w:hAnsi="Arial"/>
                <w:sz w:val="18"/>
                <w:szCs w:val="18"/>
                <w:color w:val="auto"/>
              </w:rPr>
              <w:t xml:space="preserve">363,906 </w:t>
            </w:r>
            <w:r>
              <w:rPr>
                <w:rFonts w:ascii="Arial" w:cs="Arial" w:eastAsia="Arial" w:hAnsi="Arial"/>
                <w:sz w:val="11"/>
                <w:szCs w:val="11"/>
                <w:color w:val="auto"/>
              </w:rPr>
              <w:t>(7)</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19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ownership of less than one percent of the outstanding shares of common stock.</w:t>
      </w:r>
    </w:p>
    <w:p>
      <w:pPr>
        <w:spacing w:after="0" w:line="77" w:lineRule="exact"/>
        <w:rPr>
          <w:sz w:val="20"/>
          <w:szCs w:val="20"/>
          <w:color w:val="auto"/>
        </w:rPr>
      </w:pPr>
    </w:p>
    <w:p>
      <w:pPr>
        <w:ind w:left="460" w:right="32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Shares of common stock which were not outstanding but which could be acquired by an executive officer upon exercise of an option within 60 days of September 1, 2012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is as of March 31, 2012 and is based on the Schedule 13G dated April 5, 2012 filed by Royce &amp; Associates, LLC. (“Royce”). Royce is a registered investment advisor. Royce has sole voting and dispositive power over all the shares shown.</w:t>
      </w:r>
    </w:p>
    <w:p>
      <w:pPr>
        <w:spacing w:after="0" w:line="37"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is as of December 31, 2011 and is based on the Schedule 13G dated January 20, 2012 filed by BlackRock, Inc. (“BlackRock”). BlackRock is a parent holding company or control person in accordance with Rule 13d-1(b)(1)(ii)(G). BlackRock has sole voting and dispositive power over all the shares shown.</w:t>
      </w:r>
    </w:p>
    <w:p>
      <w:pPr>
        <w:spacing w:after="0" w:line="45" w:lineRule="exact"/>
        <w:rPr>
          <w:rFonts w:ascii="Arial" w:cs="Arial" w:eastAsia="Arial" w:hAnsi="Arial"/>
          <w:sz w:val="18"/>
          <w:szCs w:val="18"/>
          <w:color w:val="auto"/>
        </w:rPr>
      </w:pPr>
    </w:p>
    <w:p>
      <w:pPr>
        <w:ind w:left="460" w:right="40" w:hanging="452"/>
        <w:spacing w:after="0" w:line="331"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Information is as of December 31, 2011 and is based on the Schedule 13G dated February 1, 2012 filed by Zesiger Capital Group LLC (“Zesiger”). Zesiger is a registered investment advisor. Of the shares shown, Zesiger has sole voting power over 1,556,000 shares and sole dispositive power over 1,907,900 shares. Zesiger disclaims beneficial ownership of all of the shares of common stock which are held in discretionary accounts that Zesiger manages.</w:t>
      </w:r>
    </w:p>
    <w:p>
      <w:pPr>
        <w:spacing w:after="0" w:line="2" w:lineRule="exact"/>
        <w:rPr>
          <w:rFonts w:ascii="Arial" w:cs="Arial" w:eastAsia="Arial" w:hAnsi="Arial"/>
          <w:sz w:val="15"/>
          <w:szCs w:val="15"/>
          <w:color w:val="auto"/>
        </w:rPr>
      </w:pPr>
    </w:p>
    <w:p>
      <w:pPr>
        <w:ind w:left="460" w:right="56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is as of December 31, 2011 and is based on the Schedule 13G dated February 6, 2012 filed by The Vanguard Group, Inc. (“Vanguard”). Vanguard is a registered investment advisor. Of the shares shown, Vanguard has sole voting power over 33,684 shares, sole dispositive power over 1,482,070 shares and shared dispositive power over 33,684 shares.</w:t>
      </w:r>
    </w:p>
    <w:p>
      <w:pPr>
        <w:spacing w:after="0" w:line="45"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is as of December 31, 2011 and is based on the Schedule 13G dated January 26, 2012 filed by Cortina Asset Management, LLC (“Cortina”). Cortina is a registered investment advisor. Of the shares shown, Cortina has sole voting power over 1,241,160 shares and sole dispositive power over 1,391,655 shares.</w:t>
      </w:r>
    </w:p>
    <w:p>
      <w:pPr>
        <w:spacing w:after="0" w:line="45" w:lineRule="exact"/>
        <w:rPr>
          <w:rFonts w:ascii="Arial" w:cs="Arial" w:eastAsia="Arial" w:hAnsi="Arial"/>
          <w:sz w:val="18"/>
          <w:szCs w:val="18"/>
          <w:color w:val="auto"/>
        </w:rPr>
      </w:pPr>
    </w:p>
    <w:p>
      <w:pPr>
        <w:ind w:left="460" w:hanging="452"/>
        <w:spacing w:after="0" w:line="283"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the following shares of common stock that are issuable upon the exercise of stock options that are currently exercisable or are exercisable within 60 days after September 1, 2012: Mr. Hendrix – 5,000 shares; Mr. Lackey – 10,000 shares; Mr. Maxwell – 15,000 shares; Mr. Tippeconnic – 5,000 shares; Mr. Cavanah – 25,000 shares; Mr. Ryan – 37,200 shares; 13 directors and executive officers as a group – 111,600 shares. Also includes the following shares that are issuable upon the vesting of RSUs if the RSUs vest within 60 days of September 1, 2012: Mr. Hall – 3,700 shares; Mr. Hendrix – 3,700 shares; Mr. Lackey – 3,700 shares; Mr. Maxwell – 3,700 shares; Mr. Tippeconnic – 3,700 shares; Mr. Cavanah – 1,230 shares; Mr. Ryan – 1,600 shares;</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Petrizzo – 1,800 shares; Mr. Montalbano – 2,400 shares; 13 directors and executive officers as a group – 29,130 shares.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Board of Directors believes that our executive officers should demonstrate their commitment to and belief in the Company’s long-term profitability. Accordingly, each executive officer is expected to maintain a significant investment in the Company through the ownership of Company stock. Stock ownership more closely aligns our executive officers’ interests and actions with the interests of the Company’s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Equity Ownership Guidelines, which were most recently revised in August 2011, are as follows:</w:t>
      </w:r>
    </w:p>
    <w:p>
      <w:pPr>
        <w:spacing w:after="0" w:line="90" w:lineRule="exact"/>
        <w:rPr>
          <w:sz w:val="20"/>
          <w:szCs w:val="20"/>
          <w:color w:val="auto"/>
        </w:rPr>
      </w:pPr>
    </w:p>
    <w:p>
      <w:pPr>
        <w:ind w:left="900" w:right="38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of Company stock an executive officer should seek to acquire and maintain.</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President/CEO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CFO/COO/Presidents of the two principal operating subsidiaries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other executive officers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5 times base salary</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3 times base salary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 times base salary</w:t>
      </w:r>
    </w:p>
    <w:p>
      <w:pPr>
        <w:spacing w:after="0" w:line="118" w:lineRule="exact"/>
        <w:rPr>
          <w:sz w:val="20"/>
          <w:szCs w:val="20"/>
          <w:color w:val="auto"/>
        </w:rPr>
      </w:pPr>
    </w:p>
    <w:p>
      <w:pPr>
        <w:sectPr>
          <w:pgSz w:w="11900" w:h="16838" w:orient="portrait"/>
          <w:cols w:equalWidth="0" w:num="2">
            <w:col w:w="8460" w:space="720"/>
            <w:col w:w="2220"/>
          </w:cols>
          <w:pgMar w:left="240" w:top="459" w:right="259" w:bottom="1440" w:gutter="0" w:footer="0" w:header="0"/>
          <w:type w:val="continuous"/>
        </w:sectPr>
      </w:pPr>
    </w:p>
    <w:p>
      <w:pPr>
        <w:ind w:left="900" w:right="180" w:hanging="446"/>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Timing: The executive officers have until August 2016 to acquire the ownership levels discussed above. Thereafter, they are expected to retain this level of ownership during their tenure with the Company. Compliance will be evaluated on an annual basis as of June 30 of each year.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90"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shares owned separately by the executive officer or owned either jointly with, or separately by, his or her immediate family members residing in the same household;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held in trust for the benefit of the executive officer or immediate family members;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w:t>
      </w:r>
    </w:p>
    <w:p>
      <w:pPr>
        <w:spacing w:after="0" w:line="90" w:lineRule="exact"/>
        <w:rPr>
          <w:rFonts w:ascii="Arial" w:cs="Arial" w:eastAsia="Arial" w:hAnsi="Arial"/>
          <w:sz w:val="18"/>
          <w:szCs w:val="18"/>
          <w:color w:val="auto"/>
        </w:rPr>
      </w:pPr>
    </w:p>
    <w:p>
      <w:pPr>
        <w:ind w:left="1480" w:right="780" w:hanging="567"/>
        <w:spacing w:after="0" w:line="268" w:lineRule="auto"/>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in-the-money value of vested and unexercised stock options.</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executive officers have until August 30, 2016 to comply with the new guidelines. Nonetheless, as of June 30, 2012 Messrs. Cavanah, Montalbano, Ryan, Petrizzo, and Turner as well as Mrs. Austin have satisfied the ownership guidelines.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of the common stock with the SEC and NASDAQ and to furnish the Company with a copy of each such report.</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2012, all Section 16(a) filing requirements applicable to its executive officers and directors, and 10% stockholders were complied with on a timely basis.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4: Approval of the Matrix Service Company 2012 Stock and Incentive Compensation Plan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Stockholder action at the Annual Meeting will be requested with respect to the approval of the Matrix Service Company 2012 Stock and Incentive Compensation Plan (the “Plan”) , which will allow us to grant stock-based and cash-based compensation to our employees (including employees of our subsidiaries). Upon approval of the Plan by our stockholders, no further awards will be made under the Matrix Service Company 2004 Stock Incentive Plan (as amended, the “2004 Plan”), which is currently our only active equity compensation plan.</w:t>
      </w:r>
    </w:p>
    <w:p>
      <w:pPr>
        <w:spacing w:after="0" w:line="143"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The Plan is being submitted to a vote of the stockholders in order to comply with NASDAQ rules and to allow us to deduct for federal income tax purposes the “performance-based compensation” that is paid under the Plan, as permitted by Section 162(m) of the Internal Revenue Code (all Section references are to the Internal Revenue Code unless otherwise noted). Stockholder approval will also allow us to grant incentive stock options under the Plan.</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copy of the Plan can be found in the accompanying Exhibit A, and the following summary of the Plan’s material terms is qualified in its entirety by reference to the full text. Stockholders are urged to read the full Plan as set forth in Exhibit 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purpose of the Plan is to attract, motivate and retain the services of our employees and directors by enabling them to participate in our growth and financial success through cash-based and stock-based awards, and to align their individual interests to those of our stockholders. The Plan, which was approved by the Board of Directors on October 1, 2012, will not take effect unless approved by the affirmative vote of the holders of a majority of the shares of Common Stock present in person or represented by proxy at the Annual Meeting and entitled to vote. With the recent growth of the Company, the shares requested are essential to ensure the availability of necessary stock to utilize as a critical part of the Company’s executive and management compensation programs.</w:t>
      </w:r>
    </w:p>
    <w:p>
      <w:pPr>
        <w:spacing w:after="0" w:line="11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Shares Issuable Under the Plan. </w:t>
      </w:r>
      <w:r>
        <w:rPr>
          <w:rFonts w:ascii="Arial" w:cs="Arial" w:eastAsia="Arial" w:hAnsi="Arial"/>
          <w:sz w:val="18"/>
          <w:szCs w:val="18"/>
          <w:color w:val="auto"/>
        </w:rPr>
        <w:t>The Plan authorizes the issuance of 1,300,000 shares of our common stock, representing approximately 5.0 percent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shares of common stock. The closing sale price of a share of our common stock, as quoted on the NASDAQ Global Select Market on October 5, 2012, was $10.69.</w:t>
      </w:r>
    </w:p>
    <w:p>
      <w:pPr>
        <w:spacing w:after="0" w:line="13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One common method used by stockholders when analyzing a stock plan proposal is the measure known as overhang. One of the main components of an overhang calculation is the number of stock awards outstanding under a company’s compensation plans at a given point in time. As of June 30, 2012, the Company had 970,994 RSUs outstanding. Due to vesting events and cancellations occurring between June 30, 2012 and August 31, 2012, as of August 31, 2012, the Company had 863,920 RSUs outstanding. There was no stock option activity between June 30, 2012 and August 31, 2012. As of August 31, 2012 there were 491,040 options outstanding with a weighted average exercise price of $9.29 and an average remaining term of 5.4 years.</w:t>
      </w:r>
    </w:p>
    <w:p>
      <w:pPr>
        <w:spacing w:after="0" w:line="1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Plan contains limits on the awards granted to any participants who are subject to the reporting requirements of Section 16 of the Securities Exchange Act of 1934, as amended (“Insiders”). Accordingly, unless the Compensation Committee of the Board of Directors (the “Committee”), determines that an award to an Insider will not be designed to qualify as performance-based compensation under Section 162(m):</w:t>
      </w:r>
    </w:p>
    <w:p>
      <w:pPr>
        <w:spacing w:after="0" w:line="26" w:lineRule="exact"/>
        <w:rPr>
          <w:sz w:val="20"/>
          <w:szCs w:val="20"/>
          <w:color w:val="auto"/>
        </w:rPr>
      </w:pPr>
    </w:p>
    <w:p>
      <w:pPr>
        <w:ind w:left="900" w:right="34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stock options or stock appreciation rights to any Insider in any fiscal year is 400,000 shares.</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restricted stock or restricted stock units to any Insider in any fiscal year is 400,000 shares.</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performance shares or performance units to any Insider in any fiscal year is 400,000 shares or an amount equal to the value of 400,000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maximum amount that may be awarded in the form of cash-based awards to any Insider in any fiscal year is $5,000,000.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maximum number of shares that may be awarded in the form of other stock-based awards to any Insider in any fiscal year is 400,000 shares.</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Compensation Committee of the Board of Directors (the “Committee”) administers the Plan and has authority to make awards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to set the terms of the awards, to interpret the Plan, to establish any rules or regulations relating to the Plan that it determines to be appropriate and to make any other determination that it believes necessary or advisable for the proper administration of the Plan. Subject to the limitations specified in the Plan, the Committee may delegate its non-administrative authority to appropriate company officers.</w:t>
      </w:r>
    </w:p>
    <w:p>
      <w:pPr>
        <w:spacing w:after="0" w:line="103"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All employees and non-employee directors of the Company and its affiliates are eligible to receive awards under the Plan, as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or the Board of Directors. As of September 30, 2012, we have approximately 100 employees and non-employee directors who are eligible to participate in the Plan. Awards under the Plan may be granted in any one or a combination of the following forms:</w:t>
      </w:r>
    </w:p>
    <w:p>
      <w:pPr>
        <w:spacing w:after="0" w:line="2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incentive stock options under Section 422;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nonqualified stock options;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performance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performance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based awards;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165" w:lineRule="exact"/>
        <w:rPr>
          <w:sz w:val="20"/>
          <w:szCs w:val="20"/>
          <w:color w:val="auto"/>
        </w:rPr>
      </w:pPr>
    </w:p>
    <w:p>
      <w:pPr>
        <w:jc w:val="both"/>
        <w:ind w:right="80"/>
        <w:spacing w:after="0" w:line="310" w:lineRule="auto"/>
        <w:rPr>
          <w:sz w:val="20"/>
          <w:szCs w:val="20"/>
          <w:color w:val="auto"/>
        </w:rPr>
      </w:pPr>
      <w:r>
        <w:rPr>
          <w:rFonts w:ascii="Arial" w:cs="Arial" w:eastAsia="Arial" w:hAnsi="Arial"/>
          <w:sz w:val="16"/>
          <w:szCs w:val="16"/>
          <w:b w:val="1"/>
          <w:bCs w:val="1"/>
          <w:color w:val="auto"/>
        </w:rPr>
        <w:t xml:space="preserve">Cancellation, Forfeiture, Expiration or Cash Settlement of Awards. </w:t>
      </w:r>
      <w:r>
        <w:rPr>
          <w:rFonts w:ascii="Arial" w:cs="Arial" w:eastAsia="Arial" w:hAnsi="Arial"/>
          <w:sz w:val="16"/>
          <w:szCs w:val="16"/>
          <w:color w:val="auto"/>
        </w:rPr>
        <w:t>If an award expires or is canceled, forfeited or settled for cash, then any shares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award may, to the extent of such expiration, cancellation, forfeiture or cash settlement, be used again for new grants under the Plan. Likewise, any shares tendered or withheld to satisfy the grant or exercise price or tax withholding obligation pursuant to any award may also be used again for new grants.</w:t>
      </w:r>
    </w:p>
    <w:p>
      <w:pPr>
        <w:spacing w:after="0" w:line="9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Types of Awards.</w:t>
      </w:r>
      <w:r>
        <w:rPr>
          <w:sz w:val="20"/>
          <w:szCs w:val="20"/>
          <w:color w:val="auto"/>
        </w:rPr>
        <w:tab/>
      </w:r>
      <w:r>
        <w:rPr>
          <w:rFonts w:ascii="Arial" w:cs="Arial" w:eastAsia="Arial" w:hAnsi="Arial"/>
          <w:sz w:val="15"/>
          <w:szCs w:val="15"/>
          <w:color w:val="auto"/>
        </w:rPr>
        <w:t>Each type of award that may be granted under the Plan is described below:</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Committee may grant nonqualified stock options or incentive stock options to purchase shares of our common stock. The Committee will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number and exercise price of the options, and the time or times that the options become exercisable, provided that the option exercise price may not be less than the fair market value of a share of common stock on the date of grant. The term of an option will also be determined by the Committee, but may not exceed ten years.</w:t>
      </w:r>
    </w:p>
    <w:p>
      <w:pPr>
        <w:spacing w:after="0" w:line="1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option exercise price may be paid in cash; by check; in shares of common stock; through a “cashless” exercise arrangement with a broker; or in any other manner authorized by the Committee. Incentive stock options will be subject to certain additional requirements necessary in order to qualify as incentive stock options under Section 422.</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stock appreciation right may be granted by the Committee in its discretion. The Committee may grant free standing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tandem stock appreciation rights or any combination of these forms of stock appreciation rights. The grant price for each stock appreciation right shall be determined by the Committee and shall be specified in the award agreement, but in no event shall the grant price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 less than the fair market value of a share of our common stock on the date the stock appreciation right is granted. The grant price of tandem stock appreciation rights shall be equal to the option price of the related option. The term of the stock appreciation right shall be determined by the Committee and specified in the award agreement which relates to the stock appreciation right, but may not exceed ten years. Outstanding stock appreciation rights may be exercised on whatever terms and conditions the Committee imposes. Tandem stock appreciation rights may be exercised for all or part of the shares subject to the related option on the surrender of the right to exercise equivalent portions of the related option. A tandem stock appreciation right may be exercised only with respect to the shares for which the related option is unexercisable. With respect to a tandem stock appreciation right granted in connection with an incentive stock option: (a) the tandem stock appreciation right will expire no later than the expiration of the underlying incentive stock option; (b) the value of the payout with respect to the tandem stock appreciation right will be for no more than 100 percent of the difference between the option price of the underlying incentive stock option and the fair market value of the shares subject to the underlying incentive stock option at the time the tandem stock appreciation right is exercised; and (c) the tandem stock appreciation right may be exercised only when the fair market value of the shares subject to the incentive stock option exceeds the option price of the incentive stock option.</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the exercise of a stock appreciation right, a participant will be entitled to receive payment in an amount determined by multiplying: (a) the difference between the fair market value of a share of common stock on the date of exercise and the grant price; by (b) the number of shares with respect to which the stock appreciation right is exercised. In the discretion of the Committee, the payment of the stock appreciation right exercised may be in cash, shares of equivalent value (based on the fair market value on the date of exercise of a stock appreciation right), in some combination thereof or in any other form approved by the Committee.</w:t>
      </w:r>
    </w:p>
    <w:p>
      <w:pPr>
        <w:spacing w:after="0" w:line="143"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Shares of common stock may be granted by the Committee to an eligible employee or non-employee director and made subject to restrictions</w:t>
      </w:r>
      <w:r>
        <w:rPr>
          <w:rFonts w:ascii="Arial" w:cs="Arial" w:eastAsia="Arial" w:hAnsi="Arial"/>
          <w:sz w:val="15"/>
          <w:szCs w:val="15"/>
          <w:i w:val="1"/>
          <w:iCs w:val="1"/>
          <w:color w:val="auto"/>
        </w:rPr>
        <w:t xml:space="preserve"> </w:t>
      </w:r>
      <w:r>
        <w:rPr>
          <w:rFonts w:ascii="Arial" w:cs="Arial" w:eastAsia="Arial" w:hAnsi="Arial"/>
          <w:sz w:val="15"/>
          <w:szCs w:val="15"/>
          <w:color w:val="auto"/>
        </w:rPr>
        <w:t>on sale, pledge or other transfer for a certain period (the restricted period). All shares of restricted stock will be subject to such restrictions as the Committee may provide in an award agreement with the participant, including provisions obligating the participant to forfeit or resell the shares to us in the event of termination of employment or service or if specified performance goals or targets are not met. A participant’s rights with respect to such shares shall be subject to the restrictions provided in the award agreement and the Plan. To the extent an award of restricted stock is intended to qualify as performance-based compensation under Section 162(m), it must be granted subject to the attainment of performance goals and meet the additional requirements imposed by Section 162(m).</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restricted stock unit represents the right to receive from us, on the respective scheduled vesting or payment date for such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 one share of common stock. An award of restricted stock units may be subject to the attainment of specified performance goals or targets, forfeitability provisions and such other terms and conditions as the Committee may determine, subject to the provisions of the Plan. To the extent an award of restricted stock units is intended to qualify as performance-based compensation under Section 162(m), it must be granted subject to the attainment of performance goals and meet the additional requirements imposed by Section 162(m).</w:t>
      </w:r>
    </w:p>
    <w:p>
      <w:pPr>
        <w:spacing w:after="0" w:line="1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Performance Shares, Performance Units and Cash-Based Awards. </w:t>
      </w:r>
      <w:r>
        <w:rPr>
          <w:rFonts w:ascii="Arial" w:cs="Arial" w:eastAsia="Arial" w:hAnsi="Arial"/>
          <w:sz w:val="18"/>
          <w:szCs w:val="18"/>
          <w:color w:val="auto"/>
        </w:rPr>
        <w:t>Performance shares, performance units and cash-based awards may be granted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and subject to such terms and conditions as determined by the Committee at the time of grant and as set forth in the award agreement. The Committee will set performance goals, which, depending on the extent to which they are met, will determine the number and/or value of the performance shares/units and cash-based awards that will be paid out to the participant.</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Participants will receive payment of the value of performance shares/units earned after the end of the performance period. Payment of performance shares/units and cash-based awards will be made in shares, cash or a combination thereof that have an aggregate fair market value equal to the value of the earned performance shares/units and cash-based awards at the close of the applicable performance period as the Committee determines. Shares may be granted subject to any restrictions deemed appropriate by the Committee.</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Plan also authorizes the Committee to grant participants awards of common stock and other awards that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in, valued in whole or in part by reference to, or 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otherwise based on the value of, or the appreciation in value of, shares of our common stock (other stock-based awards). The Committee has discretion to determine the participants to whom other stock-based awards are to be made, the times at which such awards are to be made, the sizes of such awards, the form of payment, and all other conditions of such awards, including any restrictions, deferral periods or performance requirements.</w:t>
      </w:r>
    </w:p>
    <w:p>
      <w:pPr>
        <w:spacing w:after="0" w:line="10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 xml:space="preserve">Performance-Based Compensation. </w:t>
      </w:r>
      <w:r>
        <w:rPr>
          <w:rFonts w:ascii="Arial" w:cs="Arial" w:eastAsia="Arial" w:hAnsi="Arial"/>
          <w:sz w:val="16"/>
          <w:szCs w:val="16"/>
          <w:color w:val="auto"/>
        </w:rPr>
        <w:t>Awards may be granted to employees who are “covered employees” under Section 162(m) that are intended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“performance-based compensation” so as to preserve the tax deductibility of the awards for federal income tax purposes. These performance-based awards may be either equity or cash awards, or a combination of both. Holders are only entitled to receive payment for a Section 162(m) performance-based award for any given performance period to the extent that pre-established performance goals set by the Committee are satisfied. These pre-established performance goals must be based on one or more of the following performance criteria:</w:t>
      </w:r>
    </w:p>
    <w:p>
      <w:pPr>
        <w:spacing w:after="0" w:line="33"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income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assets, return on capital, return on invested capital, and return on equity, sales or revenue);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cash flow (including, but not limited to, operating cash flow, free cash flow, free cash flow margin, and cash flow return on capital or investments);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 and impairment of intangible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 or sales growth or growth in backlog;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growth of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measures of health, safety or environment (including, but not limited to, total recordable incident 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credit quality (including, but not limited to, days sales outstanding);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improvements in capital structure;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laws, regulations and policies.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With respect to particular performance-based awards, the Committee is permitted to make certain equitable and objectively determinable adjustments to the performance goals; provided, that any awards that are intended to qualify as “performance-based compensation” must be made in accordance with the requirements of Section 162(m). Upon certification of achievement of the performance goals for a particular performance period set forth in an award that is intended to qualify as “performance-based compensation,” the Committee may reduce or eliminate, but not increase, the amount specified in the original award. Generally, a holder of a performance-based award must be employed by or providing services to us throughout an applicable performance period in order to be eligible to receive any payment pursuant to an award that is intended to qualify as “performance-based compensation.”</w:t>
      </w:r>
    </w:p>
    <w:p>
      <w:pPr>
        <w:spacing w:after="0" w:line="114"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Except as otherwise provided in an award agreement or permitted by the Committee, no award may be transferred other than by will or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or descent and distribution or, in the case of certain types of awards, to a trust of which the award recipient is the sole beneficiary for his or her lifetime or pursuant to a domestic relations order.</w:t>
      </w:r>
    </w:p>
    <w:p>
      <w:pPr>
        <w:spacing w:after="0" w:line="13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Equitable adjustments to the terms of the Plan and any awards will be made as necessary to reflect any stock splits, spin-offs, extraordinary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and similar transactions.</w:t>
      </w:r>
    </w:p>
    <w:p>
      <w:pPr>
        <w:spacing w:after="0" w:line="12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The Committee may, at any time and from time to time, alter, amend, modify, suspend, or terminate the Plan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provided, however, that:</w:t>
      </w:r>
    </w:p>
    <w:p>
      <w:pPr>
        <w:spacing w:after="0" w:line="45"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without the prior approval of the stockholders, the Company may not:</w:t>
      </w:r>
    </w:p>
    <w:p>
      <w:pPr>
        <w:spacing w:after="0" w:line="90" w:lineRule="exact"/>
        <w:rPr>
          <w:rFonts w:ascii="Arial" w:cs="Arial" w:eastAsia="Arial" w:hAnsi="Arial"/>
          <w:sz w:val="18"/>
          <w:szCs w:val="18"/>
          <w:color w:val="auto"/>
        </w:rPr>
      </w:pPr>
    </w:p>
    <w:p>
      <w:pPr>
        <w:ind w:left="1920" w:right="80" w:hanging="440"/>
        <w:spacing w:after="0" w:line="268" w:lineRule="auto"/>
        <w:tabs>
          <w:tab w:leader="none" w:pos="19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amend the terms of outstanding options and stock appreciation rights to reduce the exercise price of such outstanding options or stock appreciation rights;</w:t>
      </w:r>
    </w:p>
    <w:p>
      <w:pPr>
        <w:spacing w:after="0" w:line="50" w:lineRule="exact"/>
        <w:rPr>
          <w:rFonts w:ascii="Arial" w:cs="Arial" w:eastAsia="Arial" w:hAnsi="Arial"/>
          <w:sz w:val="18"/>
          <w:szCs w:val="18"/>
          <w:color w:val="auto"/>
        </w:rPr>
      </w:pPr>
    </w:p>
    <w:p>
      <w:pPr>
        <w:ind w:left="1920" w:hanging="440"/>
        <w:spacing w:after="0" w:line="268" w:lineRule="auto"/>
        <w:tabs>
          <w:tab w:leader="none" w:pos="19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cancel outstanding options and stock appreciation rights in exchange for options or stock appreciation rights with an exercise price that is less than the exercise price of the original options or stock appreciation rights; or</w:t>
      </w:r>
    </w:p>
    <w:p>
      <w:pPr>
        <w:spacing w:after="0" w:line="50" w:lineRule="exact"/>
        <w:rPr>
          <w:rFonts w:ascii="Arial" w:cs="Arial" w:eastAsia="Arial" w:hAnsi="Arial"/>
          <w:sz w:val="18"/>
          <w:szCs w:val="18"/>
          <w:color w:val="auto"/>
        </w:rPr>
      </w:pPr>
    </w:p>
    <w:p>
      <w:pPr>
        <w:ind w:left="1920" w:right="300" w:hanging="440"/>
        <w:spacing w:after="0" w:line="268" w:lineRule="auto"/>
        <w:tabs>
          <w:tab w:leader="none" w:pos="19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cancel outstanding options or stock appreciation rights with an exercise price above the current stock price in exchange for cash or other securities; and</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necessary under any applicable law, regulation or exchange requirement, no amendment shall be effective unless approved by our stockholders in accordance with applicable law, regulation, or exchange requirement.</w:t>
      </w:r>
    </w:p>
    <w:p>
      <w:pPr>
        <w:spacing w:after="0" w:line="12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Unless otherwise provided in the award agreement, in the event of a change of control of our Company, as defined in the Plan, all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become fully vested and exercisable, all restrictions or limitations on any awards will generally lapse and, all performance criteria and other conditions relating to the payment of awards will generally be deemed to be achieved or waived.</w:t>
      </w:r>
    </w:p>
    <w:p>
      <w:pPr>
        <w:spacing w:after="0" w:line="132"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b w:val="1"/>
          <w:bCs w:val="1"/>
          <w:color w:val="auto"/>
        </w:rPr>
        <w:t xml:space="preserve">Payment of Withholding Taxes. </w:t>
      </w:r>
      <w:r>
        <w:rPr>
          <w:rFonts w:ascii="Arial" w:cs="Arial" w:eastAsia="Arial" w:hAnsi="Arial"/>
          <w:sz w:val="16"/>
          <w:szCs w:val="16"/>
          <w:color w:val="auto"/>
        </w:rPr>
        <w:t>We may withhold from any payments or stock issuances under the Plan, or collect as a condition of payment, any taxes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law to be withheld. Subject to the Committee’s right to approve, any award recipient may, but is not required to, satisfy his or her withholding tax obligation by electing to deliver currently owned shares of our common stock or to have us withhold, from the shares the participant would otherwise receive, shares of our common stock, in each case having a value equal to the minimum amount required to be withheld.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believes that under present U.S. federal income tax laws the following are the U.S. federal income tax consequences generally arising with respect to awards under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If a holder is granted a nonqualified stock option under the Plan, the holder should not have taxable income on the grant of the option. Generally, the holder should recognize ordinary income at the time of exercise in an amount equal to the fair market value of a share of our common stock at such time, less the exercise price paid. The holder’s basis in the common stock for purposes of determining gain or loss on a subsequent sale or disposition of such shares generally will be the fair market value of our common stock on the date the holder exercises such option. Any subsequent gain or loss generally will be taxable as a capital gain or loss. We generally should be entitled to a federal income tax deduction at the time and for the same amount as the holder recognizes ordinary income.</w:t>
      </w:r>
    </w:p>
    <w:p>
      <w:pPr>
        <w:spacing w:after="0" w:line="100"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A holder of an incentive stock option will not recognize taxable income upon grant. Additionally, if the applicable employment-related requirements are met, the holder will not recognize taxable income at the time of exercise. However, the excess of the fair market value of our common stock received over the option price is an item of tax preference income potentially subject to the alternative minimum tax. If any of the requirements for incentive stock options under the Code are not met, the incentive stock option will be treated as a nonqualified stock option and the tax consequences described above for nonqualified stock options will apply. Once an incentive stock option has been exercised, if the stock acquired upon exercise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excess of the fair market value on the date of exercise over the exercise price (less any diminution in value of the stock after exercise) will be taxed as ordinary income and we will be entitled to a deduction to the extent of the amount so included in the income of the holder. Appreciation in the stock subsequent to the exercise date will be taxed as long-term or short-term capital gain, depending on whether the stock was held for more than one year after the exercise date.</w:t>
      </w:r>
    </w:p>
    <w:p>
      <w:pPr>
        <w:spacing w:after="0" w:line="10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current federal income tax consequences of other awards authorized under the Plan generally follow certain basic patterns: SARs are taxed and deductible in substantially the same manner as nonqualified stock options;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an election under Section 83(b)); restricted stock units, other stock-based awards and other types of awards are generally subject to tax at the time of payment based on the fair market value of the award on that date. Compensation otherwise effectively deferred is taxed when paid. In each of the foregoing cases, we will generally have a corresponding deduction at the time the holder recognizes income, subject to Section 162(m) with respect to covered employees.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162(m) denies a deduction to any publicly held corporation for compensation paid to covered employees in a taxable year to the extent that compensation to such covered employee exceeds $1,000,000. Qualified “performance-based compensation” is disregarded for purposes of the deduction limitation. The Plan has been designed to meet the requirements of Section 162(m), but it is possible that compensation attributable to awards under the Plan (when combined with all other types of compensation received by a covered employee from us or because of other factors) may not comply with all of the requirements of Section 162(m), thereby preventing us from taking a deduction.</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on a change of control of our Company, the exercisability or vesting of an award is accelerated, any excess on the date of the change of control of the fair market value of the shares or cash issued under accelerated awards over the purchase price of such shares, if any, may be characterized as “parachute payments” (within the meaning of Section 280G) if the sum of such amounts and any other such contingent payments received by the employee equals or exceeds an amount equal to three times the “base amount” for such employee. The base amount generally is the average of the annual compensation of such employee for the five years preceding such change in ownership or control. An “excess parachute payment,” with respect to any employee, is the excess of the parachute payments to such person, in the aggregate, over and above such person’s base amount. If the amounts received by an employee upon a change-in-control are characterized as parachute payments, such employee will be subject to a 20 percent excise tax on the excess parachute payment and we will be denied any deduction with respect to such excess parachute payment.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foregoing provides only a very general description of the application of U.S. federal income tax laws to awards under the Plan. The summary does not address the effects of foreign, state and local tax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types and amounts of benefits that will be awarded under the Plan are not currently determinable. Awards granted under the Plan are within the discretion of the Committee, and the Committee has not determined future awards or who might receive them. Information on equity-based awards recently granted under the 2004 Plan to each of our named executive officers is provided under the headings “Summary Compensation Table” and “Grants of Plan-Based Awards During Fiscal Year 2012.” The closing price for the Common Stock on the NASDAQ Global Select Market on October 5, 2012, was $10.69.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Approval of the Amendment requires the affirmative vote of the majority of shares of common stock present or represented, and entitled to vote thereon, at the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Board of Directors recommends a vote “FOR” this proposal to approve the Matrix Service Company 2012 Stock and Incentive Compensation Plan.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the 2004 Stock Incentive Plan of Matrix Service Company’ as of June 30,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00" w:type="dxa"/>
            <w:vAlign w:val="bottom"/>
            <w:gridSpan w:val="2"/>
          </w:tcPr>
          <w:p>
            <w:pPr>
              <w:ind w:left="600"/>
              <w:spacing w:after="0"/>
              <w:rPr>
                <w:sz w:val="20"/>
                <w:szCs w:val="20"/>
                <w:color w:val="auto"/>
              </w:rPr>
            </w:pPr>
            <w:r>
              <w:rPr>
                <w:rFonts w:ascii="Arial" w:cs="Arial" w:eastAsia="Arial" w:hAnsi="Arial"/>
                <w:sz w:val="14"/>
                <w:szCs w:val="14"/>
                <w:b w:val="1"/>
                <w:bCs w:val="1"/>
                <w:color w:val="auto"/>
              </w:rPr>
              <w:t>(a)</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9"/>
              </w:rPr>
              <w:t>(b)</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9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9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48"/>
        </w:trPr>
        <w:tc>
          <w:tcPr>
            <w:tcW w:w="5080" w:type="dxa"/>
            <w:vAlign w:val="bottom"/>
            <w:gridSpan w:val="3"/>
            <w:vMerge w:val="continue"/>
          </w:tcPr>
          <w:p>
            <w:pPr>
              <w:spacing w:after="0"/>
              <w:rPr>
                <w:sz w:val="12"/>
                <w:szCs w:val="12"/>
                <w:color w:val="auto"/>
              </w:rPr>
            </w:pPr>
          </w:p>
        </w:tc>
        <w:tc>
          <w:tcPr>
            <w:tcW w:w="190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88"/>
              </w:rPr>
              <w:t>warrants and rights (1)</w:t>
            </w:r>
          </w:p>
        </w:tc>
        <w:tc>
          <w:tcPr>
            <w:tcW w:w="560" w:type="dxa"/>
            <w:vAlign w:val="bottom"/>
          </w:tcPr>
          <w:p>
            <w:pPr>
              <w:spacing w:after="0"/>
              <w:rPr>
                <w:sz w:val="12"/>
                <w:szCs w:val="12"/>
                <w:color w:val="auto"/>
              </w:rPr>
            </w:pPr>
          </w:p>
        </w:tc>
        <w:tc>
          <w:tcPr>
            <w:tcW w:w="2440" w:type="dxa"/>
            <w:vAlign w:val="bottom"/>
            <w:gridSpan w:val="3"/>
          </w:tcPr>
          <w:p>
            <w:pPr>
              <w:jc w:val="center"/>
              <w:ind w:right="1100"/>
              <w:spacing w:after="0" w:line="148" w:lineRule="exact"/>
              <w:rPr>
                <w:sz w:val="20"/>
                <w:szCs w:val="20"/>
                <w:color w:val="auto"/>
              </w:rPr>
            </w:pPr>
            <w:r>
              <w:rPr>
                <w:rFonts w:ascii="Arial" w:cs="Arial" w:eastAsia="Arial" w:hAnsi="Arial"/>
                <w:sz w:val="14"/>
                <w:szCs w:val="14"/>
                <w:b w:val="1"/>
                <w:bCs w:val="1"/>
                <w:color w:val="auto"/>
                <w:w w:val="88"/>
              </w:rPr>
              <w:t>warrants and rights (2)</w:t>
            </w:r>
          </w:p>
        </w:tc>
        <w:tc>
          <w:tcPr>
            <w:tcW w:w="14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stockholders</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1,462,034</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960"/>
              <w:spacing w:after="0" w:line="203" w:lineRule="exact"/>
              <w:rPr>
                <w:sz w:val="20"/>
                <w:szCs w:val="20"/>
                <w:color w:val="auto"/>
              </w:rPr>
            </w:pPr>
            <w:r>
              <w:rPr>
                <w:rFonts w:ascii="Arial" w:cs="Arial" w:eastAsia="Arial" w:hAnsi="Arial"/>
                <w:sz w:val="18"/>
                <w:szCs w:val="18"/>
                <w:color w:val="auto"/>
                <w:w w:val="79"/>
              </w:rPr>
              <w:t>9.29</w:t>
            </w: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522,385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360" w:type="dxa"/>
            <w:vAlign w:val="bottom"/>
          </w:tcPr>
          <w:p>
            <w:pPr>
              <w:jc w:val="right"/>
              <w:ind w:right="2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1,462,034</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9.29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970,994 restricted stock units.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Excludes the shares issuable upon the vesting of restricted stock units included in column (a) of this table for which there is no weighted-average price.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OF STOCKHOLDERS</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 proposal of a stockholder intended to be presented at the next annual meeting of stockholders must be received at the Company’s principal executive offices no later than June 12, 2013, if the proposal is to be considered for inclusion in the Company’s proxy statement and proxy card for such meeting.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accordance with the Company’s Bylaws, any stockholder who intends to present a proposal at the Company’s 2013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eighty days prior to the date of the meeting; provided, however, that in the event that the date of such annual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240" w:top="459"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 copy of the Company’s Annual Report on Form 10-K for the fiscal year ended June 30, 2012 (without exhibits or documents incorporated by reference) including any financial statements and schedules and exhibits thereto, may be obtained without charge by written request to Kevin S. Cavanah, Vice President Finance, Matrix Service Company, 5100 East Skelly Drive, Suite 700, Tulsa, Oklahoma 74135 or by visiting the “Investors Relations Section” of the Company’s website at </w:t>
      </w:r>
      <w:r>
        <w:rPr>
          <w:rFonts w:ascii="Arial" w:cs="Arial" w:eastAsia="Arial" w:hAnsi="Arial"/>
          <w:sz w:val="18"/>
          <w:szCs w:val="18"/>
          <w:u w:val="single" w:color="auto"/>
          <w:color w:val="auto"/>
        </w:rPr>
        <w:t>http://www.matrixservicecompany.com</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November 15, 2012</w:t>
      </w:r>
    </w:p>
    <w:p>
      <w:pPr>
        <w:spacing w:after="0" w:line="165"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Stockholders may view this proxy statement, our form of proxy and our 2012 Annual Report to Stockholders over the Internet by accessing our website at </w:t>
      </w:r>
      <w:r>
        <w:rPr>
          <w:rFonts w:ascii="Arial" w:cs="Arial" w:eastAsia="Arial" w:hAnsi="Arial"/>
          <w:sz w:val="16"/>
          <w:szCs w:val="16"/>
          <w:b w:val="1"/>
          <w:bCs w:val="1"/>
          <w:u w:val="single" w:color="auto"/>
          <w:color w:val="auto"/>
        </w:rPr>
        <w:t>http://www.matrixservicecompany.com</w:t>
      </w:r>
      <w:r>
        <w:rPr>
          <w:rFonts w:ascii="Arial" w:cs="Arial" w:eastAsia="Arial" w:hAnsi="Arial"/>
          <w:sz w:val="16"/>
          <w:szCs w:val="16"/>
          <w:color w:val="auto"/>
        </w:rPr>
        <w:t>.</w:t>
      </w:r>
      <w:r>
        <w:rPr>
          <w:rFonts w:ascii="Arial" w:cs="Arial" w:eastAsia="Arial" w:hAnsi="Arial"/>
          <w:sz w:val="16"/>
          <w:szCs w:val="16"/>
          <w:b w:val="1"/>
          <w:bCs w:val="1"/>
          <w:color w:val="auto"/>
        </w:rPr>
        <w:t xml:space="preserve"> Information on our website does not constitute a part of this proxy statement.</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148590</wp:posOffset>
            </wp:positionV>
            <wp:extent cx="1492250"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922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S. Cavanah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October 10,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Stock and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November 15, 2012</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786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19"/>
                <w:szCs w:val="19"/>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b w:val="1"/>
                <w:bCs w:val="1"/>
                <w:color w:val="auto"/>
              </w:rPr>
              <w:t>Article 1</w:t>
            </w:r>
          </w:p>
        </w:tc>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Establishment, Purpose, and Duration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1.1</w:t>
            </w:r>
          </w:p>
        </w:tc>
        <w:tc>
          <w:tcPr>
            <w:tcW w:w="7860" w:type="dxa"/>
            <w:vAlign w:val="bottom"/>
          </w:tcPr>
          <w:p>
            <w:pPr>
              <w:ind w:left="220"/>
              <w:spacing w:after="0"/>
              <w:rPr>
                <w:sz w:val="20"/>
                <w:szCs w:val="20"/>
                <w:color w:val="auto"/>
              </w:rPr>
            </w:pPr>
            <w:r>
              <w:rPr>
                <w:rFonts w:ascii="Arial" w:cs="Arial" w:eastAsia="Arial" w:hAnsi="Arial"/>
                <w:sz w:val="18"/>
                <w:szCs w:val="18"/>
                <w:color w:val="auto"/>
              </w:rPr>
              <w:t>Establishment of this Plan</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1.2</w:t>
            </w:r>
          </w:p>
        </w:tc>
        <w:tc>
          <w:tcPr>
            <w:tcW w:w="7860" w:type="dxa"/>
            <w:vAlign w:val="bottom"/>
          </w:tcPr>
          <w:p>
            <w:pPr>
              <w:ind w:left="220"/>
              <w:spacing w:after="0"/>
              <w:rPr>
                <w:sz w:val="20"/>
                <w:szCs w:val="20"/>
                <w:color w:val="auto"/>
              </w:rPr>
            </w:pPr>
            <w:r>
              <w:rPr>
                <w:rFonts w:ascii="Arial" w:cs="Arial" w:eastAsia="Arial" w:hAnsi="Arial"/>
                <w:sz w:val="18"/>
                <w:szCs w:val="18"/>
                <w:color w:val="auto"/>
              </w:rPr>
              <w:t>Purpose of this Plan</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1.3</w:t>
            </w:r>
          </w:p>
        </w:tc>
        <w:tc>
          <w:tcPr>
            <w:tcW w:w="7860" w:type="dxa"/>
            <w:vAlign w:val="bottom"/>
          </w:tcPr>
          <w:p>
            <w:pPr>
              <w:ind w:left="220"/>
              <w:spacing w:after="0"/>
              <w:rPr>
                <w:sz w:val="20"/>
                <w:szCs w:val="20"/>
                <w:color w:val="auto"/>
              </w:rPr>
            </w:pPr>
            <w:r>
              <w:rPr>
                <w:rFonts w:ascii="Arial" w:cs="Arial" w:eastAsia="Arial" w:hAnsi="Arial"/>
                <w:sz w:val="18"/>
                <w:szCs w:val="18"/>
                <w:color w:val="auto"/>
              </w:rPr>
              <w:t>Duration of this Plan</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900" w:type="dxa"/>
            <w:vAlign w:val="bottom"/>
          </w:tcPr>
          <w:p>
            <w:pPr>
              <w:ind w:left="220"/>
              <w:spacing w:after="0"/>
              <w:rPr>
                <w:sz w:val="20"/>
                <w:szCs w:val="20"/>
                <w:color w:val="auto"/>
              </w:rPr>
            </w:pPr>
            <w:r>
              <w:rPr>
                <w:rFonts w:ascii="Arial" w:cs="Arial" w:eastAsia="Arial" w:hAnsi="Arial"/>
                <w:sz w:val="18"/>
                <w:szCs w:val="18"/>
                <w:color w:val="auto"/>
              </w:rPr>
              <w:t>1.4</w:t>
            </w:r>
          </w:p>
        </w:tc>
        <w:tc>
          <w:tcPr>
            <w:tcW w:w="7860" w:type="dxa"/>
            <w:vAlign w:val="bottom"/>
          </w:tcPr>
          <w:p>
            <w:pPr>
              <w:ind w:left="220"/>
              <w:spacing w:after="0"/>
              <w:rPr>
                <w:sz w:val="20"/>
                <w:szCs w:val="20"/>
                <w:color w:val="auto"/>
              </w:rPr>
            </w:pPr>
            <w:r>
              <w:rPr>
                <w:rFonts w:ascii="Arial" w:cs="Arial" w:eastAsia="Arial" w:hAnsi="Arial"/>
                <w:sz w:val="18"/>
                <w:szCs w:val="18"/>
                <w:color w:val="auto"/>
              </w:rPr>
              <w:t>Successor Plan</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rPr>
              <w:t>Article 2</w:t>
            </w:r>
          </w:p>
        </w:tc>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900" w:type="dxa"/>
            <w:vAlign w:val="bottom"/>
          </w:tcPr>
          <w:p>
            <w:pPr>
              <w:spacing w:after="0"/>
              <w:rPr>
                <w:sz w:val="20"/>
                <w:szCs w:val="20"/>
                <w:color w:val="auto"/>
              </w:rPr>
            </w:pPr>
            <w:r>
              <w:rPr>
                <w:rFonts w:ascii="Arial" w:cs="Arial" w:eastAsia="Arial" w:hAnsi="Arial"/>
                <w:sz w:val="18"/>
                <w:szCs w:val="18"/>
                <w:b w:val="1"/>
                <w:bCs w:val="1"/>
                <w:color w:val="auto"/>
              </w:rPr>
              <w:t>Article 3</w:t>
            </w:r>
          </w:p>
        </w:tc>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Administration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3.1</w:t>
            </w:r>
          </w:p>
        </w:tc>
        <w:tc>
          <w:tcPr>
            <w:tcW w:w="7860" w:type="dxa"/>
            <w:vAlign w:val="bottom"/>
          </w:tcPr>
          <w:p>
            <w:pPr>
              <w:ind w:left="220"/>
              <w:spacing w:after="0"/>
              <w:rPr>
                <w:sz w:val="20"/>
                <w:szCs w:val="20"/>
                <w:color w:val="auto"/>
              </w:rPr>
            </w:pPr>
            <w:r>
              <w:rPr>
                <w:rFonts w:ascii="Arial" w:cs="Arial" w:eastAsia="Arial" w:hAnsi="Arial"/>
                <w:sz w:val="18"/>
                <w:szCs w:val="18"/>
                <w:color w:val="auto"/>
              </w:rPr>
              <w:t>General</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3.2</w:t>
            </w:r>
          </w:p>
        </w:tc>
        <w:tc>
          <w:tcPr>
            <w:tcW w:w="7860" w:type="dxa"/>
            <w:vAlign w:val="bottom"/>
          </w:tcPr>
          <w:p>
            <w:pPr>
              <w:ind w:left="220"/>
              <w:spacing w:after="0"/>
              <w:rPr>
                <w:sz w:val="20"/>
                <w:szCs w:val="20"/>
                <w:color w:val="auto"/>
              </w:rPr>
            </w:pPr>
            <w:r>
              <w:rPr>
                <w:rFonts w:ascii="Arial" w:cs="Arial" w:eastAsia="Arial" w:hAnsi="Arial"/>
                <w:sz w:val="18"/>
                <w:szCs w:val="18"/>
                <w:color w:val="auto"/>
              </w:rPr>
              <w:t>Authority of the Committee</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900" w:type="dxa"/>
            <w:vAlign w:val="bottom"/>
          </w:tcPr>
          <w:p>
            <w:pPr>
              <w:ind w:left="220"/>
              <w:spacing w:after="0"/>
              <w:rPr>
                <w:sz w:val="20"/>
                <w:szCs w:val="20"/>
                <w:color w:val="auto"/>
              </w:rPr>
            </w:pPr>
            <w:r>
              <w:rPr>
                <w:rFonts w:ascii="Arial" w:cs="Arial" w:eastAsia="Arial" w:hAnsi="Arial"/>
                <w:sz w:val="18"/>
                <w:szCs w:val="18"/>
                <w:color w:val="auto"/>
              </w:rPr>
              <w:t>3.3</w:t>
            </w:r>
          </w:p>
        </w:tc>
        <w:tc>
          <w:tcPr>
            <w:tcW w:w="7860" w:type="dxa"/>
            <w:vAlign w:val="bottom"/>
          </w:tcPr>
          <w:p>
            <w:pPr>
              <w:ind w:left="220"/>
              <w:spacing w:after="0"/>
              <w:rPr>
                <w:sz w:val="20"/>
                <w:szCs w:val="20"/>
                <w:color w:val="auto"/>
              </w:rPr>
            </w:pPr>
            <w:r>
              <w:rPr>
                <w:rFonts w:ascii="Arial" w:cs="Arial" w:eastAsia="Arial" w:hAnsi="Arial"/>
                <w:sz w:val="18"/>
                <w:szCs w:val="18"/>
                <w:color w:val="auto"/>
              </w:rPr>
              <w:t>Delegation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900" w:type="dxa"/>
            <w:vAlign w:val="bottom"/>
          </w:tcPr>
          <w:p>
            <w:pPr>
              <w:spacing w:after="0"/>
              <w:rPr>
                <w:sz w:val="20"/>
                <w:szCs w:val="20"/>
                <w:color w:val="auto"/>
              </w:rPr>
            </w:pPr>
            <w:r>
              <w:rPr>
                <w:rFonts w:ascii="Arial" w:cs="Arial" w:eastAsia="Arial" w:hAnsi="Arial"/>
                <w:sz w:val="18"/>
                <w:szCs w:val="18"/>
                <w:b w:val="1"/>
                <w:bCs w:val="1"/>
                <w:color w:val="auto"/>
              </w:rPr>
              <w:t>Article 4</w:t>
            </w:r>
          </w:p>
        </w:tc>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Shares Subject to this Plan and Maximum Awards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4.1</w:t>
            </w:r>
          </w:p>
        </w:tc>
        <w:tc>
          <w:tcPr>
            <w:tcW w:w="7860" w:type="dxa"/>
            <w:vAlign w:val="bottom"/>
          </w:tcPr>
          <w:p>
            <w:pPr>
              <w:ind w:left="220"/>
              <w:spacing w:after="0"/>
              <w:rPr>
                <w:sz w:val="20"/>
                <w:szCs w:val="20"/>
                <w:color w:val="auto"/>
              </w:rPr>
            </w:pPr>
            <w:r>
              <w:rPr>
                <w:rFonts w:ascii="Arial" w:cs="Arial" w:eastAsia="Arial" w:hAnsi="Arial"/>
                <w:sz w:val="18"/>
                <w:szCs w:val="18"/>
                <w:color w:val="auto"/>
              </w:rPr>
              <w:t>Number of Shares Available for Awards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4.2</w:t>
            </w:r>
          </w:p>
        </w:tc>
        <w:tc>
          <w:tcPr>
            <w:tcW w:w="7860" w:type="dxa"/>
            <w:vAlign w:val="bottom"/>
          </w:tcPr>
          <w:p>
            <w:pPr>
              <w:ind w:left="220"/>
              <w:spacing w:after="0"/>
              <w:rPr>
                <w:sz w:val="20"/>
                <w:szCs w:val="20"/>
                <w:color w:val="auto"/>
              </w:rPr>
            </w:pPr>
            <w:r>
              <w:rPr>
                <w:rFonts w:ascii="Arial" w:cs="Arial" w:eastAsia="Arial" w:hAnsi="Arial"/>
                <w:sz w:val="18"/>
                <w:szCs w:val="18"/>
                <w:color w:val="auto"/>
              </w:rPr>
              <w:t>Adjustments in Authorized Shares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900" w:type="dxa"/>
            <w:vAlign w:val="bottom"/>
          </w:tcPr>
          <w:p>
            <w:pPr>
              <w:ind w:left="220"/>
              <w:spacing w:after="0"/>
              <w:rPr>
                <w:sz w:val="20"/>
                <w:szCs w:val="20"/>
                <w:color w:val="auto"/>
              </w:rPr>
            </w:pPr>
            <w:r>
              <w:rPr>
                <w:rFonts w:ascii="Arial" w:cs="Arial" w:eastAsia="Arial" w:hAnsi="Arial"/>
                <w:sz w:val="18"/>
                <w:szCs w:val="18"/>
                <w:color w:val="auto"/>
              </w:rPr>
              <w:t>4.3</w:t>
            </w:r>
          </w:p>
        </w:tc>
        <w:tc>
          <w:tcPr>
            <w:tcW w:w="7860" w:type="dxa"/>
            <w:vAlign w:val="bottom"/>
          </w:tcPr>
          <w:p>
            <w:pPr>
              <w:ind w:left="220"/>
              <w:spacing w:after="0"/>
              <w:rPr>
                <w:sz w:val="20"/>
                <w:szCs w:val="20"/>
                <w:color w:val="auto"/>
              </w:rPr>
            </w:pPr>
            <w:r>
              <w:rPr>
                <w:rFonts w:ascii="Arial" w:cs="Arial" w:eastAsia="Arial" w:hAnsi="Arial"/>
                <w:sz w:val="18"/>
                <w:szCs w:val="18"/>
                <w:color w:val="auto"/>
              </w:rPr>
              <w:t>Code Section 409A</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900" w:type="dxa"/>
            <w:vAlign w:val="bottom"/>
          </w:tcPr>
          <w:p>
            <w:pPr>
              <w:spacing w:after="0"/>
              <w:rPr>
                <w:sz w:val="20"/>
                <w:szCs w:val="20"/>
                <w:color w:val="auto"/>
              </w:rPr>
            </w:pPr>
            <w:r>
              <w:rPr>
                <w:rFonts w:ascii="Arial" w:cs="Arial" w:eastAsia="Arial" w:hAnsi="Arial"/>
                <w:sz w:val="18"/>
                <w:szCs w:val="18"/>
                <w:b w:val="1"/>
                <w:bCs w:val="1"/>
                <w:color w:val="auto"/>
              </w:rPr>
              <w:t>Article 5</w:t>
            </w:r>
          </w:p>
        </w:tc>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Eligibility and Participation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5.1</w:t>
            </w:r>
          </w:p>
        </w:tc>
        <w:tc>
          <w:tcPr>
            <w:tcW w:w="7860" w:type="dxa"/>
            <w:vAlign w:val="bottom"/>
          </w:tcPr>
          <w:p>
            <w:pPr>
              <w:ind w:left="220"/>
              <w:spacing w:after="0"/>
              <w:rPr>
                <w:sz w:val="20"/>
                <w:szCs w:val="20"/>
                <w:color w:val="auto"/>
              </w:rPr>
            </w:pPr>
            <w:r>
              <w:rPr>
                <w:rFonts w:ascii="Arial" w:cs="Arial" w:eastAsia="Arial" w:hAnsi="Arial"/>
                <w:sz w:val="18"/>
                <w:szCs w:val="18"/>
                <w:color w:val="auto"/>
              </w:rPr>
              <w:t>Eligibility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900" w:type="dxa"/>
            <w:vAlign w:val="bottom"/>
          </w:tcPr>
          <w:p>
            <w:pPr>
              <w:ind w:left="220"/>
              <w:spacing w:after="0"/>
              <w:rPr>
                <w:sz w:val="20"/>
                <w:szCs w:val="20"/>
                <w:color w:val="auto"/>
              </w:rPr>
            </w:pPr>
            <w:r>
              <w:rPr>
                <w:rFonts w:ascii="Arial" w:cs="Arial" w:eastAsia="Arial" w:hAnsi="Arial"/>
                <w:sz w:val="18"/>
                <w:szCs w:val="18"/>
                <w:color w:val="auto"/>
              </w:rPr>
              <w:t>5.2</w:t>
            </w:r>
          </w:p>
        </w:tc>
        <w:tc>
          <w:tcPr>
            <w:tcW w:w="7860" w:type="dxa"/>
            <w:vAlign w:val="bottom"/>
          </w:tcPr>
          <w:p>
            <w:pPr>
              <w:ind w:left="220"/>
              <w:spacing w:after="0"/>
              <w:rPr>
                <w:sz w:val="20"/>
                <w:szCs w:val="20"/>
                <w:color w:val="auto"/>
              </w:rPr>
            </w:pPr>
            <w:r>
              <w:rPr>
                <w:rFonts w:ascii="Arial" w:cs="Arial" w:eastAsia="Arial" w:hAnsi="Arial"/>
                <w:sz w:val="18"/>
                <w:szCs w:val="18"/>
                <w:color w:val="auto"/>
              </w:rPr>
              <w:t>Actual Participation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900" w:type="dxa"/>
            <w:vAlign w:val="bottom"/>
          </w:tcPr>
          <w:p>
            <w:pPr>
              <w:spacing w:after="0"/>
              <w:rPr>
                <w:sz w:val="20"/>
                <w:szCs w:val="20"/>
                <w:color w:val="auto"/>
              </w:rPr>
            </w:pPr>
            <w:r>
              <w:rPr>
                <w:rFonts w:ascii="Arial" w:cs="Arial" w:eastAsia="Arial" w:hAnsi="Arial"/>
                <w:sz w:val="18"/>
                <w:szCs w:val="18"/>
                <w:b w:val="1"/>
                <w:bCs w:val="1"/>
                <w:color w:val="auto"/>
              </w:rPr>
              <w:t>Article 6</w:t>
            </w:r>
          </w:p>
        </w:tc>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Stock Options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6.1</w:t>
            </w:r>
          </w:p>
        </w:tc>
        <w:tc>
          <w:tcPr>
            <w:tcW w:w="7860" w:type="dxa"/>
            <w:vAlign w:val="bottom"/>
          </w:tcPr>
          <w:p>
            <w:pPr>
              <w:ind w:left="220"/>
              <w:spacing w:after="0"/>
              <w:rPr>
                <w:sz w:val="20"/>
                <w:szCs w:val="20"/>
                <w:color w:val="auto"/>
              </w:rPr>
            </w:pPr>
            <w:r>
              <w:rPr>
                <w:rFonts w:ascii="Arial" w:cs="Arial" w:eastAsia="Arial" w:hAnsi="Arial"/>
                <w:sz w:val="18"/>
                <w:szCs w:val="18"/>
                <w:color w:val="auto"/>
              </w:rPr>
              <w:t>Grant of Options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6.2</w:t>
            </w:r>
          </w:p>
        </w:tc>
        <w:tc>
          <w:tcPr>
            <w:tcW w:w="7860" w:type="dxa"/>
            <w:vAlign w:val="bottom"/>
          </w:tcPr>
          <w:p>
            <w:pPr>
              <w:ind w:left="220"/>
              <w:spacing w:after="0"/>
              <w:rPr>
                <w:sz w:val="20"/>
                <w:szCs w:val="20"/>
                <w:color w:val="auto"/>
              </w:rPr>
            </w:pPr>
            <w:r>
              <w:rPr>
                <w:rFonts w:ascii="Arial" w:cs="Arial" w:eastAsia="Arial" w:hAnsi="Arial"/>
                <w:sz w:val="18"/>
                <w:szCs w:val="18"/>
                <w:color w:val="auto"/>
              </w:rPr>
              <w:t>Award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6.3</w:t>
            </w:r>
          </w:p>
        </w:tc>
        <w:tc>
          <w:tcPr>
            <w:tcW w:w="7860" w:type="dxa"/>
            <w:vAlign w:val="bottom"/>
          </w:tcPr>
          <w:p>
            <w:pPr>
              <w:ind w:left="220"/>
              <w:spacing w:after="0"/>
              <w:rPr>
                <w:sz w:val="20"/>
                <w:szCs w:val="20"/>
                <w:color w:val="auto"/>
              </w:rPr>
            </w:pPr>
            <w:r>
              <w:rPr>
                <w:rFonts w:ascii="Arial" w:cs="Arial" w:eastAsia="Arial" w:hAnsi="Arial"/>
                <w:sz w:val="18"/>
                <w:szCs w:val="18"/>
                <w:color w:val="auto"/>
              </w:rPr>
              <w:t>Option Price</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6.4</w:t>
            </w:r>
          </w:p>
        </w:tc>
        <w:tc>
          <w:tcPr>
            <w:tcW w:w="7860" w:type="dxa"/>
            <w:vAlign w:val="bottom"/>
          </w:tcPr>
          <w:p>
            <w:pPr>
              <w:ind w:left="220"/>
              <w:spacing w:after="0"/>
              <w:rPr>
                <w:sz w:val="20"/>
                <w:szCs w:val="20"/>
                <w:color w:val="auto"/>
              </w:rPr>
            </w:pPr>
            <w:r>
              <w:rPr>
                <w:rFonts w:ascii="Arial" w:cs="Arial" w:eastAsia="Arial" w:hAnsi="Arial"/>
                <w:sz w:val="18"/>
                <w:szCs w:val="18"/>
                <w:color w:val="auto"/>
              </w:rPr>
              <w:t>Duration of Options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6.5</w:t>
            </w:r>
          </w:p>
        </w:tc>
        <w:tc>
          <w:tcPr>
            <w:tcW w:w="7860" w:type="dxa"/>
            <w:vAlign w:val="bottom"/>
          </w:tcPr>
          <w:p>
            <w:pPr>
              <w:ind w:left="220"/>
              <w:spacing w:after="0"/>
              <w:rPr>
                <w:sz w:val="20"/>
                <w:szCs w:val="20"/>
                <w:color w:val="auto"/>
              </w:rPr>
            </w:pPr>
            <w:r>
              <w:rPr>
                <w:rFonts w:ascii="Arial" w:cs="Arial" w:eastAsia="Arial" w:hAnsi="Arial"/>
                <w:sz w:val="18"/>
                <w:szCs w:val="18"/>
                <w:color w:val="auto"/>
              </w:rPr>
              <w:t>Exercise of Options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6.6</w:t>
            </w:r>
          </w:p>
        </w:tc>
        <w:tc>
          <w:tcPr>
            <w:tcW w:w="7860" w:type="dxa"/>
            <w:vAlign w:val="bottom"/>
          </w:tcPr>
          <w:p>
            <w:pPr>
              <w:ind w:left="220"/>
              <w:spacing w:after="0"/>
              <w:rPr>
                <w:sz w:val="20"/>
                <w:szCs w:val="20"/>
                <w:color w:val="auto"/>
              </w:rPr>
            </w:pPr>
            <w:r>
              <w:rPr>
                <w:rFonts w:ascii="Arial" w:cs="Arial" w:eastAsia="Arial" w:hAnsi="Arial"/>
                <w:sz w:val="18"/>
                <w:szCs w:val="18"/>
                <w:color w:val="auto"/>
              </w:rPr>
              <w:t>Payment</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6.7</w:t>
            </w:r>
          </w:p>
        </w:tc>
        <w:tc>
          <w:tcPr>
            <w:tcW w:w="7860" w:type="dxa"/>
            <w:vAlign w:val="bottom"/>
          </w:tcPr>
          <w:p>
            <w:pPr>
              <w:ind w:left="220"/>
              <w:spacing w:after="0"/>
              <w:rPr>
                <w:sz w:val="20"/>
                <w:szCs w:val="20"/>
                <w:color w:val="auto"/>
              </w:rPr>
            </w:pPr>
            <w:r>
              <w:rPr>
                <w:rFonts w:ascii="Arial" w:cs="Arial" w:eastAsia="Arial" w:hAnsi="Arial"/>
                <w:sz w:val="18"/>
                <w:szCs w:val="18"/>
                <w:color w:val="auto"/>
              </w:rPr>
              <w:t>Restrictions on Share Transferability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6.8</w:t>
            </w:r>
          </w:p>
        </w:tc>
        <w:tc>
          <w:tcPr>
            <w:tcW w:w="7860" w:type="dxa"/>
            <w:vAlign w:val="bottom"/>
          </w:tcPr>
          <w:p>
            <w:pPr>
              <w:ind w:left="220"/>
              <w:spacing w:after="0"/>
              <w:rPr>
                <w:sz w:val="20"/>
                <w:szCs w:val="20"/>
                <w:color w:val="auto"/>
              </w:rPr>
            </w:pPr>
            <w:r>
              <w:rPr>
                <w:rFonts w:ascii="Arial" w:cs="Arial" w:eastAsia="Arial" w:hAnsi="Arial"/>
                <w:sz w:val="18"/>
                <w:szCs w:val="18"/>
                <w:color w:val="auto"/>
              </w:rPr>
              <w:t>Termination of Employment</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6.9</w:t>
            </w:r>
          </w:p>
        </w:tc>
        <w:tc>
          <w:tcPr>
            <w:tcW w:w="7860" w:type="dxa"/>
            <w:vAlign w:val="bottom"/>
          </w:tcPr>
          <w:p>
            <w:pPr>
              <w:ind w:left="220"/>
              <w:spacing w:after="0"/>
              <w:rPr>
                <w:sz w:val="20"/>
                <w:szCs w:val="20"/>
                <w:color w:val="auto"/>
              </w:rPr>
            </w:pPr>
            <w:r>
              <w:rPr>
                <w:rFonts w:ascii="Arial" w:cs="Arial" w:eastAsia="Arial" w:hAnsi="Arial"/>
                <w:sz w:val="18"/>
                <w:szCs w:val="18"/>
                <w:color w:val="auto"/>
              </w:rPr>
              <w:t>Nontransferability of Options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6.10</w:t>
            </w:r>
          </w:p>
        </w:tc>
        <w:tc>
          <w:tcPr>
            <w:tcW w:w="7860" w:type="dxa"/>
            <w:vAlign w:val="bottom"/>
          </w:tcPr>
          <w:p>
            <w:pPr>
              <w:ind w:left="220"/>
              <w:spacing w:after="0"/>
              <w:rPr>
                <w:sz w:val="20"/>
                <w:szCs w:val="20"/>
                <w:color w:val="auto"/>
              </w:rPr>
            </w:pPr>
            <w:r>
              <w:rPr>
                <w:rFonts w:ascii="Arial" w:cs="Arial" w:eastAsia="Arial" w:hAnsi="Arial"/>
                <w:sz w:val="18"/>
                <w:szCs w:val="18"/>
                <w:color w:val="auto"/>
              </w:rPr>
              <w:t>Notification of Disqualifying Disposition</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900" w:type="dxa"/>
            <w:vAlign w:val="bottom"/>
          </w:tcPr>
          <w:p>
            <w:pPr>
              <w:ind w:left="220"/>
              <w:spacing w:after="0"/>
              <w:rPr>
                <w:sz w:val="20"/>
                <w:szCs w:val="20"/>
                <w:color w:val="auto"/>
              </w:rPr>
            </w:pPr>
            <w:r>
              <w:rPr>
                <w:rFonts w:ascii="Arial" w:cs="Arial" w:eastAsia="Arial" w:hAnsi="Arial"/>
                <w:sz w:val="18"/>
                <w:szCs w:val="18"/>
                <w:color w:val="auto"/>
              </w:rPr>
              <w:t>6.11</w:t>
            </w:r>
          </w:p>
        </w:tc>
        <w:tc>
          <w:tcPr>
            <w:tcW w:w="7860" w:type="dxa"/>
            <w:vAlign w:val="bottom"/>
          </w:tcPr>
          <w:p>
            <w:pPr>
              <w:ind w:left="220"/>
              <w:spacing w:after="0"/>
              <w:rPr>
                <w:sz w:val="20"/>
                <w:szCs w:val="20"/>
                <w:color w:val="auto"/>
              </w:rPr>
            </w:pPr>
            <w:r>
              <w:rPr>
                <w:rFonts w:ascii="Arial" w:cs="Arial" w:eastAsia="Arial" w:hAnsi="Arial"/>
                <w:sz w:val="18"/>
                <w:szCs w:val="18"/>
                <w:color w:val="auto"/>
              </w:rPr>
              <w:t>$100,000 Annual Limit on ISOs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900" w:type="dxa"/>
            <w:vAlign w:val="bottom"/>
          </w:tcPr>
          <w:p>
            <w:pPr>
              <w:spacing w:after="0"/>
              <w:rPr>
                <w:sz w:val="20"/>
                <w:szCs w:val="20"/>
                <w:color w:val="auto"/>
              </w:rPr>
            </w:pPr>
            <w:r>
              <w:rPr>
                <w:rFonts w:ascii="Arial" w:cs="Arial" w:eastAsia="Arial" w:hAnsi="Arial"/>
                <w:sz w:val="18"/>
                <w:szCs w:val="18"/>
                <w:b w:val="1"/>
                <w:bCs w:val="1"/>
                <w:color w:val="auto"/>
              </w:rPr>
              <w:t>Article 7</w:t>
            </w:r>
          </w:p>
        </w:tc>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Stock Appreciation Rights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7.1</w:t>
            </w:r>
          </w:p>
        </w:tc>
        <w:tc>
          <w:tcPr>
            <w:tcW w:w="7860" w:type="dxa"/>
            <w:vAlign w:val="bottom"/>
          </w:tcPr>
          <w:p>
            <w:pPr>
              <w:ind w:left="220"/>
              <w:spacing w:after="0"/>
              <w:rPr>
                <w:sz w:val="20"/>
                <w:szCs w:val="20"/>
                <w:color w:val="auto"/>
              </w:rPr>
            </w:pPr>
            <w:r>
              <w:rPr>
                <w:rFonts w:ascii="Arial" w:cs="Arial" w:eastAsia="Arial" w:hAnsi="Arial"/>
                <w:sz w:val="18"/>
                <w:szCs w:val="18"/>
                <w:color w:val="auto"/>
              </w:rPr>
              <w:t>Grant of SARs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7.2</w:t>
            </w:r>
          </w:p>
        </w:tc>
        <w:tc>
          <w:tcPr>
            <w:tcW w:w="7860" w:type="dxa"/>
            <w:vAlign w:val="bottom"/>
          </w:tcPr>
          <w:p>
            <w:pPr>
              <w:ind w:left="220"/>
              <w:spacing w:after="0"/>
              <w:rPr>
                <w:sz w:val="20"/>
                <w:szCs w:val="20"/>
                <w:color w:val="auto"/>
              </w:rPr>
            </w:pPr>
            <w:r>
              <w:rPr>
                <w:rFonts w:ascii="Arial" w:cs="Arial" w:eastAsia="Arial" w:hAnsi="Arial"/>
                <w:sz w:val="18"/>
                <w:szCs w:val="18"/>
                <w:color w:val="auto"/>
              </w:rPr>
              <w:t>SAR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7.3</w:t>
            </w:r>
          </w:p>
        </w:tc>
        <w:tc>
          <w:tcPr>
            <w:tcW w:w="7860" w:type="dxa"/>
            <w:vAlign w:val="bottom"/>
          </w:tcPr>
          <w:p>
            <w:pPr>
              <w:ind w:left="220"/>
              <w:spacing w:after="0"/>
              <w:rPr>
                <w:sz w:val="20"/>
                <w:szCs w:val="20"/>
                <w:color w:val="auto"/>
              </w:rPr>
            </w:pPr>
            <w:r>
              <w:rPr>
                <w:rFonts w:ascii="Arial" w:cs="Arial" w:eastAsia="Arial" w:hAnsi="Arial"/>
                <w:sz w:val="18"/>
                <w:szCs w:val="18"/>
                <w:color w:val="auto"/>
              </w:rPr>
              <w:t>Term of SAR</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7.4</w:t>
            </w:r>
          </w:p>
        </w:tc>
        <w:tc>
          <w:tcPr>
            <w:tcW w:w="7860" w:type="dxa"/>
            <w:vAlign w:val="bottom"/>
          </w:tcPr>
          <w:p>
            <w:pPr>
              <w:ind w:left="220"/>
              <w:spacing w:after="0"/>
              <w:rPr>
                <w:sz w:val="20"/>
                <w:szCs w:val="20"/>
                <w:color w:val="auto"/>
              </w:rPr>
            </w:pPr>
            <w:r>
              <w:rPr>
                <w:rFonts w:ascii="Arial" w:cs="Arial" w:eastAsia="Arial" w:hAnsi="Arial"/>
                <w:sz w:val="18"/>
                <w:szCs w:val="18"/>
                <w:color w:val="auto"/>
              </w:rPr>
              <w:t>Exercise of Freestanding SARs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7.5</w:t>
            </w:r>
          </w:p>
        </w:tc>
        <w:tc>
          <w:tcPr>
            <w:tcW w:w="7860" w:type="dxa"/>
            <w:vAlign w:val="bottom"/>
          </w:tcPr>
          <w:p>
            <w:pPr>
              <w:ind w:left="220"/>
              <w:spacing w:after="0"/>
              <w:rPr>
                <w:sz w:val="20"/>
                <w:szCs w:val="20"/>
                <w:color w:val="auto"/>
              </w:rPr>
            </w:pPr>
            <w:r>
              <w:rPr>
                <w:rFonts w:ascii="Arial" w:cs="Arial" w:eastAsia="Arial" w:hAnsi="Arial"/>
                <w:sz w:val="18"/>
                <w:szCs w:val="18"/>
                <w:color w:val="auto"/>
              </w:rPr>
              <w:t>Exercise of Tandem SARs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7.6</w:t>
            </w:r>
          </w:p>
        </w:tc>
        <w:tc>
          <w:tcPr>
            <w:tcW w:w="7860" w:type="dxa"/>
            <w:vAlign w:val="bottom"/>
          </w:tcPr>
          <w:p>
            <w:pPr>
              <w:ind w:left="220"/>
              <w:spacing w:after="0"/>
              <w:rPr>
                <w:sz w:val="20"/>
                <w:szCs w:val="20"/>
                <w:color w:val="auto"/>
              </w:rPr>
            </w:pPr>
            <w:r>
              <w:rPr>
                <w:rFonts w:ascii="Arial" w:cs="Arial" w:eastAsia="Arial" w:hAnsi="Arial"/>
                <w:sz w:val="18"/>
                <w:szCs w:val="18"/>
                <w:color w:val="auto"/>
              </w:rPr>
              <w:t>Payment of SAR Amount</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7.7</w:t>
            </w:r>
          </w:p>
        </w:tc>
        <w:tc>
          <w:tcPr>
            <w:tcW w:w="7860" w:type="dxa"/>
            <w:vAlign w:val="bottom"/>
          </w:tcPr>
          <w:p>
            <w:pPr>
              <w:ind w:left="220"/>
              <w:spacing w:after="0"/>
              <w:rPr>
                <w:sz w:val="20"/>
                <w:szCs w:val="20"/>
                <w:color w:val="auto"/>
              </w:rPr>
            </w:pPr>
            <w:r>
              <w:rPr>
                <w:rFonts w:ascii="Arial" w:cs="Arial" w:eastAsia="Arial" w:hAnsi="Arial"/>
                <w:sz w:val="18"/>
                <w:szCs w:val="18"/>
                <w:color w:val="auto"/>
              </w:rPr>
              <w:t>Termination of Employment</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7.8</w:t>
            </w:r>
          </w:p>
        </w:tc>
        <w:tc>
          <w:tcPr>
            <w:tcW w:w="7860" w:type="dxa"/>
            <w:vAlign w:val="bottom"/>
          </w:tcPr>
          <w:p>
            <w:pPr>
              <w:ind w:left="220"/>
              <w:spacing w:after="0"/>
              <w:rPr>
                <w:sz w:val="20"/>
                <w:szCs w:val="20"/>
                <w:color w:val="auto"/>
              </w:rPr>
            </w:pPr>
            <w:r>
              <w:rPr>
                <w:rFonts w:ascii="Arial" w:cs="Arial" w:eastAsia="Arial" w:hAnsi="Arial"/>
                <w:sz w:val="18"/>
                <w:szCs w:val="18"/>
                <w:color w:val="auto"/>
              </w:rPr>
              <w:t>Nontransferability of SARs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900" w:type="dxa"/>
            <w:vAlign w:val="bottom"/>
          </w:tcPr>
          <w:p>
            <w:pPr>
              <w:ind w:left="220"/>
              <w:spacing w:after="0"/>
              <w:rPr>
                <w:sz w:val="20"/>
                <w:szCs w:val="20"/>
                <w:color w:val="auto"/>
              </w:rPr>
            </w:pPr>
            <w:r>
              <w:rPr>
                <w:rFonts w:ascii="Arial" w:cs="Arial" w:eastAsia="Arial" w:hAnsi="Arial"/>
                <w:sz w:val="18"/>
                <w:szCs w:val="18"/>
                <w:color w:val="auto"/>
              </w:rPr>
              <w:t>7.9</w:t>
            </w:r>
          </w:p>
        </w:tc>
        <w:tc>
          <w:tcPr>
            <w:tcW w:w="7860" w:type="dxa"/>
            <w:vAlign w:val="bottom"/>
          </w:tcPr>
          <w:p>
            <w:pPr>
              <w:ind w:left="220"/>
              <w:spacing w:after="0"/>
              <w:rPr>
                <w:sz w:val="20"/>
                <w:szCs w:val="20"/>
                <w:color w:val="auto"/>
              </w:rPr>
            </w:pPr>
            <w:r>
              <w:rPr>
                <w:rFonts w:ascii="Arial" w:cs="Arial" w:eastAsia="Arial" w:hAnsi="Arial"/>
                <w:sz w:val="18"/>
                <w:szCs w:val="18"/>
                <w:color w:val="auto"/>
              </w:rPr>
              <w:t>Other Restrictions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900" w:type="dxa"/>
            <w:vAlign w:val="bottom"/>
          </w:tcPr>
          <w:p>
            <w:pPr>
              <w:spacing w:after="0"/>
              <w:rPr>
                <w:sz w:val="20"/>
                <w:szCs w:val="20"/>
                <w:color w:val="auto"/>
              </w:rPr>
            </w:pPr>
            <w:r>
              <w:rPr>
                <w:rFonts w:ascii="Arial" w:cs="Arial" w:eastAsia="Arial" w:hAnsi="Arial"/>
                <w:sz w:val="18"/>
                <w:szCs w:val="18"/>
                <w:b w:val="1"/>
                <w:bCs w:val="1"/>
                <w:color w:val="auto"/>
              </w:rPr>
              <w:t>Article 8</w:t>
            </w:r>
          </w:p>
        </w:tc>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Restricted Stock and Restricted Stock Units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8.1</w:t>
            </w:r>
          </w:p>
        </w:tc>
        <w:tc>
          <w:tcPr>
            <w:tcW w:w="7860" w:type="dxa"/>
            <w:vAlign w:val="bottom"/>
          </w:tcPr>
          <w:p>
            <w:pPr>
              <w:ind w:left="220"/>
              <w:spacing w:after="0"/>
              <w:rPr>
                <w:sz w:val="20"/>
                <w:szCs w:val="20"/>
                <w:color w:val="auto"/>
              </w:rPr>
            </w:pPr>
            <w:r>
              <w:rPr>
                <w:rFonts w:ascii="Arial" w:cs="Arial" w:eastAsia="Arial" w:hAnsi="Arial"/>
                <w:sz w:val="18"/>
                <w:szCs w:val="18"/>
                <w:color w:val="auto"/>
              </w:rPr>
              <w:t>Grant of Restricted Stock or Restricted Stock Units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8.2</w:t>
            </w:r>
          </w:p>
        </w:tc>
        <w:tc>
          <w:tcPr>
            <w:tcW w:w="7860" w:type="dxa"/>
            <w:vAlign w:val="bottom"/>
          </w:tcPr>
          <w:p>
            <w:pPr>
              <w:ind w:left="220"/>
              <w:spacing w:after="0"/>
              <w:rPr>
                <w:sz w:val="20"/>
                <w:szCs w:val="20"/>
                <w:color w:val="auto"/>
              </w:rPr>
            </w:pPr>
            <w:r>
              <w:rPr>
                <w:rFonts w:ascii="Arial" w:cs="Arial" w:eastAsia="Arial" w:hAnsi="Arial"/>
                <w:sz w:val="18"/>
                <w:szCs w:val="18"/>
                <w:color w:val="auto"/>
              </w:rPr>
              <w:t>Restricted Stock or Restricted Stock Unit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8.3</w:t>
            </w:r>
          </w:p>
        </w:tc>
        <w:tc>
          <w:tcPr>
            <w:tcW w:w="7860" w:type="dxa"/>
            <w:vAlign w:val="bottom"/>
          </w:tcPr>
          <w:p>
            <w:pPr>
              <w:ind w:left="220"/>
              <w:spacing w:after="0"/>
              <w:rPr>
                <w:sz w:val="20"/>
                <w:szCs w:val="20"/>
                <w:color w:val="auto"/>
              </w:rPr>
            </w:pPr>
            <w:r>
              <w:rPr>
                <w:rFonts w:ascii="Arial" w:cs="Arial" w:eastAsia="Arial" w:hAnsi="Arial"/>
                <w:sz w:val="18"/>
                <w:szCs w:val="18"/>
                <w:color w:val="auto"/>
              </w:rPr>
              <w:t>Nontransferability of Restricted Stock and Restricted Stock Units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8.4</w:t>
            </w:r>
          </w:p>
        </w:tc>
        <w:tc>
          <w:tcPr>
            <w:tcW w:w="7860" w:type="dxa"/>
            <w:vAlign w:val="bottom"/>
          </w:tcPr>
          <w:p>
            <w:pPr>
              <w:ind w:left="220"/>
              <w:spacing w:after="0"/>
              <w:rPr>
                <w:sz w:val="20"/>
                <w:szCs w:val="20"/>
                <w:color w:val="auto"/>
              </w:rPr>
            </w:pPr>
            <w:r>
              <w:rPr>
                <w:rFonts w:ascii="Arial" w:cs="Arial" w:eastAsia="Arial" w:hAnsi="Arial"/>
                <w:sz w:val="18"/>
                <w:szCs w:val="18"/>
                <w:color w:val="auto"/>
              </w:rPr>
              <w:t>Other Restrictions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8.5</w:t>
            </w:r>
          </w:p>
        </w:tc>
        <w:tc>
          <w:tcPr>
            <w:tcW w:w="7860" w:type="dxa"/>
            <w:vAlign w:val="bottom"/>
          </w:tcPr>
          <w:p>
            <w:pPr>
              <w:ind w:left="220"/>
              <w:spacing w:after="0"/>
              <w:rPr>
                <w:sz w:val="20"/>
                <w:szCs w:val="20"/>
                <w:color w:val="auto"/>
              </w:rPr>
            </w:pPr>
            <w:r>
              <w:rPr>
                <w:rFonts w:ascii="Arial" w:cs="Arial" w:eastAsia="Arial" w:hAnsi="Arial"/>
                <w:sz w:val="18"/>
                <w:szCs w:val="18"/>
                <w:color w:val="auto"/>
              </w:rPr>
              <w:t>Certificate Legend</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8.6</w:t>
            </w:r>
          </w:p>
        </w:tc>
        <w:tc>
          <w:tcPr>
            <w:tcW w:w="7860" w:type="dxa"/>
            <w:vAlign w:val="bottom"/>
          </w:tcPr>
          <w:p>
            <w:pPr>
              <w:ind w:left="220"/>
              <w:spacing w:after="0"/>
              <w:rPr>
                <w:sz w:val="20"/>
                <w:szCs w:val="20"/>
                <w:color w:val="auto"/>
              </w:rPr>
            </w:pPr>
            <w:r>
              <w:rPr>
                <w:rFonts w:ascii="Arial" w:cs="Arial" w:eastAsia="Arial" w:hAnsi="Arial"/>
                <w:sz w:val="18"/>
                <w:szCs w:val="18"/>
                <w:color w:val="auto"/>
              </w:rPr>
              <w:t>Voting Rights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8.7</w:t>
            </w:r>
          </w:p>
        </w:tc>
        <w:tc>
          <w:tcPr>
            <w:tcW w:w="7860" w:type="dxa"/>
            <w:vAlign w:val="bottom"/>
          </w:tcPr>
          <w:p>
            <w:pPr>
              <w:ind w:left="220"/>
              <w:spacing w:after="0"/>
              <w:rPr>
                <w:sz w:val="20"/>
                <w:szCs w:val="20"/>
                <w:color w:val="auto"/>
              </w:rPr>
            </w:pPr>
            <w:r>
              <w:rPr>
                <w:rFonts w:ascii="Arial" w:cs="Arial" w:eastAsia="Arial" w:hAnsi="Arial"/>
                <w:sz w:val="18"/>
                <w:szCs w:val="18"/>
                <w:color w:val="auto"/>
              </w:rPr>
              <w:t>Dividends and Other Distributions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8.8</w:t>
            </w:r>
          </w:p>
        </w:tc>
        <w:tc>
          <w:tcPr>
            <w:tcW w:w="7860" w:type="dxa"/>
            <w:vAlign w:val="bottom"/>
          </w:tcPr>
          <w:p>
            <w:pPr>
              <w:ind w:left="220"/>
              <w:spacing w:after="0"/>
              <w:rPr>
                <w:sz w:val="20"/>
                <w:szCs w:val="20"/>
                <w:color w:val="auto"/>
              </w:rPr>
            </w:pPr>
            <w:r>
              <w:rPr>
                <w:rFonts w:ascii="Arial" w:cs="Arial" w:eastAsia="Arial" w:hAnsi="Arial"/>
                <w:sz w:val="18"/>
                <w:szCs w:val="18"/>
                <w:color w:val="auto"/>
              </w:rPr>
              <w:t>Termination of Employment</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900" w:type="dxa"/>
            <w:vAlign w:val="bottom"/>
          </w:tcPr>
          <w:p>
            <w:pPr>
              <w:ind w:left="220"/>
              <w:spacing w:after="0"/>
              <w:rPr>
                <w:sz w:val="20"/>
                <w:szCs w:val="20"/>
                <w:color w:val="auto"/>
              </w:rPr>
            </w:pPr>
            <w:r>
              <w:rPr>
                <w:rFonts w:ascii="Arial" w:cs="Arial" w:eastAsia="Arial" w:hAnsi="Arial"/>
                <w:sz w:val="18"/>
                <w:szCs w:val="18"/>
                <w:color w:val="auto"/>
              </w:rPr>
              <w:t>8.9</w:t>
            </w:r>
          </w:p>
        </w:tc>
        <w:tc>
          <w:tcPr>
            <w:tcW w:w="7860" w:type="dxa"/>
            <w:vAlign w:val="bottom"/>
          </w:tcPr>
          <w:p>
            <w:pPr>
              <w:ind w:left="220"/>
              <w:spacing w:after="0"/>
              <w:rPr>
                <w:sz w:val="20"/>
                <w:szCs w:val="20"/>
                <w:color w:val="auto"/>
              </w:rPr>
            </w:pPr>
            <w:r>
              <w:rPr>
                <w:rFonts w:ascii="Arial" w:cs="Arial" w:eastAsia="Arial" w:hAnsi="Arial"/>
                <w:sz w:val="18"/>
                <w:szCs w:val="18"/>
                <w:color w:val="auto"/>
              </w:rPr>
              <w:t>Payment in Consideration of Restricted Stock Units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9</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Performance Shares and Performance Units</w:t>
            </w:r>
          </w:p>
        </w:tc>
        <w:tc>
          <w:tcPr>
            <w:tcW w:w="2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9.1</w:t>
            </w:r>
          </w:p>
        </w:tc>
        <w:tc>
          <w:tcPr>
            <w:tcW w:w="8200" w:type="dxa"/>
            <w:vAlign w:val="bottom"/>
          </w:tcPr>
          <w:p>
            <w:pPr>
              <w:ind w:left="180"/>
              <w:spacing w:after="0"/>
              <w:rPr>
                <w:sz w:val="20"/>
                <w:szCs w:val="20"/>
                <w:color w:val="auto"/>
              </w:rPr>
            </w:pPr>
            <w:r>
              <w:rPr>
                <w:rFonts w:ascii="Arial" w:cs="Arial" w:eastAsia="Arial" w:hAnsi="Arial"/>
                <w:sz w:val="18"/>
                <w:szCs w:val="18"/>
                <w:color w:val="auto"/>
              </w:rPr>
              <w:t>Grant of Performance Shares and Performance Units</w:t>
            </w:r>
          </w:p>
        </w:tc>
        <w:tc>
          <w:tcPr>
            <w:tcW w:w="2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9.2</w:t>
            </w:r>
          </w:p>
        </w:tc>
        <w:tc>
          <w:tcPr>
            <w:tcW w:w="8200" w:type="dxa"/>
            <w:vAlign w:val="bottom"/>
          </w:tcPr>
          <w:p>
            <w:pPr>
              <w:ind w:left="180"/>
              <w:spacing w:after="0"/>
              <w:rPr>
                <w:sz w:val="20"/>
                <w:szCs w:val="20"/>
                <w:color w:val="auto"/>
              </w:rPr>
            </w:pPr>
            <w:r>
              <w:rPr>
                <w:rFonts w:ascii="Arial" w:cs="Arial" w:eastAsia="Arial" w:hAnsi="Arial"/>
                <w:sz w:val="18"/>
                <w:szCs w:val="18"/>
                <w:color w:val="auto"/>
              </w:rPr>
              <w:t>Value of Performance Shares and Performance Units</w:t>
            </w:r>
          </w:p>
        </w:tc>
        <w:tc>
          <w:tcPr>
            <w:tcW w:w="2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9.3</w:t>
            </w:r>
          </w:p>
        </w:tc>
        <w:tc>
          <w:tcPr>
            <w:tcW w:w="8200" w:type="dxa"/>
            <w:vAlign w:val="bottom"/>
          </w:tcPr>
          <w:p>
            <w:pPr>
              <w:ind w:left="180"/>
              <w:spacing w:after="0"/>
              <w:rPr>
                <w:sz w:val="20"/>
                <w:szCs w:val="20"/>
                <w:color w:val="auto"/>
              </w:rPr>
            </w:pPr>
            <w:r>
              <w:rPr>
                <w:rFonts w:ascii="Arial" w:cs="Arial" w:eastAsia="Arial" w:hAnsi="Arial"/>
                <w:sz w:val="18"/>
                <w:szCs w:val="18"/>
                <w:color w:val="auto"/>
              </w:rPr>
              <w:t>Earning of Performance Shares and Performance Units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9.4</w:t>
            </w:r>
          </w:p>
        </w:tc>
        <w:tc>
          <w:tcPr>
            <w:tcW w:w="8200" w:type="dxa"/>
            <w:vAlign w:val="bottom"/>
          </w:tcPr>
          <w:p>
            <w:pPr>
              <w:ind w:left="180"/>
              <w:spacing w:after="0"/>
              <w:rPr>
                <w:sz w:val="20"/>
                <w:szCs w:val="20"/>
                <w:color w:val="auto"/>
              </w:rPr>
            </w:pPr>
            <w:r>
              <w:rPr>
                <w:rFonts w:ascii="Arial" w:cs="Arial" w:eastAsia="Arial" w:hAnsi="Arial"/>
                <w:sz w:val="18"/>
                <w:szCs w:val="18"/>
                <w:color w:val="auto"/>
              </w:rPr>
              <w:t>Form and Timing of Payment of Performance Shares and Performance Units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9.5</w:t>
            </w:r>
          </w:p>
        </w:tc>
        <w:tc>
          <w:tcPr>
            <w:tcW w:w="8200" w:type="dxa"/>
            <w:vAlign w:val="bottom"/>
          </w:tcPr>
          <w:p>
            <w:pPr>
              <w:ind w:left="180"/>
              <w:spacing w:after="0"/>
              <w:rPr>
                <w:sz w:val="20"/>
                <w:szCs w:val="20"/>
                <w:color w:val="auto"/>
              </w:rPr>
            </w:pPr>
            <w:r>
              <w:rPr>
                <w:rFonts w:ascii="Arial" w:cs="Arial" w:eastAsia="Arial" w:hAnsi="Arial"/>
                <w:sz w:val="18"/>
                <w:szCs w:val="18"/>
                <w:color w:val="auto"/>
              </w:rPr>
              <w:t>Termination of Employment</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940" w:type="dxa"/>
            <w:vAlign w:val="bottom"/>
          </w:tcPr>
          <w:p>
            <w:pPr>
              <w:ind w:left="220"/>
              <w:spacing w:after="0"/>
              <w:rPr>
                <w:sz w:val="20"/>
                <w:szCs w:val="20"/>
                <w:color w:val="auto"/>
              </w:rPr>
            </w:pPr>
            <w:r>
              <w:rPr>
                <w:rFonts w:ascii="Arial" w:cs="Arial" w:eastAsia="Arial" w:hAnsi="Arial"/>
                <w:sz w:val="18"/>
                <w:szCs w:val="18"/>
                <w:color w:val="auto"/>
              </w:rPr>
              <w:t>9.6</w:t>
            </w:r>
          </w:p>
        </w:tc>
        <w:tc>
          <w:tcPr>
            <w:tcW w:w="8200" w:type="dxa"/>
            <w:vAlign w:val="bottom"/>
          </w:tcPr>
          <w:p>
            <w:pPr>
              <w:ind w:left="180"/>
              <w:spacing w:after="0"/>
              <w:rPr>
                <w:sz w:val="20"/>
                <w:szCs w:val="20"/>
                <w:color w:val="auto"/>
              </w:rPr>
            </w:pPr>
            <w:r>
              <w:rPr>
                <w:rFonts w:ascii="Arial" w:cs="Arial" w:eastAsia="Arial" w:hAnsi="Arial"/>
                <w:sz w:val="18"/>
                <w:szCs w:val="18"/>
                <w:color w:val="auto"/>
              </w:rPr>
              <w:t>Nontransferability of of Performance Shares and Performance Units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10</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Cash-Based Awards and Stock-Based Awards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10.1</w:t>
            </w:r>
          </w:p>
        </w:tc>
        <w:tc>
          <w:tcPr>
            <w:tcW w:w="8200" w:type="dxa"/>
            <w:vAlign w:val="bottom"/>
          </w:tcPr>
          <w:p>
            <w:pPr>
              <w:ind w:left="180"/>
              <w:spacing w:after="0"/>
              <w:rPr>
                <w:sz w:val="20"/>
                <w:szCs w:val="20"/>
                <w:color w:val="auto"/>
              </w:rPr>
            </w:pPr>
            <w:r>
              <w:rPr>
                <w:rFonts w:ascii="Arial" w:cs="Arial" w:eastAsia="Arial" w:hAnsi="Arial"/>
                <w:sz w:val="18"/>
                <w:szCs w:val="18"/>
                <w:color w:val="auto"/>
              </w:rPr>
              <w:t>Grant of Cash-Based Awards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10.2</w:t>
            </w:r>
          </w:p>
        </w:tc>
        <w:tc>
          <w:tcPr>
            <w:tcW w:w="8200" w:type="dxa"/>
            <w:vAlign w:val="bottom"/>
          </w:tcPr>
          <w:p>
            <w:pPr>
              <w:ind w:left="180"/>
              <w:spacing w:after="0"/>
              <w:rPr>
                <w:sz w:val="20"/>
                <w:szCs w:val="20"/>
                <w:color w:val="auto"/>
              </w:rPr>
            </w:pPr>
            <w:r>
              <w:rPr>
                <w:rFonts w:ascii="Arial" w:cs="Arial" w:eastAsia="Arial" w:hAnsi="Arial"/>
                <w:sz w:val="18"/>
                <w:szCs w:val="18"/>
                <w:color w:val="auto"/>
              </w:rPr>
              <w:t>Value of Cash-Based Awards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10.3</w:t>
            </w:r>
          </w:p>
        </w:tc>
        <w:tc>
          <w:tcPr>
            <w:tcW w:w="8200" w:type="dxa"/>
            <w:vAlign w:val="bottom"/>
          </w:tcPr>
          <w:p>
            <w:pPr>
              <w:ind w:left="180"/>
              <w:spacing w:after="0"/>
              <w:rPr>
                <w:sz w:val="20"/>
                <w:szCs w:val="20"/>
                <w:color w:val="auto"/>
              </w:rPr>
            </w:pPr>
            <w:r>
              <w:rPr>
                <w:rFonts w:ascii="Arial" w:cs="Arial" w:eastAsia="Arial" w:hAnsi="Arial"/>
                <w:sz w:val="18"/>
                <w:szCs w:val="18"/>
                <w:color w:val="auto"/>
              </w:rPr>
              <w:t>Payment in Consideration of Cash-Based Awards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10.4</w:t>
            </w:r>
          </w:p>
        </w:tc>
        <w:tc>
          <w:tcPr>
            <w:tcW w:w="8200" w:type="dxa"/>
            <w:vAlign w:val="bottom"/>
          </w:tcPr>
          <w:p>
            <w:pPr>
              <w:ind w:left="180"/>
              <w:spacing w:after="0"/>
              <w:rPr>
                <w:sz w:val="20"/>
                <w:szCs w:val="20"/>
                <w:color w:val="auto"/>
              </w:rPr>
            </w:pPr>
            <w:r>
              <w:rPr>
                <w:rFonts w:ascii="Arial" w:cs="Arial" w:eastAsia="Arial" w:hAnsi="Arial"/>
                <w:sz w:val="18"/>
                <w:szCs w:val="18"/>
                <w:color w:val="auto"/>
              </w:rPr>
              <w:t>Form and Timing of Payment of Cash-Based Awards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10.5</w:t>
            </w:r>
          </w:p>
        </w:tc>
        <w:tc>
          <w:tcPr>
            <w:tcW w:w="8200" w:type="dxa"/>
            <w:vAlign w:val="bottom"/>
          </w:tcPr>
          <w:p>
            <w:pPr>
              <w:ind w:left="180"/>
              <w:spacing w:after="0"/>
              <w:rPr>
                <w:sz w:val="20"/>
                <w:szCs w:val="20"/>
                <w:color w:val="auto"/>
              </w:rPr>
            </w:pPr>
            <w:r>
              <w:rPr>
                <w:rFonts w:ascii="Arial" w:cs="Arial" w:eastAsia="Arial" w:hAnsi="Arial"/>
                <w:sz w:val="18"/>
                <w:szCs w:val="18"/>
                <w:color w:val="auto"/>
              </w:rPr>
              <w:t>Stock-Based Awards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10.6</w:t>
            </w:r>
          </w:p>
        </w:tc>
        <w:tc>
          <w:tcPr>
            <w:tcW w:w="8200" w:type="dxa"/>
            <w:vAlign w:val="bottom"/>
          </w:tcPr>
          <w:p>
            <w:pPr>
              <w:ind w:left="180"/>
              <w:spacing w:after="0"/>
              <w:rPr>
                <w:sz w:val="20"/>
                <w:szCs w:val="20"/>
                <w:color w:val="auto"/>
              </w:rPr>
            </w:pPr>
            <w:r>
              <w:rPr>
                <w:rFonts w:ascii="Arial" w:cs="Arial" w:eastAsia="Arial" w:hAnsi="Arial"/>
                <w:sz w:val="18"/>
                <w:szCs w:val="18"/>
                <w:color w:val="auto"/>
              </w:rPr>
              <w:t>Termination of Employment</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940" w:type="dxa"/>
            <w:vAlign w:val="bottom"/>
          </w:tcPr>
          <w:p>
            <w:pPr>
              <w:ind w:left="220"/>
              <w:spacing w:after="0"/>
              <w:rPr>
                <w:sz w:val="20"/>
                <w:szCs w:val="20"/>
                <w:color w:val="auto"/>
              </w:rPr>
            </w:pPr>
            <w:r>
              <w:rPr>
                <w:rFonts w:ascii="Arial" w:cs="Arial" w:eastAsia="Arial" w:hAnsi="Arial"/>
                <w:sz w:val="18"/>
                <w:szCs w:val="18"/>
                <w:color w:val="auto"/>
              </w:rPr>
              <w:t>10.7</w:t>
            </w:r>
          </w:p>
        </w:tc>
        <w:tc>
          <w:tcPr>
            <w:tcW w:w="8200" w:type="dxa"/>
            <w:vAlign w:val="bottom"/>
          </w:tcPr>
          <w:p>
            <w:pPr>
              <w:ind w:left="180"/>
              <w:spacing w:after="0"/>
              <w:rPr>
                <w:sz w:val="20"/>
                <w:szCs w:val="20"/>
                <w:color w:val="auto"/>
              </w:rPr>
            </w:pPr>
            <w:r>
              <w:rPr>
                <w:rFonts w:ascii="Arial" w:cs="Arial" w:eastAsia="Arial" w:hAnsi="Arial"/>
                <w:sz w:val="18"/>
                <w:szCs w:val="18"/>
                <w:color w:val="auto"/>
              </w:rPr>
              <w:t>Nontransferability of Cash-Based Awards and Stock-Based Awards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11</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Performance Measures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12</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Beneficiary Designation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13</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Rights of Employees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13.1</w:t>
            </w:r>
          </w:p>
        </w:tc>
        <w:tc>
          <w:tcPr>
            <w:tcW w:w="8200" w:type="dxa"/>
            <w:vAlign w:val="bottom"/>
          </w:tcPr>
          <w:p>
            <w:pPr>
              <w:ind w:left="180"/>
              <w:spacing w:after="0"/>
              <w:rPr>
                <w:sz w:val="20"/>
                <w:szCs w:val="20"/>
                <w:color w:val="auto"/>
              </w:rPr>
            </w:pPr>
            <w:r>
              <w:rPr>
                <w:rFonts w:ascii="Arial" w:cs="Arial" w:eastAsia="Arial" w:hAnsi="Arial"/>
                <w:sz w:val="18"/>
                <w:szCs w:val="18"/>
                <w:color w:val="auto"/>
              </w:rPr>
              <w:t>Employment</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13.2</w:t>
            </w:r>
          </w:p>
        </w:tc>
        <w:tc>
          <w:tcPr>
            <w:tcW w:w="8200" w:type="dxa"/>
            <w:vAlign w:val="bottom"/>
          </w:tcPr>
          <w:p>
            <w:pPr>
              <w:ind w:left="180"/>
              <w:spacing w:after="0"/>
              <w:rPr>
                <w:sz w:val="20"/>
                <w:szCs w:val="20"/>
                <w:color w:val="auto"/>
              </w:rPr>
            </w:pPr>
            <w:r>
              <w:rPr>
                <w:rFonts w:ascii="Arial" w:cs="Arial" w:eastAsia="Arial" w:hAnsi="Arial"/>
                <w:sz w:val="18"/>
                <w:szCs w:val="18"/>
                <w:color w:val="auto"/>
              </w:rPr>
              <w:t>Participation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940" w:type="dxa"/>
            <w:vAlign w:val="bottom"/>
          </w:tcPr>
          <w:p>
            <w:pPr>
              <w:ind w:left="220"/>
              <w:spacing w:after="0"/>
              <w:rPr>
                <w:sz w:val="20"/>
                <w:szCs w:val="20"/>
                <w:color w:val="auto"/>
              </w:rPr>
            </w:pPr>
            <w:r>
              <w:rPr>
                <w:rFonts w:ascii="Arial" w:cs="Arial" w:eastAsia="Arial" w:hAnsi="Arial"/>
                <w:sz w:val="18"/>
                <w:szCs w:val="18"/>
                <w:color w:val="auto"/>
              </w:rPr>
              <w:t>13.3</w:t>
            </w:r>
          </w:p>
        </w:tc>
        <w:tc>
          <w:tcPr>
            <w:tcW w:w="8200" w:type="dxa"/>
            <w:vAlign w:val="bottom"/>
          </w:tcPr>
          <w:p>
            <w:pPr>
              <w:ind w:left="180"/>
              <w:spacing w:after="0"/>
              <w:rPr>
                <w:sz w:val="20"/>
                <w:szCs w:val="20"/>
                <w:color w:val="auto"/>
              </w:rPr>
            </w:pPr>
            <w:r>
              <w:rPr>
                <w:rFonts w:ascii="Arial" w:cs="Arial" w:eastAsia="Arial" w:hAnsi="Arial"/>
                <w:sz w:val="18"/>
                <w:szCs w:val="18"/>
                <w:color w:val="auto"/>
              </w:rPr>
              <w:t>Rights as a Stockholder</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14</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Change of Control</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15</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Amendment, Modification, Suspension, and Termination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15.1</w:t>
            </w:r>
          </w:p>
        </w:tc>
        <w:tc>
          <w:tcPr>
            <w:tcW w:w="8200" w:type="dxa"/>
            <w:vAlign w:val="bottom"/>
          </w:tcPr>
          <w:p>
            <w:pPr>
              <w:ind w:left="180"/>
              <w:spacing w:after="0"/>
              <w:rPr>
                <w:sz w:val="20"/>
                <w:szCs w:val="20"/>
                <w:color w:val="auto"/>
              </w:rPr>
            </w:pPr>
            <w:r>
              <w:rPr>
                <w:rFonts w:ascii="Arial" w:cs="Arial" w:eastAsia="Arial" w:hAnsi="Arial"/>
                <w:sz w:val="18"/>
                <w:szCs w:val="18"/>
                <w:color w:val="auto"/>
              </w:rPr>
              <w:t>Amendment, Modification, Suspension, and Termination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15.2</w:t>
            </w:r>
          </w:p>
        </w:tc>
        <w:tc>
          <w:tcPr>
            <w:tcW w:w="8200" w:type="dxa"/>
            <w:vAlign w:val="bottom"/>
          </w:tcPr>
          <w:p>
            <w:pPr>
              <w:ind w:left="180"/>
              <w:spacing w:after="0"/>
              <w:rPr>
                <w:sz w:val="20"/>
                <w:szCs w:val="20"/>
                <w:color w:val="auto"/>
              </w:rPr>
            </w:pPr>
            <w:r>
              <w:rPr>
                <w:rFonts w:ascii="Arial" w:cs="Arial" w:eastAsia="Arial" w:hAnsi="Arial"/>
                <w:sz w:val="18"/>
                <w:szCs w:val="18"/>
                <w:color w:val="auto"/>
              </w:rPr>
              <w:t>Adjustment of Awards on the Occurrence of Certain Unusual or Nonrecurring Events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940" w:type="dxa"/>
            <w:vAlign w:val="bottom"/>
          </w:tcPr>
          <w:p>
            <w:pPr>
              <w:ind w:left="220"/>
              <w:spacing w:after="0"/>
              <w:rPr>
                <w:sz w:val="20"/>
                <w:szCs w:val="20"/>
                <w:color w:val="auto"/>
              </w:rPr>
            </w:pPr>
            <w:r>
              <w:rPr>
                <w:rFonts w:ascii="Arial" w:cs="Arial" w:eastAsia="Arial" w:hAnsi="Arial"/>
                <w:sz w:val="18"/>
                <w:szCs w:val="18"/>
                <w:color w:val="auto"/>
              </w:rPr>
              <w:t>15.3</w:t>
            </w:r>
          </w:p>
        </w:tc>
        <w:tc>
          <w:tcPr>
            <w:tcW w:w="8200" w:type="dxa"/>
            <w:vAlign w:val="bottom"/>
          </w:tcPr>
          <w:p>
            <w:pPr>
              <w:ind w:left="180"/>
              <w:spacing w:after="0"/>
              <w:rPr>
                <w:sz w:val="20"/>
                <w:szCs w:val="20"/>
                <w:color w:val="auto"/>
              </w:rPr>
            </w:pPr>
            <w:r>
              <w:rPr>
                <w:rFonts w:ascii="Arial" w:cs="Arial" w:eastAsia="Arial" w:hAnsi="Arial"/>
                <w:sz w:val="18"/>
                <w:szCs w:val="18"/>
                <w:color w:val="auto"/>
              </w:rPr>
              <w:t>Awards Previously 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16</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Withholding</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17</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Successors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18</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General Provisions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18.1</w:t>
            </w:r>
          </w:p>
        </w:tc>
        <w:tc>
          <w:tcPr>
            <w:tcW w:w="8200" w:type="dxa"/>
            <w:vAlign w:val="bottom"/>
          </w:tcPr>
          <w:p>
            <w:pPr>
              <w:ind w:left="180"/>
              <w:spacing w:after="0"/>
              <w:rPr>
                <w:sz w:val="20"/>
                <w:szCs w:val="20"/>
                <w:color w:val="auto"/>
              </w:rPr>
            </w:pPr>
            <w:r>
              <w:rPr>
                <w:rFonts w:ascii="Arial" w:cs="Arial" w:eastAsia="Arial" w:hAnsi="Arial"/>
                <w:sz w:val="18"/>
                <w:szCs w:val="18"/>
                <w:color w:val="auto"/>
              </w:rPr>
              <w:t>Forfeiture Events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18.2</w:t>
            </w:r>
          </w:p>
        </w:tc>
        <w:tc>
          <w:tcPr>
            <w:tcW w:w="8200" w:type="dxa"/>
            <w:vAlign w:val="bottom"/>
          </w:tcPr>
          <w:p>
            <w:pPr>
              <w:ind w:left="180"/>
              <w:spacing w:after="0"/>
              <w:rPr>
                <w:sz w:val="20"/>
                <w:szCs w:val="20"/>
                <w:color w:val="auto"/>
              </w:rPr>
            </w:pPr>
            <w:r>
              <w:rPr>
                <w:rFonts w:ascii="Arial" w:cs="Arial" w:eastAsia="Arial" w:hAnsi="Arial"/>
                <w:sz w:val="18"/>
                <w:szCs w:val="18"/>
                <w:color w:val="auto"/>
              </w:rPr>
              <w:t>Legend</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18.3</w:t>
            </w:r>
          </w:p>
        </w:tc>
        <w:tc>
          <w:tcPr>
            <w:tcW w:w="8200" w:type="dxa"/>
            <w:vAlign w:val="bottom"/>
          </w:tcPr>
          <w:p>
            <w:pPr>
              <w:ind w:left="180"/>
              <w:spacing w:after="0"/>
              <w:rPr>
                <w:sz w:val="20"/>
                <w:szCs w:val="20"/>
                <w:color w:val="auto"/>
              </w:rPr>
            </w:pPr>
            <w:r>
              <w:rPr>
                <w:rFonts w:ascii="Arial" w:cs="Arial" w:eastAsia="Arial" w:hAnsi="Arial"/>
                <w:sz w:val="18"/>
                <w:szCs w:val="18"/>
                <w:color w:val="auto"/>
              </w:rPr>
              <w:t>Delivery of Title</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18.4</w:t>
            </w:r>
          </w:p>
        </w:tc>
        <w:tc>
          <w:tcPr>
            <w:tcW w:w="8200" w:type="dxa"/>
            <w:vAlign w:val="bottom"/>
          </w:tcPr>
          <w:p>
            <w:pPr>
              <w:ind w:left="180"/>
              <w:spacing w:after="0"/>
              <w:rPr>
                <w:sz w:val="20"/>
                <w:szCs w:val="20"/>
                <w:color w:val="auto"/>
              </w:rPr>
            </w:pPr>
            <w:r>
              <w:rPr>
                <w:rFonts w:ascii="Arial" w:cs="Arial" w:eastAsia="Arial" w:hAnsi="Arial"/>
                <w:sz w:val="18"/>
                <w:szCs w:val="18"/>
                <w:color w:val="auto"/>
              </w:rPr>
              <w:t>Investment Representations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18.5</w:t>
            </w:r>
          </w:p>
        </w:tc>
        <w:tc>
          <w:tcPr>
            <w:tcW w:w="8200" w:type="dxa"/>
            <w:vAlign w:val="bottom"/>
          </w:tcPr>
          <w:p>
            <w:pPr>
              <w:ind w:left="180"/>
              <w:spacing w:after="0"/>
              <w:rPr>
                <w:sz w:val="20"/>
                <w:szCs w:val="20"/>
                <w:color w:val="auto"/>
              </w:rPr>
            </w:pPr>
            <w:r>
              <w:rPr>
                <w:rFonts w:ascii="Arial" w:cs="Arial" w:eastAsia="Arial" w:hAnsi="Arial"/>
                <w:sz w:val="18"/>
                <w:szCs w:val="18"/>
                <w:color w:val="auto"/>
              </w:rPr>
              <w:t>Employees Based Outside of the United States</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18.6</w:t>
            </w:r>
          </w:p>
        </w:tc>
        <w:tc>
          <w:tcPr>
            <w:tcW w:w="8200" w:type="dxa"/>
            <w:vAlign w:val="bottom"/>
          </w:tcPr>
          <w:p>
            <w:pPr>
              <w:ind w:left="180"/>
              <w:spacing w:after="0"/>
              <w:rPr>
                <w:sz w:val="20"/>
                <w:szCs w:val="20"/>
                <w:color w:val="auto"/>
              </w:rPr>
            </w:pPr>
            <w:r>
              <w:rPr>
                <w:rFonts w:ascii="Arial" w:cs="Arial" w:eastAsia="Arial" w:hAnsi="Arial"/>
                <w:sz w:val="18"/>
                <w:szCs w:val="18"/>
                <w:color w:val="auto"/>
              </w:rPr>
              <w:t>Uncertificated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18.7</w:t>
            </w:r>
          </w:p>
        </w:tc>
        <w:tc>
          <w:tcPr>
            <w:tcW w:w="8200" w:type="dxa"/>
            <w:vAlign w:val="bottom"/>
          </w:tcPr>
          <w:p>
            <w:pPr>
              <w:ind w:left="180"/>
              <w:spacing w:after="0"/>
              <w:rPr>
                <w:sz w:val="20"/>
                <w:szCs w:val="20"/>
                <w:color w:val="auto"/>
              </w:rPr>
            </w:pPr>
            <w:r>
              <w:rPr>
                <w:rFonts w:ascii="Arial" w:cs="Arial" w:eastAsia="Arial" w:hAnsi="Arial"/>
                <w:sz w:val="18"/>
                <w:szCs w:val="18"/>
                <w:color w:val="auto"/>
              </w:rPr>
              <w:t>Unfunded Plan</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18.8</w:t>
            </w:r>
          </w:p>
        </w:tc>
        <w:tc>
          <w:tcPr>
            <w:tcW w:w="8200" w:type="dxa"/>
            <w:vAlign w:val="bottom"/>
          </w:tcPr>
          <w:p>
            <w:pPr>
              <w:ind w:left="180"/>
              <w:spacing w:after="0"/>
              <w:rPr>
                <w:sz w:val="20"/>
                <w:szCs w:val="20"/>
                <w:color w:val="auto"/>
              </w:rPr>
            </w:pPr>
            <w:r>
              <w:rPr>
                <w:rFonts w:ascii="Arial" w:cs="Arial" w:eastAsia="Arial" w:hAnsi="Arial"/>
                <w:sz w:val="18"/>
                <w:szCs w:val="18"/>
                <w:color w:val="auto"/>
              </w:rPr>
              <w:t>No Fractional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18.9</w:t>
            </w:r>
          </w:p>
        </w:tc>
        <w:tc>
          <w:tcPr>
            <w:tcW w:w="8200" w:type="dxa"/>
            <w:vAlign w:val="bottom"/>
          </w:tcPr>
          <w:p>
            <w:pPr>
              <w:ind w:left="180"/>
              <w:spacing w:after="0"/>
              <w:rPr>
                <w:sz w:val="20"/>
                <w:szCs w:val="20"/>
                <w:color w:val="auto"/>
              </w:rPr>
            </w:pPr>
            <w:r>
              <w:rPr>
                <w:rFonts w:ascii="Arial" w:cs="Arial" w:eastAsia="Arial" w:hAnsi="Arial"/>
                <w:sz w:val="18"/>
                <w:szCs w:val="18"/>
                <w:color w:val="auto"/>
              </w:rPr>
              <w:t>Other Compensation and Benefit Plans</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18.10</w:t>
            </w:r>
          </w:p>
        </w:tc>
        <w:tc>
          <w:tcPr>
            <w:tcW w:w="8200" w:type="dxa"/>
            <w:vAlign w:val="bottom"/>
          </w:tcPr>
          <w:p>
            <w:pPr>
              <w:ind w:left="180"/>
              <w:spacing w:after="0"/>
              <w:rPr>
                <w:sz w:val="20"/>
                <w:szCs w:val="20"/>
                <w:color w:val="auto"/>
              </w:rPr>
            </w:pPr>
            <w:r>
              <w:rPr>
                <w:rFonts w:ascii="Arial" w:cs="Arial" w:eastAsia="Arial" w:hAnsi="Arial"/>
                <w:sz w:val="18"/>
                <w:szCs w:val="18"/>
                <w:color w:val="auto"/>
              </w:rPr>
              <w:t>No Constraint on Corporate Action</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18.11</w:t>
            </w:r>
          </w:p>
        </w:tc>
        <w:tc>
          <w:tcPr>
            <w:tcW w:w="8200" w:type="dxa"/>
            <w:vAlign w:val="bottom"/>
          </w:tcPr>
          <w:p>
            <w:pPr>
              <w:ind w:left="180"/>
              <w:spacing w:after="0"/>
              <w:rPr>
                <w:sz w:val="20"/>
                <w:szCs w:val="20"/>
                <w:color w:val="auto"/>
              </w:rPr>
            </w:pPr>
            <w:r>
              <w:rPr>
                <w:rFonts w:ascii="Arial" w:cs="Arial" w:eastAsia="Arial" w:hAnsi="Arial"/>
                <w:sz w:val="18"/>
                <w:szCs w:val="18"/>
                <w:color w:val="auto"/>
              </w:rPr>
              <w:t>Six-Month Delay for Specified Employees</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18.12</w:t>
            </w:r>
          </w:p>
        </w:tc>
        <w:tc>
          <w:tcPr>
            <w:tcW w:w="8200" w:type="dxa"/>
            <w:vAlign w:val="bottom"/>
          </w:tcPr>
          <w:p>
            <w:pPr>
              <w:ind w:left="180"/>
              <w:spacing w:after="0"/>
              <w:rPr>
                <w:sz w:val="20"/>
                <w:szCs w:val="20"/>
                <w:color w:val="auto"/>
              </w:rPr>
            </w:pPr>
            <w:r>
              <w:rPr>
                <w:rFonts w:ascii="Arial" w:cs="Arial" w:eastAsia="Arial" w:hAnsi="Arial"/>
                <w:sz w:val="18"/>
                <w:szCs w:val="18"/>
                <w:color w:val="auto"/>
              </w:rPr>
              <w:t>Separation from Service</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18.13</w:t>
            </w:r>
          </w:p>
        </w:tc>
        <w:tc>
          <w:tcPr>
            <w:tcW w:w="8200" w:type="dxa"/>
            <w:vAlign w:val="bottom"/>
          </w:tcPr>
          <w:p>
            <w:pPr>
              <w:ind w:left="180"/>
              <w:spacing w:after="0"/>
              <w:rPr>
                <w:sz w:val="20"/>
                <w:szCs w:val="20"/>
                <w:color w:val="auto"/>
              </w:rPr>
            </w:pPr>
            <w:r>
              <w:rPr>
                <w:rFonts w:ascii="Arial" w:cs="Arial" w:eastAsia="Arial" w:hAnsi="Arial"/>
                <w:sz w:val="18"/>
                <w:szCs w:val="18"/>
                <w:color w:val="auto"/>
              </w:rPr>
              <w:t>Section 457A</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940" w:type="dxa"/>
            <w:vAlign w:val="bottom"/>
          </w:tcPr>
          <w:p>
            <w:pPr>
              <w:ind w:left="220"/>
              <w:spacing w:after="0"/>
              <w:rPr>
                <w:sz w:val="20"/>
                <w:szCs w:val="20"/>
                <w:color w:val="auto"/>
              </w:rPr>
            </w:pPr>
            <w:r>
              <w:rPr>
                <w:rFonts w:ascii="Arial" w:cs="Arial" w:eastAsia="Arial" w:hAnsi="Arial"/>
                <w:sz w:val="18"/>
                <w:szCs w:val="18"/>
                <w:color w:val="auto"/>
              </w:rPr>
              <w:t>18.14</w:t>
            </w:r>
          </w:p>
        </w:tc>
        <w:tc>
          <w:tcPr>
            <w:tcW w:w="8200" w:type="dxa"/>
            <w:vAlign w:val="bottom"/>
          </w:tcPr>
          <w:p>
            <w:pPr>
              <w:ind w:left="180"/>
              <w:spacing w:after="0"/>
              <w:rPr>
                <w:sz w:val="20"/>
                <w:szCs w:val="20"/>
                <w:color w:val="auto"/>
              </w:rPr>
            </w:pPr>
            <w:r>
              <w:rPr>
                <w:rFonts w:ascii="Arial" w:cs="Arial" w:eastAsia="Arial" w:hAnsi="Arial"/>
                <w:sz w:val="18"/>
                <w:szCs w:val="18"/>
                <w:color w:val="auto"/>
              </w:rPr>
              <w:t>Compliance with Code Section 409A</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940" w:type="dxa"/>
            <w:vAlign w:val="bottom"/>
          </w:tcPr>
          <w:p>
            <w:pPr>
              <w:spacing w:after="0"/>
              <w:rPr>
                <w:sz w:val="20"/>
                <w:szCs w:val="20"/>
                <w:color w:val="auto"/>
              </w:rPr>
            </w:pPr>
            <w:r>
              <w:rPr>
                <w:rFonts w:ascii="Arial" w:cs="Arial" w:eastAsia="Arial" w:hAnsi="Arial"/>
                <w:sz w:val="18"/>
                <w:szCs w:val="18"/>
                <w:b w:val="1"/>
                <w:bCs w:val="1"/>
                <w:color w:val="auto"/>
              </w:rPr>
              <w:t>Article 19</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Legal Construction</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19.1</w:t>
            </w:r>
          </w:p>
        </w:tc>
        <w:tc>
          <w:tcPr>
            <w:tcW w:w="8200" w:type="dxa"/>
            <w:vAlign w:val="bottom"/>
          </w:tcPr>
          <w:p>
            <w:pPr>
              <w:ind w:left="180"/>
              <w:spacing w:after="0"/>
              <w:rPr>
                <w:sz w:val="20"/>
                <w:szCs w:val="20"/>
                <w:color w:val="auto"/>
              </w:rPr>
            </w:pPr>
            <w:r>
              <w:rPr>
                <w:rFonts w:ascii="Arial" w:cs="Arial" w:eastAsia="Arial" w:hAnsi="Arial"/>
                <w:sz w:val="18"/>
                <w:szCs w:val="18"/>
                <w:color w:val="auto"/>
              </w:rPr>
              <w:t>Gender And Number</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19.2</w:t>
            </w:r>
          </w:p>
        </w:tc>
        <w:tc>
          <w:tcPr>
            <w:tcW w:w="82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19.3</w:t>
            </w:r>
          </w:p>
        </w:tc>
        <w:tc>
          <w:tcPr>
            <w:tcW w:w="8200" w:type="dxa"/>
            <w:vAlign w:val="bottom"/>
          </w:tcPr>
          <w:p>
            <w:pPr>
              <w:ind w:left="180"/>
              <w:spacing w:after="0"/>
              <w:rPr>
                <w:sz w:val="20"/>
                <w:szCs w:val="20"/>
                <w:color w:val="auto"/>
              </w:rPr>
            </w:pPr>
            <w:r>
              <w:rPr>
                <w:rFonts w:ascii="Arial" w:cs="Arial" w:eastAsia="Arial" w:hAnsi="Arial"/>
                <w:sz w:val="18"/>
                <w:szCs w:val="18"/>
                <w:color w:val="auto"/>
              </w:rPr>
              <w:t>Requirements of Law</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940" w:type="dxa"/>
            <w:vAlign w:val="bottom"/>
          </w:tcPr>
          <w:p>
            <w:pPr>
              <w:ind w:left="220"/>
              <w:spacing w:after="0"/>
              <w:rPr>
                <w:sz w:val="20"/>
                <w:szCs w:val="20"/>
                <w:color w:val="auto"/>
              </w:rPr>
            </w:pPr>
            <w:r>
              <w:rPr>
                <w:rFonts w:ascii="Arial" w:cs="Arial" w:eastAsia="Arial" w:hAnsi="Arial"/>
                <w:sz w:val="18"/>
                <w:szCs w:val="18"/>
                <w:color w:val="auto"/>
              </w:rPr>
              <w:t>19.4</w:t>
            </w:r>
          </w:p>
        </w:tc>
        <w:tc>
          <w:tcPr>
            <w:tcW w:w="82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2012 Stock and Incentive Compensation Plan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Establishment, Purpose, and Duration</w:t>
      </w:r>
    </w:p>
    <w:p>
      <w:pPr>
        <w:spacing w:after="0" w:line="159"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1.1 Establishment of this Plan</w:t>
      </w:r>
      <w:r>
        <w:rPr>
          <w:rFonts w:ascii="Arial" w:cs="Arial" w:eastAsia="Arial" w:hAnsi="Arial"/>
          <w:sz w:val="18"/>
          <w:szCs w:val="18"/>
          <w:color w:val="auto"/>
        </w:rPr>
        <w:t>. Matrix Service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establishes an incentive compensation plan to be</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the 2012 Stock and Incentive Compensation Plan (this “</w:t>
      </w:r>
      <w:r>
        <w:rPr>
          <w:rFonts w:ascii="Arial" w:cs="Arial" w:eastAsia="Arial" w:hAnsi="Arial"/>
          <w:sz w:val="18"/>
          <w:szCs w:val="18"/>
          <w:u w:val="single" w:color="auto"/>
          <w:color w:val="auto"/>
        </w:rPr>
        <w:t>Plan</w:t>
      </w:r>
      <w:r>
        <w:rPr>
          <w:rFonts w:ascii="Arial" w:cs="Arial" w:eastAsia="Arial" w:hAnsi="Arial"/>
          <w:sz w:val="18"/>
          <w:szCs w:val="18"/>
          <w:color w:val="auto"/>
        </w:rPr>
        <w:t>”), as set forth in this document.</w:t>
      </w:r>
    </w:p>
    <w:p>
      <w:pPr>
        <w:spacing w:after="0" w:line="12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Plan permits the grant of Nonqualified Stock Options, Incentive Stock Options, Stock Appreciation Rights, Restricted Stock, Restricted Stock Units, Performance Shares, Performance Units, Cash-Based Awards, and Stock-Based Awards.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Plan shall become effective, if approved by the Board and stockholders, on November 15, 2012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shall remain in effect as provided in Section 1.3 of this document.</w:t>
      </w:r>
    </w:p>
    <w:p>
      <w:pPr>
        <w:spacing w:after="0" w:line="126"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 xml:space="preserve">1.2 Purpose of this Plan. </w:t>
      </w:r>
      <w:r>
        <w:rPr>
          <w:rFonts w:ascii="Arial" w:cs="Arial" w:eastAsia="Arial" w:hAnsi="Arial"/>
          <w:sz w:val="16"/>
          <w:szCs w:val="16"/>
          <w:color w:val="auto"/>
        </w:rPr>
        <w:t>The purpose of this Plan is to promote the success and enhance the value of the Company and Affiliates by linking the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of the Participants to those of the Company’s stockholders, and by providing Participants with an incentive for outstanding performance.</w:t>
      </w:r>
    </w:p>
    <w:p>
      <w:pPr>
        <w:spacing w:after="0" w:line="8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This Plan is further intended to provide flexibility to the Company in its ability to motivate, attract, and retain the services of Participants on whose judgment, interest, and special effort the successful conduct of its operations are largely dependent.</w:t>
      </w:r>
    </w:p>
    <w:p>
      <w:pPr>
        <w:spacing w:after="0" w:line="126"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1.3 Duration of this Plan. </w:t>
      </w:r>
      <w:r>
        <w:rPr>
          <w:rFonts w:ascii="Arial" w:cs="Arial" w:eastAsia="Arial" w:hAnsi="Arial"/>
          <w:sz w:val="18"/>
          <w:szCs w:val="18"/>
          <w:color w:val="auto"/>
        </w:rPr>
        <w:t>This Plan shall commence as of the Effective Date and shall remain in effect, subject to the right of the Committee or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to amend or terminate this Plan at any time under Article 15, until all Shares subject to this Plan have been purchased or acquired according to this Plan’s provisions.</w:t>
      </w:r>
    </w:p>
    <w:p>
      <w:pPr>
        <w:spacing w:after="0" w:line="132"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b w:val="1"/>
          <w:bCs w:val="1"/>
          <w:color w:val="auto"/>
        </w:rPr>
        <w:t xml:space="preserve">1.4 Successor Plan. </w:t>
      </w:r>
      <w:r>
        <w:rPr>
          <w:rFonts w:ascii="Arial" w:cs="Arial" w:eastAsia="Arial" w:hAnsi="Arial"/>
          <w:sz w:val="16"/>
          <w:szCs w:val="16"/>
          <w:color w:val="auto"/>
        </w:rPr>
        <w:t>This Plan shall serve as the successor to the Matrix Service Company 2004 Stock Incentive Plan, as amended (the “</w:t>
      </w:r>
      <w:r>
        <w:rPr>
          <w:rFonts w:ascii="Arial" w:cs="Arial" w:eastAsia="Arial" w:hAnsi="Arial"/>
          <w:sz w:val="16"/>
          <w:szCs w:val="16"/>
          <w:u w:val="single" w:color="auto"/>
          <w:color w:val="auto"/>
        </w:rPr>
        <w:t>Predecessor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and no further grants shall be made under the Predecessor Plan from and after the Effective Date of this Plan.</w:t>
      </w:r>
    </w:p>
    <w:p>
      <w:pPr>
        <w:spacing w:after="0" w:line="15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Whenever used in this Plan, the following terms shall have the meaning set forth below, and when the meaning is intended, the initial letter of the word shall be capitalized.</w:t>
      </w:r>
    </w:p>
    <w:p>
      <w:pPr>
        <w:spacing w:after="0" w:line="132"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given to that term in Rule 12b-2 of the General Rules and Regulations under the Exchange Act, with reference to the Company, and shall also include any corporation, partnership, joint venture, limited liability company, or other entity in which the Company owns, directly or indirectly, at least fifty percent (50%) of the total combined Voting Power of such corporation or of the capital interest or profits interest of such partnership or other entity.</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this Plan of NQSOs, ISOs, SARs, Restricted Stock, Restricted Stock Units, Performance Shares, Performance Units, Cash-Based Awards, or Stock-Based Awards, in each case subject to the terms of this Plan.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either (a) a written agreement entered into by the Company or an Affiliate and a Participant setting forth the terms and provisions applicable to Awards granted under this Plan, or (b) a written statement issued by the Company or an Affiliate to a Participant describing the terms and provisions of such Award.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or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 given to that term in Rule 13d-3 of the General Rules and Regulations under the Exchange Act.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Cash-Based Award</w:t>
      </w:r>
      <w:r>
        <w:rPr>
          <w:rFonts w:ascii="Arial" w:cs="Arial" w:eastAsia="Arial" w:hAnsi="Arial"/>
          <w:sz w:val="18"/>
          <w:szCs w:val="18"/>
          <w:color w:val="auto"/>
        </w:rPr>
        <w:t>” means an Award granted under Article 10, the value of which is denominated in cash as determined by the Committee and which is not any other form of Award described in this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unless otherwise specified in the Award Agreement, means the occurrence of any of the following events:</w:t>
      </w:r>
    </w:p>
    <w:p>
      <w:pPr>
        <w:spacing w:after="0" w:line="90" w:lineRule="exact"/>
        <w:rPr>
          <w:sz w:val="20"/>
          <w:szCs w:val="20"/>
          <w:color w:val="auto"/>
        </w:rPr>
      </w:pPr>
    </w:p>
    <w:p>
      <w:pPr>
        <w:ind w:left="460" w:right="80" w:firstLine="443"/>
        <w:spacing w:after="0" w:line="268" w:lineRule="auto"/>
        <w:tabs>
          <w:tab w:leader="none" w:pos="113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more than fifty percent (50%) of the total Voting Power of all the then outstanding Voting Securities;</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purchases or otherwise acquires under a tender offer, securities of the Company representing more than fifty percent (50%) of the total Voting Power of all the then outstanding Voting Securities;</w:t>
      </w:r>
    </w:p>
    <w:p>
      <w:pPr>
        <w:spacing w:after="0" w:line="50" w:lineRule="exact"/>
        <w:rPr>
          <w:rFonts w:ascii="Arial" w:cs="Arial" w:eastAsia="Arial" w:hAnsi="Arial"/>
          <w:sz w:val="18"/>
          <w:szCs w:val="18"/>
          <w:color w:val="auto"/>
        </w:rPr>
      </w:pPr>
    </w:p>
    <w:p>
      <w:pPr>
        <w:ind w:left="460" w:right="80" w:firstLine="443"/>
        <w:spacing w:after="0" w:line="298" w:lineRule="auto"/>
        <w:tabs>
          <w:tab w:leader="none" w:pos="1137"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any one (1) year period, individuals who at the beginning of such period constituted the Board of Directors (together with any new directors whose election by the Board of Directors or nomination for election by the Company’s stockholders was approved by a vote of at least two-thirds (2/3) of the directors of the Company then still in office who either were directors at the beginning of such period or whose election or nomination for election was previously so approved) cease for any reason to constitute a majority of the members of the Board of Directors;</w:t>
      </w:r>
    </w:p>
    <w:p>
      <w:pPr>
        <w:spacing w:after="0" w:line="31" w:lineRule="exact"/>
        <w:rPr>
          <w:rFonts w:ascii="Arial" w:cs="Arial" w:eastAsia="Arial" w:hAnsi="Arial"/>
          <w:sz w:val="16"/>
          <w:szCs w:val="16"/>
          <w:color w:val="auto"/>
        </w:rPr>
      </w:pPr>
    </w:p>
    <w:p>
      <w:pPr>
        <w:ind w:left="460" w:right="200" w:firstLine="443"/>
        <w:spacing w:after="0" w:line="294" w:lineRule="auto"/>
        <w:tabs>
          <w:tab w:leader="none" w:pos="114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Securities of the surviving entity (or if the surviving entity is a subsidiary of another entity, then of the parent entity of such surviving entity), more than fifty percent (50%) of the total Voting Power represented by the Voting Securities of the surviving entity (or parent entity) outstanding immediately after such merger, consolidation, recapitalization or reorganization; or</w:t>
      </w:r>
    </w:p>
    <w:p>
      <w:pPr>
        <w:spacing w:after="0" w:line="34" w:lineRule="exact"/>
        <w:rPr>
          <w:rFonts w:ascii="Arial" w:cs="Arial" w:eastAsia="Arial" w:hAnsi="Arial"/>
          <w:sz w:val="16"/>
          <w:szCs w:val="16"/>
          <w:color w:val="auto"/>
        </w:rPr>
      </w:pPr>
    </w:p>
    <w:p>
      <w:pPr>
        <w:ind w:left="460" w:right="460" w:firstLine="443"/>
        <w:spacing w:after="0" w:line="268" w:lineRule="auto"/>
        <w:tabs>
          <w:tab w:leader="none" w:pos="113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of the Company or an agreement for the sale or disposition by the Company (in one transaction or a series of related transactions) of all or substantially all of the Company’s assets to any Person.</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If required for compliance with Section 409A of the Code, in no event will a Change of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Committee may, in its sole discretion and without a Participant’s consent, amend the definition of “Change of Control” to conform to the definition of “Change of Control” under Section 409A of the Code, and the regulations thereunder.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 or any successor thereto.</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or any other duly authorized committee of the Board appointed by the Board to administer this Plan. To the extent applicable or necessary to qualify an Award for favorable treatment under the Code or Exchange Act, the Committee shall have at least two members, each of whom shall be (a) a Non-Employee Director, (b) an Outside Director, and (c) an “independent director” within the meaning of the listing requirements of any exchange on which the Company is listed.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Matrix Service Company, a Delaware corporation, and any successor thereto as provided in Article 17.</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of the Company or an Affiliate. Directors who are not otherwise employed by the Company or an Affiliate shall not be considered Employees under this Plan. For greater clarity, and without limiting the generality of the foregoing, individuals described in the first sentence of this definition who are foreign nationals or are employed outside of the United States, or both, are Employees and may be granted Awards on the terms and conditions set forth in this Plan, or on such other terms and conditions as may, in the judgment of the Committee, be necessary or desirable to further the purposes of this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or any successor act thereto.</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or “</w:t>
      </w:r>
      <w:r>
        <w:rPr>
          <w:rFonts w:ascii="Arial" w:cs="Arial" w:eastAsia="Arial" w:hAnsi="Arial"/>
          <w:sz w:val="18"/>
          <w:szCs w:val="18"/>
          <w:u w:val="single" w:color="auto"/>
          <w:color w:val="auto"/>
        </w:rPr>
        <w:t>FMV</w:t>
      </w:r>
      <w:r>
        <w:rPr>
          <w:rFonts w:ascii="Arial" w:cs="Arial" w:eastAsia="Arial" w:hAnsi="Arial"/>
          <w:sz w:val="18"/>
          <w:szCs w:val="18"/>
          <w:color w:val="auto"/>
        </w:rPr>
        <w:t>” means, as of any given date, a price that is based on the closing sales price of a Share on the principal stock exchange on which the Shares are traded or, if there is no such sale for such date, then on the last previous day on which a sale was reported. If Shares are not traded on an established stock exchange, FMV shall be determined by the Committee based on objective criteria.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year commencing on July 1 and ending June 30 or other time period as approved by the Board.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Freestanding SAR</w:t>
      </w:r>
      <w:r>
        <w:rPr>
          <w:rFonts w:ascii="Arial" w:cs="Arial" w:eastAsia="Arial" w:hAnsi="Arial"/>
          <w:sz w:val="18"/>
          <w:szCs w:val="18"/>
          <w:color w:val="auto"/>
        </w:rPr>
        <w:t>” means an SAR that is not a Tandem SAR, as described in Article 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Price</w:t>
      </w:r>
      <w:r>
        <w:rPr>
          <w:rFonts w:ascii="Arial" w:cs="Arial" w:eastAsia="Arial" w:hAnsi="Arial"/>
          <w:sz w:val="18"/>
          <w:szCs w:val="18"/>
          <w:color w:val="auto"/>
        </w:rPr>
        <w:t>” means the price against which the amount payable is determined on exercise of a SAR.</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“ISO” means an Option to purchase Shares granted under Article 6 and that is designated as an Incentive Stock Option and is intended to meet the requirements of Section 422 of the Code, or any successor provision.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w:t>
      </w:r>
      <w:r>
        <w:rPr>
          <w:rFonts w:ascii="Arial" w:cs="Arial" w:eastAsia="Arial" w:hAnsi="Arial"/>
          <w:sz w:val="18"/>
          <w:szCs w:val="18"/>
          <w:color w:val="auto"/>
        </w:rPr>
        <w:t>” shall mean an individual who is, on the relevant date, subject to the reporting requirements of Section 16 of the Exchange Act, as determined by the Board.</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person defined in Rule 16b-3(b)(3) under the Exchange Act, or any successor definition adopted by the Securities and Exchange Commission.</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or “</w:t>
      </w:r>
      <w:r>
        <w:rPr>
          <w:rFonts w:ascii="Arial" w:cs="Arial" w:eastAsia="Arial" w:hAnsi="Arial"/>
          <w:sz w:val="18"/>
          <w:szCs w:val="18"/>
          <w:u w:val="single" w:color="auto"/>
          <w:color w:val="auto"/>
        </w:rPr>
        <w:t>NQSO</w:t>
      </w:r>
      <w:r>
        <w:rPr>
          <w:rFonts w:ascii="Arial" w:cs="Arial" w:eastAsia="Arial" w:hAnsi="Arial"/>
          <w:sz w:val="18"/>
          <w:szCs w:val="18"/>
          <w:color w:val="auto"/>
        </w:rPr>
        <w:t>” means an Option to purchase Shares, granted under Article 6, which is not intended to be an Incentive Stock Option or that otherwise does not meet such requirements.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the conditional right to purchase Shares at a stated Option Price for a specified period of time in the form of an Incentive Stock Option or a Nonqualified Stock Option subject to the terms of this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price at which a Share may be purchased by a Participant under an Option, as determined by the Committee.</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 of the Code and the regulations promulgated thereunder.</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or a Non-Employee Director who has been selected to receive an Award, or who has an outstanding Award granted under this Plan.</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Performance-Based Compensation</w:t>
      </w:r>
      <w:r>
        <w:rPr>
          <w:rFonts w:ascii="Arial" w:cs="Arial" w:eastAsia="Arial" w:hAnsi="Arial"/>
          <w:sz w:val="16"/>
          <w:szCs w:val="16"/>
          <w:color w:val="auto"/>
        </w:rPr>
        <w:t>” means compensation under an Award that is granted in order to provide remuneration solely on account of the attainment of one or more Performance Goals under circumstances that satisfy the requirements of Section 162(m) of the Code.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a performance criterion selected by the Committee for a given Award for purposes of Article 11 based on one or more of the Performance Measures.</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Measures</w:t>
      </w:r>
      <w:r>
        <w:rPr>
          <w:rFonts w:ascii="Arial" w:cs="Arial" w:eastAsia="Arial" w:hAnsi="Arial"/>
          <w:sz w:val="16"/>
          <w:szCs w:val="16"/>
          <w:color w:val="auto"/>
        </w:rPr>
        <w:t>” means measures as described in Article 11, the attainment of one or more of which shall, as determined by the Committee, determine the vesting, payability, or value of an Award to an Insider that are designated to qualify as Performance-Based Compensation.</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of time during which the assigned performance criteria must be met in order to determine the degree of payout and/or vesting with respect to an Award.</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granted under Article 9 and subject to the terms of this Plan, denominated in Shares, the value of which at the time it is payable is determined as a function of the extent to which corresponding performance criteria have been achieved.</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granted under Article 9 and subject to the terms of this Plan, denominated in units, the value of which at the time it is payable is determined as a function of the extent to which corresponding performance criteria have been achieved.</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Period of Restriction</w:t>
      </w:r>
      <w:r>
        <w:rPr>
          <w:rFonts w:ascii="Arial" w:cs="Arial" w:eastAsia="Arial" w:hAnsi="Arial"/>
          <w:sz w:val="16"/>
          <w:szCs w:val="16"/>
          <w:color w:val="auto"/>
        </w:rPr>
        <w:t>” means the period when an Award of Restricted Stock or Restricted Stock Unit is subject to forfeiture based on the passage of time, the achievement of performance criteria, and/or on the occurrence of other events as determined by the Committee, in its discretion.</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have the meaning ascribed to such term in Section 3(a)(9) of the Exchange Act and used in Sections 13(d) and 14(d) thereof, including a “group” as defined in Section 13(d) thereof; provided, however, that “Person” shall not include (a) the Company or any Affiliate, (b) any employee benefit plan (including an employee stock ownership plan) sponsored by the Company or any Affiliate, or (c) a corporation owned directly or indirectly by the stockholders of the Company in substantially the same proportion as their ownership of Shares.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an Award of Shares subject to a Period of Restriction, granted under Article 8 and subject to the terms of this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an Award denominated in units subject to a Period of Restriction, granted under Article 8 and subject to the terms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of the Company, $0.01 par value per Share.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the conditional right to receive the difference between the FMV of a Share on the date of exercise over the Grant Price, under the terms of Article 7 and subject to the terms of this Plan.</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Stock-Based Award</w:t>
      </w:r>
      <w:r>
        <w:rPr>
          <w:rFonts w:ascii="Arial" w:cs="Arial" w:eastAsia="Arial" w:hAnsi="Arial"/>
          <w:sz w:val="18"/>
          <w:szCs w:val="18"/>
          <w:color w:val="auto"/>
        </w:rPr>
        <w:t>” means an equity-based or equity-related Award granted under Article 10 and subject to the terms of this Plan, and not otherwise described by the terms of this Plan.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Tandem SAR</w:t>
      </w:r>
      <w:r>
        <w:rPr>
          <w:rFonts w:ascii="Arial" w:cs="Arial" w:eastAsia="Arial" w:hAnsi="Arial"/>
          <w:sz w:val="18"/>
          <w:szCs w:val="18"/>
          <w:color w:val="auto"/>
        </w:rPr>
        <w:t>” means a SAR that the Committee specifies is granted in connection with a related Option under Article 7 and subject to the terms of this Plan, the exercise of which shall require forfeiture of the right to purchase a Share under the related Option (and when a Share is purchased under the Option, the Tandem SAR shall similarly be cancelled). Regardless of whether an Option is granted coincident with a SAR, a SAR is not a Tandem SAR unless so specified by the Committee at time of grant.</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Power</w:t>
      </w:r>
      <w:r>
        <w:rPr>
          <w:rFonts w:ascii="Arial" w:cs="Arial" w:eastAsia="Arial" w:hAnsi="Arial"/>
          <w:sz w:val="18"/>
          <w:szCs w:val="18"/>
          <w:color w:val="auto"/>
        </w:rPr>
        <w:t>” shall mean that number of Voting Securities as shall enable the holders thereof to cast all the votes which could be cast in an annual election of directors of a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all securities entitling the holders thereof to vote in an annual election of directors of a company.</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15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3.1 General. </w:t>
      </w:r>
      <w:r>
        <w:rPr>
          <w:rFonts w:ascii="Arial" w:cs="Arial" w:eastAsia="Arial" w:hAnsi="Arial"/>
          <w:sz w:val="16"/>
          <w:szCs w:val="16"/>
          <w:color w:val="auto"/>
        </w:rPr>
        <w:t>The Committee shall be responsible for administering this Plan. The Committee may employ attorneys, consultants, accountants, agents,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individuals, any of whom may be an Employee, and the Committee, the Company, and its officers and directors shall be entitled to rely on the advice, opinions, or valuations of any such persons. All actions taken and all interpretations and determinations made by the Committee shall be final, conclusive, and binding on the Participants, the Company, and all other interested parties. Any and all powers, authorizations and discretions granted by this Plan to the Committee shall likewise be exercisable at any time by the Board.</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3.2 Authority of the Committee. </w:t>
      </w:r>
      <w:r>
        <w:rPr>
          <w:rFonts w:ascii="Arial" w:cs="Arial" w:eastAsia="Arial" w:hAnsi="Arial"/>
          <w:sz w:val="16"/>
          <w:szCs w:val="16"/>
          <w:color w:val="auto"/>
        </w:rPr>
        <w:t>The Committee shall have full and exclusive discretionary power to interpret the terms and the intent of this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Award Agreement or other agreement ancillary to or in connection with this Plan, to determine eligibility for Awards, and to adopt such rules, regulations, and guidelines for administering this Plan as the Committee may deem necessary or proper. Such authority shall include, but not be limited to, selecting Award recipients, establishing all Award terms and conditions, including the terms and conditions set forth in Award Agreements, extending the term or period of exercisability of any Award, accelerating the time or times at which any Award becomes vested, unrestricted or may be exercised, waiving any terms or conditions applicable to any Award and, subject to Article 15, adopting modifications and amendments, or subplans to this Plan (as described in Section 18.5) or any Award Agreement, including, without limitation, any that are necessary or appropriate to comply with the laws or compensation practices of the countries and other jurisdictions in which the Company and Affiliates operate.</w:t>
      </w:r>
    </w:p>
    <w:p>
      <w:pPr>
        <w:spacing w:after="0" w:line="11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3.3 Delegation. </w:t>
      </w:r>
      <w:r>
        <w:rPr>
          <w:rFonts w:ascii="Arial" w:cs="Arial" w:eastAsia="Arial" w:hAnsi="Arial"/>
          <w:sz w:val="18"/>
          <w:szCs w:val="18"/>
          <w:color w:val="auto"/>
        </w:rPr>
        <w:t>The Committee may delegate to one or more of its members or to one or more officers of the Company or Affiliates, any of its duties or</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as it may deem advisable; provided, however, that the Committee may not delegate any of its non-administrative powers (a) to any such officer for Awards granted to an Employee who is considered to be an Insider or (b) with respect to Awards intended to be Performance-Based Compensation; and provided further, that the member(s) or officer(s) shall report periodically to the Committee regarding the nature and scope of the Awards granted under the authority delegated under this Section 3.3. Subject to the terms of the previous sentence, the Committee may delegate to any individual(s) such administrative duties or powers as it may deem advisable.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this Plan and Maximum Awards</w:t>
      </w:r>
    </w:p>
    <w:p>
      <w:pPr>
        <w:spacing w:after="0" w:line="15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4.1 Number of Shares Available for Awards. </w:t>
      </w:r>
      <w:r>
        <w:rPr>
          <w:rFonts w:ascii="Arial" w:cs="Arial" w:eastAsia="Arial" w:hAnsi="Arial"/>
          <w:sz w:val="18"/>
          <w:szCs w:val="18"/>
          <w:color w:val="auto"/>
        </w:rPr>
        <w:t>Subject to adjustment as provided in Section 4.2, the maximum number of Shares available for issuance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under this Plan shall be one million three hundred thousand (1,300,000) (such total number of Shares, including such adjustment and remaining Shares, the “</w:t>
      </w:r>
      <w:r>
        <w:rPr>
          <w:rFonts w:ascii="Arial" w:cs="Arial" w:eastAsia="Arial" w:hAnsi="Arial"/>
          <w:sz w:val="18"/>
          <w:szCs w:val="18"/>
          <w:u w:val="single" w:color="auto"/>
          <w:color w:val="auto"/>
        </w:rPr>
        <w:t>Total Share Authorization</w:t>
      </w:r>
      <w:r>
        <w:rPr>
          <w:rFonts w:ascii="Arial" w:cs="Arial" w:eastAsia="Arial" w:hAnsi="Arial"/>
          <w:sz w:val="18"/>
          <w:szCs w:val="18"/>
          <w:color w:val="auto"/>
        </w:rPr>
        <w:t>”). The maximum aggregate number of Shares that may be granted in the form of Nonqualified Stock Options shall be equal to the Total Share Authorization. The maximum aggregate number of Shares that may be granted in the form of Incentive Stock Options shall be one million three hundred thousand (1,300,000).</w:t>
      </w:r>
    </w:p>
    <w:p>
      <w:pPr>
        <w:spacing w:after="0" w:line="1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greater clarity, any Awards that are not settled in Shares shall not reduce any of such reserves or the maximum number of Shares available for issuance. Any Shares related to Awards which (a) terminate by expiration, forfeiture, cancellation, or otherwise without the issuance of such Shares, (b) are settled in cash either in lieu of Shares or otherwise, or (c) are exchanged with the Committee’s permission for Awards not involving Shares, shall be available again for grant under this Plan. Moreover, if the Option Price of any Option granted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this Plan or the tax withholding requirements with respect to any Award granted under this Plan are satisfied by tendering Shares to the Company (by either actual delivery or by attestation), or if a SAR is exercised, only the number of Shares issued, net of the Shares tendered, if any, will be deemed delivered for purposes of determining the maximum number of Shares available for issuance under this Plan. The maximum number of Shares available for issuance under this Plan shall not be reduced to reflect any dividends or dividend equivalents that are reinvested into additional Shares or credited as additional Restricted Stock, Restricted Stock Units, Performance Shares, or Stock-Based Awards. The Shares available for issuance under this Plan may be authorized and unissued Shares or treasury Shares.</w:t>
      </w:r>
    </w:p>
    <w:p>
      <w:pPr>
        <w:spacing w:after="0" w:line="14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Unless and until the Committee determines that an Award to an Insider shall not be designed to qualify as Performance-Based Compensation, the following limits, subject to adjustment as provided in Section 4.2 (“</w:t>
      </w:r>
      <w:r>
        <w:rPr>
          <w:rFonts w:ascii="Arial" w:cs="Arial" w:eastAsia="Arial" w:hAnsi="Arial"/>
          <w:sz w:val="16"/>
          <w:szCs w:val="16"/>
          <w:u w:val="single" w:color="auto"/>
          <w:color w:val="auto"/>
        </w:rPr>
        <w:t>Award Limits</w:t>
      </w:r>
      <w:r>
        <w:rPr>
          <w:rFonts w:ascii="Arial" w:cs="Arial" w:eastAsia="Arial" w:hAnsi="Arial"/>
          <w:sz w:val="16"/>
          <w:szCs w:val="16"/>
          <w:color w:val="auto"/>
        </w:rPr>
        <w:t>”), shall apply to grants of Awards to Insiders under this Plan:</w:t>
      </w:r>
    </w:p>
    <w:p>
      <w:pPr>
        <w:spacing w:after="0" w:line="4" w:lineRule="exact"/>
        <w:rPr>
          <w:sz w:val="20"/>
          <w:szCs w:val="20"/>
          <w:color w:val="auto"/>
        </w:rPr>
      </w:pPr>
    </w:p>
    <w:p>
      <w:pPr>
        <w:ind w:left="460" w:right="300" w:firstLine="443"/>
        <w:spacing w:after="0" w:line="332" w:lineRule="auto"/>
        <w:tabs>
          <w:tab w:leader="none" w:pos="113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OPTIONS AND SARS</w:t>
      </w:r>
      <w:r>
        <w:rPr>
          <w:rFonts w:ascii="Arial" w:cs="Arial" w:eastAsia="Arial" w:hAnsi="Arial"/>
          <w:sz w:val="16"/>
          <w:szCs w:val="16"/>
          <w:color w:val="auto"/>
        </w:rPr>
        <w:t>: The maximum aggregate number of Shares that may be granted in the form of Options or Stock Appreciation Rights, under any Award granted in any one Fiscal Year to any one Participant, shall be four hundred thousand (400,000).</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RESTRICTED STOCK/RESTRICTED STOCK UNITS</w:t>
      </w:r>
      <w:r>
        <w:rPr>
          <w:rFonts w:ascii="Arial" w:cs="Arial" w:eastAsia="Arial" w:hAnsi="Arial"/>
          <w:sz w:val="18"/>
          <w:szCs w:val="18"/>
          <w:color w:val="auto"/>
        </w:rPr>
        <w:t>: The maximum aggregate grant with respect to Awards of Restricted Stock/Restricted Stock Units granted in any one Fiscal Year to any one Participant shall be four hundred thousand (400,000).</w:t>
      </w:r>
    </w:p>
    <w:p>
      <w:pPr>
        <w:spacing w:after="0" w:line="50" w:lineRule="exact"/>
        <w:rPr>
          <w:rFonts w:ascii="Arial" w:cs="Arial" w:eastAsia="Arial" w:hAnsi="Arial"/>
          <w:sz w:val="18"/>
          <w:szCs w:val="18"/>
          <w:color w:val="auto"/>
        </w:rPr>
      </w:pPr>
    </w:p>
    <w:p>
      <w:pPr>
        <w:ind w:left="460" w:right="360" w:firstLine="443"/>
        <w:spacing w:after="0" w:line="259" w:lineRule="auto"/>
        <w:tabs>
          <w:tab w:leader="none" w:pos="113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PERFORMANCE SHARES/PERFORMANCE UNITS</w:t>
      </w:r>
      <w:r>
        <w:rPr>
          <w:rFonts w:ascii="Arial" w:cs="Arial" w:eastAsia="Arial" w:hAnsi="Arial"/>
          <w:sz w:val="18"/>
          <w:szCs w:val="18"/>
          <w:color w:val="auto"/>
        </w:rPr>
        <w:t>: The maximum aggregate Award of Performance Shares or Performance Units that a Participant may receive in any one Fiscal Year shall be four hundred thousand (400,000) Shares, or equal to the value of four hundred thousand (400,000) Shares determined as of the date of vesting or payout, as applicable.</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CASH-BASED AWARDS</w:t>
      </w:r>
      <w:r>
        <w:rPr>
          <w:rFonts w:ascii="Arial" w:cs="Arial" w:eastAsia="Arial" w:hAnsi="Arial"/>
          <w:sz w:val="18"/>
          <w:szCs w:val="18"/>
          <w:color w:val="auto"/>
        </w:rPr>
        <w:t>: The maximum aggregate amount awarded or credited with respect to Cash-Based Awards to any one Participant in any one Fiscal Year may not exceed $5,000,000 determined as of the date of vesting or payout, as applicable.</w:t>
      </w:r>
    </w:p>
    <w:p>
      <w:pPr>
        <w:spacing w:after="0" w:line="50" w:lineRule="exact"/>
        <w:rPr>
          <w:rFonts w:ascii="Arial" w:cs="Arial" w:eastAsia="Arial" w:hAnsi="Arial"/>
          <w:sz w:val="18"/>
          <w:szCs w:val="18"/>
          <w:color w:val="auto"/>
        </w:rPr>
      </w:pPr>
    </w:p>
    <w:p>
      <w:pPr>
        <w:ind w:left="460" w:right="300" w:firstLine="443"/>
        <w:spacing w:after="0" w:line="268" w:lineRule="auto"/>
        <w:tabs>
          <w:tab w:leader="none" w:pos="113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STOCK-BASED AWARDS</w:t>
      </w:r>
      <w:r>
        <w:rPr>
          <w:rFonts w:ascii="Arial" w:cs="Arial" w:eastAsia="Arial" w:hAnsi="Arial"/>
          <w:sz w:val="18"/>
          <w:szCs w:val="18"/>
          <w:color w:val="auto"/>
        </w:rPr>
        <w:t>: The maximum aggregate grant with respect to Awards of Stock-Based Awards in any one Fiscal Year to any one Participant shall be four hundred thousand (400,000).</w:t>
      </w:r>
    </w:p>
    <w:p>
      <w:pPr>
        <w:spacing w:after="0" w:line="12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color w:val="auto"/>
        </w:rPr>
        <w:t xml:space="preserve">4.2 Adjustments in Authorized Shares. </w:t>
      </w:r>
      <w:r>
        <w:rPr>
          <w:rFonts w:ascii="Arial" w:cs="Arial" w:eastAsia="Arial" w:hAnsi="Arial"/>
          <w:sz w:val="16"/>
          <w:szCs w:val="16"/>
          <w:color w:val="auto"/>
        </w:rPr>
        <w:t>In the event of any corporate event or transaction (including, but not limited to, a change in the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capitalization of the Company) such as a merger, consolidation, reorganization, recapitalization, separation, stock dividend, extraordinary dividend, stock split, reverse stock split, split up, spin-off, or other distribution of stock or property of the Company, combination of securities, exchange of securities, dividend in kind, or other like change in capital structure or distribution (other than normal cash dividends) to stockholders of the Company, or any similar corporate event or transaction, the Committee, in its sole discretion, in order to prevent dilution or enlargement of Participants’ rights under this Plan, may substitute or adjust, as applicable, the number and kind of Shares that may be issued under this Plan, the number and kind of Shares subject to outstanding Awards, the Option Price or Grant Price applicable to outstanding Awards or, if deemed appropriate, make provision for a cash payment with respect to any outstanding Award, the Award Limits, and any other value determinations applicable to outstanding Awards or to this Plan provided that any such substitution or adjustment with respect to an ISO is made in accordance with Section 424(h) of the Code. The Committee, in its sole discretion, may also make appropriate adjustments in the terms of any Awards under this Plan to reflect, or related to, such changes or distributions and may modify any other terms of outstanding Awards, including modifications of performance criteria and changes in the length of Performance Periods; provided, however, that such substitutions or adjustments may not cause any Award granted or compensation payable hereunder to fail to satisfy the requirements of Code Section 409A and result in adverse income tax consequences to a Participant. The determination of the Committee as to the foregoing adjustments, if any, shall be conclusive and binding on Participants under this Plan.</w:t>
      </w:r>
    </w:p>
    <w:p>
      <w:pPr>
        <w:spacing w:after="0" w:line="12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Subject to the provisions of Article 14 and any applicable law or regulatory requirement, without affecting the number of Shares reserved or available under this Plan, the Committee may authorize the issuance,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assumption, substitution, or conversion of Awards under this Plan in connection with any such corporate event or transaction on such terms and conditions as it may deem appropriate. Additionally, the Committee may amend this Plan, or adopt supplements to this Plan, in such manner as it deems appropriate to provide for such issuance, assumption, substitution, or conversion as provided in the previous sentence.</w:t>
      </w:r>
    </w:p>
    <w:p>
      <w:pPr>
        <w:spacing w:after="0" w:line="13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4.3 Code Section 409A. </w:t>
      </w:r>
      <w:r>
        <w:rPr>
          <w:rFonts w:ascii="Arial" w:cs="Arial" w:eastAsia="Arial" w:hAnsi="Arial"/>
          <w:sz w:val="18"/>
          <w:szCs w:val="18"/>
          <w:color w:val="auto"/>
        </w:rPr>
        <w:t>All Awards granted and compensation payable under this Plan are intended to satisfy or be exempt from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regulations or other authority under Code Section 409A, and therefore not provide for any deferral of compensation that fails to satisfy the requirements of Code Section 409A. To the extent any provision of this Plan or actions of the Committee would expose any compensation payable to a Participant hereunder to adverse tax consequences under Code Section 409A, such provision or action shall be prohibited, if necessary, or limited to the extent necessary to preclude any such adverse tax consequence.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and Participation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5.1 Eligibility. </w:t>
      </w:r>
      <w:r>
        <w:rPr>
          <w:rFonts w:ascii="Arial" w:cs="Arial" w:eastAsia="Arial" w:hAnsi="Arial"/>
          <w:sz w:val="18"/>
          <w:szCs w:val="18"/>
          <w:color w:val="auto"/>
        </w:rPr>
        <w:t>Individuals eligible to participate in this Plan include all Employees and Non-Employee Directors.</w:t>
      </w:r>
    </w:p>
    <w:p>
      <w:pPr>
        <w:spacing w:after="0" w:line="171"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b w:val="1"/>
          <w:bCs w:val="1"/>
          <w:color w:val="auto"/>
        </w:rPr>
        <w:t xml:space="preserve">5.2 Actual Participation. </w:t>
      </w:r>
      <w:r>
        <w:rPr>
          <w:rFonts w:ascii="Arial" w:cs="Arial" w:eastAsia="Arial" w:hAnsi="Arial"/>
          <w:sz w:val="16"/>
          <w:szCs w:val="16"/>
          <w:color w:val="auto"/>
        </w:rPr>
        <w:t>Subject to the provisions of this Plan, the Committee may from time to time, select from all eligible Employees and Non-Employee Directors, those to whom Awards shall be granted and shall determine in its sole discretion, the nature, terms, and amount of each Award.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15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6.1 Grant of Options. </w:t>
      </w:r>
      <w:r>
        <w:rPr>
          <w:rFonts w:ascii="Arial" w:cs="Arial" w:eastAsia="Arial" w:hAnsi="Arial"/>
          <w:sz w:val="18"/>
          <w:szCs w:val="18"/>
          <w:color w:val="auto"/>
        </w:rPr>
        <w:t>Subject to the terms and provisions of this Plan, Options may be granted to Participants in such number, and on such terms,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and from time to time as shall be determined by the Committee. Despite the foregoing, no ISOs may be granted more than ten (10) years after the earlier of (a) adoption of this Plan by the Board, and (b) the Effective Date.</w:t>
      </w:r>
    </w:p>
    <w:p>
      <w:pPr>
        <w:spacing w:after="0" w:line="132"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b w:val="1"/>
          <w:bCs w:val="1"/>
          <w:color w:val="auto"/>
        </w:rPr>
        <w:t xml:space="preserve">6.2 Award Agreement. </w:t>
      </w:r>
      <w:r>
        <w:rPr>
          <w:rFonts w:ascii="Arial" w:cs="Arial" w:eastAsia="Arial" w:hAnsi="Arial"/>
          <w:sz w:val="16"/>
          <w:szCs w:val="16"/>
          <w:color w:val="auto"/>
        </w:rPr>
        <w:t>Each Option grant shall be evidenced by an Award Agreement that shall specify the Option Price, the duration of the Option,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to which the Option pertains, the conditions on which an Option shall become vested and exercisable, and any such other provisions as the Committee shall determine. The Award Agreement also shall specify whether the Option is intended to be an ISO or a NQSO.</w:t>
      </w:r>
    </w:p>
    <w:p>
      <w:pPr>
        <w:spacing w:after="0" w:line="97"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6.3 Option Price. </w:t>
      </w:r>
      <w:r>
        <w:rPr>
          <w:rFonts w:ascii="Arial" w:cs="Arial" w:eastAsia="Arial" w:hAnsi="Arial"/>
          <w:sz w:val="18"/>
          <w:szCs w:val="18"/>
          <w:color w:val="auto"/>
        </w:rPr>
        <w:t>The Option Price for each grant of an Option under this Plan shall be determined by the Committee and shall be specified in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but in no event shall the Option Price be less than the FMV of a Share on the date of grant.</w:t>
      </w:r>
    </w:p>
    <w:p>
      <w:pPr>
        <w:spacing w:after="0" w:line="12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6.4 Duration of Options. </w:t>
      </w:r>
      <w:r>
        <w:rPr>
          <w:rFonts w:ascii="Arial" w:cs="Arial" w:eastAsia="Arial" w:hAnsi="Arial"/>
          <w:sz w:val="18"/>
          <w:szCs w:val="18"/>
          <w:color w:val="auto"/>
        </w:rPr>
        <w:t>Each Option granted to a Participant shall expire at such time as the Committee shall determine at the time of grant;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no Option shall be exercisable later than the tenth (10th) anniversary of the date of its grant.</w:t>
      </w:r>
    </w:p>
    <w:p>
      <w:pPr>
        <w:spacing w:after="0" w:line="120" w:lineRule="exact"/>
        <w:rPr>
          <w:sz w:val="20"/>
          <w:szCs w:val="20"/>
          <w:color w:val="auto"/>
        </w:rPr>
      </w:pPr>
    </w:p>
    <w:p>
      <w:pPr>
        <w:ind w:right="320" w:firstLine="456"/>
        <w:spacing w:after="0" w:line="378" w:lineRule="auto"/>
        <w:rPr>
          <w:sz w:val="20"/>
          <w:szCs w:val="20"/>
          <w:color w:val="auto"/>
        </w:rPr>
      </w:pPr>
      <w:r>
        <w:rPr>
          <w:rFonts w:ascii="Arial" w:cs="Arial" w:eastAsia="Arial" w:hAnsi="Arial"/>
          <w:sz w:val="15"/>
          <w:szCs w:val="15"/>
          <w:b w:val="1"/>
          <w:bCs w:val="1"/>
          <w:color w:val="auto"/>
        </w:rPr>
        <w:t xml:space="preserve">6.5 Exercise of Options. </w:t>
      </w:r>
      <w:r>
        <w:rPr>
          <w:rFonts w:ascii="Arial" w:cs="Arial" w:eastAsia="Arial" w:hAnsi="Arial"/>
          <w:sz w:val="15"/>
          <w:szCs w:val="15"/>
          <w:color w:val="auto"/>
        </w:rPr>
        <w:t>Options granted under this Article 6 shall be exercisable at such times and on the occurrence of such events, and be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such restrictions and conditions, as the Committee shall in each instance approve, which need not be the same for each grant or for each Participant.</w:t>
      </w:r>
    </w:p>
    <w:p>
      <w:pPr>
        <w:spacing w:after="0" w:line="51"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6.6 Payment. </w:t>
      </w:r>
      <w:r>
        <w:rPr>
          <w:rFonts w:ascii="Arial" w:cs="Arial" w:eastAsia="Arial" w:hAnsi="Arial"/>
          <w:sz w:val="16"/>
          <w:szCs w:val="16"/>
          <w:color w:val="auto"/>
        </w:rPr>
        <w:t>Options granted under this Article 6 shall be exercised by the delivery of a notice of exercise to the Company or an agent designated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Option Price on exercise of any Option shall be payable to the Company in full either: (a) in cash or its equivalent; (b) by tendering (either by actual delivery or attestation) previously acquired Shares having an aggregate FMV at the time of exercise equal to the total Option Price; (c) by a combination of</w:t>
      </w:r>
    </w:p>
    <w:p>
      <w:pPr>
        <w:ind w:right="100" w:firstLine="8"/>
        <w:spacing w:after="0" w:line="254" w:lineRule="auto"/>
        <w:tabs>
          <w:tab w:leader="none" w:pos="2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and (b); (d) subject to such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or (e) by any other method approved or accepted by the Committee in its sole discretion subject to such rules and regulations as the Committee may establish.</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Subject to Section 6.7 and any governing rules or regulations, as soon as practicable after receipt of a notification of exercise and full payment (including satisfaction of any applicable tax withholding requirements), the Committee shall cause to be delivered to the Participant Share certificates or evidence of book entry Shares in an appropriate amount based on the number of Shares purchased under the Option(s). Unless otherwise determined or accepted by the Committee, all payments in cash shall be paid in United States dollars.</w:t>
      </w:r>
    </w:p>
    <w:p>
      <w:pPr>
        <w:spacing w:after="0" w:line="137" w:lineRule="exact"/>
        <w:rPr>
          <w:sz w:val="20"/>
          <w:szCs w:val="20"/>
          <w:color w:val="auto"/>
        </w:rPr>
      </w:pPr>
    </w:p>
    <w:p>
      <w:pPr>
        <w:jc w:val="both"/>
        <w:ind w:right="80" w:firstLine="456"/>
        <w:spacing w:after="0" w:line="339" w:lineRule="auto"/>
        <w:rPr>
          <w:sz w:val="20"/>
          <w:szCs w:val="20"/>
          <w:color w:val="auto"/>
        </w:rPr>
      </w:pPr>
      <w:r>
        <w:rPr>
          <w:rFonts w:ascii="Arial" w:cs="Arial" w:eastAsia="Arial" w:hAnsi="Arial"/>
          <w:sz w:val="15"/>
          <w:szCs w:val="15"/>
          <w:b w:val="1"/>
          <w:bCs w:val="1"/>
          <w:color w:val="auto"/>
        </w:rPr>
        <w:t xml:space="preserve">6.7 Restrictions on Share Transferability. </w:t>
      </w:r>
      <w:r>
        <w:rPr>
          <w:rFonts w:ascii="Arial" w:cs="Arial" w:eastAsia="Arial" w:hAnsi="Arial"/>
          <w:sz w:val="15"/>
          <w:szCs w:val="15"/>
          <w:color w:val="auto"/>
        </w:rPr>
        <w:t>The Committee may impose such restrictions on any Shares acquired under the exercise of an Option granted</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this Plan as it may deem advisable, including, without limitation, requiring the Participant to hold the Shares acquired under exercise for a specified period of time, or restrictions under applicable laws or under the requirements of any stock exchange or market on which such Shares are listed and/or traded.</w:t>
      </w:r>
    </w:p>
    <w:p>
      <w:pPr>
        <w:spacing w:after="0" w:line="79"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6.8 Termination of Employment. </w:t>
      </w:r>
      <w:r>
        <w:rPr>
          <w:rFonts w:ascii="Arial" w:cs="Arial" w:eastAsia="Arial" w:hAnsi="Arial"/>
          <w:sz w:val="18"/>
          <w:szCs w:val="18"/>
          <w:color w:val="auto"/>
        </w:rPr>
        <w:t>Each Participant’s Award Agreement shall set forth the extent to which the Participant shall have the right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following termination of the Participant’s employment with the Company or Affiliates. Such provisions shall be determined in the sole discretion of the Committee, shall be included in the Award Agreement entered into with each Participant, need not be uniform among all Options issued under this Article 6, and may reflect distinctions based on the reasons for termination.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6.9 Nontransferability of Options.</w:t>
      </w:r>
    </w:p>
    <w:p>
      <w:pPr>
        <w:spacing w:after="0" w:line="96" w:lineRule="exact"/>
        <w:rPr>
          <w:sz w:val="20"/>
          <w:szCs w:val="20"/>
          <w:color w:val="auto"/>
        </w:rPr>
      </w:pPr>
    </w:p>
    <w:p>
      <w:pPr>
        <w:ind w:left="460" w:right="720" w:firstLine="443"/>
        <w:spacing w:after="0" w:line="259"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No ISO granted under this Plan may be sold, transferred, pledged, assigned, or otherwise alienated or hypothecated, other than by will or by the laws of descent and distribution. Further, all ISOs granted to a Participant under this Article 6 shall be exercisable during his or her lifetime only by such Participant.</w:t>
      </w:r>
    </w:p>
    <w:p>
      <w:pPr>
        <w:spacing w:after="0" w:line="59"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NONQUALIFIED STOCK OPTIONS</w:t>
      </w:r>
      <w:r>
        <w:rPr>
          <w:rFonts w:ascii="Arial" w:cs="Arial" w:eastAsia="Arial" w:hAnsi="Arial"/>
          <w:sz w:val="16"/>
          <w:szCs w:val="16"/>
          <w:color w:val="auto"/>
        </w:rPr>
        <w:t>. Except as otherwise provided in a Participant’s Award Agreement at the time of grant, or thereafter by the Committee, NQSOs granted under this Article 6 may not be sold, transferred, pledged, assigned, or otherwise alienated or hypothecated, other than by will, by the laws of descent and distribution, pursuant to a qualified domestic relations order (as defined under Section 414(p) of the Code) or to a trust of which the Participant is and remains the sole beneficiary for his lifetime. Further, except as otherwise provided in a Participant’s Award Agreement at the time of grant or thereafter by the Committee, all NQSOs granted to a Participant under this Article 6 shall be exercisable during the Participant’s lifetime only by such Participant or, in the case of NQSOs transferred pursuant to a qualified domestic relations order, a Participant’s former spouse.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6.10 Notification of Disqualifying Disposition. </w:t>
      </w:r>
      <w:r>
        <w:rPr>
          <w:rFonts w:ascii="Arial" w:cs="Arial" w:eastAsia="Arial" w:hAnsi="Arial"/>
          <w:sz w:val="16"/>
          <w:szCs w:val="16"/>
          <w:color w:val="auto"/>
        </w:rPr>
        <w:t>The Participant will notify the Company on the disposition of Shares issued under the exercise of an ISO.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use such information to determine whether a disqualifying disposition as described in Section 421(b) of the Code has occurred.</w:t>
      </w:r>
    </w:p>
    <w:p>
      <w:pPr>
        <w:spacing w:after="0" w:line="18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6.11 $100,000 Annual Limit on ISOs. </w:t>
      </w:r>
      <w:r>
        <w:rPr>
          <w:rFonts w:ascii="Arial" w:cs="Arial" w:eastAsia="Arial" w:hAnsi="Arial"/>
          <w:sz w:val="16"/>
          <w:szCs w:val="16"/>
          <w:color w:val="auto"/>
        </w:rPr>
        <w:t>Notwithstanding any contrary provision in this Plan, to the extent that the aggregate Fair Market Value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time the ISO is granted) of the Shares with respect to which ISOs are exercisable for the first time by any Participant during any single calendar year (under this Plan and any other stock option plans of the Company and Affiliates) exceeds the sum of $100,000, such ISO shall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automatically be deemed to be a Nonqualified Stock Option, but only to the extent in excess of the $100,000 limit, and not an ISO. In such event, all other terms and provisions of such Option grant shall remain unchanged. This paragraph shall be applied by taking ISOs into account in the order in which they were granted and shall be construed in accordance with Section 422(d) of the Code.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159" w:lineRule="exact"/>
        <w:rPr>
          <w:sz w:val="20"/>
          <w:szCs w:val="20"/>
          <w:color w:val="auto"/>
        </w:rPr>
      </w:pPr>
    </w:p>
    <w:p>
      <w:pPr>
        <w:ind w:right="200" w:firstLine="456"/>
        <w:spacing w:after="0" w:line="378" w:lineRule="auto"/>
        <w:rPr>
          <w:sz w:val="20"/>
          <w:szCs w:val="20"/>
          <w:color w:val="auto"/>
        </w:rPr>
      </w:pPr>
      <w:r>
        <w:rPr>
          <w:rFonts w:ascii="Arial" w:cs="Arial" w:eastAsia="Arial" w:hAnsi="Arial"/>
          <w:sz w:val="15"/>
          <w:szCs w:val="15"/>
          <w:b w:val="1"/>
          <w:bCs w:val="1"/>
          <w:color w:val="auto"/>
        </w:rPr>
        <w:t xml:space="preserve">7.1 Grant of SARs. </w:t>
      </w:r>
      <w:r>
        <w:rPr>
          <w:rFonts w:ascii="Arial" w:cs="Arial" w:eastAsia="Arial" w:hAnsi="Arial"/>
          <w:sz w:val="15"/>
          <w:szCs w:val="15"/>
          <w:color w:val="auto"/>
        </w:rPr>
        <w:t>Subject to the terms and conditions of this Plan, SARs may be granted to Participants at any time and from time to time and on such</w:t>
      </w:r>
      <w:r>
        <w:rPr>
          <w:rFonts w:ascii="Arial" w:cs="Arial" w:eastAsia="Arial" w:hAnsi="Arial"/>
          <w:sz w:val="15"/>
          <w:szCs w:val="15"/>
          <w:b w:val="1"/>
          <w:bCs w:val="1"/>
          <w:color w:val="auto"/>
        </w:rPr>
        <w:t xml:space="preserve"> </w:t>
      </w:r>
      <w:r>
        <w:rPr>
          <w:rFonts w:ascii="Arial" w:cs="Arial" w:eastAsia="Arial" w:hAnsi="Arial"/>
          <w:sz w:val="15"/>
          <w:szCs w:val="15"/>
          <w:color w:val="auto"/>
        </w:rPr>
        <w:t>terms as shall be determined by the Committee. The Committee may grant Freestanding SARs, Tandem SARs, or any combination of these forms of SARs.</w:t>
      </w:r>
    </w:p>
    <w:p>
      <w:pPr>
        <w:spacing w:after="0" w:line="5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SAR Grant Price for each grant of a Freestanding SAR shall be determined by the Committee and shall be specified in the Award Agreement, but in no event shall the Grant Price be less than FMV of a Share on the date of grant. The Grant Price of Tandem SARs shall be equal to the Option Price of the related Option.</w:t>
      </w:r>
    </w:p>
    <w:p>
      <w:pPr>
        <w:spacing w:after="0" w:line="13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7.2 SAR Agreement. </w:t>
      </w:r>
      <w:r>
        <w:rPr>
          <w:rFonts w:ascii="Arial" w:cs="Arial" w:eastAsia="Arial" w:hAnsi="Arial"/>
          <w:sz w:val="18"/>
          <w:szCs w:val="18"/>
          <w:color w:val="auto"/>
        </w:rPr>
        <w:t>Each SAR Award shall be evidenced by an Award Agreement that shall specify the Grant Price, the term of the SAR, and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provisions as the Committee shall determine.</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7.3 Term of SAR. </w:t>
      </w:r>
      <w:r>
        <w:rPr>
          <w:rFonts w:ascii="Arial" w:cs="Arial" w:eastAsia="Arial" w:hAnsi="Arial"/>
          <w:sz w:val="18"/>
          <w:szCs w:val="18"/>
          <w:color w:val="auto"/>
        </w:rPr>
        <w:t>The term of a SAR granted under this Plan shall be determined by the Committee, in its sole discretion, and specified in the SAR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provided, however, no SAR shall be exercisable later than the tenth (10th) anniversary of the date of its grant.</w:t>
      </w:r>
    </w:p>
    <w:p>
      <w:pPr>
        <w:spacing w:after="0" w:line="120"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 xml:space="preserve">7.4 Exercise of Freestanding SARs. </w:t>
      </w:r>
      <w:r>
        <w:rPr>
          <w:rFonts w:ascii="Arial" w:cs="Arial" w:eastAsia="Arial" w:hAnsi="Arial"/>
          <w:sz w:val="18"/>
          <w:szCs w:val="18"/>
          <w:color w:val="auto"/>
        </w:rPr>
        <w:t>Freestanding SARs may be exercised on whatever terms and conditions the Committee,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imposes.</w:t>
      </w:r>
    </w:p>
    <w:p>
      <w:pPr>
        <w:spacing w:after="0" w:line="120"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7.5 Exercise of Tandem SARs. </w:t>
      </w:r>
      <w:r>
        <w:rPr>
          <w:rFonts w:ascii="Arial" w:cs="Arial" w:eastAsia="Arial" w:hAnsi="Arial"/>
          <w:sz w:val="18"/>
          <w:szCs w:val="18"/>
          <w:color w:val="auto"/>
        </w:rPr>
        <w:t>Tandem SARs may be exercised for all or part of the Shares subject to the related Option on the surrender of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equivalent portion of the related Option. A Tandem SAR may be exercised only with respect to the Shares for which its related Option is then exercisable.</w:t>
      </w:r>
    </w:p>
    <w:p>
      <w:pPr>
        <w:spacing w:after="0" w:line="13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Despite any other provision of this Plan to the contrary, with respect to a Tandem SAR granted in connection with an ISO: (a) the Tandem SAR will expire no later than the expiration of the underlying ISO; (b) the value of the payout with respect to the Tandem SAR may be for no more than one hundred percent (100%) of the difference between the Option Price of the underlying ISO and the FMV of the Shares subject to the underlying ISO at the time the Tandem SAR is exercised; and (c) the Tandem SAR may be exercised only when the FMV of the Shares subject to the ISO exceeds the Option Price of the ISO.</w:t>
      </w:r>
    </w:p>
    <w:p>
      <w:pPr>
        <w:spacing w:after="0" w:line="10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7.6 Payment of SAR Amount. </w:t>
      </w:r>
      <w:r>
        <w:rPr>
          <w:rFonts w:ascii="Arial" w:cs="Arial" w:eastAsia="Arial" w:hAnsi="Arial"/>
          <w:sz w:val="18"/>
          <w:szCs w:val="18"/>
          <w:color w:val="auto"/>
        </w:rPr>
        <w:t>On the exercise of an SAR, a Participant shall be entitled to receive payment from the Company in an amount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multiplying:</w:t>
      </w:r>
    </w:p>
    <w:p>
      <w:pPr>
        <w:spacing w:after="0" w:line="45" w:lineRule="exact"/>
        <w:rPr>
          <w:sz w:val="20"/>
          <w:szCs w:val="20"/>
          <w:color w:val="auto"/>
        </w:rPr>
      </w:pPr>
    </w:p>
    <w:p>
      <w:pPr>
        <w:ind w:left="1140" w:hanging="237"/>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difference between the FMV of a Share on the date of exercise over the Grant Price; by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At the discretion of the Committee, the payment on SAR exercise may be in cash, Shares of equivalent value (based on the FMV on the date of exercise of the SAR), in some combination thereof, or in any other form approved by the Committee at its sole discretion. The Committee’s determination regarding the form of SAR payout shall be set forth in the Award Agreement pertaining to the grant of the SAR or reserved for later determination by the Committee.</w:t>
      </w:r>
    </w:p>
    <w:p>
      <w:pPr>
        <w:spacing w:after="0" w:line="101"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 xml:space="preserve">7.7 Termination of Employment. </w:t>
      </w:r>
      <w:r>
        <w:rPr>
          <w:rFonts w:ascii="Arial" w:cs="Arial" w:eastAsia="Arial" w:hAnsi="Arial"/>
          <w:sz w:val="18"/>
          <w:szCs w:val="18"/>
          <w:color w:val="auto"/>
        </w:rPr>
        <w:t>Each Award Agreement shall set forth provisions relating to the extent to which the Participant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SAR following termination of the Participant’s employment with the Company or Affiliates. Such provisions shall be determined in the sole discretion of the Committee, shall be included in the Award Agreement entered into with Participants, need not be uniform among all SARs issued under this Plan, and may reflect distinctions based on the reasons for termination.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7.8 Nontransferability of SARs. </w:t>
      </w:r>
      <w:r>
        <w:rPr>
          <w:rFonts w:ascii="Arial" w:cs="Arial" w:eastAsia="Arial" w:hAnsi="Arial"/>
          <w:sz w:val="16"/>
          <w:szCs w:val="16"/>
          <w:color w:val="auto"/>
        </w:rPr>
        <w:t>Except as otherwise provided in a Participant’s Award Agreement at the time of grant or thereafter by the Committee, a</w:t>
      </w:r>
      <w:r>
        <w:rPr>
          <w:rFonts w:ascii="Arial" w:cs="Arial" w:eastAsia="Arial" w:hAnsi="Arial"/>
          <w:sz w:val="16"/>
          <w:szCs w:val="16"/>
          <w:b w:val="1"/>
          <w:bCs w:val="1"/>
          <w:color w:val="auto"/>
        </w:rPr>
        <w:t xml:space="preserve"> </w:t>
      </w:r>
      <w:r>
        <w:rPr>
          <w:rFonts w:ascii="Arial" w:cs="Arial" w:eastAsia="Arial" w:hAnsi="Arial"/>
          <w:sz w:val="16"/>
          <w:szCs w:val="16"/>
          <w:color w:val="auto"/>
        </w:rPr>
        <w:t>SAR granted under this Plan may not be sold, transferred, pledged, assigned, or otherwise alienated or hypothecated, other than by will, by the laws of descent and distribution or, only in the case of SARs that are in tandem with NQSOs, pursuant to a qualified domestic relations order (as defined under Section 414(p) of the Code). Further, except as otherwise provided in a Participant’s Award Agreement at the time of grant or thereafter by the Committee, all SARs granted to a Participant under this Plan shall be exercisable during his or her lifetime only by such Participant or, in the case of SARs in tandem with NQSOs transferred pursuant to a qualified domestic relations order, a Participant’s former spouse.</w:t>
      </w:r>
    </w:p>
    <w:p>
      <w:pPr>
        <w:spacing w:after="0" w:line="111"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b w:val="1"/>
          <w:bCs w:val="1"/>
          <w:color w:val="auto"/>
        </w:rPr>
        <w:t xml:space="preserve">7.9 Other Restrictions. </w:t>
      </w:r>
      <w:r>
        <w:rPr>
          <w:rFonts w:ascii="Arial" w:cs="Arial" w:eastAsia="Arial" w:hAnsi="Arial"/>
          <w:sz w:val="18"/>
          <w:szCs w:val="18"/>
          <w:color w:val="auto"/>
        </w:rPr>
        <w:t>Without limiting the generality of any other provision of this Plan, the Committee may impose such other conditions and/or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any Shares received on exercise of a SAR granted under this Plan as it may deem advisable. This includes, but is not limited to, requiring the Participant to hold the Shares received on exercise of a SAR for a specified period of time.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159" w:lineRule="exact"/>
        <w:rPr>
          <w:sz w:val="20"/>
          <w:szCs w:val="20"/>
          <w:color w:val="auto"/>
        </w:rPr>
      </w:pPr>
    </w:p>
    <w:p>
      <w:pPr>
        <w:ind w:right="220" w:firstLine="456"/>
        <w:spacing w:after="0" w:line="378" w:lineRule="auto"/>
        <w:rPr>
          <w:sz w:val="20"/>
          <w:szCs w:val="20"/>
          <w:color w:val="auto"/>
        </w:rPr>
      </w:pPr>
      <w:r>
        <w:rPr>
          <w:rFonts w:ascii="Arial" w:cs="Arial" w:eastAsia="Arial" w:hAnsi="Arial"/>
          <w:sz w:val="15"/>
          <w:szCs w:val="15"/>
          <w:b w:val="1"/>
          <w:bCs w:val="1"/>
          <w:color w:val="auto"/>
        </w:rPr>
        <w:t xml:space="preserve">8.1 Grant of Restricted Stock or Restricted Stock Units. </w:t>
      </w:r>
      <w:r>
        <w:rPr>
          <w:rFonts w:ascii="Arial" w:cs="Arial" w:eastAsia="Arial" w:hAnsi="Arial"/>
          <w:sz w:val="15"/>
          <w:szCs w:val="15"/>
          <w:color w:val="auto"/>
        </w:rPr>
        <w:t>Subject to the terms and provisions of this Plan, the Committee, at any time and from time to</w:t>
      </w:r>
      <w:r>
        <w:rPr>
          <w:rFonts w:ascii="Arial" w:cs="Arial" w:eastAsia="Arial" w:hAnsi="Arial"/>
          <w:sz w:val="15"/>
          <w:szCs w:val="15"/>
          <w:b w:val="1"/>
          <w:bCs w:val="1"/>
          <w:color w:val="auto"/>
        </w:rPr>
        <w:t xml:space="preserve"> </w:t>
      </w:r>
      <w:r>
        <w:rPr>
          <w:rFonts w:ascii="Arial" w:cs="Arial" w:eastAsia="Arial" w:hAnsi="Arial"/>
          <w:sz w:val="15"/>
          <w:szCs w:val="15"/>
          <w:color w:val="auto"/>
        </w:rPr>
        <w:t>time, may grant Shares of Restricted Stock and/or Restricted Stock Units to Participants in such amounts and on such terms as the Committee shall determine.</w:t>
      </w:r>
    </w:p>
    <w:p>
      <w:pPr>
        <w:spacing w:after="0" w:line="51"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8.2 Restricted Stock or Restricted Stock Unit Agreement. </w:t>
      </w:r>
      <w:r>
        <w:rPr>
          <w:rFonts w:ascii="Arial" w:cs="Arial" w:eastAsia="Arial" w:hAnsi="Arial"/>
          <w:sz w:val="18"/>
          <w:szCs w:val="18"/>
          <w:color w:val="auto"/>
        </w:rPr>
        <w:t>Each Restricted Stock and/or Restricted Stock Unit grant shall be evidenced by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shall specify the Period(s) of Restriction, the number of Shares of Restricted Stock or the number of Restricted Stock Units granted, and any such other provisions as the Committee shall determine.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8.3 Nontransferability of Restricted Stock and Restricted Stock Units. </w:t>
      </w:r>
      <w:r>
        <w:rPr>
          <w:rFonts w:ascii="Arial" w:cs="Arial" w:eastAsia="Arial" w:hAnsi="Arial"/>
          <w:sz w:val="18"/>
          <w:szCs w:val="18"/>
          <w:color w:val="auto"/>
        </w:rPr>
        <w:t>Except as otherwise provided in this Plan or the Award Agreement,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and/or Restricted Stock Units granted may not be sold, transferred, pledged, assigned, or otherwise alienated or hypothecated until the end of the applicable Period of Restriction specified in the Award Agreement (and in the case of Restricted Stock Units until the date of delivery or other payment), or on earlier satisfaction of any other conditions, as specified by the Committee in its sole discretion and set forth in the Award Agreement at the time of grant or thereafter by the Committee. All rights with respect to the Restricted Stock and/or Restricted Stock Units granted to a Participant under this Plan shall be available during his or her lifetime only to such Participant, except as otherwise provided in the Award Agreement at the time of grant or thereafter by the Committee.</w:t>
      </w:r>
    </w:p>
    <w:p>
      <w:pPr>
        <w:spacing w:after="0" w:line="141"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color w:val="auto"/>
        </w:rPr>
        <w:t xml:space="preserve">8.4 Other Restrictions. </w:t>
      </w:r>
      <w:r>
        <w:rPr>
          <w:rFonts w:ascii="Arial" w:cs="Arial" w:eastAsia="Arial" w:hAnsi="Arial"/>
          <w:sz w:val="16"/>
          <w:szCs w:val="16"/>
          <w:color w:val="auto"/>
        </w:rPr>
        <w:t>The Committee shall impose, in the Award Agreement at the time of grant or anytime thereafter, such other conditions and/or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on any Shares of Restricted Stock or Restricted Stock Units granted under this Plan as it may deem advisable including, without limitation, a requirement that Participants pay a stipulated purchase price for each Share of Restricted Stock or each Restricted Stock Unit, restrictions based on the achievement of specific performance criteria, time-based restrictions on vesting following the attainment of the performance criteria, time-based restrictions, restrictions under applicable laws or under the requirements of any stock exchange or market on which such Shares are listed or traded, or holding requirements or sale restrictions placed on the Shares by the Company on vesting of such Restricted Stock or Restricted Stock Units.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To the extent deemed appropriate by the Committee and subject to Section 18.6, the Company may retain the certificates representing Shares of Restricted Stock, or Shares delivered in consideration of Restricted Stock Units, in the Company’s possession until such time as all conditions and/or restrictions applicable to such Shares have been satisfied or lapse.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and Restricted Stock Units shall be paid in cash, Shares, or a combination of cash and Shares as the Committee, in its sole discretion, shall determine.</w:t>
      </w:r>
    </w:p>
    <w:p>
      <w:pPr>
        <w:spacing w:after="0" w:line="13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8.5 Certificate Legend. </w:t>
      </w:r>
      <w:r>
        <w:rPr>
          <w:rFonts w:ascii="Arial" w:cs="Arial" w:eastAsia="Arial" w:hAnsi="Arial"/>
          <w:sz w:val="18"/>
          <w:szCs w:val="18"/>
          <w:color w:val="auto"/>
        </w:rPr>
        <w:t>In addition to any legends placed on certificates under Section 8.4, each certificate representing Shares of Restricted Stock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Plan may bear a legend such as the following:</w:t>
      </w:r>
    </w:p>
    <w:p>
      <w:pPr>
        <w:spacing w:after="0" w:line="126" w:lineRule="exact"/>
        <w:rPr>
          <w:sz w:val="20"/>
          <w:szCs w:val="20"/>
          <w:color w:val="auto"/>
        </w:rPr>
      </w:pPr>
    </w:p>
    <w:p>
      <w:pPr>
        <w:ind w:left="460" w:right="240" w:firstLine="438"/>
        <w:spacing w:after="0" w:line="306" w:lineRule="auto"/>
        <w:rPr>
          <w:sz w:val="20"/>
          <w:szCs w:val="20"/>
          <w:color w:val="auto"/>
        </w:rPr>
      </w:pPr>
      <w:r>
        <w:rPr>
          <w:rFonts w:ascii="Arial" w:cs="Arial" w:eastAsia="Arial" w:hAnsi="Arial"/>
          <w:sz w:val="16"/>
          <w:szCs w:val="16"/>
          <w:color w:val="auto"/>
        </w:rPr>
        <w:t>The sale or other transfer of the Shares of stock represented by this certificate, whether voluntary, involuntary, or by operation of law, is subject to certain restrictions on transfer as set forth in the Matrix Service Company 2012 Stock and Incentive Compensation Plan, and in the associated Award Agreement. A copy of this Plan and such Award Agreement may be obtained from Matrix Service Company.</w:t>
      </w:r>
    </w:p>
    <w:p>
      <w:pPr>
        <w:spacing w:after="0" w:line="10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8.6 Voting Rights. </w:t>
      </w:r>
      <w:r>
        <w:rPr>
          <w:rFonts w:ascii="Arial" w:cs="Arial" w:eastAsia="Arial" w:hAnsi="Arial"/>
          <w:sz w:val="18"/>
          <w:szCs w:val="18"/>
          <w:color w:val="auto"/>
        </w:rPr>
        <w:t>To the extent provided by the Committee in the Award Agreement, Participants holding Shares of Restricted Stock may be granted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exercise full voting rights with respect to those Shares during the Period of Restriction. A Participant shall have no voting rights with respect to any Restricted Stock Units granted hereunder.</w:t>
      </w:r>
    </w:p>
    <w:p>
      <w:pPr>
        <w:spacing w:after="0" w:line="132"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8.7 Dividends and Other Distributions. </w:t>
      </w:r>
      <w:r>
        <w:rPr>
          <w:rFonts w:ascii="Arial" w:cs="Arial" w:eastAsia="Arial" w:hAnsi="Arial"/>
          <w:sz w:val="16"/>
          <w:szCs w:val="16"/>
          <w:color w:val="auto"/>
        </w:rPr>
        <w:t>During the Period of Restriction, Participants holding Shares of Restricted Stock or Restricted Stock Units may,</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Committee so determines and provides in the Participant’s Award Agreement, be credited with dividends paid with respect to the underlying Shares or dividend equivalents while they are so held in a manner determined by the Committee in its sole discretion. The Committee may apply any restrictions to the dividends or dividend equivalents that the Committee deems appropriate, including any restrictions or conditions on the payment of dividends or dividend equivalents to Insiders which are designed to qualify the payments as Performance-Based Compensation. The Committee, in its sole discretion, may determine the form of payment of dividends or dividend equivalents, including cash, Shares, Restricted Stock, or Restricted Stock Units.</w:t>
      </w:r>
    </w:p>
    <w:p>
      <w:pPr>
        <w:spacing w:after="0" w:line="11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color w:val="auto"/>
        </w:rPr>
        <w:t xml:space="preserve">8.8 Termination of Employment. </w:t>
      </w:r>
      <w:r>
        <w:rPr>
          <w:rFonts w:ascii="Arial" w:cs="Arial" w:eastAsia="Arial" w:hAnsi="Arial"/>
          <w:sz w:val="16"/>
          <w:szCs w:val="16"/>
          <w:color w:val="auto"/>
        </w:rPr>
        <w:t>Each Award Agreement shall set forth the extent to which the Participant shall have the right or obligation to retain</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and/or Restricted Stock Units following termination of the Participant’s employment with the Company or Affiliates. These provisions shall be determined in the sole discretion of the Committee, shall be included in the Award Agreement entered into with each Participant, need not be uniform among all Shares of Restricted Stock or Restricted Stock Units issued under this Plan, and may reflect distinctions based on the reasons for termination.</w:t>
      </w:r>
    </w:p>
    <w:p>
      <w:pPr>
        <w:spacing w:after="0" w:line="103"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8.9 Payment in Consideration of Restricted Stock Units. </w:t>
      </w:r>
      <w:r>
        <w:rPr>
          <w:rFonts w:ascii="Arial" w:cs="Arial" w:eastAsia="Arial" w:hAnsi="Arial"/>
          <w:sz w:val="16"/>
          <w:szCs w:val="16"/>
          <w:color w:val="auto"/>
        </w:rPr>
        <w:t>When and if Restricted Stock Units become payable, a Participant having received the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units shall be entitled to receive payment from the Company in cash, Shares of equivalent value (based on the FMV), in some combination thereof, or in any other form determined by the Committee at its sole discretion. The Committee’s determination regarding the form of payout shall be set forth in the Award Agreement pertaining to the grant of the Restricted Stock Unit or reserved for later determination by the Committee.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Shares and Performance Units</w:t>
      </w:r>
    </w:p>
    <w:p>
      <w:pPr>
        <w:spacing w:after="0" w:line="159"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b w:val="1"/>
          <w:bCs w:val="1"/>
          <w:color w:val="auto"/>
        </w:rPr>
        <w:t xml:space="preserve">9.1 Grant of Performance Shares and Performance Units. </w:t>
      </w:r>
      <w:r>
        <w:rPr>
          <w:rFonts w:ascii="Arial" w:cs="Arial" w:eastAsia="Arial" w:hAnsi="Arial"/>
          <w:sz w:val="16"/>
          <w:szCs w:val="16"/>
          <w:color w:val="auto"/>
        </w:rPr>
        <w:t>Subject to the terms and provisions of this Plan, the Committee, at any time and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may grant Performance Shares and/or Performance Units to Participants in such amounts and on such terms as the Committee shall determine.</w:t>
      </w:r>
    </w:p>
    <w:p>
      <w:pPr>
        <w:spacing w:after="0" w:line="74"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9.2 Value of Performance Shares and Performance Units. </w:t>
      </w:r>
      <w:r>
        <w:rPr>
          <w:rFonts w:ascii="Arial" w:cs="Arial" w:eastAsia="Arial" w:hAnsi="Arial"/>
          <w:sz w:val="18"/>
          <w:szCs w:val="18"/>
          <w:color w:val="auto"/>
        </w:rPr>
        <w:t>Each Performance Share shall have an initial value equal to the FMV of a Share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Each Performance Unit shall have an initial value that is established by the Committee at the time of grant which shall in no event be less than the FMV of a Share.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Committee shall set performance criteria for a Performance Period in its sole discretion which, depending on the extent to which they are met, will determine, in the manner determined by the Committee and documented in the Award Agreement the value and/or number of Performance Shares or Performance Units that will be paid to the Participant and whether a Participant shall be entitled to receive the value equivalent to any dividends paid during the Performance Period on the number of Shares that equals the Performance Shares or Performance Units granted to a Participant; provided, however, that a Participant shall only be entitled to receive an amount in respect of dividends paid on Shares to the extent the underlying Performance Shares/Performance Units have been earned by achievement of the corresponding performance criteria.</w:t>
      </w:r>
    </w:p>
    <w:p>
      <w:pPr>
        <w:spacing w:after="0" w:line="114"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9.3 Earning of Performance Shares and Performance Units. </w:t>
      </w:r>
      <w:r>
        <w:rPr>
          <w:rFonts w:ascii="Arial" w:cs="Arial" w:eastAsia="Arial" w:hAnsi="Arial"/>
          <w:sz w:val="16"/>
          <w:szCs w:val="16"/>
          <w:color w:val="auto"/>
        </w:rPr>
        <w:t>Subject to the terms of this Plan, after the applicable Performance Period has 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 of Performance Shares/Performance Units shall be entitled to receive payout on the value and number of Performance Shares/Performance Units determined as a function of the extent to which the corresponding performance criteria have been achieved. Despite the foregoing, the Company has the ability to require the Participant to hold the Shares received under such Award for a specified period of time.</w:t>
      </w:r>
    </w:p>
    <w:p>
      <w:pPr>
        <w:spacing w:after="0" w:line="10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9.4 Form and Timing of Payment of Performance Shares and Performance Units. </w:t>
      </w:r>
      <w:r>
        <w:rPr>
          <w:rFonts w:ascii="Arial" w:cs="Arial" w:eastAsia="Arial" w:hAnsi="Arial"/>
          <w:sz w:val="16"/>
          <w:szCs w:val="16"/>
          <w:color w:val="auto"/>
        </w:rPr>
        <w:t>Payment of earned Performance Shares/Performance Units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as determined by the Committee and as evidenced in the Award Agreement. Subject to the terms of this Plan, the Committee, in its sole discretion, may pay earned Performance Shares/Performance Units in the form of cash or in Shares (or in a combination thereof) equal to the value of the earned Performance Shares/Performance Units at the close of the applicable Performance Period or as soon as practicable after the end of the Performance Period. Any Shares may be granted subject to any restrictions deemed appropriate by the Committee. The determination of the Committee with respect to the form of payout of such Awards shall be set forth in the Award Agreement pertaining to the grant of the Award or reserved for later determination.</w:t>
      </w:r>
    </w:p>
    <w:p>
      <w:pPr>
        <w:spacing w:after="0" w:line="111"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color w:val="auto"/>
        </w:rPr>
        <w:t xml:space="preserve">9.5 Termination of Employment. </w:t>
      </w:r>
      <w:r>
        <w:rPr>
          <w:rFonts w:ascii="Arial" w:cs="Arial" w:eastAsia="Arial" w:hAnsi="Arial"/>
          <w:sz w:val="16"/>
          <w:szCs w:val="16"/>
          <w:color w:val="auto"/>
        </w:rPr>
        <w:t>Each Award Agreement shall set forth the extent to which the Participant shall have the right to retain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Shares/Performance Units following termination of the Participant’s employment with the Company or an Affiliate. Such provisions shall be determined in the sole discretion of the Committee, shall be included in the Award Agreement entered into with each Participant, need not be uniform among all Awards of Performance Shares/Performance Units issued under this Plan, and may reflect distinctions based on the reasons for termination.</w:t>
      </w:r>
    </w:p>
    <w:p>
      <w:pPr>
        <w:spacing w:after="0" w:line="10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9.6 Nontransferability of Performance Shares and Performance Units. </w:t>
      </w:r>
      <w:r>
        <w:rPr>
          <w:rFonts w:ascii="Arial" w:cs="Arial" w:eastAsia="Arial" w:hAnsi="Arial"/>
          <w:sz w:val="18"/>
          <w:szCs w:val="18"/>
          <w:color w:val="auto"/>
        </w:rPr>
        <w:t>Except as otherwise provided in a Participant’s Award Agreement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or thereafter by the Committee, Performance Shares/Performance Units may not be sold, transferred, pledged, assigned, or otherwise alienated or hypothecated, other than by will, by the laws of descent and distribution or pursuant to a qualified domestic relations order (as defined under Section 414(p) of the Code).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Cash-Based Awards and Stock-Based Awards</w:t>
      </w:r>
    </w:p>
    <w:p>
      <w:pPr>
        <w:spacing w:after="0" w:line="159"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10.1 Grant of Cash-Based Awards. </w:t>
      </w:r>
      <w:r>
        <w:rPr>
          <w:rFonts w:ascii="Arial" w:cs="Arial" w:eastAsia="Arial" w:hAnsi="Arial"/>
          <w:sz w:val="18"/>
          <w:szCs w:val="18"/>
          <w:color w:val="auto"/>
        </w:rPr>
        <w:t>Subject to the terms and provisions of this Plan, the Committee, at any time and from time and time, may grant Cash-Based Awards to Participants in such amounts and on such terms as the Committee may determine.</w:t>
      </w:r>
    </w:p>
    <w:p>
      <w:pPr>
        <w:spacing w:after="0" w:line="120"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10.2 Value of Cash-Based Awards. </w:t>
      </w:r>
      <w:r>
        <w:rPr>
          <w:rFonts w:ascii="Arial" w:cs="Arial" w:eastAsia="Arial" w:hAnsi="Arial"/>
          <w:sz w:val="18"/>
          <w:szCs w:val="18"/>
          <w:color w:val="auto"/>
        </w:rPr>
        <w:t>Each Cash-Based Award shall have a value as may be determined by the Committee. For each Cash-Based Award,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establish performance criteria in its discretion. If the Committee exercises its discretion to establish such performance criteria, the number and/or value of Cash-Based Awards that will be paid out to the Participant will be determined, in the manner determined by the Committee, to the extent to which the performance criteria are met.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378" w:lineRule="auto"/>
        <w:rPr>
          <w:sz w:val="20"/>
          <w:szCs w:val="20"/>
          <w:color w:val="auto"/>
        </w:rPr>
      </w:pPr>
      <w:r>
        <w:rPr>
          <w:rFonts w:ascii="Arial" w:cs="Arial" w:eastAsia="Arial" w:hAnsi="Arial"/>
          <w:sz w:val="15"/>
          <w:szCs w:val="15"/>
          <w:b w:val="1"/>
          <w:bCs w:val="1"/>
          <w:color w:val="auto"/>
        </w:rPr>
        <w:t xml:space="preserve">10.3 Payment in Consideration of Cash-Based Awards. </w:t>
      </w:r>
      <w:r>
        <w:rPr>
          <w:rFonts w:ascii="Arial" w:cs="Arial" w:eastAsia="Arial" w:hAnsi="Arial"/>
          <w:sz w:val="15"/>
          <w:szCs w:val="15"/>
          <w:color w:val="auto"/>
        </w:rPr>
        <w:t>Subject to the terms of this Plan, the holder of a Cash-Based Award shall be entitled to receive</w:t>
      </w:r>
      <w:r>
        <w:rPr>
          <w:rFonts w:ascii="Arial" w:cs="Arial" w:eastAsia="Arial" w:hAnsi="Arial"/>
          <w:sz w:val="15"/>
          <w:szCs w:val="15"/>
          <w:b w:val="1"/>
          <w:bCs w:val="1"/>
          <w:color w:val="auto"/>
        </w:rPr>
        <w:t xml:space="preserve"> </w:t>
      </w:r>
      <w:r>
        <w:rPr>
          <w:rFonts w:ascii="Arial" w:cs="Arial" w:eastAsia="Arial" w:hAnsi="Arial"/>
          <w:sz w:val="15"/>
          <w:szCs w:val="15"/>
          <w:color w:val="auto"/>
        </w:rPr>
        <w:t>payout on the value of a Cash-Based Award determined as a function of the extent to which the corresponding performance criteria, if any, have been achieved.</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10.4 Form and Timing of Payment of Cash-Based Awards. </w:t>
      </w:r>
      <w:r>
        <w:rPr>
          <w:rFonts w:ascii="Arial" w:cs="Arial" w:eastAsia="Arial" w:hAnsi="Arial"/>
          <w:sz w:val="18"/>
          <w:szCs w:val="18"/>
          <w:color w:val="auto"/>
        </w:rPr>
        <w:t>Payment of earned Cash-Based Awards shall be as determined by the Committee.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this Plan, the Committee, in its sole discretion, may pay earned Cash-Based Awards in the form of cash or in Shares (or in a combination thereof) that have an aggregate FMV equal to the value of the earned Cash-Based Awards (the applicable date regarding which aggregate FMV shall be determined by the Committee). Such Shares may be granted subject to any restrictions deemed appropriate by the Committee. The determination of the Committee with respect to the form and timing of payment of such Awards shall be set forth in the Award Agreement pertaining to the grant of the Award or reserved for later determination by the Committee.</w:t>
      </w:r>
    </w:p>
    <w:p>
      <w:pPr>
        <w:spacing w:after="0" w:line="139"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10.5 Stock-Based Awards. </w:t>
      </w:r>
      <w:r>
        <w:rPr>
          <w:rFonts w:ascii="Arial" w:cs="Arial" w:eastAsia="Arial" w:hAnsi="Arial"/>
          <w:sz w:val="16"/>
          <w:szCs w:val="16"/>
          <w:color w:val="auto"/>
        </w:rPr>
        <w:t>The Committee may grant other types of equity-based or equity-related Awards not otherwise described by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Plan (including the grant or offer for sale of unrestricted Shares) in such amounts and subject to such terms and conditions including, but not limited to being subject to performance criteria, or in satisfaction of such obligations, as the Committee shall determine. Such Awards may entail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108"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10.6 Termination of Employment. </w:t>
      </w:r>
      <w:r>
        <w:rPr>
          <w:rFonts w:ascii="Arial" w:cs="Arial" w:eastAsia="Arial" w:hAnsi="Arial"/>
          <w:sz w:val="16"/>
          <w:szCs w:val="16"/>
          <w:color w:val="auto"/>
        </w:rPr>
        <w:t>Each Award Agreement shall set forth the extent to which the Participant shall have the right to receive Cash-Based</w:t>
      </w:r>
      <w:r>
        <w:rPr>
          <w:rFonts w:ascii="Arial" w:cs="Arial" w:eastAsia="Arial" w:hAnsi="Arial"/>
          <w:sz w:val="16"/>
          <w:szCs w:val="16"/>
          <w:b w:val="1"/>
          <w:bCs w:val="1"/>
          <w:color w:val="auto"/>
        </w:rPr>
        <w:t xml:space="preserve"> </w:t>
      </w:r>
      <w:r>
        <w:rPr>
          <w:rFonts w:ascii="Arial" w:cs="Arial" w:eastAsia="Arial" w:hAnsi="Arial"/>
          <w:sz w:val="16"/>
          <w:szCs w:val="16"/>
          <w:color w:val="auto"/>
        </w:rPr>
        <w:t>Awards and Stock-Based Awards following termination of the Participant’s employment with the Company or Affiliates. Such provisions shall be determined in the sole discretion of the Committee, shall be included in the applicable Award Agreement, need not be uniform among all Awards of Cash-Based Awards and Stock-Based Awards issued under this Plan, and may reflect distinctions based on the reasons for termination.</w:t>
      </w:r>
    </w:p>
    <w:p>
      <w:pPr>
        <w:spacing w:after="0" w:line="10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10.7 Nontransferability of Cash-Based Awards and Stock-Based Awards. </w:t>
      </w:r>
      <w:r>
        <w:rPr>
          <w:rFonts w:ascii="Arial" w:cs="Arial" w:eastAsia="Arial" w:hAnsi="Arial"/>
          <w:sz w:val="18"/>
          <w:szCs w:val="18"/>
          <w:color w:val="auto"/>
        </w:rPr>
        <w:t>Except as otherwise provided in a Participant’s Award Agreement at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of grant or thereafter by the Committee, Cash-Based Awards and Stock-Based Awards may not be sold, transferred, pledged, assigned, or otherwise alienated or hypothecated, other than by will, by the laws of descent and distribution or pursuant to a qualified domestic relations order (as defined under Section 414(p) of the Code).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Measures</w:t>
      </w:r>
    </w:p>
    <w:p>
      <w:pPr>
        <w:spacing w:after="0" w:line="16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Despite any other terms of this Plan, the vesting, payment, or value (as determined by the Committee) of each Award other than an Option or SAR that, at the time of grant, the Committee intends to be Performance-Based Compensation to an Insider shall be determined by the attainment of one or more Performance Goals as determined by the Committee in conformity with Section 162(m) of the Code. The Committee shall specify in writing, by resolution or otherwise, the Participants eligible to receive such an Award (which may be expressed in terms of a class of individuals) and the Performance Goal(s) applicable to such Awards within ninety (90) days after the commencement of the period to which the Performance Goal(s) relate(s) or such earlier time as required to comply with Section 162(m) of the Code. No such Award shall be payable unless the Committee certifies in writing, by resolution or otherwise, that the Performance Goal(s) applicable to the Award were satisfied. In no case may the Committee increase the value of an Award of Performance-Based Compensation above the maximum value determined under the performance formula by the attainment of the applicable Performance Goal(s), but the Committee may retain the discretion to reduce the value below such maximum.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and until the Committee proposes for stockholder vote and the stockholders approve a change in the general Performance Measures set forth in this Article 11, the Performance Goal(s) on which the payment or vesting of an Award to an Insider that is intended to qualify as Performance-Based Compensation shall be limited to the following Performance Measures:</w:t>
      </w:r>
    </w:p>
    <w:p>
      <w:pPr>
        <w:spacing w:after="0" w:line="59"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income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assets, return on capital, return on invested capital and return on equity, sales or revenue);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Cash flow (including, but not limited to, operating cash flow, free cash flow, free cash flow margin and cash flow return on capital or investments);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 and impairment of intangible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Revenue or sales growth or growth in backlog;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Growth of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Measures of health, safety or environment (including, but not limited to, total recordable incident 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Credit quality (including, but not limited to, days sales outstanding);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Improvements in capital structure;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Compliance with laws, regulations and policies.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Performance Measure(s) may be used to measure the performance of the Company and/or Affiliate as a whole or any business unit of the Company and/or Affiliate or any combination thereof, as the Committee may deem appropriate, or any of the above Performance Measures as compared to the performance of a group of comparator companies, or published or special index that the Committee, in its sole discretion, deems appropriate. In the Award Agreement, the Committee also has the authority to provide for accelerated vesting of any Award based on the achievement of Performance Goal(s).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Committee may provide in any Award Agreement that any evaluation of attainment of a Performance Goal may include or exclude any of the following events that occurs during the relevant period: (a) asset write-downs; (b) litigation or claim judgments or settlements; (c) the effect of changes in tax laws, accounting principles, or other laws or provisions affecting reported results; (d) any reorganization and restructuring programs; (e) extraordinary nonrecurring items as described in applicable accounting standards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Insiders, they shall be prescribed in a form that meets the requirements of Section 162(m) of the Code for deductibility for federal income tax purposes.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event that applicable tax and/or securities laws change to permit Committee discretion to alter the governing Performance Measures without obtaining stockholder approval of such changes, the Committee shall have sole discretion to make such changes without obtaining stockholder approval. In addition, in the event that the Committee determines that it is advisable to grant Awards to Insiders that shall not qualify as Performance-Based Compensation, the Committee may make such grants without satisfying the requirements of Code Section 162(m).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Beneficiary Designation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Participant’s “beneficiary” is the person or persons entitled to receive payments or other benefits or exercise rights that are available under this Plan in the event of the Participant’s death. A Participant may designate a beneficiary or change a previous beneficiary designation at such times prescribed by the Committee by using forms and following procedures approved or accepted by the Committee for that purpose. If no beneficiary designated by the Participant is eligible to receive payments or other benefits or exercise rights that are available under this Plan at the Participant’s death the beneficiary shall be the Participant’s estate.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Despite the above, the Committee may in its discretion, after notifying the affected Participants, modify the foregoing requirements, institute additional requirements for beneficiary designations, or suspend the existing beneficiary designations of living Participants or the process of determining beneficiaries under this Article 12, or both, in favor of another method of determining beneficiaries.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of Employees</w:t>
      </w:r>
    </w:p>
    <w:p>
      <w:pPr>
        <w:spacing w:after="0" w:line="159"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13.1 Employment. </w:t>
      </w:r>
      <w:r>
        <w:rPr>
          <w:rFonts w:ascii="Arial" w:cs="Arial" w:eastAsia="Arial" w:hAnsi="Arial"/>
          <w:sz w:val="18"/>
          <w:szCs w:val="18"/>
          <w:color w:val="auto"/>
        </w:rPr>
        <w:t>Nothing in this Plan or an Award Agreement shall interfere with or limit in any way the right of the Company or an Affiliate to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any Participant’s employment or other service relationship at any time, nor confer on any Participant any right to continue in the capacity in which he or she is employed or otherwise serves the Company or an Affiliate.</w:t>
      </w:r>
    </w:p>
    <w:p>
      <w:pPr>
        <w:spacing w:after="0" w:line="13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Neither an Award nor any benefits arising under this Plan shall constitute part of an employment contract with the Company or an Affiliate and, accordingly, subject to the terms of this Plan, this Plan may be terminated or modified at any time in the sole and exclusive discretion of the Committee without giving rise to liability on the part of the Company or an Affiliate for severance payments or otherwise except as provided in this Plan.</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purposes of this Plan, unless otherwise provided by the Committee, transfer of employment of a Participant between the Company and an Affiliate or among Affiliates, shall not be deemed a termination of employment. The Committee may stipulate in a Participant’s Award Agreement or otherwise the conditions under which a transfer of employment to an entity that is spun-off from the Company or an Affiliate, if any, shall not be deemed a termination of employment for purposes of an Award.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 xml:space="preserve">13.2 Participation. </w:t>
      </w:r>
      <w:r>
        <w:rPr>
          <w:rFonts w:ascii="Arial" w:cs="Arial" w:eastAsia="Arial" w:hAnsi="Arial"/>
          <w:sz w:val="18"/>
          <w:szCs w:val="18"/>
          <w:color w:val="auto"/>
        </w:rPr>
        <w:t>No Employee shall have the right to be selected to receive an Award. No Employee, having been selected to receive an Award,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be selected to receive a future Award or (if selected to receive such a future Award) the right to receive such a future Award on terms and conditions identical or in proportion in any way to any prior Award.</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13.3 Rights as a Stockholder. </w:t>
      </w:r>
      <w:r>
        <w:rPr>
          <w:rFonts w:ascii="Arial" w:cs="Arial" w:eastAsia="Arial" w:hAnsi="Arial"/>
          <w:sz w:val="18"/>
          <w:szCs w:val="18"/>
          <w:color w:val="auto"/>
        </w:rPr>
        <w:t>Except to the extent otherwise provided in an Award Agreement, a Participant shall have none of the rights of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Shares covered by any Award until the Participant becomes the record holder of such Shares.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of Control</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Except as otherwise provided in the Award Agreement, in the event of a Change of Control, unless otherwise specifically prohibited under law or by the rules and regulations of a national security exchange:</w:t>
      </w:r>
    </w:p>
    <w:p>
      <w:pPr>
        <w:spacing w:after="0" w:line="51" w:lineRule="exact"/>
        <w:rPr>
          <w:sz w:val="20"/>
          <w:szCs w:val="20"/>
          <w:color w:val="auto"/>
        </w:rPr>
      </w:pPr>
    </w:p>
    <w:p>
      <w:pPr>
        <w:ind w:left="1140" w:hanging="237"/>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and all Options and SARs granted under this Plan shall become immediately exercisable;</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Period of Restriction and other restrictions imposed on Restricted Stock or Restricted Stock Units shall lapse, and Restricted Stock Units shall be immediately payable;</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3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target payout opportunities attainable under all outstanding Awards of performance-based Restricted Stock, performance-based Restricted Stock Units, Performance Units, and Performance Shares (including, but not limited to, Awards intended to be Performance-Based Compensation) shall be deemed to have been fully earned based on targeted performance being attained as of the effective date of the Change of Control:</w:t>
      </w:r>
    </w:p>
    <w:p>
      <w:pPr>
        <w:spacing w:after="0" w:line="25" w:lineRule="exact"/>
        <w:rPr>
          <w:rFonts w:ascii="Arial" w:cs="Arial" w:eastAsia="Arial" w:hAnsi="Arial"/>
          <w:sz w:val="16"/>
          <w:szCs w:val="16"/>
          <w:color w:val="auto"/>
        </w:rPr>
      </w:pPr>
    </w:p>
    <w:p>
      <w:pPr>
        <w:ind w:left="920" w:right="20" w:firstLine="421"/>
        <w:spacing w:after="0" w:line="268" w:lineRule="auto"/>
        <w:tabs>
          <w:tab w:leader="none" w:pos="1549"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vesting of all Awards denominated in Shares shall be accelerated as of the effective date of the Change of Control, and shall be paid out to Participants within thirty (30) days following the effective date of the Change of Control; and</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59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Awards denominated in cash shall be paid to Participants in cash within thirty (30) days following the effective date of the Change of Control; and</w:t>
      </w:r>
    </w:p>
    <w:p>
      <w:pPr>
        <w:spacing w:after="0" w:line="5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 Change of Control, unless otherwise specifically provided in a written agreement entered into between the Participant and the Company or an Affiliate, the Committee shall immediately vest and pay out all Cash-Based Awards and Other Stock-Based Awards in such amounts as shall be determined by the Committee.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Suspension, and Termination</w:t>
      </w:r>
    </w:p>
    <w:p>
      <w:pPr>
        <w:spacing w:after="0" w:line="159"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15.1 Amendment, Modification, Suspension, and Termination. </w:t>
      </w:r>
      <w:r>
        <w:rPr>
          <w:rFonts w:ascii="Arial" w:cs="Arial" w:eastAsia="Arial" w:hAnsi="Arial"/>
          <w:sz w:val="18"/>
          <w:szCs w:val="18"/>
          <w:color w:val="auto"/>
        </w:rPr>
        <w:t>The Committee may, at any time and from time to time, alter, amend, modify, suspend,</w:t>
      </w:r>
      <w:r>
        <w:rPr>
          <w:rFonts w:ascii="Arial" w:cs="Arial" w:eastAsia="Arial" w:hAnsi="Arial"/>
          <w:sz w:val="18"/>
          <w:szCs w:val="18"/>
          <w:b w:val="1"/>
          <w:bCs w:val="1"/>
          <w:color w:val="auto"/>
        </w:rPr>
        <w:t xml:space="preserve"> </w:t>
      </w:r>
      <w:r>
        <w:rPr>
          <w:rFonts w:ascii="Arial" w:cs="Arial" w:eastAsia="Arial" w:hAnsi="Arial"/>
          <w:sz w:val="18"/>
          <w:szCs w:val="18"/>
          <w:color w:val="auto"/>
        </w:rPr>
        <w:t>or terminate this Plan in whole or in part; provided however, that:</w:t>
      </w:r>
    </w:p>
    <w:p>
      <w:pPr>
        <w:spacing w:after="0" w:line="45" w:lineRule="exact"/>
        <w:rPr>
          <w:sz w:val="20"/>
          <w:szCs w:val="20"/>
          <w:color w:val="auto"/>
        </w:rPr>
      </w:pPr>
    </w:p>
    <w:p>
      <w:pPr>
        <w:ind w:left="460" w:firstLine="443"/>
        <w:spacing w:after="0" w:line="298" w:lineRule="auto"/>
        <w:tabs>
          <w:tab w:leader="none" w:pos="11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Without the prior approval of the Company’s stockholders and except as provided in Section 4.2, the Company may not (i) amend the terms of outstanding Options and SARs to reduce the exercise price of such outstanding Options or SARs, (ii) cancel outstanding Options and SARs in exchange for Options or SARs with an exercise price that is less than the exercise price of the original Options or SARs; or (iii) cancel outstanding Options or SARs with an exercise price above the current stock price in exchange for cash or other securities.</w:t>
      </w:r>
    </w:p>
    <w:p>
      <w:pPr>
        <w:spacing w:after="0" w:line="31"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extent necessary under any applicable law, regulation or exchange requirement, no amendment shall be effective unless approved by the stockholders of the Company in accordance with applicable law, regulation, or exchange requirement.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b w:val="1"/>
          <w:bCs w:val="1"/>
          <w:color w:val="auto"/>
        </w:rPr>
        <w:t xml:space="preserve">15.2 Adjustment of Awards on the Occurrence of Certain Unusual or Nonrecurring Events. </w:t>
      </w:r>
      <w:r>
        <w:rPr>
          <w:rFonts w:ascii="Arial" w:cs="Arial" w:eastAsia="Arial" w:hAnsi="Arial"/>
          <w:sz w:val="16"/>
          <w:szCs w:val="16"/>
          <w:color w:val="auto"/>
        </w:rPr>
        <w:t>The Committee may make adjustments in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of, and the criteria included in, Awards in recognition of unusual or nonrecurring events (including, without limitation, the events described in Section 4.2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provided, however, that such adjustments may not cause any Award granted or compensation payable hereunder to fail to satisfy the requirements of Code Section 409A and result in adverse income tax consequences to a Participant. The determination of the Committee as to the foregoing adjustments, if any, shall be conclusive and binding on Participants under this Plan. To the extent such adjustment affects Awards to Insiders intended to be Performance-Based Compensation, they shall be prescribed in a form that meets the requirements of Section 162(m) of the Code for deductibility for federal income tax purposes.</w:t>
      </w:r>
    </w:p>
    <w:p>
      <w:pPr>
        <w:spacing w:after="0" w:line="113"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 xml:space="preserve">15.3 Awards Previously Granted. </w:t>
      </w:r>
      <w:r>
        <w:rPr>
          <w:rFonts w:ascii="Arial" w:cs="Arial" w:eastAsia="Arial" w:hAnsi="Arial"/>
          <w:sz w:val="16"/>
          <w:szCs w:val="16"/>
          <w:color w:val="auto"/>
        </w:rPr>
        <w:t>Despite any other provision of this Plan to the contrary, no termination, amendment, suspension, or modification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Plan shall adversely affect in any material way any Award previously granted under this Plan, without the written consent of the Participant holding such Award.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Withholding</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or any Affiliate shall have the power and the right to deduct or withhold, or require a Participant to remit to the Company or any Affiliate, an amount sufficient to satisfy federal, state, and local taxes, domestic or foreign (including the Participant’s FICA obligation), required by law or regulation to be withheld with respect to any taxable event arising or as a result of this Plan. The Committee may provide for Participants to satisfy withholding requirements by having the Company withhold Shares or the Participant making such other arrangements, in either case on such conditions as the Committee specifies.</w:t>
      </w:r>
    </w:p>
    <w:p>
      <w:pPr>
        <w:spacing w:after="0" w:line="18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17.</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Successors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obligations of the Company or an Affiliate under this Plan with respect to Awards granted under this Plan, shall be binding on any successor to the Company or Affiliate, respectively, whether the existence of such successor is the result of a direct or indirect purchase, merger, consolidation, or otherwise, of all or substantially all of the business and/or assets of the Company or Affiliate, as applicable.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5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18.1 Forfeiture Events. </w:t>
      </w:r>
      <w:r>
        <w:rPr>
          <w:rFonts w:ascii="Arial" w:cs="Arial" w:eastAsia="Arial" w:hAnsi="Arial"/>
          <w:sz w:val="16"/>
          <w:szCs w:val="16"/>
          <w:color w:val="auto"/>
        </w:rPr>
        <w:t>Without limiting in any way the generality of the Committee’s power to specify any terms and conditions of an Award consistent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law, and for greater clarity, the Committee may specify in an Award Agreement that the Participant’s rights, payments, and benefits with respect to an Award shall be subject to reduction, cancellation, forfeiture, or recoupment on the occurrence of certain specified events, in addition to any otherwise applicable vesting or performance conditions of an Award. Such events shall include, but shall not be limited to, failure to accept the terms of the Award Agreement, termination of employment under certain or all circumstances, violation of material Company and Affiliate policies, breach of noncompetition, confidentiality, nonsolicitation, noninterference, corporate property protection, or other obligation (by agreement or otherwise) that may apply to the Participant, or other conduct by the Participant that is detrimental to the business or reputation of the Company and Affiliates.</w:t>
      </w:r>
    </w:p>
    <w:p>
      <w:pPr>
        <w:spacing w:after="0" w:line="113"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18.2 Legend. </w:t>
      </w:r>
      <w:r>
        <w:rPr>
          <w:rFonts w:ascii="Arial" w:cs="Arial" w:eastAsia="Arial" w:hAnsi="Arial"/>
          <w:sz w:val="18"/>
          <w:szCs w:val="18"/>
          <w:color w:val="auto"/>
        </w:rPr>
        <w:t>The certificates for Shares may include any legend that the Committee deems appropriate to reflect any restrictions on transfer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18.3 Delivery of Title. </w:t>
      </w:r>
      <w:r>
        <w:rPr>
          <w:rFonts w:ascii="Arial" w:cs="Arial" w:eastAsia="Arial" w:hAnsi="Arial"/>
          <w:sz w:val="16"/>
          <w:szCs w:val="16"/>
          <w:color w:val="auto"/>
        </w:rPr>
        <w:t>The Company shall have no obligation to issue or deliver evidence of title for Shares issued under this Plan before:</w:t>
      </w:r>
    </w:p>
    <w:p>
      <w:pPr>
        <w:spacing w:after="0" w:line="119" w:lineRule="exact"/>
        <w:rPr>
          <w:sz w:val="20"/>
          <w:szCs w:val="20"/>
          <w:color w:val="auto"/>
        </w:rPr>
      </w:pPr>
    </w:p>
    <w:p>
      <w:pPr>
        <w:ind w:left="1140" w:hanging="237"/>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national or foreign law or ruling of any governmental body that the Company determines to be necessary or advisable.</w:t>
      </w:r>
    </w:p>
    <w:p>
      <w:pPr>
        <w:spacing w:after="0" w:line="126"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18.4 Investment Representations. </w:t>
      </w:r>
      <w:r>
        <w:rPr>
          <w:rFonts w:ascii="Arial" w:cs="Arial" w:eastAsia="Arial" w:hAnsi="Arial"/>
          <w:sz w:val="18"/>
          <w:szCs w:val="18"/>
          <w:color w:val="auto"/>
        </w:rPr>
        <w:t>The Committee may require each Participant, as a condition to the receipt of Shares under an Award under this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and warrant in good faith and in writing that the Participant is acquiring the Shares for investment and without any present intention to sell or distribute such Shares.</w:t>
      </w:r>
    </w:p>
    <w:p>
      <w:pPr>
        <w:spacing w:after="0" w:line="13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18.5 Employees Based Outside of the United States. </w:t>
      </w:r>
      <w:r>
        <w:rPr>
          <w:rFonts w:ascii="Arial" w:cs="Arial" w:eastAsia="Arial" w:hAnsi="Arial"/>
          <w:sz w:val="18"/>
          <w:szCs w:val="18"/>
          <w:color w:val="auto"/>
        </w:rPr>
        <w:t>Without limiting in any way the generality of the Committee’s powers under this Plan,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the power to specify any terms and conditions of an Award consistent with law, in order to comply with the laws in other countries in which the Company or an Affiliate operates or has Employees, the Committee, in its sole discretion, shall have the power and authority, notwithstanding any provision of this Plan to the contrary, to:</w:t>
      </w:r>
    </w:p>
    <w:p>
      <w:pPr>
        <w:spacing w:after="0" w:line="61" w:lineRule="exact"/>
        <w:rPr>
          <w:sz w:val="20"/>
          <w:szCs w:val="20"/>
          <w:color w:val="auto"/>
        </w:rPr>
      </w:pPr>
    </w:p>
    <w:p>
      <w:pPr>
        <w:ind w:left="1140" w:hanging="237"/>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which Affiliates shall be covered by this Plan;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which Employees outside the United States are eligible to participate in this Plan;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Modify the terms and conditions of any Award granted to Employees outside the United States to comply with applicable foreign laws;</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18.5 by the Committee shall be attached to this Plan document as appendices;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Despite the above, the Committee may not take any actions under this Plan and no Awards shall be granted that would violate the Exchange Act, the Code, any securities law, or governing statute or any other applicable law.</w:t>
      </w:r>
    </w:p>
    <w:p>
      <w:pPr>
        <w:spacing w:after="0" w:line="126" w:lineRule="exact"/>
        <w:rPr>
          <w:sz w:val="20"/>
          <w:szCs w:val="20"/>
          <w:color w:val="auto"/>
        </w:rPr>
      </w:pPr>
    </w:p>
    <w:p>
      <w:pPr>
        <w:ind w:right="320" w:firstLine="456"/>
        <w:spacing w:after="0" w:line="339" w:lineRule="auto"/>
        <w:rPr>
          <w:sz w:val="20"/>
          <w:szCs w:val="20"/>
          <w:color w:val="auto"/>
        </w:rPr>
      </w:pPr>
      <w:r>
        <w:rPr>
          <w:rFonts w:ascii="Arial" w:cs="Arial" w:eastAsia="Arial" w:hAnsi="Arial"/>
          <w:sz w:val="16"/>
          <w:szCs w:val="16"/>
          <w:b w:val="1"/>
          <w:bCs w:val="1"/>
          <w:color w:val="auto"/>
        </w:rPr>
        <w:t xml:space="preserve">18.6 Uncertificated Shares. </w:t>
      </w:r>
      <w:r>
        <w:rPr>
          <w:rFonts w:ascii="Arial" w:cs="Arial" w:eastAsia="Arial" w:hAnsi="Arial"/>
          <w:sz w:val="16"/>
          <w:szCs w:val="16"/>
          <w:color w:val="auto"/>
        </w:rPr>
        <w:t>To the extent that this Plan provides for issuance of certificates to reflect the transfer of Shares, the transfer of such Shares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effected on a noncertificated basis to the extent not prohibited by applicable law or the rules of any stock exchange.</w:t>
      </w:r>
    </w:p>
    <w:p>
      <w:pPr>
        <w:spacing w:after="0" w:line="74" w:lineRule="exact"/>
        <w:rPr>
          <w:sz w:val="20"/>
          <w:szCs w:val="20"/>
          <w:color w:val="auto"/>
        </w:rPr>
      </w:pPr>
    </w:p>
    <w:p>
      <w:pPr>
        <w:jc w:val="both"/>
        <w:ind w:right="200" w:firstLine="456"/>
        <w:spacing w:after="0" w:line="287" w:lineRule="auto"/>
        <w:rPr>
          <w:sz w:val="20"/>
          <w:szCs w:val="20"/>
          <w:color w:val="auto"/>
        </w:rPr>
      </w:pPr>
      <w:r>
        <w:rPr>
          <w:rFonts w:ascii="Arial" w:cs="Arial" w:eastAsia="Arial" w:hAnsi="Arial"/>
          <w:sz w:val="16"/>
          <w:szCs w:val="16"/>
          <w:b w:val="1"/>
          <w:bCs w:val="1"/>
          <w:color w:val="auto"/>
        </w:rPr>
        <w:t xml:space="preserve">18.7 Unfunded Plan. </w:t>
      </w:r>
      <w:r>
        <w:rPr>
          <w:rFonts w:ascii="Arial" w:cs="Arial" w:eastAsia="Arial" w:hAnsi="Arial"/>
          <w:sz w:val="16"/>
          <w:szCs w:val="16"/>
          <w:color w:val="auto"/>
        </w:rPr>
        <w:t>Participants shall have no right, title, or interest whatsoever in or to any investments that the Company or an Affiliate may make to</w:t>
      </w:r>
      <w:r>
        <w:rPr>
          <w:rFonts w:ascii="Arial" w:cs="Arial" w:eastAsia="Arial" w:hAnsi="Arial"/>
          <w:sz w:val="16"/>
          <w:szCs w:val="16"/>
          <w:b w:val="1"/>
          <w:bCs w:val="1"/>
          <w:color w:val="auto"/>
        </w:rPr>
        <w:t xml:space="preserve"> </w:t>
      </w:r>
      <w:r>
        <w:rPr>
          <w:rFonts w:ascii="Arial" w:cs="Arial" w:eastAsia="Arial" w:hAnsi="Arial"/>
          <w:sz w:val="16"/>
          <w:szCs w:val="16"/>
          <w:color w:val="auto"/>
        </w:rPr>
        <w:t>aid it in meeting its obligations under this Plan. Nothing contained in this Plan, and no action taken under its provisions, shall create or be construed to create a trust of any kind, or a fiduciary relationship between the Company or an Affiliate and any Participant, beneficiary, legal representative, or any other person.</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Awards shall be general, unsecured obligations of the Company, except that if an Affiliate signs an Award Agreement instead of the Company, the Award shall be a general, unsecured obligation of the Affiliate and not an obligation of the Company. To the extent that any individual acquires a right to receive payments from the Company or an Affiliate, such right shall be no greater than the right of an unsecured general creditor of the Company or Affiliate, as applicable. All payments to be made under this Plan shall be paid from the general funds of the Company or Affiliate, as applicable, and no special or separate fund shall be established and no segregation of assets shall be made to assure payment of such amounts except as expressly set forth in this Plan. This Plan is not intended to be subject to ERISA.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 xml:space="preserve">18.8 No Fractional Shares. </w:t>
      </w:r>
      <w:r>
        <w:rPr>
          <w:rFonts w:ascii="Arial" w:cs="Arial" w:eastAsia="Arial" w:hAnsi="Arial"/>
          <w:sz w:val="18"/>
          <w:szCs w:val="18"/>
          <w:color w:val="auto"/>
        </w:rPr>
        <w:t>No fractional Shares shall be issued or delivered under this Plan or any Award Agreement. In such an instance,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determines otherwise, fractional Shares and any rights thereto shall be forfeited or otherwise eliminated.</w:t>
      </w:r>
    </w:p>
    <w:p>
      <w:pPr>
        <w:spacing w:after="0" w:line="120"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18.9 Other Compensation and Benefit Plans. </w:t>
      </w:r>
      <w:r>
        <w:rPr>
          <w:rFonts w:ascii="Arial" w:cs="Arial" w:eastAsia="Arial" w:hAnsi="Arial"/>
          <w:sz w:val="18"/>
          <w:szCs w:val="18"/>
          <w:color w:val="auto"/>
        </w:rPr>
        <w:t>Nothing in this Plan shall be construed to limit the right of the Company or an Affiliate to establish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or benefit plans, programs, policies, or arrangements. Except as may be otherwise specifically stated in any other benefit plan, policy, program, or arrangement, no Award shall be treated as compensation for purposes of calculating a Participant’s rights under any such other plan, policy, program, or arrangement.</w:t>
      </w:r>
    </w:p>
    <w:p>
      <w:pPr>
        <w:spacing w:after="0" w:line="13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18.10 No Constraint on Corporate Action. </w:t>
      </w:r>
      <w:r>
        <w:rPr>
          <w:rFonts w:ascii="Arial" w:cs="Arial" w:eastAsia="Arial" w:hAnsi="Arial"/>
          <w:sz w:val="18"/>
          <w:szCs w:val="18"/>
          <w:color w:val="auto"/>
        </w:rPr>
        <w:t>Nothing in this Plan shall be construed (a) to limit, impair or otherwise affect the Company’s or an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power to make adjustments, reclassifications, reorganizations or changes of its capital or business structure, or to merge or consolidate, or dissolve, liquidate, sell, or transfer all or any part of its business or assets, or (b) to limit the right or power of the Company or an Affiliate to take any action which such entity deems to be necessary or appropriate.</w:t>
      </w:r>
    </w:p>
    <w:p>
      <w:pPr>
        <w:spacing w:after="0" w:line="13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18.11 Six-Month Delay for Specified Employees. </w:t>
      </w:r>
      <w:r>
        <w:rPr>
          <w:rFonts w:ascii="Arial" w:cs="Arial" w:eastAsia="Arial" w:hAnsi="Arial"/>
          <w:sz w:val="18"/>
          <w:szCs w:val="18"/>
          <w:color w:val="auto"/>
        </w:rPr>
        <w:t>Notwithstanding any provision in this Plan to the contrary, if the payment of any benefit herein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additional taxes and interest under Code Section 409A because the timing of such payment is not delayed as provided in Code Section 409A for a “specified employee” (within the meaning of Code Section 409A), then if a Participant is a “specified employee,” any such payment that the Participant would otherwise be entitled to receive during the first six months following a “separation from service” (as defined in Code Section 409A) shall be accumulated and paid or provided, as applicable, within ten (10) days after the date that is six months following such separation from service, or such earlier date upon which such amount can be paid or provided under Code Section 409A without being subject to such additional taxes and interest imposed pursuant to Code Section 409A and related provisions of the Code.</w:t>
      </w:r>
    </w:p>
    <w:p>
      <w:pPr>
        <w:spacing w:after="0" w:line="14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18.12 Separation from Service. </w:t>
      </w:r>
      <w:r>
        <w:rPr>
          <w:rFonts w:ascii="Arial" w:cs="Arial" w:eastAsia="Arial" w:hAnsi="Arial"/>
          <w:sz w:val="16"/>
          <w:szCs w:val="16"/>
          <w:color w:val="auto"/>
        </w:rPr>
        <w:t>A termination of employment shall not be deemed to have occurred for purposes of any provision of this Plan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providing for the payment of any amounts or benefits that are considered nonqualified deferred compensation under Code Section 409A upon or following a termination of employment, unless such termination is also a “separation from service” within the meaning of Code Section 409A and the payment thereof prior to a “separation from service” would violate Code Section 409A. For purposes of any such provision of this Plan or any Award Agreement relating to any such payments or benefits, references to a “termination,” “termination of employment,” or like terms shall mean “separation from service.”</w:t>
      </w:r>
    </w:p>
    <w:p>
      <w:pPr>
        <w:spacing w:after="0" w:line="10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18.13 Section 457A. </w:t>
      </w:r>
      <w:r>
        <w:rPr>
          <w:rFonts w:ascii="Arial" w:cs="Arial" w:eastAsia="Arial" w:hAnsi="Arial"/>
          <w:sz w:val="16"/>
          <w:szCs w:val="16"/>
          <w:color w:val="auto"/>
        </w:rPr>
        <w:t>The Company intends that any Awards be structured in compliance with, or to satisfy an exemption from, Section 457A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Section 457A</w:t>
      </w:r>
      <w:r>
        <w:rPr>
          <w:rFonts w:ascii="Arial" w:cs="Arial" w:eastAsia="Arial" w:hAnsi="Arial"/>
          <w:sz w:val="16"/>
          <w:szCs w:val="16"/>
          <w:color w:val="auto"/>
        </w:rPr>
        <w:t>”) and all regulations, guidance, compliance programs and other interpretative authority thereunder, such that there are no adverse tax consequences, interest or penalties as a result of the Awards. Notwithstanding the Company’s intention, in the event any Award is subject to Section 457A, the Committee may, in its sole discretion and without a Participant’s prior consent, amend this Plan and/or Awards, adopt policies and procedures, or take any other actions (including amendments, policies, procedures and actions with retroactive effect) as are necessary or appropriate to (a) exempt this Plan and/or any Award from the application of Section 457A, (b) preserve the intended tax treatment of any such Award, or (c) comply with the requirements of Section 457A, including without limitation any such regulations, guidance, compliance programs and other interpretative authority that may be issued after the date of the grant.</w:t>
      </w:r>
    </w:p>
    <w:p>
      <w:pPr>
        <w:spacing w:after="0" w:line="113" w:lineRule="exact"/>
        <w:rPr>
          <w:sz w:val="20"/>
          <w:szCs w:val="20"/>
          <w:color w:val="auto"/>
        </w:rPr>
      </w:pPr>
    </w:p>
    <w:p>
      <w:pPr>
        <w:jc w:val="both"/>
        <w:ind w:right="360" w:firstLine="456"/>
        <w:spacing w:after="0" w:line="301" w:lineRule="auto"/>
        <w:rPr>
          <w:sz w:val="20"/>
          <w:szCs w:val="20"/>
          <w:color w:val="auto"/>
        </w:rPr>
      </w:pPr>
      <w:r>
        <w:rPr>
          <w:rFonts w:ascii="Arial" w:cs="Arial" w:eastAsia="Arial" w:hAnsi="Arial"/>
          <w:sz w:val="16"/>
          <w:szCs w:val="16"/>
          <w:b w:val="1"/>
          <w:bCs w:val="1"/>
          <w:color w:val="auto"/>
        </w:rPr>
        <w:t xml:space="preserve">18.14 Compliance with Code Section 409A. </w:t>
      </w:r>
      <w:r>
        <w:rPr>
          <w:rFonts w:ascii="Arial" w:cs="Arial" w:eastAsia="Arial" w:hAnsi="Arial"/>
          <w:sz w:val="16"/>
          <w:szCs w:val="16"/>
          <w:color w:val="auto"/>
        </w:rPr>
        <w:t>It is intended that the Awards granted under this Plan shall be exempt from, or in compliance with, Code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This Plan is intended to comply with Code Section 409A only if and to the extent applicable. In this respect, any ambiguous provision will be construed in a manner that is compliant with or exempt from the application of Code Section 409A. To the extent that an Award, issuance and/or payment is subject to Section 409A, it shall be awarded, issued and paid in a manner that will comply with Section 409A, as determined by the Committee.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If any provision of this Plan (or of any Award) would cause a Participant to incur any additional tax or interest under Code Section 409A and accompanying Treasury regulations and other authoritative guidance thereunder, the Company shall, after consulting with the Participant, reform such provision to comply with Code Section 409A to the extent permitted under Code Section 409A; provided, however, the Company agrees to maintain, to the maximum extent practicable, the original intent and economic benefit to the Participant of the applicable provision without violating the provisions of Code Section 409A.</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Construction</w:t>
      </w:r>
    </w:p>
    <w:p>
      <w:pPr>
        <w:spacing w:after="0" w:line="159"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19.1 Gender And Number. </w:t>
      </w:r>
      <w:r>
        <w:rPr>
          <w:rFonts w:ascii="Arial" w:cs="Arial" w:eastAsia="Arial" w:hAnsi="Arial"/>
          <w:sz w:val="18"/>
          <w:szCs w:val="18"/>
          <w:color w:val="auto"/>
        </w:rPr>
        <w:t>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120"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 xml:space="preserve">19.2 Severability. </w:t>
      </w:r>
      <w:r>
        <w:rPr>
          <w:rFonts w:ascii="Arial" w:cs="Arial" w:eastAsia="Arial" w:hAnsi="Arial"/>
          <w:sz w:val="16"/>
          <w:szCs w:val="16"/>
          <w:color w:val="auto"/>
        </w:rPr>
        <w:t>In the event any provision of this Plan shall be held illegal or invalid for any reason, the illegality or invalidity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parts of this Plan, and this Plan shall be construed and enforced as if the illegal or invalid provision had not been included.</w:t>
      </w:r>
    </w:p>
    <w:p>
      <w:pPr>
        <w:spacing w:after="0" w:line="74"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19.3 Requirements of Law. </w:t>
      </w:r>
      <w:r>
        <w:rPr>
          <w:rFonts w:ascii="Arial" w:cs="Arial" w:eastAsia="Arial" w:hAnsi="Arial"/>
          <w:sz w:val="18"/>
          <w:szCs w:val="18"/>
          <w:color w:val="auto"/>
        </w:rPr>
        <w:t>The granting of Awards and the issuance of Shares under this Plan shall be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any governmental agencies or national securities exchanges as may be required. The Company or an Affiliate shall receive the consideration required by law for the issuance of Awards under this Plan.</w:t>
      </w:r>
    </w:p>
    <w:p>
      <w:pPr>
        <w:spacing w:after="0" w:line="13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inability of the Company or an Affiliate to obtain authority from any regulatory body having jurisdiction, which authority is deemed by the Company’s or the Affiliate’s counsel to be necessary to the lawful issuance and sale of any Shares under this Plan, shall relieve the Company or Affiliate of any liability in respect of the failure to issue or sell such Shares as to which such requisite authority shall not have been obtained.</w:t>
      </w:r>
    </w:p>
    <w:p>
      <w:pPr>
        <w:spacing w:after="0" w:line="101"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19.4 Governing Law. </w:t>
      </w:r>
      <w:r>
        <w:rPr>
          <w:rFonts w:ascii="Arial" w:cs="Arial" w:eastAsia="Arial" w:hAnsi="Arial"/>
          <w:sz w:val="16"/>
          <w:szCs w:val="16"/>
          <w:color w:val="auto"/>
        </w:rPr>
        <w:t>This Plan and each Award Agreement shall be governed by the laws of the State of Delaware, excluding any conflicts or choice of</w:t>
      </w:r>
      <w:r>
        <w:rPr>
          <w:rFonts w:ascii="Arial" w:cs="Arial" w:eastAsia="Arial" w:hAnsi="Arial"/>
          <w:sz w:val="16"/>
          <w:szCs w:val="16"/>
          <w:b w:val="1"/>
          <w:bCs w:val="1"/>
          <w:color w:val="auto"/>
        </w:rPr>
        <w:t xml:space="preserve"> </w:t>
      </w:r>
      <w:r>
        <w:rPr>
          <w:rFonts w:ascii="Arial" w:cs="Arial" w:eastAsia="Arial" w:hAnsi="Arial"/>
          <w:sz w:val="16"/>
          <w:szCs w:val="16"/>
          <w:color w:val="auto"/>
        </w:rPr>
        <w:t>law rule or principle that might otherwise refer construction or interpretation of this Plan to the substantive law of another jurisdiction.</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VOTE BY INTERNET - www.proxyvote.com</w:t>
      </w:r>
    </w:p>
    <w:p>
      <w:pPr>
        <w:spacing w:after="0" w:line="2"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Use the Internet to transmit your voting instructions and for electronic delivery of information up</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until 11:59 P.M. Eastern Time the day before the cut-off date or meeting date. Have your proxy card</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in hand when you access the web site and follow the instructions to obtain your records and to create</w:t>
      </w:r>
    </w:p>
    <w:p>
      <w:pPr>
        <w:spacing w:after="0" w:line="1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an electronic voting instruction form.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76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MATRIX SERVICE COMPANY</w:t>
            </w:r>
          </w:p>
        </w:tc>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00" w:type="dxa"/>
            <w:vAlign w:val="bottom"/>
            <w:gridSpan w:val="5"/>
          </w:tcPr>
          <w:p>
            <w:pPr>
              <w:ind w:left="14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1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20" w:type="dxa"/>
            <w:vAlign w:val="bottom"/>
            <w:gridSpan w:val="8"/>
            <w:vMerge w:val="restart"/>
          </w:tcPr>
          <w:p>
            <w:pPr>
              <w:ind w:left="140"/>
              <w:spacing w:after="0" w:line="149" w:lineRule="exact"/>
              <w:rPr>
                <w:sz w:val="20"/>
                <w:szCs w:val="20"/>
                <w:color w:val="auto"/>
              </w:rPr>
            </w:pPr>
            <w:r>
              <w:rPr>
                <w:rFonts w:ascii="Arial" w:cs="Arial" w:eastAsia="Arial" w:hAnsi="Arial"/>
                <w:sz w:val="14"/>
                <w:szCs w:val="14"/>
                <w:color w:val="auto"/>
                <w:w w:val="91"/>
              </w:rPr>
              <w:t>If you would like to reduce the costs incurred by our company in mailing proxy materials, you can</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7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i w:val="1"/>
                <w:iCs w:val="1"/>
                <w:color w:val="auto"/>
              </w:rPr>
              <w:t>5100 EAST SKELLY DRIVE</w:t>
            </w:r>
          </w:p>
        </w:tc>
        <w:tc>
          <w:tcPr>
            <w:tcW w:w="19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1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20" w:type="dxa"/>
            <w:vAlign w:val="bottom"/>
            <w:gridSpan w:val="8"/>
            <w:vMerge w:val="restart"/>
          </w:tcPr>
          <w:p>
            <w:pPr>
              <w:ind w:left="140"/>
              <w:spacing w:after="0" w:line="149" w:lineRule="exact"/>
              <w:rPr>
                <w:sz w:val="20"/>
                <w:szCs w:val="20"/>
                <w:color w:val="auto"/>
              </w:rPr>
            </w:pPr>
            <w:r>
              <w:rPr>
                <w:rFonts w:ascii="Arial" w:cs="Arial" w:eastAsia="Arial" w:hAnsi="Arial"/>
                <w:sz w:val="14"/>
                <w:szCs w:val="14"/>
                <w:color w:val="auto"/>
                <w:w w:val="88"/>
              </w:rPr>
              <w:t>consent to receiving all future proxy statements, proxy cards and annual reports electronically via 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36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i w:val="1"/>
                <w:iCs w:val="1"/>
                <w:color w:val="auto"/>
              </w:rPr>
              <w:t>SUITE 700</w:t>
            </w:r>
          </w:p>
        </w:tc>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20" w:type="dxa"/>
            <w:vAlign w:val="bottom"/>
            <w:gridSpan w:val="8"/>
            <w:vMerge w:val="restart"/>
          </w:tcPr>
          <w:p>
            <w:pPr>
              <w:ind w:left="140"/>
              <w:spacing w:after="0" w:line="149" w:lineRule="exact"/>
              <w:rPr>
                <w:sz w:val="20"/>
                <w:szCs w:val="20"/>
                <w:color w:val="auto"/>
              </w:rPr>
            </w:pPr>
            <w:r>
              <w:rPr>
                <w:rFonts w:ascii="Arial" w:cs="Arial" w:eastAsia="Arial" w:hAnsi="Arial"/>
                <w:sz w:val="14"/>
                <w:szCs w:val="14"/>
                <w:color w:val="auto"/>
                <w:w w:val="90"/>
              </w:rPr>
              <w:t>mail or the Internet. To sign up for electronic delivery, please follow the instructions above to vote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3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TULSA, OK 74135</w:t>
            </w:r>
          </w:p>
        </w:tc>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20" w:type="dxa"/>
            <w:vAlign w:val="bottom"/>
            <w:gridSpan w:val="8"/>
            <w:vMerge w:val="restart"/>
          </w:tcPr>
          <w:p>
            <w:pPr>
              <w:ind w:left="140"/>
              <w:spacing w:after="0" w:line="149" w:lineRule="exact"/>
              <w:rPr>
                <w:sz w:val="20"/>
                <w:szCs w:val="20"/>
                <w:color w:val="auto"/>
              </w:rPr>
            </w:pPr>
            <w:r>
              <w:rPr>
                <w:rFonts w:ascii="Arial" w:cs="Arial" w:eastAsia="Arial" w:hAnsi="Arial"/>
                <w:sz w:val="14"/>
                <w:szCs w:val="14"/>
                <w:color w:val="auto"/>
                <w:w w:val="88"/>
              </w:rPr>
              <w:t>using the Internet and, when prompted, indicate that you agree to receive or access proxy materials</w:t>
            </w:r>
          </w:p>
        </w:tc>
        <w:tc>
          <w:tcPr>
            <w:tcW w:w="0" w:type="dxa"/>
            <w:vAlign w:val="bottom"/>
          </w:tcPr>
          <w:p>
            <w:pPr>
              <w:spacing w:after="0"/>
              <w:rPr>
                <w:sz w:val="1"/>
                <w:szCs w:val="1"/>
                <w:color w:val="auto"/>
              </w:rPr>
            </w:pPr>
          </w:p>
        </w:tc>
      </w:tr>
      <w:tr>
        <w:trPr>
          <w:trHeight w:val="44"/>
        </w:trPr>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20" w:type="dxa"/>
            <w:vAlign w:val="bottom"/>
            <w:gridSpan w:val="4"/>
          </w:tcPr>
          <w:p>
            <w:pPr>
              <w:ind w:left="140"/>
              <w:spacing w:after="0"/>
              <w:rPr>
                <w:sz w:val="20"/>
                <w:szCs w:val="20"/>
                <w:color w:val="auto"/>
              </w:rPr>
            </w:pPr>
            <w:r>
              <w:rPr>
                <w:rFonts w:ascii="Arial" w:cs="Arial" w:eastAsia="Arial" w:hAnsi="Arial"/>
                <w:sz w:val="14"/>
                <w:szCs w:val="14"/>
                <w:color w:val="auto"/>
              </w:rPr>
              <w:t>electronically in future years.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20" w:type="dxa"/>
            <w:vAlign w:val="bottom"/>
            <w:gridSpan w:val="4"/>
          </w:tcPr>
          <w:p>
            <w:pPr>
              <w:ind w:left="140"/>
              <w:spacing w:after="0"/>
              <w:rPr>
                <w:sz w:val="20"/>
                <w:szCs w:val="20"/>
                <w:color w:val="auto"/>
              </w:rPr>
            </w:pPr>
            <w:r>
              <w:rPr>
                <w:rFonts w:ascii="Arial" w:cs="Arial" w:eastAsia="Arial" w:hAnsi="Arial"/>
                <w:sz w:val="14"/>
                <w:szCs w:val="14"/>
                <w:b w:val="1"/>
                <w:bCs w:val="1"/>
                <w:color w:val="auto"/>
              </w:rPr>
              <w:t>VOTE BY PHONE - 1-800-690-6903</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20" w:type="dxa"/>
            <w:vAlign w:val="bottom"/>
            <w:gridSpan w:val="8"/>
          </w:tcPr>
          <w:p>
            <w:pPr>
              <w:ind w:left="140"/>
              <w:spacing w:after="0" w:line="149" w:lineRule="exact"/>
              <w:rPr>
                <w:sz w:val="20"/>
                <w:szCs w:val="20"/>
                <w:color w:val="auto"/>
              </w:rPr>
            </w:pPr>
            <w:r>
              <w:rPr>
                <w:rFonts w:ascii="Arial" w:cs="Arial" w:eastAsia="Arial" w:hAnsi="Arial"/>
                <w:sz w:val="14"/>
                <w:szCs w:val="14"/>
                <w:color w:val="auto"/>
                <w:w w:val="89"/>
              </w:rPr>
              <w:t>Use any touch-tone telephone to transmit your voting instructions up until 11:59 P.M. Eastern Time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20" w:type="dxa"/>
            <w:vAlign w:val="bottom"/>
            <w:gridSpan w:val="8"/>
          </w:tcPr>
          <w:p>
            <w:pPr>
              <w:ind w:left="140"/>
              <w:spacing w:after="0" w:line="149" w:lineRule="exact"/>
              <w:rPr>
                <w:sz w:val="20"/>
                <w:szCs w:val="20"/>
                <w:color w:val="auto"/>
              </w:rPr>
            </w:pPr>
            <w:r>
              <w:rPr>
                <w:rFonts w:ascii="Arial" w:cs="Arial" w:eastAsia="Arial" w:hAnsi="Arial"/>
                <w:sz w:val="14"/>
                <w:szCs w:val="14"/>
                <w:color w:val="auto"/>
                <w:w w:val="91"/>
              </w:rPr>
              <w:t>the day before the cut-off date or meeting date. Have your proxy card in hand when you call and</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20" w:type="dxa"/>
            <w:vAlign w:val="bottom"/>
            <w:gridSpan w:val="4"/>
          </w:tcPr>
          <w:p>
            <w:pPr>
              <w:ind w:left="140"/>
              <w:spacing w:after="0"/>
              <w:rPr>
                <w:sz w:val="20"/>
                <w:szCs w:val="20"/>
                <w:color w:val="auto"/>
              </w:rPr>
            </w:pPr>
            <w:r>
              <w:rPr>
                <w:rFonts w:ascii="Arial" w:cs="Arial" w:eastAsia="Arial" w:hAnsi="Arial"/>
                <w:sz w:val="14"/>
                <w:szCs w:val="14"/>
                <w:color w:val="auto"/>
              </w:rPr>
              <w:t>then follow the instructions.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20" w:type="dxa"/>
            <w:vAlign w:val="bottom"/>
            <w:gridSpan w:val="4"/>
          </w:tcPr>
          <w:p>
            <w:pPr>
              <w:ind w:left="140"/>
              <w:spacing w:after="0"/>
              <w:rPr>
                <w:sz w:val="20"/>
                <w:szCs w:val="20"/>
                <w:color w:val="auto"/>
              </w:rPr>
            </w:pPr>
            <w:r>
              <w:rPr>
                <w:rFonts w:ascii="Arial" w:cs="Arial" w:eastAsia="Arial" w:hAnsi="Arial"/>
                <w:sz w:val="14"/>
                <w:szCs w:val="14"/>
                <w:b w:val="1"/>
                <w:bCs w:val="1"/>
                <w:color w:val="auto"/>
              </w:rPr>
              <w:t>VOTE BY MAIL</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20" w:type="dxa"/>
            <w:vAlign w:val="bottom"/>
            <w:gridSpan w:val="8"/>
          </w:tcPr>
          <w:p>
            <w:pPr>
              <w:ind w:left="140"/>
              <w:spacing w:after="0" w:line="149" w:lineRule="exact"/>
              <w:rPr>
                <w:sz w:val="20"/>
                <w:szCs w:val="20"/>
                <w:color w:val="auto"/>
              </w:rPr>
            </w:pPr>
            <w:r>
              <w:rPr>
                <w:rFonts w:ascii="Arial" w:cs="Arial" w:eastAsia="Arial" w:hAnsi="Arial"/>
                <w:sz w:val="14"/>
                <w:szCs w:val="14"/>
                <w:color w:val="auto"/>
                <w:w w:val="88"/>
              </w:rPr>
              <w:t>Mark, sign and date your proxy card and return it in the postage-paid envelope we have provided or</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20" w:type="dxa"/>
            <w:vAlign w:val="bottom"/>
            <w:gridSpan w:val="8"/>
          </w:tcPr>
          <w:p>
            <w:pPr>
              <w:ind w:left="140"/>
              <w:spacing w:after="0"/>
              <w:rPr>
                <w:sz w:val="20"/>
                <w:szCs w:val="20"/>
                <w:color w:val="auto"/>
              </w:rPr>
            </w:pPr>
            <w:r>
              <w:rPr>
                <w:rFonts w:ascii="Arial" w:cs="Arial" w:eastAsia="Arial" w:hAnsi="Arial"/>
                <w:sz w:val="14"/>
                <w:szCs w:val="14"/>
                <w:color w:val="auto"/>
              </w:rPr>
              <w:t>return it to Vote Processing, c/o Broadridge, 51 Mercedes Way, Edgewood, NY 11717.</w:t>
            </w:r>
          </w:p>
        </w:tc>
        <w:tc>
          <w:tcPr>
            <w:tcW w:w="0" w:type="dxa"/>
            <w:vAlign w:val="bottom"/>
          </w:tcPr>
          <w:p>
            <w:pPr>
              <w:spacing w:after="0"/>
              <w:rPr>
                <w:sz w:val="1"/>
                <w:szCs w:val="1"/>
                <w:color w:val="auto"/>
              </w:rPr>
            </w:pPr>
          </w:p>
        </w:tc>
      </w:tr>
      <w:tr>
        <w:trPr>
          <w:trHeight w:val="584"/>
        </w:trPr>
        <w:tc>
          <w:tcPr>
            <w:tcW w:w="516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60" w:type="dxa"/>
            <w:vAlign w:val="bottom"/>
            <w:gridSpan w:val="5"/>
          </w:tcPr>
          <w:p>
            <w:pPr>
              <w:ind w:left="2000"/>
              <w:spacing w:after="0"/>
              <w:rPr>
                <w:sz w:val="20"/>
                <w:szCs w:val="20"/>
                <w:color w:val="auto"/>
              </w:rPr>
            </w:pPr>
            <w:r>
              <w:rPr>
                <w:rFonts w:ascii="Arial" w:cs="Arial" w:eastAsia="Arial" w:hAnsi="Arial"/>
                <w:sz w:val="14"/>
                <w:szCs w:val="14"/>
                <w:color w:val="auto"/>
                <w:w w:val="93"/>
              </w:rPr>
              <w:t>KEEP THIS PORTION FOR YOUR RECORDS</w:t>
            </w:r>
          </w:p>
        </w:tc>
        <w:tc>
          <w:tcPr>
            <w:tcW w:w="0" w:type="dxa"/>
            <w:vAlign w:val="bottom"/>
          </w:tcPr>
          <w:p>
            <w:pPr>
              <w:spacing w:after="0"/>
              <w:rPr>
                <w:sz w:val="1"/>
                <w:szCs w:val="1"/>
                <w:color w:val="auto"/>
              </w:rPr>
            </w:pPr>
          </w:p>
        </w:tc>
      </w:tr>
      <w:tr>
        <w:trPr>
          <w:trHeight w:val="149"/>
        </w:trPr>
        <w:tc>
          <w:tcPr>
            <w:tcW w:w="9920" w:type="dxa"/>
            <w:vAlign w:val="bottom"/>
            <w:gridSpan w:val="10"/>
          </w:tcPr>
          <w:p>
            <w:pPr>
              <w:spacing w:after="0" w:line="149" w:lineRule="exact"/>
              <w:rPr>
                <w:sz w:val="20"/>
                <w:szCs w:val="20"/>
                <w:color w:val="auto"/>
              </w:rPr>
            </w:pPr>
            <w:r>
              <w:rPr>
                <w:rFonts w:ascii="Arial" w:cs="Arial" w:eastAsia="Arial" w:hAnsi="Arial"/>
                <w:sz w:val="14"/>
                <w:szCs w:val="14"/>
                <w:color w:val="auto"/>
                <w:w w:val="97"/>
              </w:rPr>
              <w:t>— — — — — — — — — — — — — — — — — — — — — — — — — — — — — — — — — — — — — — — — — — — — — — — — — — — — — — — — —</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760" w:type="dxa"/>
            <w:vAlign w:val="bottom"/>
            <w:gridSpan w:val="5"/>
          </w:tcPr>
          <w:p>
            <w:pPr>
              <w:ind w:left="1960"/>
              <w:spacing w:after="0" w:line="147" w:lineRule="exact"/>
              <w:rPr>
                <w:sz w:val="20"/>
                <w:szCs w:val="20"/>
                <w:color w:val="auto"/>
              </w:rPr>
            </w:pPr>
            <w:r>
              <w:rPr>
                <w:rFonts w:ascii="Arial" w:cs="Arial" w:eastAsia="Arial" w:hAnsi="Arial"/>
                <w:sz w:val="14"/>
                <w:szCs w:val="14"/>
                <w:color w:val="auto"/>
                <w:w w:val="93"/>
              </w:rPr>
              <w:t>DETACH AND RETURN THIS PORTION ONLY</w:t>
            </w: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360" w:type="dxa"/>
            <w:vAlign w:val="bottom"/>
            <w:gridSpan w:val="6"/>
          </w:tcPr>
          <w:p>
            <w:pPr>
              <w:ind w:left="4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80" w:type="dxa"/>
            <w:vAlign w:val="bottom"/>
          </w:tcPr>
          <w:p>
            <w:pPr>
              <w:jc w:val="center"/>
              <w:ind w:left="1572"/>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For All</w:t>
            </w:r>
          </w:p>
        </w:tc>
        <w:tc>
          <w:tcPr>
            <w:tcW w:w="3140" w:type="dxa"/>
            <w:vAlign w:val="bottom"/>
            <w:gridSpan w:val="2"/>
            <w:vMerge w:val="restart"/>
          </w:tcPr>
          <w:p>
            <w:pPr>
              <w:ind w:left="20"/>
              <w:spacing w:after="0"/>
              <w:rPr>
                <w:sz w:val="20"/>
                <w:szCs w:val="20"/>
                <w:color w:val="auto"/>
              </w:rPr>
            </w:pPr>
            <w:r>
              <w:rPr>
                <w:rFonts w:ascii="Arial" w:cs="Arial" w:eastAsia="Arial" w:hAnsi="Arial"/>
                <w:sz w:val="14"/>
                <w:szCs w:val="14"/>
                <w:color w:val="auto"/>
              </w:rPr>
              <w:t>To withhold authority to vote for any individual</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1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5"/>
              </w:rPr>
              <w:t>The Board of Directors recommends you vote</w:t>
            </w:r>
          </w:p>
        </w:tc>
        <w:tc>
          <w:tcPr>
            <w:tcW w:w="1980" w:type="dxa"/>
            <w:vAlign w:val="bottom"/>
          </w:tcPr>
          <w:p>
            <w:pPr>
              <w:jc w:val="center"/>
              <w:ind w:left="1572"/>
              <w:spacing w:after="0" w:line="135" w:lineRule="exact"/>
              <w:rPr>
                <w:sz w:val="20"/>
                <w:szCs w:val="20"/>
                <w:color w:val="auto"/>
              </w:rPr>
            </w:pPr>
            <w:r>
              <w:rPr>
                <w:rFonts w:ascii="Arial" w:cs="Arial" w:eastAsia="Arial" w:hAnsi="Arial"/>
                <w:sz w:val="14"/>
                <w:szCs w:val="14"/>
                <w:b w:val="1"/>
                <w:bCs w:val="1"/>
                <w:color w:val="auto"/>
              </w:rPr>
              <w:t>All</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All</w:t>
            </w:r>
          </w:p>
        </w:tc>
        <w:tc>
          <w:tcPr>
            <w:tcW w:w="5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7"/>
              </w:rPr>
              <w:t>Except</w:t>
            </w:r>
          </w:p>
        </w:tc>
        <w:tc>
          <w:tcPr>
            <w:tcW w:w="31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18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40" w:type="dxa"/>
            <w:vAlign w:val="bottom"/>
            <w:gridSpan w:val="2"/>
          </w:tcPr>
          <w:p>
            <w:pPr>
              <w:ind w:left="20"/>
              <w:spacing w:after="0" w:line="109" w:lineRule="exact"/>
              <w:rPr>
                <w:sz w:val="20"/>
                <w:szCs w:val="20"/>
                <w:color w:val="auto"/>
              </w:rPr>
            </w:pPr>
            <w:r>
              <w:rPr>
                <w:rFonts w:ascii="Arial" w:cs="Arial" w:eastAsia="Arial" w:hAnsi="Arial"/>
                <w:sz w:val="12"/>
                <w:szCs w:val="12"/>
                <w:color w:val="auto"/>
              </w:rPr>
              <w:t>nominee(s), mark “For All Except” and write the</w:t>
            </w: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260"/>
              <w:spacing w:after="0"/>
              <w:rPr>
                <w:sz w:val="20"/>
                <w:szCs w:val="20"/>
                <w:color w:val="auto"/>
              </w:rPr>
            </w:pPr>
            <w:r>
              <w:rPr>
                <w:rFonts w:ascii="Arial" w:cs="Arial" w:eastAsia="Arial" w:hAnsi="Arial"/>
                <w:sz w:val="14"/>
                <w:szCs w:val="14"/>
                <w:b w:val="1"/>
                <w:bCs w:val="1"/>
                <w:color w:val="auto"/>
              </w:rPr>
              <w:t>FOR the following:</w:t>
            </w:r>
          </w:p>
        </w:tc>
        <w:tc>
          <w:tcPr>
            <w:tcW w:w="14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Arial" w:cs="Arial" w:eastAsia="Arial" w:hAnsi="Arial"/>
                <w:sz w:val="14"/>
                <w:szCs w:val="14"/>
                <w:color w:val="auto"/>
              </w:rPr>
              <w:t>number(s) of the nominee(s) on the line below.</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420" w:type="dxa"/>
            <w:vAlign w:val="bottom"/>
          </w:tcPr>
          <w:p>
            <w:pPr>
              <w:ind w:left="260"/>
              <w:spacing w:after="0"/>
              <w:rPr>
                <w:sz w:val="20"/>
                <w:szCs w:val="20"/>
                <w:color w:val="auto"/>
              </w:rPr>
            </w:pPr>
            <w:r>
              <w:rPr>
                <w:rFonts w:ascii="Arial" w:cs="Arial" w:eastAsia="Arial" w:hAnsi="Arial"/>
                <w:sz w:val="14"/>
                <w:szCs w:val="14"/>
                <w:b w:val="1"/>
                <w:bCs w:val="1"/>
                <w:color w:val="auto"/>
              </w:rPr>
              <w:t>1.</w:t>
            </w:r>
          </w:p>
        </w:tc>
        <w:tc>
          <w:tcPr>
            <w:tcW w:w="1360" w:type="dxa"/>
            <w:vAlign w:val="bottom"/>
          </w:tcPr>
          <w:p>
            <w:pPr>
              <w:ind w:left="160"/>
              <w:spacing w:after="0"/>
              <w:rPr>
                <w:sz w:val="20"/>
                <w:szCs w:val="20"/>
                <w:color w:val="auto"/>
              </w:rPr>
            </w:pPr>
            <w:r>
              <w:rPr>
                <w:rFonts w:ascii="Arial" w:cs="Arial" w:eastAsia="Arial" w:hAnsi="Arial"/>
                <w:sz w:val="14"/>
                <w:szCs w:val="14"/>
                <w:color w:val="auto"/>
                <w:w w:val="94"/>
              </w:rPr>
              <w:t>Election of Directors</w:t>
            </w:r>
          </w:p>
        </w:tc>
        <w:tc>
          <w:tcPr>
            <w:tcW w:w="1400" w:type="dxa"/>
            <w:vAlign w:val="bottom"/>
          </w:tcPr>
          <w:p>
            <w:pPr>
              <w:spacing w:after="0"/>
              <w:rPr>
                <w:sz w:val="24"/>
                <w:szCs w:val="24"/>
                <w:color w:val="auto"/>
              </w:rPr>
            </w:pPr>
          </w:p>
        </w:tc>
        <w:tc>
          <w:tcPr>
            <w:tcW w:w="1980" w:type="dxa"/>
            <w:vAlign w:val="bottom"/>
          </w:tcPr>
          <w:p>
            <w:pPr>
              <w:jc w:val="center"/>
              <w:ind w:left="159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136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Nominees</w:t>
            </w:r>
          </w:p>
        </w:tc>
        <w:tc>
          <w:tcPr>
            <w:tcW w:w="1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420" w:type="dxa"/>
            <w:vAlign w:val="bottom"/>
          </w:tcPr>
          <w:p>
            <w:pPr>
              <w:ind w:left="260"/>
              <w:spacing w:after="0"/>
              <w:rPr>
                <w:sz w:val="20"/>
                <w:szCs w:val="20"/>
                <w:color w:val="auto"/>
              </w:rPr>
            </w:pPr>
            <w:r>
              <w:rPr>
                <w:rFonts w:ascii="Arial" w:cs="Arial" w:eastAsia="Arial" w:hAnsi="Arial"/>
                <w:sz w:val="14"/>
                <w:szCs w:val="14"/>
                <w:color w:val="auto"/>
                <w:w w:val="89"/>
              </w:rPr>
              <w:t>01</w:t>
            </w:r>
          </w:p>
        </w:tc>
        <w:tc>
          <w:tcPr>
            <w:tcW w:w="1360" w:type="dxa"/>
            <w:vAlign w:val="bottom"/>
          </w:tcPr>
          <w:p>
            <w:pPr>
              <w:ind w:left="140"/>
              <w:spacing w:after="0"/>
              <w:rPr>
                <w:sz w:val="20"/>
                <w:szCs w:val="20"/>
                <w:color w:val="auto"/>
              </w:rPr>
            </w:pPr>
            <w:r>
              <w:rPr>
                <w:rFonts w:ascii="Arial" w:cs="Arial" w:eastAsia="Arial" w:hAnsi="Arial"/>
                <w:sz w:val="14"/>
                <w:szCs w:val="14"/>
                <w:color w:val="auto"/>
              </w:rPr>
              <w:t>John R. Hewitt</w:t>
            </w:r>
          </w:p>
        </w:tc>
        <w:tc>
          <w:tcPr>
            <w:tcW w:w="1400" w:type="dxa"/>
            <w:vAlign w:val="bottom"/>
          </w:tcPr>
          <w:p>
            <w:pPr>
              <w:ind w:left="40"/>
              <w:spacing w:after="0"/>
              <w:rPr>
                <w:sz w:val="20"/>
                <w:szCs w:val="20"/>
                <w:color w:val="auto"/>
              </w:rPr>
            </w:pPr>
            <w:r>
              <w:rPr>
                <w:rFonts w:ascii="Arial" w:cs="Arial" w:eastAsia="Arial" w:hAnsi="Arial"/>
                <w:sz w:val="14"/>
                <w:szCs w:val="14"/>
                <w:color w:val="auto"/>
              </w:rPr>
              <w:t>02   Michael J. Hall</w:t>
            </w:r>
          </w:p>
        </w:tc>
        <w:tc>
          <w:tcPr>
            <w:tcW w:w="1980" w:type="dxa"/>
            <w:vAlign w:val="bottom"/>
          </w:tcPr>
          <w:p>
            <w:pPr>
              <w:ind w:left="220"/>
              <w:spacing w:after="0"/>
              <w:rPr>
                <w:sz w:val="20"/>
                <w:szCs w:val="20"/>
                <w:color w:val="auto"/>
              </w:rPr>
            </w:pPr>
            <w:r>
              <w:rPr>
                <w:rFonts w:ascii="Arial" w:cs="Arial" w:eastAsia="Arial" w:hAnsi="Arial"/>
                <w:sz w:val="14"/>
                <w:szCs w:val="14"/>
                <w:color w:val="auto"/>
              </w:rPr>
              <w:t>03   I. Edgar (Ed) Hendrix</w:t>
            </w:r>
          </w:p>
        </w:tc>
        <w:tc>
          <w:tcPr>
            <w:tcW w:w="1520" w:type="dxa"/>
            <w:vAlign w:val="bottom"/>
            <w:gridSpan w:val="4"/>
          </w:tcPr>
          <w:p>
            <w:pPr>
              <w:ind w:left="160"/>
              <w:spacing w:after="0"/>
              <w:rPr>
                <w:sz w:val="20"/>
                <w:szCs w:val="20"/>
                <w:color w:val="auto"/>
              </w:rPr>
            </w:pPr>
            <w:r>
              <w:rPr>
                <w:rFonts w:ascii="Arial" w:cs="Arial" w:eastAsia="Arial" w:hAnsi="Arial"/>
                <w:sz w:val="14"/>
                <w:szCs w:val="14"/>
                <w:color w:val="auto"/>
              </w:rPr>
              <w:t>04   Paul K. Lackey</w:t>
            </w:r>
          </w:p>
        </w:tc>
        <w:tc>
          <w:tcPr>
            <w:tcW w:w="2860" w:type="dxa"/>
            <w:vAlign w:val="bottom"/>
          </w:tcPr>
          <w:p>
            <w:pPr>
              <w:ind w:left="220"/>
              <w:spacing w:after="0"/>
              <w:rPr>
                <w:sz w:val="20"/>
                <w:szCs w:val="20"/>
                <w:color w:val="auto"/>
              </w:rPr>
            </w:pPr>
            <w:r>
              <w:rPr>
                <w:rFonts w:ascii="Arial" w:cs="Arial" w:eastAsia="Arial" w:hAnsi="Arial"/>
                <w:sz w:val="14"/>
                <w:szCs w:val="14"/>
                <w:color w:val="auto"/>
              </w:rPr>
              <w:t>05   Tom E. Maxwell</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60" w:type="dxa"/>
            <w:vAlign w:val="bottom"/>
            <w:gridSpan w:val="4"/>
          </w:tcPr>
          <w:p>
            <w:pPr>
              <w:ind w:left="260"/>
              <w:spacing w:after="0"/>
              <w:rPr>
                <w:sz w:val="20"/>
                <w:szCs w:val="20"/>
                <w:color w:val="auto"/>
              </w:rPr>
            </w:pPr>
            <w:r>
              <w:rPr>
                <w:rFonts w:ascii="Arial" w:cs="Arial" w:eastAsia="Arial" w:hAnsi="Arial"/>
                <w:sz w:val="14"/>
                <w:szCs w:val="14"/>
                <w:b w:val="1"/>
                <w:bCs w:val="1"/>
                <w:color w:val="auto"/>
              </w:rPr>
              <w:t>The Board of Directors recommends you vote FOR proposals 2, 3 and 4:</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406"/>
        </w:trPr>
        <w:tc>
          <w:tcPr>
            <w:tcW w:w="9540" w:type="dxa"/>
            <w:vAlign w:val="bottom"/>
            <w:gridSpan w:val="9"/>
          </w:tcPr>
          <w:p>
            <w:pPr>
              <w:ind w:left="260"/>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color w:val="auto"/>
              </w:rPr>
              <w:t>To ratify the engagement of Deloitte &amp; Touche LLP as the Company’s independent registered public accounting firm for fiscal 2013.</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20" w:type="dxa"/>
            <w:vAlign w:val="bottom"/>
            <w:gridSpan w:val="2"/>
          </w:tcPr>
          <w:p>
            <w:pPr>
              <w:jc w:val="center"/>
              <w:ind w:right="3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92"/>
        </w:trPr>
        <w:tc>
          <w:tcPr>
            <w:tcW w:w="6400" w:type="dxa"/>
            <w:vAlign w:val="bottom"/>
            <w:gridSpan w:val="7"/>
          </w:tcPr>
          <w:p>
            <w:pPr>
              <w:ind w:left="260"/>
              <w:spacing w:after="0"/>
              <w:rPr>
                <w:sz w:val="20"/>
                <w:szCs w:val="20"/>
                <w:color w:val="auto"/>
              </w:rPr>
            </w:pPr>
            <w:r>
              <w:rPr>
                <w:rFonts w:ascii="Arial" w:cs="Arial" w:eastAsia="Arial" w:hAnsi="Arial"/>
                <w:sz w:val="14"/>
                <w:szCs w:val="14"/>
                <w:b w:val="1"/>
                <w:bCs w:val="1"/>
                <w:color w:val="auto"/>
                <w:w w:val="89"/>
              </w:rPr>
              <w:t xml:space="preserve">3.   </w:t>
            </w:r>
            <w:r>
              <w:rPr>
                <w:rFonts w:ascii="Arial" w:cs="Arial" w:eastAsia="Arial" w:hAnsi="Arial"/>
                <w:sz w:val="14"/>
                <w:szCs w:val="14"/>
                <w:color w:val="auto"/>
                <w:w w:val="89"/>
              </w:rPr>
              <w:t>To approve, by a non-binding advisory vote, the compensation of the Company’s named executive officers.</w:t>
            </w: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20" w:type="dxa"/>
            <w:vAlign w:val="bottom"/>
            <w:gridSpan w:val="2"/>
          </w:tcPr>
          <w:p>
            <w:pPr>
              <w:jc w:val="center"/>
              <w:ind w:right="3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92"/>
        </w:trPr>
        <w:tc>
          <w:tcPr>
            <w:tcW w:w="5820" w:type="dxa"/>
            <w:vAlign w:val="bottom"/>
            <w:gridSpan w:val="5"/>
          </w:tcPr>
          <w:p>
            <w:pPr>
              <w:ind w:left="260"/>
              <w:spacing w:after="0"/>
              <w:rPr>
                <w:sz w:val="20"/>
                <w:szCs w:val="20"/>
                <w:color w:val="auto"/>
              </w:rPr>
            </w:pPr>
            <w:r>
              <w:rPr>
                <w:rFonts w:ascii="Arial" w:cs="Arial" w:eastAsia="Arial" w:hAnsi="Arial"/>
                <w:sz w:val="14"/>
                <w:szCs w:val="14"/>
                <w:b w:val="1"/>
                <w:bCs w:val="1"/>
                <w:color w:val="auto"/>
                <w:w w:val="98"/>
              </w:rPr>
              <w:t xml:space="preserve">4.   </w:t>
            </w:r>
            <w:r>
              <w:rPr>
                <w:rFonts w:ascii="Arial" w:cs="Arial" w:eastAsia="Arial" w:hAnsi="Arial"/>
                <w:sz w:val="14"/>
                <w:szCs w:val="14"/>
                <w:color w:val="auto"/>
                <w:w w:val="98"/>
              </w:rPr>
              <w:t>To approve the Matrix Service Company 2012 Stock and Incentive Compensation Plan.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20" w:type="dxa"/>
            <w:vAlign w:val="bottom"/>
            <w:gridSpan w:val="2"/>
          </w:tcPr>
          <w:p>
            <w:pPr>
              <w:jc w:val="center"/>
              <w:ind w:right="3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-1997710</wp:posOffset>
            </wp:positionV>
            <wp:extent cx="7263765" cy="4185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4185285"/>
                    </a:xfrm>
                    <a:prstGeom prst="rect">
                      <a:avLst/>
                    </a:prstGeom>
                    <a:noFill/>
                  </pic:spPr>
                </pic:pic>
              </a:graphicData>
            </a:graphic>
          </wp:anchor>
        </w:drawing>
      </w:r>
    </w:p>
    <w:p>
      <w:pPr>
        <w:spacing w:after="0" w:line="183" w:lineRule="exact"/>
        <w:rPr>
          <w:sz w:val="20"/>
          <w:szCs w:val="20"/>
          <w:color w:val="auto"/>
        </w:rPr>
      </w:pPr>
    </w:p>
    <w:p>
      <w:pPr>
        <w:ind w:left="260" w:right="2060"/>
        <w:spacing w:after="0" w:line="24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At their discretion, the proxies are authorized to vote upon such other business as may properly come before the meeting or any postponements of adjournments</w:t>
      </w:r>
      <w:r>
        <w:rPr>
          <w:rFonts w:ascii="Arial" w:cs="Arial" w:eastAsia="Arial" w:hAnsi="Arial"/>
          <w:sz w:val="14"/>
          <w:szCs w:val="14"/>
          <w:b w:val="1"/>
          <w:bCs w:val="1"/>
          <w:color w:val="auto"/>
        </w:rPr>
        <w:t xml:space="preserve"> </w:t>
      </w:r>
      <w:r>
        <w:rPr>
          <w:rFonts w:ascii="Arial" w:cs="Arial" w:eastAsia="Arial" w:hAnsi="Arial"/>
          <w:sz w:val="14"/>
          <w:szCs w:val="14"/>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900"/>
        <w:spacing w:after="0"/>
        <w:tabs>
          <w:tab w:leader="none" w:pos="538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127" w:lineRule="exact"/>
        <w:rPr>
          <w:sz w:val="20"/>
          <w:szCs w:val="20"/>
          <w:color w:val="auto"/>
        </w:rPr>
      </w:pPr>
    </w:p>
    <w:p>
      <w:pPr>
        <w:ind w:left="260"/>
        <w:spacing w:after="0" w:line="161" w:lineRule="exact"/>
        <w:tabs>
          <w:tab w:leader="none" w:pos="4920" w:val="left"/>
          <w:tab w:leader="none" w:pos="540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Please sign exactly as your name(s) appear(s) hereon. When signing as attorney, executor,</w:t>
      </w:r>
    </w:p>
    <w:p>
      <w:pPr>
        <w:ind w:left="260"/>
        <w:spacing w:after="0" w:line="221" w:lineRule="auto"/>
        <w:rPr>
          <w:sz w:val="20"/>
          <w:szCs w:val="20"/>
          <w:color w:val="auto"/>
        </w:rPr>
      </w:pPr>
      <w:r>
        <w:rPr>
          <w:rFonts w:ascii="Arial" w:cs="Arial" w:eastAsia="Arial" w:hAnsi="Arial"/>
          <w:sz w:val="14"/>
          <w:szCs w:val="14"/>
          <w:color w:val="auto"/>
        </w:rPr>
        <w:t>administrator, or other fiduciary, please give full title as such. Joint owners should each sign</w:t>
      </w:r>
    </w:p>
    <w:p>
      <w:pPr>
        <w:ind w:left="260"/>
        <w:spacing w:after="0" w:line="221" w:lineRule="auto"/>
        <w:rPr>
          <w:sz w:val="20"/>
          <w:szCs w:val="20"/>
          <w:color w:val="auto"/>
        </w:rPr>
      </w:pPr>
      <w:r>
        <w:rPr>
          <w:rFonts w:ascii="Arial" w:cs="Arial" w:eastAsia="Arial" w:hAnsi="Arial"/>
          <w:sz w:val="14"/>
          <w:szCs w:val="14"/>
          <w:color w:val="auto"/>
        </w:rPr>
        <w:t>personally. All holders must sign. If a corporation or partnership, please sign in full corporate or</w:t>
      </w:r>
    </w:p>
    <w:p>
      <w:pPr>
        <w:ind w:left="260"/>
        <w:spacing w:after="0"/>
        <w:rPr>
          <w:sz w:val="20"/>
          <w:szCs w:val="20"/>
          <w:color w:val="auto"/>
        </w:rPr>
      </w:pPr>
      <w:r>
        <w:rPr>
          <w:rFonts w:ascii="Arial" w:cs="Arial" w:eastAsia="Arial" w:hAnsi="Arial"/>
          <w:sz w:val="14"/>
          <w:szCs w:val="14"/>
          <w:color w:val="auto"/>
        </w:rPr>
        <w:t>partnership name, by authorized officer.</w:t>
      </w:r>
    </w:p>
    <w:p>
      <w:pPr>
        <w:spacing w:after="0" w:line="200" w:lineRule="exact"/>
        <w:rPr>
          <w:sz w:val="20"/>
          <w:szCs w:val="20"/>
          <w:color w:val="auto"/>
        </w:rPr>
      </w:pPr>
    </w:p>
    <w:p>
      <w:pPr>
        <w:spacing w:after="0" w:line="357" w:lineRule="exact"/>
        <w:rPr>
          <w:sz w:val="20"/>
          <w:szCs w:val="20"/>
          <w:color w:val="auto"/>
        </w:rPr>
      </w:pPr>
    </w:p>
    <w:p>
      <w:pPr>
        <w:ind w:left="260"/>
        <w:spacing w:after="0"/>
        <w:tabs>
          <w:tab w:leader="none" w:pos="4080" w:val="left"/>
          <w:tab w:leader="none" w:pos="5840" w:val="left"/>
          <w:tab w:leader="none" w:pos="99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1"/>
          <w:szCs w:val="11"/>
          <w:color w:val="auto"/>
        </w:rPr>
        <w:t>Date</w:t>
      </w:r>
    </w:p>
    <w:p>
      <w:pPr>
        <w:spacing w:after="0" w:line="163"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0000150416_1</w:t>
      </w:r>
      <w:r>
        <w:rPr>
          <w:sz w:val="20"/>
          <w:szCs w:val="20"/>
          <w:color w:val="auto"/>
        </w:rPr>
        <w:tab/>
      </w:r>
      <w:r>
        <w:rPr>
          <w:rFonts w:ascii="Arial" w:cs="Arial" w:eastAsia="Arial" w:hAnsi="Arial"/>
          <w:sz w:val="11"/>
          <w:szCs w:val="11"/>
          <w:color w:val="auto"/>
        </w:rPr>
        <w:t>R1.0.0.11699</w:t>
      </w:r>
    </w:p>
    <w:p>
      <w:pPr>
        <w:sectPr>
          <w:pgSz w:w="11900" w:h="16838" w:orient="portrait"/>
          <w:cols w:equalWidth="0" w:num="1">
            <w:col w:w="11440"/>
          </w:cols>
          <w:pgMar w:left="240" w:top="459" w:right="2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Annual Report is/are available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765" cy="3087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308737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November 15, 2012 10:30 AM CST</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5" w:lineRule="exact"/>
        <w:rPr>
          <w:sz w:val="20"/>
          <w:szCs w:val="20"/>
          <w:color w:val="auto"/>
        </w:rPr>
      </w:pPr>
    </w:p>
    <w:p>
      <w:pPr>
        <w:ind w:left="560" w:right="420"/>
        <w:spacing w:after="0" w:line="298" w:lineRule="auto"/>
        <w:rPr>
          <w:sz w:val="20"/>
          <w:szCs w:val="20"/>
          <w:color w:val="auto"/>
        </w:rPr>
      </w:pPr>
      <w:r>
        <w:rPr>
          <w:rFonts w:ascii="Arial" w:cs="Arial" w:eastAsia="Arial" w:hAnsi="Arial"/>
          <w:sz w:val="16"/>
          <w:szCs w:val="16"/>
          <w:color w:val="auto"/>
        </w:rPr>
        <w:t>The stockholder(s) hereby appoint(s) Kevin S. Cavanah and John R. Hewitt, or either of them, as proxies, each with the power to appoint his substitute, and hereby authorizes them to represent and to vote, as designated on the reverse side of this ballot, all of the shares of Common Stock of MATRIX SERVICE COMPANY that the stockholder(s) is/are entitled to vote at the Annual Meeting of Stockholder(s) to be held at 10:30 AM, CST on November 15, 2012, at 5100 East Skelly Drive Tulsa, Oklahoma 74135, and any adjournment or postponement thereof.</w:t>
      </w:r>
    </w:p>
    <w:p>
      <w:pPr>
        <w:spacing w:after="0" w:line="147" w:lineRule="exact"/>
        <w:rPr>
          <w:sz w:val="20"/>
          <w:szCs w:val="20"/>
          <w:color w:val="auto"/>
        </w:rPr>
      </w:pPr>
    </w:p>
    <w:p>
      <w:pPr>
        <w:ind w:left="560" w:right="52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0000150416_2</w:t>
      </w:r>
      <w:r>
        <w:rPr>
          <w:sz w:val="20"/>
          <w:szCs w:val="20"/>
          <w:color w:val="auto"/>
        </w:rPr>
        <w:tab/>
      </w:r>
      <w:r>
        <w:rPr>
          <w:rFonts w:ascii="Arial" w:cs="Arial" w:eastAsia="Arial" w:hAnsi="Arial"/>
          <w:sz w:val="15"/>
          <w:szCs w:val="15"/>
          <w:color w:val="auto"/>
        </w:rPr>
        <w:t>R1.0.0.11699</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lvl w:ilvl="1">
      <w:lvlJc w:val="left"/>
      <w:lvlText w:val="(%2)"/>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lvl w:ilvl="1">
      <w:lvlJc w:val="left"/>
      <w:lvlText w:val="•"/>
      <w:numFmt w:val="bullet"/>
      <w:start w:val="1"/>
    </w:lvl>
  </w:abstractNum>
  <w:abstractNum w:abstractNumId="20">
    <w:nsid w:val="2D517796"/>
    <w:multiLevelType w:val="hybridMultilevel"/>
    <w:lvl w:ilvl="0">
      <w:lvlJc w:val="left"/>
      <w:lvlText w:val="•"/>
      <w:numFmt w:val="bullet"/>
      <w:start w:val="1"/>
    </w:lvl>
    <w:lvl w:ilvl="1">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3"/>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lowerRoman"/>
      <w:start w:val="3"/>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2"/>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lvl w:ilvl="1">
      <w:lvlJc w:val="left"/>
      <w:lvlText w:val="(%2)"/>
      <w:numFmt w:val="decimal"/>
      <w:start w:val="1"/>
    </w:lvl>
  </w:abstractNum>
  <w:abstractNum w:abstractNumId="42">
    <w:nsid w:val="1BA026FA"/>
    <w:multiLevelType w:val="hybridMultilevel"/>
    <w:lvl w:ilvl="0">
      <w:lvlJc w:val="left"/>
      <w:lvlText w:val="(%1)"/>
      <w:numFmt w:val="decimal"/>
      <w:start w:val="2"/>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lvl w:ilvl="1">
      <w:lvlJc w:val="left"/>
      <w:lvlText w:val="•"/>
      <w:numFmt w:val="bullet"/>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lowerLetter"/>
      <w:start w:val="1"/>
    </w:lvl>
    <w:lvl w:ilvl="1">
      <w:lvlJc w:val="left"/>
      <w:lvlText w:val="(%2)"/>
      <w:numFmt w:val="lowerRoman"/>
      <w:start w:val="1"/>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lowerLetter"/>
      <w:start w:val="1"/>
    </w:lvl>
  </w:abstractNum>
  <w:abstractNum w:abstractNumId="58">
    <w:nsid w:val="354FE9F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2019-12-09T09:55:27Z</dcterms:created>
  <dcterms:modified xsi:type="dcterms:W3CDTF">2019-12-09T09:55:27Z</dcterms:modified>
</cp:coreProperties>
</file>