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850129.xml.htm"/>
      <w:bookmarkStart w:id="1" w:name="kswkform4_17878501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SHEETS JUSTIN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15333 JOHN F KENNEDY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MATRIX SERVICE CO</w:t>
              </w:r>
            </w:hyperlink>
            <w:r>
              <w:rPr/>
              <w:t xml:space="preserve"> [ </w:t>
            </w:r>
            <w:r>
              <w:rPr>
                <w:rFonts w:ascii="Times;serif" w:hAnsi="Times;serif"/>
                <w:color w:val="0000FF"/>
                <w:sz w:val="24"/>
                <w:shd w:fill="FFFFFF" w:val="clear"/>
              </w:rPr>
              <w:t>MTRX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Enterprise Services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8,939</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73,276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8,939</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 each unit will entitle the reporting person to one share of Matrix Service Company Common Stock if and when the conditions of the restriction have been satisfied. For this grant, one-third will vest each year for the next three years on the anniversary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the economic equivalent of one share of Matrix Service Company Common Stock. All Restricted Stock Units are settled solely in Cash when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unit will entitle the reporting person to the Cash equivalent of one share of Matrix Service Company Common Stock if and when the conditions of the restriction have been satisfied. For this grant, one-third will vest each year for the next three years on the anniversary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D. Sheets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2712" TargetMode="External"/><Relationship Id="rId5" Type="http://schemas.openxmlformats.org/officeDocument/2006/relationships/hyperlink" Target="http://www.sec.gov/cgi-bin/browse-edgar?action=getcompany&amp;CIK=0000866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3780</Characters>
  <CharactersWithSpaces>4405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