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443865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-224155</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32" w:lineRule="exact"/>
        <w:rPr>
          <w:sz w:val="24"/>
          <w:szCs w:val="24"/>
          <w:color w:val="auto"/>
        </w:rPr>
      </w:pPr>
    </w:p>
    <w:p>
      <w:pPr>
        <w:ind w:left="880"/>
        <w:spacing w:after="0"/>
        <w:rPr>
          <w:sz w:val="20"/>
          <w:szCs w:val="20"/>
          <w:color w:val="auto"/>
        </w:rPr>
      </w:pPr>
      <w:r>
        <w:rPr>
          <w:rFonts w:ascii="Arial" w:cs="Arial" w:eastAsia="Arial" w:hAnsi="Arial"/>
          <w:sz w:val="14"/>
          <w:szCs w:val="14"/>
          <w:color w:val="auto"/>
        </w:rPr>
        <w:t>(Mark One)</w:t>
      </w:r>
    </w:p>
    <w:p>
      <w:pPr>
        <w:spacing w:after="0" w:line="33" w:lineRule="exact"/>
        <w:rPr>
          <w:sz w:val="24"/>
          <w:szCs w:val="24"/>
          <w:color w:val="auto"/>
        </w:rPr>
      </w:pPr>
    </w:p>
    <w:p>
      <w:pPr>
        <w:ind w:left="1860" w:hanging="981"/>
        <w:spacing w:after="0"/>
        <w:tabs>
          <w:tab w:leader="none" w:pos="18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fiscal year ended June 30, 2016</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1860" w:hanging="981"/>
        <w:spacing w:after="0"/>
        <w:tabs>
          <w:tab w:leader="none" w:pos="18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4" w:lineRule="exact"/>
        <w:rPr>
          <w:sz w:val="24"/>
          <w:szCs w:val="24"/>
          <w:color w:val="auto"/>
        </w:rPr>
      </w:pPr>
    </w:p>
    <w:p>
      <w:pPr>
        <w:ind w:left="362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No. 1-15461</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MATRIX SERVICE COMPANY</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jc w:val="center"/>
              <w:ind w:right="2659"/>
              <w:spacing w:after="0"/>
              <w:rPr>
                <w:sz w:val="20"/>
                <w:szCs w:val="20"/>
                <w:color w:val="auto"/>
              </w:rPr>
            </w:pPr>
            <w:r>
              <w:rPr>
                <w:rFonts w:ascii="Arial" w:cs="Arial" w:eastAsia="Arial" w:hAnsi="Arial"/>
                <w:sz w:val="14"/>
                <w:szCs w:val="14"/>
                <w:b w:val="1"/>
                <w:bCs w:val="1"/>
                <w:color w:val="auto"/>
                <w:w w:val="94"/>
              </w:rPr>
              <w:t>Delaware</w:t>
            </w:r>
          </w:p>
        </w:tc>
        <w:tc>
          <w:tcPr>
            <w:tcW w:w="12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73-1352174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040" w:type="dxa"/>
            <w:vAlign w:val="bottom"/>
          </w:tcPr>
          <w:p>
            <w:pPr>
              <w:jc w:val="center"/>
              <w:ind w:right="2679"/>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6"/>
              </w:rPr>
              <w:t>(I.R.S. Employer</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40" w:type="dxa"/>
            <w:vAlign w:val="bottom"/>
          </w:tcPr>
          <w:p>
            <w:pPr>
              <w:jc w:val="center"/>
              <w:ind w:right="2679"/>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8040" w:type="dxa"/>
            <w:vAlign w:val="bottom"/>
          </w:tcPr>
          <w:p>
            <w:pPr>
              <w:jc w:val="center"/>
              <w:ind w:right="2679"/>
              <w:spacing w:after="0"/>
              <w:rPr>
                <w:sz w:val="20"/>
                <w:szCs w:val="20"/>
                <w:color w:val="auto"/>
              </w:rPr>
            </w:pPr>
            <w:r>
              <w:rPr>
                <w:rFonts w:ascii="Arial" w:cs="Arial" w:eastAsia="Arial" w:hAnsi="Arial"/>
                <w:sz w:val="14"/>
                <w:szCs w:val="14"/>
                <w:b w:val="1"/>
                <w:bCs w:val="1"/>
                <w:color w:val="auto"/>
                <w:w w:val="93"/>
              </w:rPr>
              <w:t>5100 E. Skelly Drive, Suite 500</w:t>
            </w:r>
          </w:p>
        </w:tc>
        <w:tc>
          <w:tcPr>
            <w:tcW w:w="12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74135</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40" w:type="dxa"/>
            <w:vAlign w:val="bottom"/>
          </w:tcPr>
          <w:p>
            <w:pPr>
              <w:jc w:val="center"/>
              <w:ind w:right="2659"/>
              <w:spacing w:after="0"/>
              <w:rPr>
                <w:sz w:val="20"/>
                <w:szCs w:val="20"/>
                <w:color w:val="auto"/>
              </w:rPr>
            </w:pPr>
            <w:r>
              <w:rPr>
                <w:rFonts w:ascii="Arial" w:cs="Arial" w:eastAsia="Arial" w:hAnsi="Arial"/>
                <w:sz w:val="14"/>
                <w:szCs w:val="14"/>
                <w:b w:val="1"/>
                <w:bCs w:val="1"/>
                <w:color w:val="auto"/>
                <w:w w:val="94"/>
              </w:rPr>
              <w:t>Tulsa, Oklahoma</w:t>
            </w:r>
          </w:p>
        </w:tc>
        <w:tc>
          <w:tcPr>
            <w:tcW w:w="12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40" w:type="dxa"/>
            <w:vAlign w:val="bottom"/>
          </w:tcPr>
          <w:p>
            <w:pPr>
              <w:jc w:val="center"/>
              <w:ind w:right="26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jc w:val="center"/>
              <w:ind w:left="2719"/>
              <w:spacing w:after="0"/>
              <w:rPr>
                <w:sz w:val="20"/>
                <w:szCs w:val="20"/>
                <w:color w:val="auto"/>
              </w:rPr>
            </w:pPr>
            <w:r>
              <w:rPr>
                <w:rFonts w:ascii="Arial" w:cs="Arial" w:eastAsia="Arial" w:hAnsi="Arial"/>
                <w:sz w:val="18"/>
                <w:szCs w:val="18"/>
                <w:b w:val="1"/>
                <w:bCs w:val="1"/>
                <w:color w:val="auto"/>
                <w:w w:val="89"/>
              </w:rPr>
              <w:t>Registrant’s telephone number, including area code: (918) 838-8822</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40" w:type="dxa"/>
            <w:vAlign w:val="bottom"/>
          </w:tcPr>
          <w:p>
            <w:pPr>
              <w:jc w:val="center"/>
              <w:ind w:left="3299"/>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040" w:type="dxa"/>
            <w:vAlign w:val="bottom"/>
          </w:tcPr>
          <w:p>
            <w:pPr>
              <w:jc w:val="center"/>
              <w:ind w:left="3299"/>
              <w:spacing w:after="0"/>
              <w:rPr>
                <w:sz w:val="20"/>
                <w:szCs w:val="20"/>
                <w:color w:val="auto"/>
              </w:rPr>
            </w:pPr>
            <w:r>
              <w:rPr>
                <w:rFonts w:ascii="Arial" w:cs="Arial" w:eastAsia="Arial" w:hAnsi="Arial"/>
                <w:sz w:val="14"/>
                <w:szCs w:val="14"/>
                <w:b w:val="1"/>
                <w:bCs w:val="1"/>
                <w:color w:val="auto"/>
                <w:w w:val="91"/>
              </w:rPr>
              <w:t>(Title of class)</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40" w:type="dxa"/>
            <w:vAlign w:val="bottom"/>
          </w:tcPr>
          <w:p>
            <w:pPr>
              <w:jc w:val="center"/>
              <w:ind w:left="3299"/>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gridSpan w:val="2"/>
          </w:tcPr>
          <w:p>
            <w:pPr>
              <w:jc w:val="center"/>
              <w:ind w:left="2719"/>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040" w:type="dxa"/>
            <w:vAlign w:val="bottom"/>
          </w:tcPr>
          <w:p>
            <w:pPr>
              <w:spacing w:after="0"/>
              <w:rPr>
                <w:sz w:val="20"/>
                <w:szCs w:val="20"/>
                <w:color w:val="auto"/>
              </w:rPr>
            </w:pPr>
            <w:r>
              <w:rPr>
                <w:rFonts w:ascii="Arial" w:cs="Arial" w:eastAsia="Arial" w:hAnsi="Arial"/>
                <w:sz w:val="18"/>
                <w:szCs w:val="18"/>
                <w:color w:val="auto"/>
              </w:rPr>
              <w:t>Name of each exchange on which registered: NASDAQ Global Select Market (common stock)</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62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620" w:type="dxa"/>
            <w:vAlign w:val="bottom"/>
            <w:gridSpan w:val="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9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 w:lineRule="exact"/>
        <w:rPr>
          <w:sz w:val="24"/>
          <w:szCs w:val="24"/>
          <w:color w:val="auto"/>
        </w:rPr>
      </w:pPr>
    </w:p>
    <w:p>
      <w:pPr>
        <w:ind w:right="1860" w:firstLine="405"/>
        <w:spacing w:after="0" w:line="29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$546 million.</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August 29, 2016 was 26,520,376 shares.</w:t>
      </w:r>
    </w:p>
    <w:p>
      <w:pPr>
        <w:spacing w:after="0" w:line="5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660"/>
        <w:spacing w:after="0" w:line="323" w:lineRule="auto"/>
        <w:rPr>
          <w:sz w:val="20"/>
          <w:szCs w:val="20"/>
          <w:color w:val="auto"/>
        </w:rPr>
      </w:pPr>
      <w:r>
        <w:rPr>
          <w:rFonts w:ascii="Arial" w:cs="Arial" w:eastAsia="Arial" w:hAnsi="Arial"/>
          <w:sz w:val="16"/>
          <w:szCs w:val="16"/>
          <w:color w:val="auto"/>
        </w:rPr>
        <w:t>Certain sections of the registrant’s definitive proxy statement relating to the registrant’s 2016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7"/>
          </w:tcPr>
          <w:p>
            <w:pPr>
              <w:jc w:val="center"/>
              <w:ind w:right="370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gridSpan w:val="5"/>
          </w:tcPr>
          <w:p>
            <w:pPr>
              <w:jc w:val="center"/>
              <w:ind w:right="4400"/>
              <w:spacing w:after="0"/>
              <w:rPr>
                <w:sz w:val="20"/>
                <w:szCs w:val="20"/>
                <w:color w:val="auto"/>
              </w:rPr>
            </w:pPr>
            <w:r>
              <w:rPr>
                <w:rFonts w:ascii="Arial" w:cs="Arial" w:eastAsia="Arial" w:hAnsi="Arial"/>
                <w:sz w:val="18"/>
                <w:szCs w:val="18"/>
                <w:b w:val="1"/>
                <w:bCs w:val="1"/>
                <w:color w:val="auto"/>
              </w:rPr>
              <w:t>Part I</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7"/>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580" w:type="dxa"/>
            <w:vAlign w:val="bottom"/>
            <w:gridSpan w:val="17"/>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8320" w:type="dxa"/>
            <w:vAlign w:val="bottom"/>
            <w:gridSpan w:val="1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8"/>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Unresolved Staff Comments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Market for Registrant’s Common Equity, Related Stockholder Matters and Issuer Purchases of Equity Securities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11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4"/>
                <w:szCs w:val="24"/>
                <w:color w:val="auto"/>
              </w:rPr>
            </w:pPr>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486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922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1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7460" w:type="dxa"/>
            <w:vAlign w:val="bottom"/>
            <w:gridSpan w:val="12"/>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9220" w:type="dxa"/>
            <w:vAlign w:val="bottom"/>
            <w:gridSpan w:val="1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Directors, Executive Officers and Corporate Governance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12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7"/>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4"/>
                <w:szCs w:val="24"/>
                <w:color w:val="auto"/>
              </w:rPr>
            </w:pPr>
          </w:p>
        </w:tc>
        <w:tc>
          <w:tcPr>
            <w:tcW w:w="514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12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9220" w:type="dxa"/>
            <w:vAlign w:val="bottom"/>
            <w:gridSpan w:val="1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12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 and Director Independence</w:t>
              </w:r>
            </w:hyperlink>
          </w:p>
        </w:tc>
        <w:tc>
          <w:tcPr>
            <w:tcW w:w="1940" w:type="dxa"/>
            <w:vAlign w:val="bottom"/>
            <w:gridSpan w:val="2"/>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12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Principal Accountant Fees and Services</w:t>
              </w:r>
            </w:hyperlink>
          </w:p>
        </w:tc>
        <w:tc>
          <w:tcPr>
            <w:tcW w:w="3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0"/>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Exhibits and Financial Statement Schedules</w:t>
              </w:r>
            </w:hyperlink>
          </w:p>
        </w:tc>
        <w:tc>
          <w:tcPr>
            <w:tcW w:w="606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r>
      <w:tr>
        <w:trPr>
          <w:trHeight w:val="912"/>
        </w:trPr>
        <w:tc>
          <w:tcPr>
            <w:tcW w:w="1260" w:type="dxa"/>
            <w:vAlign w:val="bottom"/>
          </w:tcPr>
          <w:p>
            <w:pPr>
              <w:spacing w:after="0"/>
              <w:rPr>
                <w:sz w:val="24"/>
                <w:szCs w:val="24"/>
                <w:color w:val="auto"/>
              </w:rPr>
            </w:pPr>
          </w:p>
        </w:tc>
        <w:tc>
          <w:tcPr>
            <w:tcW w:w="3160" w:type="dxa"/>
            <w:vAlign w:val="bottom"/>
            <w:tcBorders>
              <w:top w:val="single" w:sz="8" w:color="0000EE"/>
            </w:tcBorders>
            <w:gridSpan w:val="10"/>
          </w:tcPr>
          <w:p>
            <w:pPr>
              <w:spacing w:after="0"/>
              <w:rPr>
                <w:sz w:val="24"/>
                <w:szCs w:val="24"/>
                <w:color w:val="auto"/>
              </w:rPr>
            </w:pPr>
          </w:p>
        </w:tc>
        <w:tc>
          <w:tcPr>
            <w:tcW w:w="2280" w:type="dxa"/>
            <w:vAlign w:val="bottom"/>
            <w:gridSpan w:val="4"/>
          </w:tcPr>
          <w:p>
            <w:pPr>
              <w:jc w:val="right"/>
              <w:ind w:right="89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to our business of crude oil and other commodity prices;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or to raise cash in order to meet our short and long-term capital requirements;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93"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factors discussed in Item 1A of this Annual Report and listed from time to time in our filings with the Securities and Exchange Commission;</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iron and steel and mining industries in particular;</w:t>
      </w:r>
    </w:p>
    <w:p>
      <w:pPr>
        <w:spacing w:after="0" w:line="171" w:lineRule="exact"/>
        <w:rPr>
          <w:rFonts w:ascii="Arial" w:cs="Arial" w:eastAsia="Arial" w:hAnsi="Arial"/>
          <w:sz w:val="18"/>
          <w:szCs w:val="18"/>
          <w:color w:val="auto"/>
        </w:rPr>
      </w:pPr>
    </w:p>
    <w:p>
      <w:pPr>
        <w:ind w:left="640" w:right="82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operations in 1984 as an Oklahoma corporation under the name of Matrix Service. In 1989, we incorporated in the State of Delaware under the name of Matrix Service Company. We provide engineering, fabrication, infrastructure, construction, and maintenance services primarily to the oil, gas, power, petrochemical, industrial, mining and minerals markets. We maintain regional offices throughout the United States, Canada and other international locations, and operate through separate union and merit subsidiaries.</w:t>
      </w:r>
    </w:p>
    <w:p>
      <w:pPr>
        <w:spacing w:after="0" w:line="13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is licensed to operate in all 50 states, in four Canadian provinces and in other international locations. Our principal executive offices are located at 5100 E. Skelly Drive, Suite 500, Tulsa, Oklahoma 74135. Our telephone number is (918) 838-8822. Unless the context otherwise requires, all references herein to “Matrix Service Company”, “Matrix”, the “Company” or to “we”, “our”, and “us” are to Matrix Service Company and its subsidiaries.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public website is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We make available free of charge through the "Investor Relations" section of our website our annual reports to stockholders,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("SEC"). Any materials we file with or furnish to the SEC is also maintained on the SEC website (</w:t>
      </w:r>
      <w:r>
        <w:rPr>
          <w:rFonts w:ascii="Arial" w:cs="Arial" w:eastAsia="Arial" w:hAnsi="Arial"/>
          <w:sz w:val="18"/>
          <w:szCs w:val="18"/>
          <w:u w:val="single" w:color="auto"/>
          <w:color w:val="auto"/>
        </w:rPr>
        <w:t>sec.gov</w:t>
      </w:r>
      <w:r>
        <w:rPr>
          <w:rFonts w:ascii="Arial" w:cs="Arial" w:eastAsia="Arial" w:hAnsi="Arial"/>
          <w:sz w:val="18"/>
          <w:szCs w:val="18"/>
          <w:color w:val="auto"/>
        </w:rPr>
        <w:t>).</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information contained on our website, or available by hyperlink from our website, is not incorporated into this Form 10-K or other documents we file with, or furnish to, the SEC. We intend to use our website as a means of disclosing material non-public information and for complying with our disclosure obligations under Regulation FD. Such disclosures will be included on our website in the "Investor Relations" section. We also intend to use social media channels as a means of disclosing material non-public information and for complying with our disclosure obligations under Regulation FD. We encourage investors, the media, and others interested in Matrix to review the information posted on the company Facebook site (</w:t>
      </w:r>
      <w:r>
        <w:rPr>
          <w:rFonts w:ascii="Arial" w:cs="Arial" w:eastAsia="Arial" w:hAnsi="Arial"/>
          <w:sz w:val="17"/>
          <w:szCs w:val="17"/>
          <w:u w:val="single" w:color="auto"/>
          <w:color w:val="auto"/>
        </w:rPr>
        <w:t>facebook.com/matrixservicecompany</w:t>
      </w:r>
      <w:r>
        <w:rPr>
          <w:rFonts w:ascii="Arial" w:cs="Arial" w:eastAsia="Arial" w:hAnsi="Arial"/>
          <w:sz w:val="17"/>
          <w:szCs w:val="17"/>
          <w:color w:val="auto"/>
        </w:rPr>
        <w:t>), the company Linkedin account (</w:t>
      </w:r>
      <w:r>
        <w:rPr>
          <w:rFonts w:ascii="Arial" w:cs="Arial" w:eastAsia="Arial" w:hAnsi="Arial"/>
          <w:sz w:val="17"/>
          <w:szCs w:val="17"/>
          <w:u w:val="single" w:color="auto"/>
          <w:color w:val="auto"/>
        </w:rPr>
        <w:t>linkedin.com/company/matrix-service-company</w:t>
      </w:r>
      <w:r>
        <w:rPr>
          <w:rFonts w:ascii="Arial" w:cs="Arial" w:eastAsia="Arial" w:hAnsi="Arial"/>
          <w:sz w:val="17"/>
          <w:szCs w:val="17"/>
          <w:color w:val="auto"/>
        </w:rPr>
        <w:t>) and the company twitter account (</w:t>
      </w:r>
      <w:r>
        <w:rPr>
          <w:rFonts w:ascii="Arial" w:cs="Arial" w:eastAsia="Arial" w:hAnsi="Arial"/>
          <w:sz w:val="17"/>
          <w:szCs w:val="17"/>
          <w:u w:val="single" w:color="auto"/>
          <w:color w:val="auto"/>
        </w:rPr>
        <w:t>twitter.com/matrixserviceco</w:t>
      </w:r>
      <w:r>
        <w:rPr>
          <w:rFonts w:ascii="Arial" w:cs="Arial" w:eastAsia="Arial" w:hAnsi="Arial"/>
          <w:sz w:val="17"/>
          <w:szCs w:val="17"/>
          <w:color w:val="auto"/>
        </w:rPr>
        <w:t xml:space="preserve">). Investors, the media or other interested parties can subscribe to the twitter feed at the address listed above. Any updates to the list of social media channels Matrix will use to announce material information will be posted on the "Investor Relations" page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 Accordingly, investors should monitor such portions of our website and social media channels, in addition to following our press releases, SEC filings and public conference calls and webcasts.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 Gas &amp; Chemical segment includes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Our work in the mining and minerals industry is primarily for customers engaged in the extraction of copper. We also perform work in bulk material handling and fertilizer production facilities, thermal vacuum chambers, and other industrial markets.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Matrix Applied Technologies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2016, the Company completed the acquisition of all outstanding stock of Baillie Tank Equipment, Ltd. ("BTE"), an internationally-based company with nearly 20 years of experience in the design and manufacture of products for use on aboveground storage tanks. Founded in 1998, BTE is a provider of tank products including geodesic domes, aluminum internal floating roofs, floating suction and skimmer systems, roof drain systems, and seals. BTE is headquartered in Sydney, Australia with a manufacturing facility in Seoul, South Korea. The Company acquired BTE to expand its service offerings of certain technical solutions for aboveground storage tanks. The business is now known as Matrix Applied Technologies, and its operating results are included in the Storage Solutions segment.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purchased BTE with cash on-hand for a net purchase price of $13.0 million. The Company paid $15.4 million when including the subsequent repayment of long-term debt acquired and the settlement of certain other liabilities acquired, and excluding the cash acquired and certain amounts owed to the former owners for working capital adjustments.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HDB Ltd. Limited Partnership</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22, 2014, the Company purchased substantially all of the assets of HDB Ltd. Limited Partnership ("HDB"). HDB, headquartered in Bakersfield, California provides construction, fabrication and turnaround services to energy companies throughout California's central valley. The acquisition advanced a strategic goal of the Company to expand into the upstream energy market. The acquisition purchase price was $5.6 million and was funded with cash on hand. Commencing on August 22, 2014, HDB's operating results are included in the Oil Gas &amp; Chemical Segment.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Matrix NAC</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as of December 21, 2013, the Company acquired 100% of the stock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Matrix NAC is a provider of maintenance and capital construction services to power generation, integrated iron and steel, and industrial process facilities. The acquisition significantly expanded the Company's presence in the Electrical Infrastructure and Industrial segments, and to a lesser extent, the Oil Gas and Chemical segment. In addition, the KNAC acquisition has brought opportunities in additional geographical markets, the ability to execute additional and larger projects and has allowed us to expand our relationship with some existing clients.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purchased KNAC for $51.6 million, net of cash acquired. The acquisition was funded through a combination of cash-on-hand and borrowings under our senior revolving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prolonged decline in crude prices has begun to impact our income from operations and project awards, particularly in the Oil Gas &amp; Chemical and Storage Solutions segments. The Industrial segment continues to be negatively impacted by the low prices of other commodities, principally steel and copper. The decline in commodity prices has not had, and we do not expect a significant impact on the Electrical Infrastructure segment.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mid and downstream portions of the Oil Gas &amp; Chemical segment, we are seeing lower volumes of routine maintenance and turnaround work as well as a general slowdown of capital projects. Additionally, since some of our mid and downstream customers are integrated oil companies with exposure to the price of crude, if the prices remain at current levels or decline further, spending levels may continue to be reduced. Our exposure to non-integrated upstream clients in the Oil Gas &amp; Chemical segment is not significant.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our Storage Solutions segment, our customers continue to take a long-term view of the market, but continue to be cautious short-term, particularly on larger projects. Based on current market conditions, we are seeing a reduction in customer spending and project award delays. We cannot predict the direction of commodity prices or our customers’ ultimate reaction to the market and therefore cannot predict the magnitude of the impact to our future earnings.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Industrial segment, our iron and steel customers face significant uncertainty related to the slowdown in the Chinese economy and the related impact on steel imports and steel prices, the strong United States Dollar, the domestic demand for steel and the impact of anti-dumping duties on steel imports. This uncertainty has reduced the capital, expansion and elective maintenance spending of our customers. Although we are seeing some encouraging signs in the market, we do not expect higher levels of spending until the overall uncertainty in this market is reduced and economic conditions within the industry improve. In the mining and minerals markets, we continue to see lower spending due to the softness of other commodity prices, particularly copper, to which our clients are exposed.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provided services to approximately 500 customers in fiscal 2016. One customer, TransCanada Corporation, accounted for $194.0 million or 14.8% of our consolidated revenue, $135.7 million of which was in the Electrical Infrastructure segment and $57.5 million of which was in the Storage Solutions segment. Another customer, Energy Transfer Partners, L.P., accounted for $139.5 million or 10.6% of our consolidated revenue, all of which was in the Storage Solutions segment. The loss of these major customers or other significant customers could have a material adverse effect on the Company; however, we are not dependent on any single contract or customer on an on-going basis.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Matrix markets its services and products primarily through its marketing and business development personnel, senior professional staff and its operating management. We competitively bid most of our projects; however, we have a number of preferred provider relationships with customers who award us work through long-term agreements. Our projects have durations ranging from a few days to multiple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information for our operating segments is provided in Item 7. Management’s Discussion and Analysis of Financial Condition and Results of Operations, and in Note 13-Segment Information of the Notes to Consolidated Financial Statements included in Item 8. Financial Statements and Supplementary Data.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industry is highly fragmented and intensely competitive. We compete with local, regional, national and international contractors and service providers. Competitors vary with the markets we serve with few competitors competing in all of the markets we serve or in all of the services we provide. Contracts are generally awarded based on price, quality, safety performance, schedule, and customer satisfaction.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93"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171"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long-term maintenance contracts, we include only the amounts that we expect to recognize as revenue over the next 12 months. For all other arrangements, we calculate backlog as the estimated contract amount less revenues recognized as of the reporting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in fiscal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Electrical</w:t>
            </w: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Storage</w:t>
            </w: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10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Infrastructure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493,973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132,985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670,493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1,420,598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2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224,829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208,288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274,045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86,448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793,610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 delays and cancellations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(349,011)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(249,795)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(563,512)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(149,599)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(1,311,917)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369,791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91,478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359,013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868,672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in the Storage Solutions and Electrical Infrastructure segments generally have the greatest volatility because individual project awards can be less frequent and more significant.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decline in backlog in the Electrical Infrastructure segment is mainly attributable to the work related to the previously announced Napanee Power Generating Station project. Awards in power delivery continue to meet the Company's expectations.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Backlog in the Industrial segment was negatively impacted by a slowdown in the iron and steel and mining industries as well as a mining-related project cancellation of $11.6 million in the first quarter. The cancellation was not attributable to the Company's performance on the project. It is our belief that the cancellation was attributable to softness in commodity prices, including copper, to which the client is exposed.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decline in backlog in the Storage Solutions Segment is attributable to the work related to the previously announced project for the construction of terminals supporting the Dakota Access Pipeline. In addition, a more cautious approach to decision-making on the part of clients, together with more stringent financial and regulatory requirements, is delaying the timing of some of the larger awards. Although we are seeing increased competition, awards for small and medium sized projects are generally meeting the Company's expectations.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Backlog in the Storage Solutions segment was negatively impacted in the second quarter by $22.0 million related to the indefinite delay of remaining work on a project for one of our Canadian customers for the construction of aboveground storage tanks at a storage terminal. At the onset of the project, the customer anticipated receiving the appropriate permitting approvals for the pipeline that would have run from the storage terminal to the Gulf Coast of the United States. In November of 2015, the President of the United States rejected approval of the pipeline. The customer was also considering deploying the storage tanks for another project that was indefinitely deferred due to the low price of crude oil.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future operating results.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Sources and Availability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Steel plate and steel pipe are key materials used by the Company. Supplies of these materials are available throughout the United States and globally from numerous sources. We anticipate that adequate amounts of these materials will be available in the foreseeable future. However, the price, quantity, and the delivery schedules of these materials could change rapidly due to various factors, including producer capacity, the level of imports, worldwide demand, tariffs on imported steel and other market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There can be no assurance that our insurance and the additional insurance coverage provided by our subcontractors will fully protect us against a valid claim or loss under the contracts with our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2016, the Company had 3,560 employees of which 936 were employed in non-field positions and 2,624 were employed in field or shop positions. The number of employees varies significantly throughout the year because of the number, type and size of projects we have in progress at any particular time.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subsidiaries include both merit and union companies. The union businesses operate under collective bargaining agreements with various unions representing different groups of our employees. Union agreements provide union employees with benefits including health and welfare, pension, training programs and competitive compensation plans. We have not experienced any strikes or work stoppages in recent years. We maintain health and welfare, retirement and training programs for our merit employees and administrative personnel.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Technology</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Matrix Service Company’s subsidiaries have several patents and patents pending, and continue to pursue new ideas and innovations to better serve our customers in all areas of our business. The Flex-A-Span® and Flex-A-Seal® trademarks are utilized to market the Company’s unique seals for floating roof tanks. The FastFroth® trademark is utilized to market the Company’s unique industrial cleaning process. Our patented RS 1000 Tank Mixer controls sludge build-up in crude oil tanks through resuspension. The Flexible Fluid Containment System patent covers a system that captures and contains flue leaking from pipe and valve connections. The Flex-A-Swivel patent refers to our unique pipe swivel joint assembly. Our patent for Spacerless or Geocomposite Double Bottom for Storage Tanks relates to a replacement bottom with leak detection and containment that allows for the retrofitting of an existing tank while minimizing the loss of capacity. The patent for the Training Tank for Personnel Entry, Exit and Rescue relates to a training device that can be used to train personnel on equipment that is made to simulate confined space scenarios.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holds a perpetual license to use various patents and technologies related to LNG storage tanks, LIN/LOX storage tanks, LPG storage tanks and thermal vacuum chambers.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Company’s intellectual property is not its main business, we believe that the ability to use these patents and technology enables us to expand our presence in the markets and minimizes the development costs typically associated with organic growth.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 Regulations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subject to regulation by the United States Occupational Safety and Health Administration (“OSHA”) and Mine Safety and Health Administration (“MSHA”),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The Company has established and consistently reinforces and monitors compliance with comprehensive programs intended to ensure that it complies with all applicable health and safety regulations to protect the safety of its workers, subcontractors and customers. While the Company believes that it operates safely and prudently, there can be no assurance that accidents will not occur or that the Company will not incur substantial liability in connection with the operation of its businesses. In order to minimize the financial exposure resulting from potential accidents associated with the Company's work, the Company maintains liability insurance to limit losses that could result from our work.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operations and the operations of its customers are subject to extensive and changing environmental laws and regulations. These laws and regulations relate primarily to air and water pollutants and the management and disposal of hazardous materials. The Company is exposed to potential liability for personal injury or property damage caused by any release, spill, exposure or other accident involving such pollutants, substances or hazardous materials.</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limit costs incurred as a result of environmental exposure, the Company maintains contractor’s pollution liability insurance that covers liability that may be incurred as a result of accidental releases of hazardous materials.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it is currently in compliance, in all material aspects, with all applicable environmental laws and regulations. The Company does not expect any material charges in subsequent periods relating to environmental conditions that currently exist and does not currently foresee any significant future capital spending relating to environmental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projects are conducted at a variety of sites including construction sites and industrial facilities. With each location, hazards are part of the day to day exposures that we must manage on a continuous basis to ensure our employees return home from work the same way they arrived. We understand that everyone plays a role with safety and everyone can make a difference with their active participation. With our proactive approach, our strategy is to identify the exposures and correct them before they result in an incident whether that involves an injury, damage or destruction of property, plant and equipment or environmental impact. We are intensely focused on maintaining a strong safety culture and strive for zero incidents.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our products and services depends upon the existence of construction and maintenance projects in the midstream and downstream petroleum, power and other heavy industries in the United States and Canada. Therefore, it is likely that our business will continue to be cyclical in nature and vulnerable to general downturns in the United States, Canadian and world economies and changes in commodity prices, which could adversely affect the demand for our products and services.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availability of engineering and construction projects is dependent upon economic conditions in the oil, gas, and power industries, specifically, the level of capital expenditures on energy infrastructure. A prolonged period of sluggish economic conditions in North America has had and may continue to have an adverse impact on the level of capital expenditures of our customers and/or their ability to finance these expenditures. Our failure to obtain projects, the delay of project awards, the cancellation of projects or delays in the execution of contracts may result in under-utilization of our resources, which could adversely impact our revenue, margins, operating results and cash flow. There are numerous factors beyond our control that influence the level of maintenance and capital expenditures of our customers, including:</w:t>
      </w:r>
    </w:p>
    <w:p>
      <w:pPr>
        <w:spacing w:after="0" w:line="139"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or projected commodity prices, including oil, gas, power, steel and mineral prices;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refining margins;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demand for oil, gas and electricity;</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oil, gas and power companies to generate, access and deploy capital;</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exploration, production and transportation costs;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incentives, including those for alternative energy projects;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restraints on the rates that power companies may charge their customers;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national and international political and economic conditions.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revenue and profitability may be adversely affected by a reduced level of activity in the hydrocarbon industry.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recent years, demand from the worldwide hydrocarbon industry has been a significant generator of our revenue. Numerous factors influence capital expenditure decisions in the hydrocarbon industry, including, but not limited to, the following:</w:t>
      </w:r>
    </w:p>
    <w:p>
      <w:pPr>
        <w:spacing w:after="0" w:line="116"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and projected oil and gas prices;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exploration, extraction, production and transportation costs;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refining margins;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discovery rate, size and location of new oil and gas reserves;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challenges and advances;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hydrocarbon production;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taxes, price controls, and laws and regulations.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aforementioned factors are beyond our control and could have a material adverse effect on our results of operations, particularly in the Storage Solutions and Oil Gas &amp; Chemical segments, and on our financial position or cash flow.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operations of our Storage Solutions segment are influenced by the overall forward market for crude oil, and certain market conditions may adversely affect that segment’s financial and operating results.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results of our Storage Solutions segment may be influenced by the overall forward market for crude oil. A “contango” market (meaning that the price of crude oil for future delivery is higher than the current price) is associated with greater demand for crude oil storage capacity, because a party can simultaneously purchase crude oil at current prices for storage and sell at higher prices for future delivery. A “backwardated” market (meaning that the price of crude oil for future delivery is lower than the current price) is associated with lower demand for crude oil storage capacity, because a party can capture a premium for prompt delivery of crude oil rather than storing it for future sale. A prolonged backwardated market or other adverse market conditions could have an adverse impact on demand for new construction in our Storage Solutions segment. Finally, higher absolute levels of crude oil prices increase the costs of financing and insuring crude oil in storage, which negatively affects storage economics. As a result, the overall forward market for crude oil may have an adverse effect on our Storage Solution segment’s business, results of operations and financial condition.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significant amount of our work is performed under fixed price contracts. Under fixed-price contracts, we agree to perform the contract for a fixed-price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in providing services in excess of original project scope without having an approved change order.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revenues are recognized using the percentage-of-completion method of accounting. Under percentage-of-completion accounting, contract revenues and earnings are recognized ratably over the contract term based on the proportion of actual costs incurred to total estimated costs. In addition, some contracts contain penalty provisions for failure to achieve certain milestones, schedules or performance standards. We review our estimates of contract revenues, costs and profitability on a monthly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estimates of costs to complete fixed price contracts indicate a loss, a provision is made through a contract write-down for the total loss anticipated in the period the loss is determined. Contract profit estimates are also adjusted, on a percentage of completion basis, in the fiscal period in which it is determined that an adjustment is required. No restatements are made to prior periods. Further, a number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requirements of the percentage-of-completion method of accounting, the possibility exists that we could have estimated and reported a profit on a contract over several prior periods and later determine that all or a portion of such previously estimated and reported profits were overstated. If this occurs, the full aggregate amount of the overstatement will be reported for the period in which such determination is made.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results could differ from the estimates and assumptions that we use to prepare our financial statements.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prepare financial statements in conformity with generally accepted accounting principles, management is required to make estimates and assumptions, as of the date of the financial statements, which affect the reported values of assets, liabilities, revenues and expenses and disclosures of contingent assets and liabilities. Areas requiring significant estimation by our management include:</w:t>
      </w:r>
    </w:p>
    <w:p>
      <w:pPr>
        <w:spacing w:after="0" w:line="127"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costs and application of percentage-of-completion accounting;</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uncollectible receivables from customers for invoiced amounts;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collectibility of unapproved change orders and claims against customers;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income taxes and related valuation allowances;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recoverability of goodwill and intangible assets;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valuation of assets acquired and liabilities assumed in connection with business combinations;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accruals for estimated liabilities, including litigation and insurance reserves.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actual results could materially differ from these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could impact demand for storage construction.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 financing cost for a storage capacity user to own commodities while they are stored. That financing cost is affected by the cost of capital or interest rate incurred by the storage user, in addition to the commodity cost of the inventory. Absent other factors, a higher financing cost adversely affects the economics of storing commodities for future sale. As a result, a significant increase in interest rates could adversely affect the demand for construction of storage capacity independent of other market factors.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steel industry is cyclical and sensitive to general economic conditions, which could have a material adverse effect on our operating results and financial condition.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percentage of our Industrial segment's revenues are derived from the steel industry. Demand for steel products is cyclical in nature and sensitive to general economic conditions. The timing and magnitude of the cycles in the markets in which our customers’ products are used, including automobiles and residential construction, are difficult to predict. The cyclical nature of our customers’ operations tends to reflect and be amplified by changes in economic conditions, both domestically and internationally, supply/demand imbalances and foreign currency exchange fluctuations. Economic downturns or a prolonged period of slow growth in the U.S. and foreign markets or any of the industries in which our steel industry customers operate could have a material adverse effect on our results of operations, financial condition and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imports of foreign steel into the U.S. may reduce our customers’ profitability and capital spending plans.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economic slowdown in China and other countries has affected the supply and price of steel products. Expansions and contractions in these economies can significantly affect the price of steel and of finished steel products. Additionally, in a number of foreign countries, such as China, steel producers are generally government-owned and may therefore make production decisions based on political or other factors that do not reflect market conditions. Disruptions in foreign markets from excess steel production may encourage importers to target the U.S. with excess capacity at aggressive prices, and existing trade laws and regulations may be inadequate to prevent unfair trade practices, which could have a material adverse effect on our steel industry customers. In recent months, new tariffs have resulted in a reduction in imports of steel products into the U.S. However, we have not yet seen a significant increase in the demand for the maintenance and construction work we provide to our domestic steel industry customers.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depend upon the award of new contracts and the timing of those awards.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revenues are derived primarily from contracts awarded on a project-by-project basis. Generally, it is difficult to predict whether and when we will be awarded a new contract due to lengthy and complex bidding and selection processes, changes in existing or forecasted market conditions, access to financing, governmental regulations, permitting and environmental matters. Because our revenues are derived from contract awards, our results of operations and cash flows can fluctuate materially from period to period.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Acquisitions may result in significant transaction expenses, and unidentified liabilities and risks associated with entering new markets. We may also be unable to profitably integrate and operate these businesses.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lack sufficient management, financial and other resources to successfully integrate future acquisitions, including acquisitions in markets where we have not previously operated. Any future acquisitions may result in significant transaction expenses, unexpected liabilities and other risks in addition to the integration and consolidation risks.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make any future acquisitions, we will likely assume liabilities of the acquired business or have exposure to contingent liabilities that may not be adequately covered by insurance or indemnification, if any, from the former owners of the acquired business. These potential liabilities could have a material adverse effect on our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integrate our acquisitions, which could cause our business to suffer.</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not be able to successfully complete our ongoing integration of the operations, personnel and technology from our recent acquisitions. Because of their size and complexity, if we fail to complete our integration efforts successfully, we may experience interruptions in our business activities, a decrease in the quality of our services, a deterioration in our employee and customer relationships, and harm to our reputation, all of which could have a material adverse effect on our business, financial condition and results of operations. Our recent integration activities have required significant attention from management, which potentially decreases the time that management may devote to serve existing customers, attract new customers and develop new services and strategies. We may also experience difficulties in combining corporate cultures, maintaining employee morale and retaining key employees. The continuing integration efforts may also impose substantial demands on our operations or other projects. We will have to actively strive to demonstrate to our existing customers that these integrations have not resulted in adverse changes in our standards or business focus. Our recent acquisitions have involved a significant capital commitment, and the return that we achieve on any capital invested may be less than the return achieved on our other projects or investments. There will be challenges in consolidating and rationalizing information technology platforms and administrative infrastructures. In addition, any delays or increased costs of integrating the acquired companies could adversely affect our operations, financial results and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growth opportunities, operating margins and synergies that are anticipated from acquisitions.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benefits we expect to achieve as a result of an acquisition will depend, in part, on our ability to realize the anticipated growth opportunities, operating margins and synergies. Our success in realizing these growth opportunities, operating margins and synergies, and the timing of this realization, depends on the successful integration of the acquired business and operations with our existing business and operations. Even if we are able to integrate existing and acquired businesses successfully, this integration may not result in the realization of the full benefits of the growth opportunities, operating margins and synergies we currently expect within the anticipated time frame or at all. Accordingly, the benefits from an acquisition may be offset by costs incurred or delays in integrating the companies, which could cause our revenue assumptions and operating margin to be inaccurate.</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the extent that cash flow from operations, together with available borrowings under our senior revolving credit facility, are insufficient to make future investments, acquisitions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take advantage of acquisitions or other opportunities, or respond to competitive challenges.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each of our business segments, which may have a material adverse effect on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competition in all areas of our business from regional, national and international competitors. Our competitors range from small, family-owned businesses to well-established, well-financed entities, both privately and publicly held, including many large engineering and construction companies and specialty contractors. We compete primarily on the basis of price, customer satisfaction, safety performance and programs, quality of our products and services, and schedule. As a result, an increase in the level of competition in one or more markets may result in lower operating margins than we have recently experienced.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of our significant customers could adversely affect 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or more customers have in the past and may in the future contribute a material portion of our revenues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events, including those associated with our strategic plan, could negatively affect our liquidity position.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 provide no assurance that we will have sufficient cash from operations or the credit capacity to meet all of our future cash needs should we encounter significant working capital requirements or incur significant acquisition costs. Insufficient cash from operations, significant working capital requirements, and contract disputes have in the past, and could in the future, reduce availability under our senior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difficult work sites and environments, which may adversely affect our overall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susceptible to adverse weather conditions, which may harm our business and financial results.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may be adversely affected by severe weather in areas where we have significant operations. Repercussions of severe weather conditions may include:</w:t>
      </w:r>
    </w:p>
    <w:p>
      <w:pPr>
        <w:spacing w:after="0" w:line="116"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curtailment of services;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suspension of operations;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meet performance schedules in accordance with contracts and potential liability for liquidated damages;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injuries or fatalities;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related damage to our facilities;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information systems;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receive machinery, equipment and materials at jobsites;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senior revolving credit facility imposes restrictions that may limit business alternatives.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senior revolving credit facility contains covenants that restrict or limit our ability to incur additional debt, acquire or dispose of assets, repurchase equity, or make certain distributions, including dividends. In addition, our senior revolving credit facility requires that we comply with a number of financial covenants. These covenants and restrictions may impact our ability to effectively execute operating and strategic plans and our operating performance may not be sufficient to comply with the required covenants.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failure to comply with one or more of the covenants in our senior revolving credit facility could result in an event of default. We can provide no assurance that a default could be remedied, or that our creditors would grant a waiver or amend the terms of the senior revolving credit facility. If an event of default occurs, our lenders could elect to declare all amounts outstanding under the facility to be immediately due and payable, terminate all commitments, refuse to extend further credit, and require us to provide cash to collateralize any outstanding letters of credit. If an event of default occurs and the lenders under the senior revolving credit facility accelerate the maturity of any loans or other debt outstanding, we may not have sufficient liquidity to repay amounts outstanding under the existing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be negatively impacted if we are not able to maintain appropriate utilization of our workforce.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which could result in a decline of future project awards. The utilization of our workforce is impacted by numerous factors including:</w:t>
      </w:r>
    </w:p>
    <w:p>
      <w:pPr>
        <w:spacing w:after="0" w:line="127"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estimate of the headcount requirements for various operating units based upon our forecast of the demand for our products and services;</w:t>
      </w:r>
    </w:p>
    <w:p>
      <w:pPr>
        <w:spacing w:after="0" w:line="182"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talent base and manage attrition;</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productivity;</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schedule our portfolio of projects to efficiently utilize our employees and minimize downtime between project assignments; and</w:t>
      </w:r>
    </w:p>
    <w:p>
      <w:pPr>
        <w:spacing w:after="0" w:line="182" w:lineRule="exact"/>
        <w:rPr>
          <w:rFonts w:ascii="Arial" w:cs="Arial" w:eastAsia="Arial" w:hAnsi="Arial"/>
          <w:sz w:val="17"/>
          <w:szCs w:val="17"/>
          <w:color w:val="auto"/>
        </w:rPr>
      </w:pPr>
    </w:p>
    <w:p>
      <w:pPr>
        <w:ind w:left="64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need to invest time and resources into functions such as training, business development, employee recruiting, and sales that are not chargeable to customer projects.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revenues and profitability.</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attract and retain qualified engineers, project managers, skilled craftsmen and other experienced professionals in accordance with our needs is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Competent and experienced engineers,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project managers are involved in most aspects of contracting and contract execution including:</w:t>
      </w:r>
    </w:p>
    <w:p>
      <w:pPr>
        <w:spacing w:after="0" w:line="171" w:lineRule="exact"/>
        <w:rPr>
          <w:sz w:val="20"/>
          <w:szCs w:val="20"/>
          <w:color w:val="auto"/>
        </w:rPr>
      </w:pPr>
    </w:p>
    <w:p>
      <w:pPr>
        <w:ind w:left="640" w:right="22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supervising the bidding process, including providing estimates of significant cost components, such as material and equipment needs, and the size, productivity and composition of the workforce;</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contracts;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supervising project performance, including performance by our employees, subcontractors and other third-party suppliers and vendors;</w:t>
      </w:r>
    </w:p>
    <w:p>
      <w:pPr>
        <w:spacing w:after="0" w:line="171" w:lineRule="exact"/>
        <w:rPr>
          <w:rFonts w:ascii="Arial" w:cs="Arial" w:eastAsia="Arial" w:hAnsi="Arial"/>
          <w:sz w:val="18"/>
          <w:szCs w:val="18"/>
          <w:color w:val="auto"/>
        </w:rPr>
      </w:pPr>
    </w:p>
    <w:p>
      <w:pPr>
        <w:ind w:left="640" w:right="14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estimating costs for completion of contracts that is used to estimate amounts that can be reported as revenues and earnings on the contract under the percentage-of-completion method of accounting;</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requests for change orders and the final terms of approved change orders; and</w:t>
      </w:r>
    </w:p>
    <w:p>
      <w:pPr>
        <w:spacing w:after="0" w:line="171"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Work stoppages and other labor problems could adversely affect us.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Some of our employees are represented by labor unions. The Company has in excess of 50 collective bargaining agreements with various labor unions. The most significant agreements include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3"/>
          </w:tcPr>
          <w:p>
            <w:pPr>
              <w:ind w:left="40"/>
              <w:spacing w:after="0"/>
              <w:rPr>
                <w:sz w:val="20"/>
                <w:szCs w:val="20"/>
                <w:color w:val="auto"/>
              </w:rPr>
            </w:pPr>
            <w:r>
              <w:rPr>
                <w:rFonts w:ascii="Arial" w:cs="Arial" w:eastAsia="Arial" w:hAnsi="Arial"/>
                <w:sz w:val="14"/>
                <w:szCs w:val="14"/>
                <w:b w:val="1"/>
                <w:bCs w:val="1"/>
                <w:color w:val="auto"/>
              </w:rPr>
              <w:t>Trade</w:t>
            </w:r>
          </w:p>
        </w:tc>
        <w:tc>
          <w:tcPr>
            <w:tcW w:w="3240" w:type="dxa"/>
            <w:vAlign w:val="bottom"/>
            <w:gridSpan w:val="3"/>
          </w:tcPr>
          <w:p>
            <w:pPr>
              <w:ind w:left="2140"/>
              <w:spacing w:after="0"/>
              <w:rPr>
                <w:sz w:val="20"/>
                <w:szCs w:val="20"/>
                <w:color w:val="auto"/>
              </w:rPr>
            </w:pPr>
            <w:r>
              <w:rPr>
                <w:rFonts w:ascii="Arial" w:cs="Arial" w:eastAsia="Arial" w:hAnsi="Arial"/>
                <w:sz w:val="14"/>
                <w:szCs w:val="14"/>
                <w:b w:val="1"/>
                <w:bCs w:val="1"/>
                <w:color w:val="auto"/>
              </w:rPr>
              <w:t>Local #</w:t>
            </w:r>
          </w:p>
        </w:tc>
        <w:tc>
          <w:tcPr>
            <w:tcW w:w="3160" w:type="dxa"/>
            <w:vAlign w:val="bottom"/>
            <w:gridSpan w:val="3"/>
          </w:tcPr>
          <w:p>
            <w:pPr>
              <w:jc w:val="center"/>
              <w:ind w:left="11"/>
              <w:spacing w:after="0"/>
              <w:rPr>
                <w:sz w:val="20"/>
                <w:szCs w:val="20"/>
                <w:color w:val="auto"/>
              </w:rPr>
            </w:pPr>
            <w:r>
              <w:rPr>
                <w:rFonts w:ascii="Arial" w:cs="Arial" w:eastAsia="Arial" w:hAnsi="Arial"/>
                <w:sz w:val="14"/>
                <w:szCs w:val="14"/>
                <w:b w:val="1"/>
                <w:bCs w:val="1"/>
                <w:color w:val="auto"/>
                <w:w w:val="92"/>
              </w:rPr>
              <w:t>Location</w:t>
            </w:r>
          </w:p>
        </w:tc>
        <w:tc>
          <w:tcPr>
            <w:tcW w:w="740" w:type="dxa"/>
            <w:vAlign w:val="bottom"/>
          </w:tcPr>
          <w:p>
            <w:pPr>
              <w:spacing w:after="0"/>
              <w:rPr>
                <w:sz w:val="14"/>
                <w:szCs w:val="14"/>
                <w:color w:val="auto"/>
              </w:rPr>
            </w:pPr>
          </w:p>
        </w:tc>
        <w:tc>
          <w:tcPr>
            <w:tcW w:w="1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Expires</w:t>
            </w:r>
          </w:p>
        </w:tc>
      </w:tr>
      <w:tr>
        <w:trPr>
          <w:trHeight w:val="21"/>
        </w:trPr>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Boilermaker</w:t>
            </w:r>
          </w:p>
        </w:tc>
        <w:tc>
          <w:tcPr>
            <w:tcW w:w="2600" w:type="dxa"/>
            <w:vAlign w:val="bottom"/>
            <w:tcBorders>
              <w:bottom w:val="single" w:sz="8" w:color="CCEEFF"/>
            </w:tcBorders>
            <w:gridSpan w:val="2"/>
            <w:shd w:val="clear" w:color="auto" w:fill="CCEEFF"/>
          </w:tcPr>
          <w:p>
            <w:pPr>
              <w:jc w:val="center"/>
              <w:ind w:left="2031"/>
              <w:spacing w:after="0"/>
              <w:rPr>
                <w:sz w:val="20"/>
                <w:szCs w:val="20"/>
                <w:color w:val="auto"/>
              </w:rPr>
            </w:pPr>
            <w:r>
              <w:rPr>
                <w:rFonts w:ascii="Arial" w:cs="Arial" w:eastAsia="Arial" w:hAnsi="Arial"/>
                <w:sz w:val="18"/>
                <w:szCs w:val="18"/>
                <w:color w:val="auto"/>
                <w:w w:val="93"/>
              </w:rPr>
              <w:t>374</w:t>
            </w:r>
          </w:p>
        </w:tc>
        <w:tc>
          <w:tcPr>
            <w:tcW w:w="6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jc w:val="center"/>
              <w:ind w:left="11"/>
              <w:spacing w:after="0"/>
              <w:rPr>
                <w:sz w:val="20"/>
                <w:szCs w:val="20"/>
                <w:color w:val="auto"/>
              </w:rPr>
            </w:pPr>
            <w:r>
              <w:rPr>
                <w:rFonts w:ascii="Arial" w:cs="Arial" w:eastAsia="Arial" w:hAnsi="Arial"/>
                <w:sz w:val="18"/>
                <w:szCs w:val="18"/>
                <w:color w:val="auto"/>
                <w:w w:val="91"/>
              </w:rPr>
              <w:t>Hammond, IN</w:t>
            </w:r>
          </w:p>
        </w:tc>
        <w:tc>
          <w:tcPr>
            <w:tcW w:w="18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Boilermaker</w:t>
            </w:r>
          </w:p>
        </w:tc>
        <w:tc>
          <w:tcPr>
            <w:tcW w:w="2600" w:type="dxa"/>
            <w:vAlign w:val="bottom"/>
            <w:gridSpan w:val="2"/>
          </w:tcPr>
          <w:p>
            <w:pPr>
              <w:jc w:val="center"/>
              <w:ind w:left="2031"/>
              <w:spacing w:after="0"/>
              <w:rPr>
                <w:sz w:val="20"/>
                <w:szCs w:val="20"/>
                <w:color w:val="auto"/>
              </w:rPr>
            </w:pPr>
            <w:r>
              <w:rPr>
                <w:rFonts w:ascii="Arial" w:cs="Arial" w:eastAsia="Arial" w:hAnsi="Arial"/>
                <w:sz w:val="18"/>
                <w:szCs w:val="18"/>
                <w:color w:val="auto"/>
                <w:w w:val="93"/>
              </w:rPr>
              <w:t>169</w:t>
            </w:r>
          </w:p>
        </w:tc>
        <w:tc>
          <w:tcPr>
            <w:tcW w:w="640" w:type="dxa"/>
            <w:vAlign w:val="bottom"/>
          </w:tcPr>
          <w:p>
            <w:pPr>
              <w:spacing w:after="0"/>
              <w:rPr>
                <w:sz w:val="21"/>
                <w:szCs w:val="21"/>
                <w:color w:val="auto"/>
              </w:rPr>
            </w:pPr>
          </w:p>
        </w:tc>
        <w:tc>
          <w:tcPr>
            <w:tcW w:w="3160" w:type="dxa"/>
            <w:vAlign w:val="bottom"/>
            <w:gridSpan w:val="3"/>
          </w:tcPr>
          <w:p>
            <w:pPr>
              <w:jc w:val="center"/>
              <w:ind w:left="11"/>
              <w:spacing w:after="0"/>
              <w:rPr>
                <w:sz w:val="20"/>
                <w:szCs w:val="20"/>
                <w:color w:val="auto"/>
              </w:rPr>
            </w:pPr>
            <w:r>
              <w:rPr>
                <w:rFonts w:ascii="Arial" w:cs="Arial" w:eastAsia="Arial" w:hAnsi="Arial"/>
                <w:sz w:val="18"/>
                <w:szCs w:val="18"/>
                <w:color w:val="auto"/>
                <w:w w:val="98"/>
              </w:rPr>
              <w:t>Detroit, MI</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0"/>
              </w:rPr>
              <w:t>12/31/2020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Electrician</w:t>
            </w:r>
          </w:p>
        </w:tc>
        <w:tc>
          <w:tcPr>
            <w:tcW w:w="2600" w:type="dxa"/>
            <w:vAlign w:val="bottom"/>
            <w:tcBorders>
              <w:bottom w:val="single" w:sz="8" w:color="CCEEFF"/>
            </w:tcBorders>
            <w:gridSpan w:val="2"/>
            <w:shd w:val="clear" w:color="auto" w:fill="CCEEFF"/>
          </w:tcPr>
          <w:p>
            <w:pPr>
              <w:jc w:val="center"/>
              <w:ind w:left="2031"/>
              <w:spacing w:after="0"/>
              <w:rPr>
                <w:sz w:val="20"/>
                <w:szCs w:val="20"/>
                <w:color w:val="auto"/>
              </w:rPr>
            </w:pPr>
            <w:r>
              <w:rPr>
                <w:rFonts w:ascii="Arial" w:cs="Arial" w:eastAsia="Arial" w:hAnsi="Arial"/>
                <w:sz w:val="18"/>
                <w:szCs w:val="18"/>
                <w:color w:val="auto"/>
                <w:w w:val="93"/>
              </w:rPr>
              <w:t>351</w:t>
            </w:r>
          </w:p>
        </w:tc>
        <w:tc>
          <w:tcPr>
            <w:tcW w:w="6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jc w:val="center"/>
              <w:ind w:left="11"/>
              <w:spacing w:after="0"/>
              <w:rPr>
                <w:sz w:val="20"/>
                <w:szCs w:val="20"/>
                <w:color w:val="auto"/>
              </w:rPr>
            </w:pPr>
            <w:r>
              <w:rPr>
                <w:rFonts w:ascii="Arial" w:cs="Arial" w:eastAsia="Arial" w:hAnsi="Arial"/>
                <w:sz w:val="18"/>
                <w:szCs w:val="18"/>
                <w:color w:val="auto"/>
                <w:w w:val="90"/>
              </w:rPr>
              <w:t>Hammonton, NJ</w:t>
            </w:r>
          </w:p>
        </w:tc>
        <w:tc>
          <w:tcPr>
            <w:tcW w:w="18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09/27/2016</w:t>
            </w: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Electrician</w:t>
            </w:r>
          </w:p>
        </w:tc>
        <w:tc>
          <w:tcPr>
            <w:tcW w:w="2600" w:type="dxa"/>
            <w:vAlign w:val="bottom"/>
            <w:gridSpan w:val="2"/>
          </w:tcPr>
          <w:p>
            <w:pPr>
              <w:jc w:val="center"/>
              <w:ind w:left="2031"/>
              <w:spacing w:after="0"/>
              <w:rPr>
                <w:sz w:val="20"/>
                <w:szCs w:val="20"/>
                <w:color w:val="auto"/>
              </w:rPr>
            </w:pPr>
            <w:r>
              <w:rPr>
                <w:rFonts w:ascii="Arial" w:cs="Arial" w:eastAsia="Arial" w:hAnsi="Arial"/>
                <w:sz w:val="18"/>
                <w:szCs w:val="18"/>
                <w:color w:val="auto"/>
                <w:w w:val="93"/>
              </w:rPr>
              <w:t>102</w:t>
            </w:r>
          </w:p>
        </w:tc>
        <w:tc>
          <w:tcPr>
            <w:tcW w:w="640" w:type="dxa"/>
            <w:vAlign w:val="bottom"/>
          </w:tcPr>
          <w:p>
            <w:pPr>
              <w:spacing w:after="0"/>
              <w:rPr>
                <w:sz w:val="21"/>
                <w:szCs w:val="21"/>
                <w:color w:val="auto"/>
              </w:rPr>
            </w:pPr>
          </w:p>
        </w:tc>
        <w:tc>
          <w:tcPr>
            <w:tcW w:w="3160" w:type="dxa"/>
            <w:vAlign w:val="bottom"/>
            <w:gridSpan w:val="3"/>
          </w:tcPr>
          <w:p>
            <w:pPr>
              <w:jc w:val="center"/>
              <w:ind w:left="11"/>
              <w:spacing w:after="0"/>
              <w:rPr>
                <w:sz w:val="20"/>
                <w:szCs w:val="20"/>
                <w:color w:val="auto"/>
              </w:rPr>
            </w:pPr>
            <w:r>
              <w:rPr>
                <w:rFonts w:ascii="Arial" w:cs="Arial" w:eastAsia="Arial" w:hAnsi="Arial"/>
                <w:sz w:val="18"/>
                <w:szCs w:val="18"/>
                <w:color w:val="auto"/>
                <w:w w:val="86"/>
              </w:rPr>
              <w:t>Parsippany, NJ</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0"/>
              </w:rPr>
              <w:t>06/01/2018</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Electrician</w:t>
            </w:r>
          </w:p>
        </w:tc>
        <w:tc>
          <w:tcPr>
            <w:tcW w:w="2600" w:type="dxa"/>
            <w:vAlign w:val="bottom"/>
            <w:tcBorders>
              <w:bottom w:val="single" w:sz="8" w:color="CCEEFF"/>
            </w:tcBorders>
            <w:gridSpan w:val="2"/>
            <w:shd w:val="clear" w:color="auto" w:fill="CCEEFF"/>
          </w:tcPr>
          <w:p>
            <w:pPr>
              <w:jc w:val="center"/>
              <w:ind w:left="2031"/>
              <w:spacing w:after="0"/>
              <w:rPr>
                <w:sz w:val="20"/>
                <w:szCs w:val="20"/>
                <w:color w:val="auto"/>
              </w:rPr>
            </w:pPr>
            <w:r>
              <w:rPr>
                <w:rFonts w:ascii="Arial" w:cs="Arial" w:eastAsia="Arial" w:hAnsi="Arial"/>
                <w:sz w:val="18"/>
                <w:szCs w:val="18"/>
                <w:color w:val="auto"/>
                <w:w w:val="93"/>
              </w:rPr>
              <w:t>164</w:t>
            </w:r>
          </w:p>
        </w:tc>
        <w:tc>
          <w:tcPr>
            <w:tcW w:w="6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jc w:val="center"/>
              <w:ind w:left="11"/>
              <w:spacing w:after="0"/>
              <w:rPr>
                <w:sz w:val="20"/>
                <w:szCs w:val="20"/>
                <w:color w:val="auto"/>
              </w:rPr>
            </w:pPr>
            <w:r>
              <w:rPr>
                <w:rFonts w:ascii="Arial" w:cs="Arial" w:eastAsia="Arial" w:hAnsi="Arial"/>
                <w:sz w:val="18"/>
                <w:szCs w:val="18"/>
                <w:color w:val="auto"/>
                <w:w w:val="86"/>
              </w:rPr>
              <w:t>Paramus, NJ</w:t>
            </w:r>
          </w:p>
        </w:tc>
        <w:tc>
          <w:tcPr>
            <w:tcW w:w="18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05/31/2017</w:t>
            </w: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Electrician</w:t>
            </w:r>
          </w:p>
        </w:tc>
        <w:tc>
          <w:tcPr>
            <w:tcW w:w="2600" w:type="dxa"/>
            <w:vAlign w:val="bottom"/>
            <w:gridSpan w:val="2"/>
          </w:tcPr>
          <w:p>
            <w:pPr>
              <w:jc w:val="center"/>
              <w:ind w:left="2031"/>
              <w:spacing w:after="0"/>
              <w:rPr>
                <w:sz w:val="20"/>
                <w:szCs w:val="20"/>
                <w:color w:val="auto"/>
              </w:rPr>
            </w:pPr>
            <w:r>
              <w:rPr>
                <w:rFonts w:ascii="Arial" w:cs="Arial" w:eastAsia="Arial" w:hAnsi="Arial"/>
                <w:sz w:val="18"/>
                <w:szCs w:val="18"/>
                <w:color w:val="auto"/>
                <w:w w:val="93"/>
              </w:rPr>
              <w:t>456</w:t>
            </w:r>
          </w:p>
        </w:tc>
        <w:tc>
          <w:tcPr>
            <w:tcW w:w="640" w:type="dxa"/>
            <w:vAlign w:val="bottom"/>
          </w:tcPr>
          <w:p>
            <w:pPr>
              <w:spacing w:after="0"/>
              <w:rPr>
                <w:sz w:val="21"/>
                <w:szCs w:val="21"/>
                <w:color w:val="auto"/>
              </w:rPr>
            </w:pPr>
          </w:p>
        </w:tc>
        <w:tc>
          <w:tcPr>
            <w:tcW w:w="3160" w:type="dxa"/>
            <w:vAlign w:val="bottom"/>
            <w:gridSpan w:val="3"/>
          </w:tcPr>
          <w:p>
            <w:pPr>
              <w:jc w:val="center"/>
              <w:ind w:left="11"/>
              <w:spacing w:after="0"/>
              <w:rPr>
                <w:sz w:val="20"/>
                <w:szCs w:val="20"/>
                <w:color w:val="auto"/>
              </w:rPr>
            </w:pPr>
            <w:r>
              <w:rPr>
                <w:rFonts w:ascii="Arial" w:cs="Arial" w:eastAsia="Arial" w:hAnsi="Arial"/>
                <w:sz w:val="18"/>
                <w:szCs w:val="18"/>
                <w:color w:val="auto"/>
                <w:w w:val="94"/>
              </w:rPr>
              <w:t>North Bruinswick, NJ</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0"/>
              </w:rPr>
              <w:t>05/31/2017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Electrician</w:t>
            </w:r>
          </w:p>
        </w:tc>
        <w:tc>
          <w:tcPr>
            <w:tcW w:w="2600" w:type="dxa"/>
            <w:vAlign w:val="bottom"/>
            <w:tcBorders>
              <w:bottom w:val="single" w:sz="8" w:color="CCEEFF"/>
            </w:tcBorders>
            <w:gridSpan w:val="2"/>
            <w:shd w:val="clear" w:color="auto" w:fill="CCEEFF"/>
          </w:tcPr>
          <w:p>
            <w:pPr>
              <w:jc w:val="center"/>
              <w:ind w:left="2051"/>
              <w:spacing w:after="0"/>
              <w:rPr>
                <w:sz w:val="20"/>
                <w:szCs w:val="20"/>
                <w:color w:val="auto"/>
              </w:rPr>
            </w:pPr>
            <w:r>
              <w:rPr>
                <w:rFonts w:ascii="Arial" w:cs="Arial" w:eastAsia="Arial" w:hAnsi="Arial"/>
                <w:sz w:val="18"/>
                <w:szCs w:val="18"/>
                <w:color w:val="auto"/>
                <w:w w:val="89"/>
              </w:rPr>
              <w:t>98</w:t>
            </w:r>
          </w:p>
        </w:tc>
        <w:tc>
          <w:tcPr>
            <w:tcW w:w="6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jc w:val="center"/>
              <w:ind w:left="11"/>
              <w:spacing w:after="0"/>
              <w:rPr>
                <w:sz w:val="20"/>
                <w:szCs w:val="20"/>
                <w:color w:val="auto"/>
              </w:rPr>
            </w:pPr>
            <w:r>
              <w:rPr>
                <w:rFonts w:ascii="Arial" w:cs="Arial" w:eastAsia="Arial" w:hAnsi="Arial"/>
                <w:sz w:val="18"/>
                <w:szCs w:val="18"/>
                <w:color w:val="auto"/>
                <w:w w:val="92"/>
              </w:rPr>
              <w:t>Philadelphia, PA</w:t>
            </w:r>
          </w:p>
        </w:tc>
        <w:tc>
          <w:tcPr>
            <w:tcW w:w="18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04/29/2017</w:t>
            </w: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Laborers</w:t>
            </w:r>
          </w:p>
        </w:tc>
        <w:tc>
          <w:tcPr>
            <w:tcW w:w="2600" w:type="dxa"/>
            <w:vAlign w:val="bottom"/>
            <w:gridSpan w:val="2"/>
          </w:tcPr>
          <w:p>
            <w:pPr>
              <w:jc w:val="center"/>
              <w:ind w:left="2051"/>
              <w:spacing w:after="0"/>
              <w:rPr>
                <w:sz w:val="20"/>
                <w:szCs w:val="20"/>
                <w:color w:val="auto"/>
              </w:rPr>
            </w:pPr>
            <w:r>
              <w:rPr>
                <w:rFonts w:ascii="Arial" w:cs="Arial" w:eastAsia="Arial" w:hAnsi="Arial"/>
                <w:sz w:val="18"/>
                <w:szCs w:val="18"/>
                <w:color w:val="auto"/>
                <w:w w:val="89"/>
              </w:rPr>
              <w:t>81</w:t>
            </w:r>
          </w:p>
        </w:tc>
        <w:tc>
          <w:tcPr>
            <w:tcW w:w="640" w:type="dxa"/>
            <w:vAlign w:val="bottom"/>
          </w:tcPr>
          <w:p>
            <w:pPr>
              <w:spacing w:after="0"/>
              <w:rPr>
                <w:sz w:val="21"/>
                <w:szCs w:val="21"/>
                <w:color w:val="auto"/>
              </w:rPr>
            </w:pPr>
          </w:p>
        </w:tc>
        <w:tc>
          <w:tcPr>
            <w:tcW w:w="3160" w:type="dxa"/>
            <w:vAlign w:val="bottom"/>
            <w:gridSpan w:val="3"/>
          </w:tcPr>
          <w:p>
            <w:pPr>
              <w:jc w:val="center"/>
              <w:ind w:left="11"/>
              <w:spacing w:after="0"/>
              <w:rPr>
                <w:sz w:val="20"/>
                <w:szCs w:val="20"/>
                <w:color w:val="auto"/>
              </w:rPr>
            </w:pPr>
            <w:r>
              <w:rPr>
                <w:rFonts w:ascii="Arial" w:cs="Arial" w:eastAsia="Arial" w:hAnsi="Arial"/>
                <w:sz w:val="18"/>
                <w:szCs w:val="18"/>
                <w:color w:val="auto"/>
                <w:w w:val="92"/>
              </w:rPr>
              <w:t>Gary, IN</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0"/>
              </w:rPr>
              <w:t>05/31/2017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Laborers</w:t>
            </w:r>
          </w:p>
        </w:tc>
        <w:tc>
          <w:tcPr>
            <w:tcW w:w="2600" w:type="dxa"/>
            <w:vAlign w:val="bottom"/>
            <w:tcBorders>
              <w:bottom w:val="single" w:sz="8" w:color="CCEEFF"/>
            </w:tcBorders>
            <w:gridSpan w:val="2"/>
            <w:shd w:val="clear" w:color="auto" w:fill="CCEEFF"/>
          </w:tcPr>
          <w:p>
            <w:pPr>
              <w:jc w:val="center"/>
              <w:ind w:left="2031"/>
              <w:spacing w:after="0"/>
              <w:rPr>
                <w:sz w:val="20"/>
                <w:szCs w:val="20"/>
                <w:color w:val="auto"/>
              </w:rPr>
            </w:pPr>
            <w:r>
              <w:rPr>
                <w:rFonts w:ascii="Arial" w:cs="Arial" w:eastAsia="Arial" w:hAnsi="Arial"/>
                <w:sz w:val="18"/>
                <w:szCs w:val="18"/>
                <w:color w:val="auto"/>
                <w:w w:val="93"/>
              </w:rPr>
              <w:t>247</w:t>
            </w:r>
          </w:p>
        </w:tc>
        <w:tc>
          <w:tcPr>
            <w:tcW w:w="6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jc w:val="center"/>
              <w:ind w:left="11"/>
              <w:spacing w:after="0"/>
              <w:rPr>
                <w:sz w:val="20"/>
                <w:szCs w:val="20"/>
                <w:color w:val="auto"/>
              </w:rPr>
            </w:pPr>
            <w:r>
              <w:rPr>
                <w:rFonts w:ascii="Arial" w:cs="Arial" w:eastAsia="Arial" w:hAnsi="Arial"/>
                <w:sz w:val="18"/>
                <w:szCs w:val="18"/>
                <w:color w:val="auto"/>
                <w:w w:val="91"/>
              </w:rPr>
              <w:t>Kingston, Ontario, Canada</w:t>
            </w:r>
          </w:p>
        </w:tc>
        <w:tc>
          <w:tcPr>
            <w:tcW w:w="18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04/30/2019</w:t>
            </w: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Iron Workers</w:t>
            </w:r>
          </w:p>
        </w:tc>
        <w:tc>
          <w:tcPr>
            <w:tcW w:w="2600" w:type="dxa"/>
            <w:vAlign w:val="bottom"/>
            <w:gridSpan w:val="2"/>
          </w:tcPr>
          <w:p>
            <w:pPr>
              <w:jc w:val="center"/>
              <w:ind w:left="2031"/>
              <w:spacing w:after="0"/>
              <w:rPr>
                <w:sz w:val="20"/>
                <w:szCs w:val="20"/>
                <w:color w:val="auto"/>
              </w:rPr>
            </w:pPr>
            <w:r>
              <w:rPr>
                <w:rFonts w:ascii="Arial" w:cs="Arial" w:eastAsia="Arial" w:hAnsi="Arial"/>
                <w:sz w:val="18"/>
                <w:szCs w:val="18"/>
                <w:color w:val="auto"/>
                <w:w w:val="93"/>
              </w:rPr>
              <w:t>395</w:t>
            </w:r>
          </w:p>
        </w:tc>
        <w:tc>
          <w:tcPr>
            <w:tcW w:w="640" w:type="dxa"/>
            <w:vAlign w:val="bottom"/>
          </w:tcPr>
          <w:p>
            <w:pPr>
              <w:spacing w:after="0"/>
              <w:rPr>
                <w:sz w:val="21"/>
                <w:szCs w:val="21"/>
                <w:color w:val="auto"/>
              </w:rPr>
            </w:pPr>
          </w:p>
        </w:tc>
        <w:tc>
          <w:tcPr>
            <w:tcW w:w="3160" w:type="dxa"/>
            <w:vAlign w:val="bottom"/>
            <w:gridSpan w:val="3"/>
          </w:tcPr>
          <w:p>
            <w:pPr>
              <w:jc w:val="center"/>
              <w:ind w:left="11"/>
              <w:spacing w:after="0"/>
              <w:rPr>
                <w:sz w:val="20"/>
                <w:szCs w:val="20"/>
                <w:color w:val="auto"/>
              </w:rPr>
            </w:pPr>
            <w:r>
              <w:rPr>
                <w:rFonts w:ascii="Arial" w:cs="Arial" w:eastAsia="Arial" w:hAnsi="Arial"/>
                <w:sz w:val="18"/>
                <w:szCs w:val="18"/>
                <w:color w:val="auto"/>
                <w:w w:val="92"/>
              </w:rPr>
              <w:t>Gary, IN</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0"/>
              </w:rPr>
              <w:t>05/31/2019</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Pipefitters</w:t>
            </w:r>
          </w:p>
        </w:tc>
        <w:tc>
          <w:tcPr>
            <w:tcW w:w="2600" w:type="dxa"/>
            <w:vAlign w:val="bottom"/>
            <w:tcBorders>
              <w:bottom w:val="single" w:sz="8" w:color="CCEEFF"/>
            </w:tcBorders>
            <w:gridSpan w:val="2"/>
            <w:shd w:val="clear" w:color="auto" w:fill="CCEEFF"/>
          </w:tcPr>
          <w:p>
            <w:pPr>
              <w:jc w:val="center"/>
              <w:ind w:left="2031"/>
              <w:spacing w:after="0"/>
              <w:rPr>
                <w:sz w:val="20"/>
                <w:szCs w:val="20"/>
                <w:color w:val="auto"/>
              </w:rPr>
            </w:pPr>
            <w:r>
              <w:rPr>
                <w:rFonts w:ascii="Arial" w:cs="Arial" w:eastAsia="Arial" w:hAnsi="Arial"/>
                <w:sz w:val="18"/>
                <w:szCs w:val="18"/>
                <w:color w:val="auto"/>
                <w:w w:val="93"/>
              </w:rPr>
              <w:t>597</w:t>
            </w:r>
          </w:p>
        </w:tc>
        <w:tc>
          <w:tcPr>
            <w:tcW w:w="6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jc w:val="center"/>
              <w:ind w:left="11"/>
              <w:spacing w:after="0"/>
              <w:rPr>
                <w:sz w:val="20"/>
                <w:szCs w:val="20"/>
                <w:color w:val="auto"/>
              </w:rPr>
            </w:pPr>
            <w:r>
              <w:rPr>
                <w:rFonts w:ascii="Arial" w:cs="Arial" w:eastAsia="Arial" w:hAnsi="Arial"/>
                <w:sz w:val="18"/>
                <w:szCs w:val="18"/>
                <w:color w:val="auto"/>
                <w:w w:val="94"/>
              </w:rPr>
              <w:t>Chicago, IL</w:t>
            </w:r>
          </w:p>
        </w:tc>
        <w:tc>
          <w:tcPr>
            <w:tcW w:w="18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05/31/2017</w:t>
            </w: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Pipefitters</w:t>
            </w:r>
          </w:p>
        </w:tc>
        <w:tc>
          <w:tcPr>
            <w:tcW w:w="2600" w:type="dxa"/>
            <w:vAlign w:val="bottom"/>
            <w:gridSpan w:val="2"/>
          </w:tcPr>
          <w:p>
            <w:pPr>
              <w:jc w:val="center"/>
              <w:ind w:left="2031"/>
              <w:spacing w:after="0"/>
              <w:rPr>
                <w:sz w:val="20"/>
                <w:szCs w:val="20"/>
                <w:color w:val="auto"/>
              </w:rPr>
            </w:pPr>
            <w:r>
              <w:rPr>
                <w:rFonts w:ascii="Arial" w:cs="Arial" w:eastAsia="Arial" w:hAnsi="Arial"/>
                <w:sz w:val="18"/>
                <w:szCs w:val="18"/>
                <w:color w:val="auto"/>
                <w:w w:val="93"/>
              </w:rPr>
              <w:t>420</w:t>
            </w:r>
          </w:p>
        </w:tc>
        <w:tc>
          <w:tcPr>
            <w:tcW w:w="640" w:type="dxa"/>
            <w:vAlign w:val="bottom"/>
          </w:tcPr>
          <w:p>
            <w:pPr>
              <w:spacing w:after="0"/>
              <w:rPr>
                <w:sz w:val="21"/>
                <w:szCs w:val="21"/>
                <w:color w:val="auto"/>
              </w:rPr>
            </w:pPr>
          </w:p>
        </w:tc>
        <w:tc>
          <w:tcPr>
            <w:tcW w:w="3160" w:type="dxa"/>
            <w:vAlign w:val="bottom"/>
            <w:gridSpan w:val="3"/>
          </w:tcPr>
          <w:p>
            <w:pPr>
              <w:jc w:val="center"/>
              <w:ind w:left="11"/>
              <w:spacing w:after="0"/>
              <w:rPr>
                <w:sz w:val="20"/>
                <w:szCs w:val="20"/>
                <w:color w:val="auto"/>
              </w:rPr>
            </w:pPr>
            <w:r>
              <w:rPr>
                <w:rFonts w:ascii="Arial" w:cs="Arial" w:eastAsia="Arial" w:hAnsi="Arial"/>
                <w:sz w:val="18"/>
                <w:szCs w:val="18"/>
                <w:color w:val="auto"/>
                <w:w w:val="92"/>
              </w:rPr>
              <w:t>Philadelphia, PA</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0"/>
              </w:rPr>
              <w:t>04/30/2017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3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Pipefitters</w:t>
            </w:r>
          </w:p>
        </w:tc>
        <w:tc>
          <w:tcPr>
            <w:tcW w:w="2600" w:type="dxa"/>
            <w:vAlign w:val="bottom"/>
            <w:gridSpan w:val="2"/>
            <w:shd w:val="clear" w:color="auto" w:fill="CCEEFF"/>
          </w:tcPr>
          <w:p>
            <w:pPr>
              <w:jc w:val="center"/>
              <w:ind w:left="2051"/>
              <w:spacing w:after="0"/>
              <w:rPr>
                <w:sz w:val="20"/>
                <w:szCs w:val="20"/>
                <w:color w:val="auto"/>
              </w:rPr>
            </w:pPr>
            <w:r>
              <w:rPr>
                <w:rFonts w:ascii="Arial" w:cs="Arial" w:eastAsia="Arial" w:hAnsi="Arial"/>
                <w:sz w:val="18"/>
                <w:szCs w:val="18"/>
                <w:color w:val="auto"/>
                <w:w w:val="89"/>
              </w:rPr>
              <w:t>74</w:t>
            </w:r>
          </w:p>
        </w:tc>
        <w:tc>
          <w:tcPr>
            <w:tcW w:w="640" w:type="dxa"/>
            <w:vAlign w:val="bottom"/>
            <w:shd w:val="clear" w:color="auto" w:fill="CCEEFF"/>
          </w:tcPr>
          <w:p>
            <w:pPr>
              <w:spacing w:after="0"/>
              <w:rPr>
                <w:sz w:val="21"/>
                <w:szCs w:val="21"/>
                <w:color w:val="auto"/>
              </w:rPr>
            </w:pPr>
          </w:p>
        </w:tc>
        <w:tc>
          <w:tcPr>
            <w:tcW w:w="3160" w:type="dxa"/>
            <w:vAlign w:val="bottom"/>
            <w:gridSpan w:val="3"/>
            <w:shd w:val="clear" w:color="auto" w:fill="CCEEFF"/>
          </w:tcPr>
          <w:p>
            <w:pPr>
              <w:jc w:val="center"/>
              <w:ind w:left="11"/>
              <w:spacing w:after="0"/>
              <w:rPr>
                <w:sz w:val="20"/>
                <w:szCs w:val="20"/>
                <w:color w:val="auto"/>
              </w:rPr>
            </w:pPr>
            <w:r>
              <w:rPr>
                <w:rFonts w:ascii="Arial" w:cs="Arial" w:eastAsia="Arial" w:hAnsi="Arial"/>
                <w:sz w:val="18"/>
                <w:szCs w:val="18"/>
                <w:color w:val="auto"/>
                <w:w w:val="93"/>
              </w:rPr>
              <w:t>Newark, DE</w:t>
            </w: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06/15/2017</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also working under a number of other collective bargaining agreements that cover a smaller number of employees. These agreements expire within the next five years. For those agreements with upcoming expiration dates, the Company is currently negotiating renewals and expects that the renewals will be successfully completed. To date, the Company has not experienced any work stoppages or other significant labor problems in connection with its collective bargaining agreements. A lengthy strike or other work stoppage on any of our projects could have a material adverse effect on our business and results of operations due to an inability to complete contracted projects in a timely manner.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contribute to multiemployer plans that could result in liabilities to us if those plans are terminated or if we withdraw from those plans.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or withdraw from a multiemployer pension plan,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projects expose us to potential professional liability, product liability, pollution liability, warranty and other claims, which could be expensive, damage our reputation and harm our business. We may not be able to obtain or maintain adequate insurance to cover these claims.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Employee, subcontractor or partner misconduct or our overall failure to comply with laws or regulations could harm our reputation, damage our relationships with customers, reduce our revenues and profits, and subject us to criminal and civil enforcement actions.</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comply with applicable laws or regulations or acts of misconduct could subject us to fines and penalties, harm our reputation, damage our relationships with customers, reduce our revenues and profits and subject us to criminal and civil enforcement actions.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factors and changes in laws and regulations could increase our costs and liabilities.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under the Comprehensive Environmental Response, Compensation and Liability Act of 1980 (“CERCLA”), and comparable state and foreign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potential loss of business under a recently enacted California statute.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2013, the California Legislature enacted, and the governor signed, Senate Bill 54 ("SB 54"). SB 54 imposes requirements as to prevailing wages on certain private projects and requires employers to maintain a workforce in which sixty percent of the workers that have graduated from an approved apprenticeship program, regardless of whether public funds are used. SB 54 was enacted in an attempt to ensure that parties constructing or performing work on projects in refineries or otherwise involving “chemical manufacturing and processing facilities that generate, store, treat, handle, refine, process, and transport hazardous materials” do not create safety hazards by employing unskilled or untrained workers to perform the work. To accomplish this purpose, the statute requires that owners who are “contracting for the performance of construction, alteration, demolition, installation, repair, or maintenance work” on such facilities must ensure that the outside contractors use a “skilled and trained workforce.” A skilled and trained workforce is defined in the statute as a workforce in which all of the workers are registered apprentices or skilled journey persons paid at least prevailing wages. SB 54 primarily has implications to our merit operations work in refineries in the State of California. SB 54 is not applicable to contracts entered into prior to January 1, 2014. Our Oil Gas &amp; Chemical segment derived a portion of its revenues in previous years utilizing non-union employees on refinery construction and maintenance projects located in the State of California under contracts entered into prior to January 1, 2014. We intend to comply with SB 54 and our adjust our business practices accordingly. However, we have experienced a decline in revenue from our refinery customers located in the State of California as our backlog from older contracts begins to expire and we revise our business practices to conform to SB 54.</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failure in our operational systems or cyber security attacks on any of our facilities, or those of third parties, may adversely affect our financial results.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dependent upon our operational systems to process a large amount of data and complex transactions. If any of our financial, operational, or other data processing systems fail or have other significant shortcomings, our financial results could be adversely affected. Our financial results could also be adversely affected if an employee causes our operational systems to fail, either as a result of inadvertent error or by deliberately tampering with or manipulating our operational systems. In addition, dependence upon automated systems may further increase the risk that operational system flaws, employee tampering or manipulation of those systems could result in losses that are difficult to detect.</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become more reliant on technology to help increase efficiency in our business. We use numerous technologies to help run our operations, and this may subject our business to increased risks. Any cyber security attack that affects our facilities, our customers and any financial data could have a material adverse effect on our business. In addition, a cyber attack on our customer and employee data may result in a financial loss, including potential fines for failure to safeguard data, and may negatively impact our reputation. Third-party systems on which we rely could also suffer system failure. Any of these occurrences could disrupt our business, result in potential liability or reputational damage or otherwise have an adverse effect on our financial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rely on internally and externally developed software applications and systems to support critical functions including project management, estimating, scheduling,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scheduling, accounting and financial information to other systems, thus increasing our operational expense as well as disrupting the management of our business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affected by impairment charges.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we have grown in part through acquisitions, goodwill and other acquired intangible assets represent a substantial portion of our assets. We perform annual goodwill impairment reviews in the fourth quarter of every fiscal year. In addition, we perform an impairment review whenever events or changes in circumstances indicate the carrying value of goodwill or an intangible or fixed asset may not be recoverable. At some future date, we may determine that a significant impairment has occurred, which could require us to write off an additional portion of our assets and could adversely affect our financial condition or results of operations. As of June 30, 2016 the Company had $21.0 million of amortizing intangible assets and $78.3 million of non-amortizing goodwill representing 3.7% and 13.9% of the Company's total assets,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and similar worldwide anti-bribery laws.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U.S. Foreign Corrupt Practices Act and similar anti-bribery laws in other jurisdictions generally prohibit companies and their intermediaries from making improper payments to officials or others for the purpose of obtaining or retaining business. Our policies mandate compliance with these anti-bribery laws. We operate in parts of the world that have experienced corruption to some degree and, in certain circumstances, strict compliance with anti-bribery laws may conflict with local customs and practices. We train our personnel concerning anti-bribery laws and issues, and we also inform our customers, vendors, and others who work for us or on our behalf that they must comply with anti-bribery law requirements. We also have procedures and controls in place to monitor compliance. We cannot assure that our internal controls and procedures always will protect us from the possible reckless or criminal acts committed by our employees or agents. If we are found to be liable for anti-bribery law violations (either due to our own acts or our inadvertence, or due to the acts or inadvertence of others including our partners, agents, subcontractors or suppliers), we could suffer from criminal or civil penalties or other sanctions, including contract cancellations or debarment, and loss of reputation, any of which could have a material adverse effect on our business. Litigation or investigations relating to alleged or suspected violations of anti-bribery laws, even if ultimately such litigation or investigations demonstrate that we did not violate anti-bribery laws, could be costly and could divert management's attention away from other aspects of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Common Stock</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common stock, which is listed on the NASDAQ Global Select Market, has experienced significant price and volume fluctuations. These fluctuations could continue in the future, and our stockholders may not be able to resell their shares of common stock at or above the purchase price paid.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change significantly in response to various factors and events beyond our control, including the following:</w:t>
      </w:r>
    </w:p>
    <w:p>
      <w:pPr>
        <w:spacing w:after="0" w:line="183"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factors described in this Item 1A;</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conditions in our customers’ industries;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conditions in the security markets;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significant concentration of ownership of our common stock in the hands of a small number of institutional investors;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shortfall in operating revenue or net income from that expected by securities analysts and investors;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securities analysts’ estimates of our financial performance or the financial performance of our competitors or companies in our industry.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depress our stock price.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which could lead to dilution of our issued and outstanding stock.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issuance of additional common stock, restricted stock units or securities convertible into our common stock could result in dilution of the ownership interest held by existing stockholders. We are authorized to issue, without stockholder approval 5,000,000 shares of preferred stock, par value $0.01 per share, in one or more series, which may give other stockholders dividend, conversion, voting, and liquidation rights, among other rights, which may be superior to the rights of holders of our common stock. In addition, we are authorized to issue, without stockholder approval, a significant number of additional shares of our common stock and securities convertible into either common stock or preferred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properties of Matrix Service Company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220" w:type="dxa"/>
            <w:vAlign w:val="bottom"/>
            <w:tcBorders>
              <w:bottom w:val="single" w:sz="8" w:color="CCEEFF"/>
            </w:tcBorders>
          </w:tcPr>
          <w:p>
            <w:pPr>
              <w:spacing w:after="0"/>
              <w:rPr>
                <w:sz w:val="16"/>
                <w:szCs w:val="16"/>
                <w:color w:val="auto"/>
              </w:rPr>
            </w:pPr>
          </w:p>
        </w:tc>
        <w:tc>
          <w:tcPr>
            <w:tcW w:w="30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Description of Facility</w:t>
            </w:r>
          </w:p>
        </w:tc>
        <w:tc>
          <w:tcPr>
            <w:tcW w:w="42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Segment</w:t>
            </w:r>
          </w:p>
        </w:tc>
        <w:tc>
          <w:tcPr>
            <w:tcW w:w="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r>
      <w:tr>
        <w:trPr>
          <w:trHeight w:val="236"/>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Tulsa, Oklahoma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Corporate headquarters and 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All segments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Alton, Illinois</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Bakersfield, California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Oil Gas &amp; Chemical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Bellingham, Washington</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fabrication facility and</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Canonsburg, Pennsylvania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Electrical Infrastructure, Oil Gas</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&amp; Chemical,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Catoosa, Oklahoma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Fabrication facilities, regional office and</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tcPr>
          <w:p>
            <w:pPr>
              <w:ind w:left="340"/>
              <w:spacing w:after="0"/>
              <w:rPr>
                <w:sz w:val="20"/>
                <w:szCs w:val="20"/>
                <w:color w:val="auto"/>
              </w:rPr>
            </w:pPr>
            <w:r>
              <w:rPr>
                <w:rFonts w:ascii="Arial" w:cs="Arial" w:eastAsia="Arial" w:hAnsi="Arial"/>
                <w:sz w:val="16"/>
                <w:szCs w:val="16"/>
                <w:color w:val="auto"/>
              </w:rPr>
              <w:t>Leased &amp;</w:t>
            </w:r>
          </w:p>
        </w:tc>
      </w:tr>
      <w:tr>
        <w:trPr>
          <w:trHeight w:val="239"/>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Pr>
          <w:p>
            <w:pPr>
              <w:jc w:val="center"/>
              <w:spacing w:after="0" w:line="239" w:lineRule="exact"/>
              <w:rPr>
                <w:sz w:val="20"/>
                <w:szCs w:val="20"/>
                <w:color w:val="auto"/>
              </w:rPr>
            </w:pPr>
            <w:r>
              <w:rPr>
                <w:rFonts w:ascii="Arial" w:cs="Arial" w:eastAsia="Arial" w:hAnsi="Arial"/>
                <w:sz w:val="16"/>
                <w:szCs w:val="16"/>
                <w:color w:val="auto"/>
                <w:w w:val="88"/>
              </w:rPr>
              <w:t xml:space="preserve">Owned </w:t>
            </w:r>
            <w:r>
              <w:rPr>
                <w:rFonts w:ascii="Arial" w:cs="Arial" w:eastAsia="Arial" w:hAnsi="Arial"/>
                <w:sz w:val="21"/>
                <w:szCs w:val="21"/>
                <w:color w:val="auto"/>
                <w:w w:val="88"/>
                <w:vertAlign w:val="superscript"/>
              </w:rPr>
              <w:t>(1)</w:t>
            </w: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Chicago, Illinois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All segments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Eddystone, Pennsylvania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fabrication facility and</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All segments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Hammond, Indiana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fabrication facility, and</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Electrical Infrastructure, Oil Gas</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&amp; Chemical,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Houston, Texas</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offices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Leased &amp;</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Orange, California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Fabrication facility, regional office and</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Leased &amp;</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Parsippany, New Jersey</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Industrial</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Rahway, New Jersey</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Electrical Infrastructure, Oil Gas</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&amp; Chemical,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Reserve, Louisiana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Sewickley, Pennsylvania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Temperance, Michigan</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Tucson, Arizona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Industrial, 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Burlington, Ontario,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Electrical Infrastructure,</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Industrial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Calgary, Alberta,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Edmonton, Alberta,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Leduc, Alberta,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Saint John, New Brunswick,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Sarnia, Ontario,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Seoul, South Korea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Fabrication facility, regional office and</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4"/>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Sydney, Australia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47"/>
        </w:trPr>
        <w:tc>
          <w:tcPr>
            <w:tcW w:w="32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0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r>
    </w:tbl>
    <w:p>
      <w:pPr>
        <w:spacing w:after="0" w:line="251"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Certain facilities were constructed by the Company on land acquired through ground leases with renewal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660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locations listed above, Matrix has smaller regional locations and temporary office facilities at numerous customer locations throughout the United States and Canada.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annual report under Section 1503(a) of the Dodd-Frank Act and Item 104 of Regulation S-K is included in Exhibit 95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trades on the NASDAQ Global Select Market (“NASDAQ”) under the trading symbol “MTRX”. The following table sets forth the high and low sale prices for our common stock as reported by NASDAQ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color w:val="auto"/>
              </w:rPr>
              <w:t>Fiscal Year 2016</w:t>
            </w:r>
          </w:p>
        </w:tc>
        <w:tc>
          <w:tcPr>
            <w:tcW w:w="200" w:type="dxa"/>
            <w:vAlign w:val="bottom"/>
          </w:tcPr>
          <w:p>
            <w:pPr>
              <w:spacing w:after="0"/>
              <w:rPr>
                <w:sz w:val="20"/>
                <w:szCs w:val="20"/>
                <w:color w:val="auto"/>
              </w:rPr>
            </w:pPr>
          </w:p>
        </w:tc>
        <w:tc>
          <w:tcPr>
            <w:tcW w:w="1940" w:type="dxa"/>
            <w:vAlign w:val="bottom"/>
            <w:gridSpan w:val="4"/>
          </w:tcPr>
          <w:p>
            <w:pPr>
              <w:jc w:val="right"/>
              <w:ind w:right="374"/>
              <w:spacing w:after="0"/>
              <w:rPr>
                <w:sz w:val="20"/>
                <w:szCs w:val="20"/>
                <w:color w:val="auto"/>
              </w:rPr>
            </w:pPr>
            <w:r>
              <w:rPr>
                <w:rFonts w:ascii="Arial" w:cs="Arial" w:eastAsia="Arial" w:hAnsi="Arial"/>
                <w:sz w:val="18"/>
                <w:szCs w:val="18"/>
                <w:color w:val="auto"/>
              </w:rPr>
              <w:t>Fiscal Year 2015</w:t>
            </w:r>
          </w:p>
        </w:tc>
      </w:tr>
      <w:tr>
        <w:trPr>
          <w:trHeight w:val="27"/>
        </w:trPr>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2"/>
                <w:szCs w:val="22"/>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16.47</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26.22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19.41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25.06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19.19</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20.97</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15.02</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22.24</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19.40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14.07</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22.72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16.87</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our stockholders maintain their shares in "street name" accounts and are not individually stockholders of record. As of August 31, 2016, there were 24 holders of record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Credit Agreement limits the Company's purchases of its equity securities to $25.0 million in any calendar year. The table below sets forth the information with respect to purchases made by the Company of its common stock during the fourth quarter of the fiscal year ended June 30,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 Number</w:t>
            </w:r>
          </w:p>
        </w:tc>
        <w:tc>
          <w:tcPr>
            <w:tcW w:w="180" w:type="dxa"/>
            <w:vAlign w:val="bottom"/>
          </w:tcPr>
          <w:p>
            <w:pPr>
              <w:spacing w:after="0"/>
              <w:rPr>
                <w:sz w:val="12"/>
                <w:szCs w:val="12"/>
                <w:color w:val="auto"/>
              </w:rPr>
            </w:pPr>
          </w:p>
        </w:tc>
        <w:tc>
          <w:tcPr>
            <w:tcW w:w="15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Average Price</w:t>
            </w: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8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Paid</w:t>
            </w: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6"/>
                <w:szCs w:val="16"/>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Per Share</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or Programs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1 to April 30, 2016</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2,039,627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May 1 to May 31, 2016</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324,958</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15.39</w:t>
            </w: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324,958</w:t>
            </w:r>
          </w:p>
        </w:tc>
        <w:tc>
          <w:tcPr>
            <w:tcW w:w="3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1,714,669</w:t>
            </w: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2,588</w:t>
            </w:r>
          </w:p>
        </w:tc>
        <w:tc>
          <w:tcPr>
            <w:tcW w:w="3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18.53</w:t>
            </w:r>
          </w:p>
        </w:tc>
        <w:tc>
          <w:tcPr>
            <w:tcW w:w="340" w:type="dxa"/>
            <w:vAlign w:val="bottom"/>
          </w:tcPr>
          <w:p>
            <w:pPr>
              <w:spacing w:after="0"/>
              <w:rPr>
                <w:sz w:val="23"/>
                <w:szCs w:val="23"/>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1 to June 30, 2016</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1,714,669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shares purchased under our stock buyback program.</w:t>
      </w:r>
    </w:p>
    <w:p>
      <w:pPr>
        <w:spacing w:after="0" w:line="13"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shares withheld to satisfy the employee’s tax withholding obligation that is incurred upon the vesting of deferred shares granted under the Company’s stock incentive plans.</w:t>
      </w:r>
    </w:p>
    <w:p>
      <w:pPr>
        <w:spacing w:after="0" w:line="12" w:lineRule="exact"/>
        <w:rPr>
          <w:rFonts w:ascii="Arial" w:cs="Arial" w:eastAsia="Arial" w:hAnsi="Arial"/>
          <w:sz w:val="13"/>
          <w:szCs w:val="13"/>
          <w:color w:val="auto"/>
        </w:rPr>
      </w:pPr>
    </w:p>
    <w:p>
      <w:pPr>
        <w:ind w:left="540" w:right="60" w:hanging="316"/>
        <w:spacing w:after="0" w:line="246"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 November 4, 2014 the Board of Directors approved a stock buyback program. The program, which expires on December 31, 2016, allows the Company to purchase up to $25.0 million of common stock annually if sufficient liquidity exists and management believes the purchase would be beneficial to the Company's stockholders. The annual $25.0 million limitation is applied on a calendar year basis. The cumulative number of shares repurchased cannot exceed 2,653,399, which represents 10% of the shares outstanding on the date the new repurchase program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percentages and per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Twelve Months Ended</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2"/>
        </w:trPr>
        <w:tc>
          <w:tcPr>
            <w:tcW w:w="4160" w:type="dxa"/>
            <w:vAlign w:val="bottom"/>
          </w:tcPr>
          <w:p>
            <w:pPr>
              <w:spacing w:after="0"/>
              <w:rPr>
                <w:sz w:val="13"/>
                <w:szCs w:val="13"/>
                <w:color w:val="auto"/>
              </w:rPr>
            </w:pPr>
          </w:p>
        </w:tc>
        <w:tc>
          <w:tcPr>
            <w:tcW w:w="13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4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   1,311,917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1,343,135</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1,263,089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892,574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739,046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1,185,926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1,255,765</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1,126,616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797,872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659,428</w:t>
            </w:r>
          </w:p>
        </w:tc>
        <w:tc>
          <w:tcPr>
            <w:tcW w:w="1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125,991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87,370</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136,473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94,702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79,618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78,568</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77,866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47,983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Selling, general and administrative %</w:t>
            </w: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8,802</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58,607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31,635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Operating income %</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(1,898)</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36,877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17,188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tcPr>
          <w:p>
            <w:pPr>
              <w:ind w:left="40"/>
              <w:spacing w:after="0"/>
              <w:rPr>
                <w:sz w:val="20"/>
                <w:szCs w:val="20"/>
                <w:color w:val="auto"/>
              </w:rPr>
            </w:pPr>
            <w:r>
              <w:rPr>
                <w:rFonts w:ascii="Arial" w:cs="Arial" w:eastAsia="Arial" w:hAnsi="Arial"/>
                <w:sz w:val="18"/>
                <w:szCs w:val="18"/>
                <w:color w:val="auto"/>
              </w:rPr>
              <w:t>interest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(19,055)</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17,157</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17,188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Earnings per share-basic</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0.64</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0.63</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129,416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114,209</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105,687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131,908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124,553</w:t>
            </w:r>
          </w:p>
        </w:tc>
        <w:tc>
          <w:tcPr>
            <w:tcW w:w="1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564,967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561,689</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568,932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409,978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323,135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8,804</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11,621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15,773</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23,589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13,534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Cash flows provided by operations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30,326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24,438</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76,988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57,084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868,672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1,420,598</w:t>
            </w:r>
          </w:p>
        </w:tc>
        <w:tc>
          <w:tcPr>
            <w:tcW w:w="1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915,826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626,737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497,452</w:t>
            </w:r>
          </w:p>
        </w:tc>
        <w:tc>
          <w:tcPr>
            <w:tcW w:w="100" w:type="dxa"/>
            <w:vAlign w:val="bottom"/>
            <w:shd w:val="clear" w:color="auto" w:fill="CCEEFF"/>
          </w:tcPr>
          <w:p>
            <w:pPr>
              <w:spacing w:after="0"/>
              <w:rPr>
                <w:sz w:val="21"/>
                <w:szCs w:val="21"/>
                <w:color w:val="auto"/>
              </w:rPr>
            </w:pPr>
          </w:p>
        </w:tc>
      </w:tr>
      <w:tr>
        <w:trPr>
          <w:trHeight w:val="27"/>
        </w:trPr>
        <w:tc>
          <w:tcPr>
            <w:tcW w:w="4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60"/>
        <w:spacing w:after="0" w:line="286" w:lineRule="auto"/>
        <w:rPr>
          <w:sz w:val="20"/>
          <w:szCs w:val="20"/>
          <w:color w:val="auto"/>
        </w:rPr>
      </w:pPr>
      <w:r>
        <w:rPr>
          <w:rFonts w:ascii="Arial" w:cs="Arial" w:eastAsia="Arial" w:hAnsi="Arial"/>
          <w:sz w:val="17"/>
          <w:szCs w:val="17"/>
          <w:color w:val="090909"/>
        </w:rPr>
        <w:t>Refer to the Results of Operations section included in Part II, Item 7 of this Annual Report on Form 10-K for a discussion of the impacts of business combinations and contract charges that materially impacted the comparability of information in the Selected Financial Data table above, particularly for the fiscal year ended 2016 in comparison to the fiscal year ended 2015, and the fiscal year ended 2015 in comparison to the fiscal year ended 2014.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revenues and expenses during the reporting period. We base our estimates on historical experience and various other assumptions that are believed to be reasonable under the circumstances. Actual results could differ from these estimates under different assumptions or conditions. Note 1-Summary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Matrix records revenue on fixed-price contracts on a percentage-of-completion basis, primarily based on costs incurred to date compared to the total estimated cost. The Company records revenue on cost-plus and time-and-material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a provision is made through a contract write-down for the total loss anticipated. A number of our contracts contain various cost and performance incentives and penalties that impact the earnings we realize from our contracts. Adjustments related to these incentives and penalties are recorded in the period on a percentage of completion basis when estimable and probable.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or a percentage of cost incurred.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 and evaluated for accuracy throughout the year based upon actual direct labor hours and actual costs incurred.</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percentage of completion accounting for fixed-priced contracts, contract revenues and earnings are recognized ratably over the contract term based on the proportion of actual costs incurred to total estimated costs. As of June 30, 2016, the Company is performing work on two previously announced significant multi-year projects that are contracted on a fixed price basis. One of the projects is expected to be complete in fiscal 2017 and the second project is expected to be complete in fiscal 2018. Based on the information currently available, the Company believes that its current estimates relating to these projects are reasonably stated. However, it is reasonably possible that changes to these contract estimates, including those related to project costs, project timelines, and change orders or claims, could occur and have a material positive or negative impact to our results of operations and financial position in subsequent accounting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Orders and Claims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 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133"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a legal basis for the claim;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additional costs were caused by circumstances that were unforeseen by the Company and are not the result of deficiencies in our performance;</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are identifiable or determinable and are reasonable in view of the work performed;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evidence supporting the claim is objective and verifiable.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all of the these requirements are met, revenue from a claim is recorded only to the extent that we have incurred costs relating to the claim.</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2016 and June 30, 2015, costs and estimated earnings in excess of billings on uncompleted contracts included revenues for unapproved change orders and claims of $10.3 million and $12.7 million, respectively. Historically, our collections for unapproved change orders and claims have approximated the amount of revenue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Legal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or losses that could be significant.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our annual analysis during the fourth quarter of each fiscal year and in any other period in which indicators of impairment warrant additional analysis. Goodwill impairment reviews involve a two step process. Goodwill is first evaluated for impairment by comparing management's estimate of the fair value of a reporting unit with its carrying value, including goodwill.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primarily utilizes a discounted cash flow analysis, referred to as an income approach, to determine the estimated fair value of our reporting units. Significant judgments and assumptions including the discount rate, anticipated revenue growth rate and gross margins, estimated operating and interest expense,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also consider market-based approaches to assess the fair value of our reporting units. We compare market multiples from our public peer companies in the engineering and construction industry, as well as the combined carrying values of our reporting units with market capitalization.</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carrying value of our reporting unit is higher than its fair value, there is an indication that impairment may exist and the second step must be performed to measure the amount of impairment. The amount of impairment is determined by comparing the implied fair value of the reporting unit's goodwill to the carrying value of the goodwill calculated in the same manner as if the reporting unit were being acquired in a business combination. If the implied fair value of goodwill is less than its carrying value, we would record an impairment charge for the difference.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do not currently anticipate a future impairment charge, certain events could occur that would adversely affect the reported value of our goodwill. The Company has considered the likelihood of adverse changes including but not limited to changes in economic or competitive conditions, a significant change in the project plans of our customers, a deterioration in the economic condition of the customers and industries we serve, and a material negative change in the relationships with one or more of our significant customers. If our judgments and assumptions change as a result of the occurrence of any of these events or other events that we do not currently anticipate, our expectations as to future results and our estimate of the implied value of one or more of our reporting units also may change.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performed our annual impairment test in the fourth quarter to determine whether an impairment existed and to determine the amount of headroom. We define "headroom" as the percentage difference between the fair value of a reporting unit and its carrying value. The amount of headroom varies by reporting unit. Approximately 54% of our goodwill balance is attributable to one reporting unit. This unit had headroom of 158%. The remaining goodwill is attributable to six reporting units, with headroom of between 17% and 488%.</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significant assumptions, including revenue growth rates, gross margins, discount rate, interest expense and other factors may change in light of changes in the economic and competitive environment in which we operate. Assuming that all other components of our fair value estimate remain unchanged, a change in the following assumptions would have the following effect on headroom:</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4"/>
          </w:tcPr>
          <w:p>
            <w:pPr>
              <w:ind w:left="1220"/>
              <w:spacing w:after="0"/>
              <w:rPr>
                <w:sz w:val="20"/>
                <w:szCs w:val="20"/>
                <w:color w:val="auto"/>
              </w:rPr>
            </w:pPr>
            <w:r>
              <w:rPr>
                <w:rFonts w:ascii="Arial" w:cs="Arial" w:eastAsia="Arial" w:hAnsi="Arial"/>
                <w:sz w:val="16"/>
                <w:szCs w:val="16"/>
                <w:b w:val="1"/>
                <w:bCs w:val="1"/>
                <w:color w:val="auto"/>
              </w:rPr>
              <w:t>Sensitivity Analysis</w:t>
            </w:r>
          </w:p>
        </w:tc>
        <w:tc>
          <w:tcPr>
            <w:tcW w:w="192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1% Decline in Revenue</w:t>
            </w: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1% Decline in Gross</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1% Decline in Discount</w:t>
            </w:r>
          </w:p>
        </w:tc>
      </w:tr>
      <w:tr>
        <w:trPr>
          <w:trHeight w:val="210"/>
        </w:trPr>
        <w:tc>
          <w:tcPr>
            <w:tcW w:w="366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Headroom</w:t>
            </w: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Growth Rate</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Margin Percentage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Rate</w:t>
            </w:r>
          </w:p>
        </w:tc>
      </w:tr>
      <w:tr>
        <w:trPr>
          <w:trHeight w:val="33"/>
        </w:trPr>
        <w:tc>
          <w:tcPr>
            <w:tcW w:w="3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Reporting unit 1</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139%</w:t>
            </w:r>
          </w:p>
        </w:tc>
      </w:tr>
      <w:tr>
        <w:trPr>
          <w:trHeight w:val="311"/>
        </w:trPr>
        <w:tc>
          <w:tcPr>
            <w:tcW w:w="3660" w:type="dxa"/>
            <w:vAlign w:val="bottom"/>
          </w:tcPr>
          <w:p>
            <w:pPr>
              <w:ind w:left="20"/>
              <w:spacing w:after="0"/>
              <w:rPr>
                <w:sz w:val="20"/>
                <w:szCs w:val="20"/>
                <w:color w:val="auto"/>
              </w:rPr>
            </w:pPr>
            <w:r>
              <w:rPr>
                <w:rFonts w:ascii="Arial" w:cs="Arial" w:eastAsia="Arial" w:hAnsi="Arial"/>
                <w:sz w:val="18"/>
                <w:szCs w:val="18"/>
                <w:color w:val="auto"/>
              </w:rPr>
              <w:t>All other reporting units</w:t>
            </w: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17% and 488%</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10% and 466%</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-10%</w:t>
            </w:r>
            <w:r>
              <w:rPr>
                <w:rFonts w:ascii="Arial" w:cs="Arial" w:eastAsia="Arial" w:hAnsi="Arial"/>
                <w:sz w:val="21"/>
                <w:szCs w:val="21"/>
                <w:color w:val="auto"/>
                <w:w w:val="88"/>
                <w:vertAlign w:val="superscript"/>
              </w:rPr>
              <w:t>(1)</w:t>
            </w:r>
            <w:r>
              <w:rPr>
                <w:rFonts w:ascii="Arial" w:cs="Arial" w:eastAsia="Arial" w:hAnsi="Arial"/>
                <w:sz w:val="16"/>
                <w:szCs w:val="16"/>
                <w:color w:val="auto"/>
                <w:w w:val="88"/>
              </w:rPr>
              <w:t xml:space="preserve"> and 416%</w:t>
            </w:r>
          </w:p>
        </w:tc>
        <w:tc>
          <w:tcPr>
            <w:tcW w:w="1920" w:type="dxa"/>
            <w:vAlign w:val="bottom"/>
          </w:tcPr>
          <w:p>
            <w:pPr>
              <w:jc w:val="center"/>
              <w:spacing w:after="0"/>
              <w:rPr>
                <w:sz w:val="20"/>
                <w:szCs w:val="20"/>
                <w:color w:val="auto"/>
              </w:rPr>
            </w:pPr>
            <w:r>
              <w:rPr>
                <w:rFonts w:ascii="Arial" w:cs="Arial" w:eastAsia="Arial" w:hAnsi="Arial"/>
                <w:sz w:val="16"/>
                <w:szCs w:val="16"/>
                <w:color w:val="auto"/>
                <w:w w:val="90"/>
              </w:rPr>
              <w:t>9% and 441%</w:t>
            </w:r>
          </w:p>
        </w:tc>
      </w:tr>
    </w:tbl>
    <w:p>
      <w:pPr>
        <w:spacing w:after="0" w:line="359" w:lineRule="exact"/>
        <w:rPr>
          <w:sz w:val="20"/>
          <w:szCs w:val="20"/>
          <w:color w:val="auto"/>
        </w:rPr>
      </w:pPr>
    </w:p>
    <w:p>
      <w:pPr>
        <w:ind w:left="540" w:right="220" w:hanging="316"/>
        <w:spacing w:after="0" w:line="273"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1% decrease in gross margin would cause one reporting unit's carrying amount to be less than its fair value by 10%. The carrying amount of goodwill for this reporting unit totals $0.7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60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of the Company's other intangible assets have finite useful lives and are amortized by the straight-line method over their useful lives ranging from 1.5 to 15 years. Each reporting period, we evaluate the remaining useful lives of other intangible assets and review other intangible assets for impairment indicators.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annual reporting periods beginning after December 15, 2017, with early adoption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Accounting Standards Update 2014-15, Presentation of Financial Statements—Going Concern (Subtopic 205-40): Disclosure of Uncertainties about an Entity’s Ability to Continue as a Going Concern</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 early adoption is permitted. We expect to adopt this standard in fiscal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2015-16, Business Combinations (Topic 805): Simplifying the Accounting for Measurement-Period Adjustments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adopted this standard on July 1, 2016 with no material impact to the Company's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2015-17, Income Taxes (Topic 740): Balance Sheet Classification of Deferred Taxes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20, 2015, the FASB issued ASU 2015-17, which requires entities to present deferred tax assets ("DTAs") and deferred tax liabilities ("DTLs") as noncurrent in a classified balance sheet. The ASU simplifies the current guidance, which requires entities to separately present DTAs and DTLs as current and noncurrent in a classified balance sheet based on the classification of the related asset or liability. For public business entities, the ASU will be effective for annual periods beginning after December 15, 2016, and interim periods within those years with early adoption permitted. The Company elected to retrospectively early adopt ASU 2015-17, effective for the quarter ended December 31, 2015. The quantitative effects of the change on the prior balance sheet presented, for the fiscal year ended June 30, 2015, resulted in a net reclassification of $6.6 million and $6.6 million from the "Deferred income taxes" current asset and liability financial statement line items, respectively, to the "Deferred income taxes" asset and liability financial statement line items included in the noncurrent asset and liability sections of the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For public business entities, the ASU is effective for fiscal years beginning after December 15, 2018, including interim periods within those fiscal years. We are currently evaluating its expected impact on our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2016-09, Stock Compensation (Topic 718): Improvements to Employee Share-Based Payment Accounting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2016, the FASB issued ASU 2016-09, which simplified several aspects of accounting for stock-based compensation transactions, including the accounting for income taxes and forfeitures and statutory tax withholding requirements. The ASU is effective for the Company on July 1, 2017 and early adoption is permitted. The Company is planning to adopt the ASU in the first quarter of fiscal 2017, with no material impacts expected. The following is a description of the key provisions of the ASU and its transition requirements: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Accounting for Income Taxes</w:t>
      </w:r>
      <w:r>
        <w:rPr>
          <w:rFonts w:ascii="Arial" w:cs="Arial" w:eastAsia="Arial" w:hAnsi="Arial"/>
          <w:sz w:val="16"/>
          <w:szCs w:val="16"/>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Currently, the Company recognizes any excess tax benefits in additional paid-in capital ("APIC") in the balance sheet and any tax deficiencies are recognized as a reduction of APIC to the extent the Company has accumulated excess tax benefits. Any tax deficiencies in excess of accumulated excess tax benefits in APIC are recognized in the provision for income taxes. The amendments also require the Company to only present excess tax benefits and tax deficiencies in the operating section of its statements of cash flows. Currently, the Company is required to present such items in both the financing section and operating section of its statements of cash flows. Amendments to the presentation of excess tax benefits and tax deficiencies in the statements of cash flows may be applied retrospectively or prospectively.</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Amendments requiring the recognition of excess tax benefits and tax deficiencies in income are to be applied prospectively. The Company is required to apply the amendments for accumulated excess tax benefits on a modified retrospective basis as a cumulative-effect adjustment to retained earnings as of the date of adoption. The balance of accumulated excess tax benefits included in APIC was $9.8 million as of June 30, 2016.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Accounting for Forfeitures</w:t>
      </w:r>
      <w:r>
        <w:rPr>
          <w:rFonts w:ascii="Arial" w:cs="Arial" w:eastAsia="Arial" w:hAnsi="Arial"/>
          <w:sz w:val="18"/>
          <w:szCs w:val="18"/>
          <w:color w:val="auto"/>
        </w:rPr>
        <w:t>: The Company currently recognizes expense on all stock-based awards over the requisite service period, net of estimated forfeitures. The amendments in this ASU allow the Company to elect, as a company-wide accounting policy, either to continue to estimate the amount of forfeitures to exclude from compensation expense or to exclude forfeitures from compensation expense when they occur. The Company is planning to account for forfeitures when they occur when it adopts the amendments in the first quarter of fiscal 2017. The Company will apply the accounting change on a modified retrospective basis as a cumulative-effect adjustment to retained earnings as of the date of adoption. The Company does not expect the adoption of these amendments to have a material impact to its financial statements.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Statutory Tax Withholding Requirements</w:t>
      </w:r>
      <w:r>
        <w:rPr>
          <w:rFonts w:ascii="Arial" w:cs="Arial" w:eastAsia="Arial" w:hAnsi="Arial"/>
          <w:sz w:val="17"/>
          <w:szCs w:val="17"/>
          <w:color w:val="auto"/>
        </w:rPr>
        <w:t>: Currently, an entire award must be classified as a liability if the fair value of the shares withheld exceeds the Company's minimum statutory withholding obligation. Under the ASU, the Company will be allowed to withhold shares with a fair value up to the amount of tax owed using the maximum statutory tax rate in the employee's applicable jurisdictions. The Company will be allowed to determine one maximum rate for all employees in each jurisdiction, rather than a rate for each employee in the jurisdiction. Also, the ASU requires that cash outflows to reacquire shares withheld for taxes to be classified in the financing section of its statements of cash flows. Since the Company does not have any awards classified as liabilities due to statutory tax withholding requirements as of June 30, 2016, and since the Company already presents its cash outflows for reacquiring shares withheld for taxes as a financing activity in its statements of cash flows, the Company does not expect these amendments to have any impact on its financial statements when adopted during the 1st quarter of fiscal 2017.</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changes how the Company accounts for its allowance for uncolletible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The Company does not expect this update to have a material impact to its estimate of the allowance for uncollectible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 Gas &amp; Chemical segment includes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Storage Solutions segment includes new construction of crude and refined products ASTs, as well as planned and emergency maintenance services. The Storage Solutions segment also includes balance of plant work in storage terminals and tank farms. Also included in the Storage Solutions segment is work related to specialty storage tanks, including LNG, LIN/LOX, LPG tanks and other specialty vessels, including spheres. Finally, we offer AST products, including geodesic domes, aluminum internal floating roofs, floating suction and skimmer systems, roof drain systems and floating roof seals.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Our work in the mining and minerals industry is primarily for customers engaged in the extraction of copper. We also perform work in bulk material handling and fertilizer production facilities, thermal vacuum chambers, and other industrial markets.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majority of the work for all segments is performed in the United States, with 14.0% of revenues generated internationally during fiscal 2016, 10.2% in fiscal 2015 and 9.0% in fiscal 2014. The percentage of revenues generated internationally is expected to increase in fiscal 2017 compared to fiscal 2016. Significant period to period changes in revenues, gross profits and operating results are discussed below on a consolidated basis and for each segment.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Electrical</w:t>
            </w:r>
          </w:p>
        </w:tc>
        <w:tc>
          <w:tcPr>
            <w:tcW w:w="2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Storage</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Infrastructure</w:t>
            </w: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2016</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349,011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249,795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563,512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149,599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1,311,917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18,553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67,843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10,294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125,991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 %</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18,157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22,056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34,394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85,109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11,144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33,449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40,882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Fiscal Year 2015</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257,930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305,360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503,123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276,722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1,343,135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 (loss)</w:t>
            </w:r>
          </w:p>
        </w:tc>
        <w:tc>
          <w:tcPr>
            <w:tcW w:w="1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(31,444)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25,394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58,085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35,335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87,370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12,849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18,330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29,016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18,373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78,568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29,069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16,962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 %</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2014</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205,570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239,690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610,896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206,933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1,263,089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20,629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68,448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136,473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 %</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12,926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16,973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13,829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77,866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7,703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9,939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34,310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6,655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58,607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Variances Fiscal Year 2016 to Fiscal Year 2015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Increase/(Decrease)</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91,081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(127,123)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(31,218)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60,745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(6,841)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9,758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(25,041)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38,621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55,437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(10,567)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4,380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(17,170)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32,080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Variances Fiscal Year 2015 to Fiscal Year 2014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Increase/(Decrease)</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52,360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65,670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(107,773)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69,789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80,046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14,851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(49,103)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(51,996)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(5,241)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10,307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(49,805)</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Versus Fiscal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revenue was $1.312 billion in fiscal 2016, a decrease of $31.2 million, or 2.3% from consolidated revenue of $1.343 billion in fiscal 2015. On a segment basis, consolidated revenue increased in the Electrical Infrastructure and Storage Solutions segments by $91.1 million and $60.4 million, respectively, but were offset by lower revenue in the Industrial and Oil Gas &amp; Chemical segments of $127.1 million and $55.6 million, respectively.</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gross profit was $126.0 million in fiscal 2016 compared to $87.4 million in fiscal 2015. The Company recorded project charges of $7.1 million and $53.4 million on the acquired EPC joint venture project in fiscal 2016 and fiscal 2015, respectively. The charges, which are discussed in Note 3-Uncompleted Contracts, reduced fiscal 2016 gross margins by 0.6% to 9.6% and reduced fiscal 2015 gross margins by 4.3% to 6.5%.</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SG&amp;A expenses were $85.1 million in fiscal 2016 compared to $78.6 million in the prior year. The increase in fiscal 2016 is primarily related to a bad debt charge of $5.2 million, increased incentive expense related to higher profitability over the prior fiscal year, severance payments, and $1.2 million of costs related to the Baillie Tank Equipment, Ltd. acquisition described in Note 2.</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expense was $0.7 million in fiscal 2016, and $0.8 million in the prior year. Fiscal 2015 results include $0.3 million of interest income attributable to an award received due to the settlement of a customer dispute.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for fiscal 2016 was 35.6% compared to 123.2% in the same period a year earlier. Our effective tax rate for fiscal 2016 and 2015 was impacted, in part, by the acquired EPC joint venture project charges in which the Company has a 65% interest and does not receive a tax benefit. A full analysis of the Company's provision for income taxes is included in Note 6 - Income Taxes.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Fiscal 2016 net income attributable to Matrix Service Company and the related fully diluted earnings per share were $28.9 million and $1.07, compared to $17.2 million and $0.63 in the same period a year earlier.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Electrical Infrastructure segment increased $91.1 million to $349.0 million in fiscal 2016 compared to $257.9 million in the same period a year earlier. The increased revenue volume in fiscal 2016 was due to volume increases in power delivery and accelerating work on the previously announced Napanee Generating Station. The Company recorded project charges of $7.1 million and $53.4 million on the acquired EPC joint venture project in fiscal 2016 and fiscal 2015. The charges, which are discussed in Note 3- Uncompleted Contracts, reduced fiscal 2016 segment gross margins by 2.3% to 8.4% and reduced fiscal 2015 segment gross margins by 22.2% to (12.2%).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 for the Oil Gas &amp; Chemical segment was $249.8 million in fiscal 2016 compared to $305.4 million in the same period a year earlier. The decrease of $55.6 million is largely related to a significant turnaround in fiscal 2015 and lower levels of capital work in fiscal 2016. Fiscal 2016 gross margins were 7.4% compared to 8.3% a year earlier. Gross margins for fiscal 2016 were affected by lower volume, which led to the under recovery of overhead costs, and a project charge in our upstream business. Fiscal 2015 margins were negatively affected by lower than expected profitability on a significant turnaround.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Storage Solutions segment increased to $563.5 million in fiscal 2016 compared to $503.1 million in the prior year. The increase of $60.4 million is primarily attributable to a previously announced project for the construction of crude gathering terminals feeding the Dakota Access Pipeline, partially offset by lower revenue volume in our Canadian operations. Gross margins were 12.0% for fiscal 2016 compared to 11.5% in the prior year. Fiscal 2016 margins were positively impacted by the improved recovery of construction overhead costs along with strong project execution.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Industrial segment decreased $127.1 million to $149.6 million in fiscal 2016 compared to $276.7 million in the same period a year earlier. The decline in revenue is primarily attributable to lower business volumes in the iron and steel and mining markets, and lower revenue recognized on a large fertilizer project that is nearing completion. Gross margins were 6.9% in fiscal 2016 compared to 12.8% in the same period a year earlier. Fiscal 2016 margins were positively impacted by strong project execution offset by a forecasted unfavorable customer settlement and lower margins on iron and steel work due to lower volume. Fiscal 2015 gross margins were high primarily due to profit recognized on favorable project completions and a favorable settlement with a customer.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Versus Fiscal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Consolidated revenue was $1.343 billion in fiscal 2015, an increase of $80.0 million, or 6.3%, from consolidated revenue of $1.263 billion in fiscal 2014. As discussed in Note 2 - Acquisitions, the Company acquired Kvaerner North American Construction, which we refer to as Matrix NAC, late in the second quarter of fiscal 2014. The revenue increase is primarily attributable to the inclusion of a full year of Matrix NAC revenue in fiscal 2015 compared to less than seven months in fiscal 2014. On a segment basis, consolidated revenue increased in the Industrial, Oil Gas &amp; Chemical and Electrical Infrastructure segments by $69.8 million, $65.7 million and $52.3 million respectively, partially offset by a decrease in the Storage Solutions segment of $107.8 million.</w:t>
      </w:r>
    </w:p>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Consolidated gross profit was $87.4 million in fiscal 2015 compared to $136.5 million in fiscal 2014. Fiscal 2015 gross margins were reduced 4.3% to 6.5% due to an acquired EPC joint venture project charge of $53.4 million, as described in Note 3 - Uncompleted Contracts. Fiscal 2014 gross margins were 10.8%.</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SG&amp;A expense was $78.6 million in fiscal 2015 compared to $77.9 million in the same period a year earlier. Fiscal 2014 SG&amp;A expense included $2.0 million of Matrix NAC acquisition related costs. The remaining increase is primarily attributable to a full period of Matrix NAC costs in fiscal 2015 compared to less than seven months in the prior year largely offset by lower incentive compensation costs in fiscal 2015 due to reduced profitability. SG&amp;A expense as a percentage of revenue was 5.8% in fiscal 2015 compared to 6.2% in the same period a year earlier.</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expense was $0.8 million in fiscal 2015, and $1.4 million in the prior year. Fiscal 2015 results include $0.3 million of interest income attributable to an award received due to the settlement of a customer dispute.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consolidates the joint venture described in Note 2 - Acquisitions, and reports a noncontrolling interest. Accordingly, the Company's operating income includes the noncontrolling interest holder's share of the acquired EPC project loss for which the Company does not receive a tax benefit. Our effective tax rate increased to 123.2% in fiscal 2015 compared to 35.1% in fiscal 2014. The inclusion of the acquired EPC joint venture project loss for fiscal year 2015 increased our effective tax rate by 86.2%. The inclusion of the acquired EPC joint venture project profit for fiscal year 2014 decreased our effective tax rate by 0.7%.</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fiscal 2015 effective tax rate includes an additional tax benefit of $0.6 million from the reinstatement of the R&amp;D tax credit through calendar year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twelve months ended June 30, 2015, the Company received a tax benefit of $1.2 million as the result of an increase in the estimated R&amp;D tax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fiscal year ended June 30, 2014, the Company received a tax benefit of $1.7 million as the result of an increase in the estimated R&amp;D tax credit.</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Fiscal 2015 net income attributable to Matrix Service Company and the related fully diluted earnings per share were $17.2 million and $0.63, compared to $35.8 million and $1.33 in the same period a year earlier.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Electrical Infrastructure segment increased $52.3 million to $257.9 million in fiscal 2015 compared to $205.6 million in the same period a year earlier. The increased revenue volume in fiscal 2015 was primarily due to the inclusion of a full year of Matrix NAC activity and the mobilization and ramp up of work on the recently announced combined cycle gas-fueled power generation station in Canada. The acquired EPC joint venture project charge reduced gross margins 22.2% to (12.2%) in fiscal 2015. In the fourth quarter of fiscal 2015, the Company achieved mechanical completion on the acquired EPC joint venture project, therefore, any future impact to earnings is not expected to be significant. Gross margins were 10.0% in the same period a year earlier.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Oil Gas &amp; Chemical segment increased $65.7 million to $305.4 million in fiscal 2015 compared to $239.7 million in the same period a year earlier. The increased revenue was primarily due to higher levels of capital work as well as increases in turnaround and industrial cleaning work over the prior year. Gross margins were 8.3% in fiscal 2015 compared to 11.2% a year earlier. Fiscal 2015 margins were negatively affected by lower than expected profitability on a significant turnaround completed in the third quarter and under recovered construction overhead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Storage Solutions segment decreased to $503.1 million in fiscal 2015 compared to $610.9 million in the same period a year earlier. Prior year results were positively affected by significant balance of plant work. In fiscal 2015, revenue in the domestic aboveground storage tank business increased but was more than offset by lower revenue in our Canadian business due to a project delay with a large customer. Fiscal 2015 gross margins were 11.5% compared to 11.2% in the same period in the prior year. The fiscal 2015 gross margin was negatively affected by the under recovery of construction overhead costs due to lower revenue. The fiscal 2014 gross margin of 11.2% was reduced by a project charge of $8.4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Industrial segment increased to $276.7 million in fiscal 2015 compared to $206.9 million in the same period a year earlier. The increase of $69.8 million was primarily due to the inclusion of Matrix NAC activity for the full twelve month period. Gross margins were 12.8% in fiscal 2015 compared to 9.9% in the same period a year earlier. The gross margins were higher than expected and primarily due to profit recognized on favorable project completions and a favorable settlement with a customer, partially offset by lower construction overhead cost recovery. The Company expects revenues in this segment to decline in fiscal 2016 due to the completion of a fertilizer project in fiscal 2015 and gross margins to be lower due to challenging conditions in the steel industry.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300" w:hanging="324"/>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does not include interest expense. Because we have borrowed money to finance our operations and to acquire businesses, pay commitment fees to maintain our senior revolving credit facility, and incur fees to issue letters of credit under the senior revolving credit facility, interest expense is a necessary and ongoing part of our costs and has assisted us in generating revenue. Therefore, any measure that excludes interest expense has material limitations.</w:t>
      </w:r>
    </w:p>
    <w:p>
      <w:pPr>
        <w:spacing w:after="0" w:line="186"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Twelve Months Ended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52"/>
        </w:trPr>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08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r>
      <w:tr>
        <w:trPr>
          <w:trHeight w:val="196"/>
        </w:trPr>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Matrix Service Company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35,810</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1,436</w:t>
            </w:r>
          </w:p>
        </w:tc>
      </w:tr>
      <w:tr>
        <w:trPr>
          <w:trHeight w:val="27"/>
        </w:trPr>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19,934</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21,441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23,480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18,518</w:t>
            </w:r>
          </w:p>
        </w:tc>
      </w:tr>
      <w:tr>
        <w:trPr>
          <w:trHeight w:val="27"/>
        </w:trPr>
        <w:tc>
          <w:tcPr>
            <w:tcW w:w="6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65,272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51,963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75,698</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define liquidity as the ability to pay our liabilities as they become due, fund business operations and meet all contractual and financial obligations. Our primary sources of liquidity in fiscal 2016 were cash on hand at the beginning of the year, capacity under our senior revolving credit facility and cash generated from operations. Cash on hand at June 30, 2016 totaled $71.7 million and availability under the senior revolving credit facility totaled $159.1 million, resulting in total liquidity of $230.8 million. The United States Dollar equivalent of Canadian, South Korean and Australian deposits totaled $16.8 million and is included in our consolidated cash balance. We expect to fund our operations for the next twelve months through the use of cash generated from operations, existing cash balances and borrowings under our senior revolving credit facility, as necessary.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that may impact our long-term liquidity include, but are not limited to:</w:t>
      </w:r>
    </w:p>
    <w:p>
      <w:pPr>
        <w:spacing w:after="0" w:line="171" w:lineRule="exact"/>
        <w:rPr>
          <w:sz w:val="20"/>
          <w:szCs w:val="20"/>
          <w:color w:val="auto"/>
        </w:rPr>
      </w:pPr>
    </w:p>
    <w:p>
      <w:pPr>
        <w:ind w:left="640" w:right="10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16" w:lineRule="exact"/>
        <w:rPr>
          <w:rFonts w:ascii="Arial" w:cs="Arial" w:eastAsia="Arial" w:hAnsi="Arial"/>
          <w:sz w:val="18"/>
          <w:szCs w:val="18"/>
          <w:color w:val="auto"/>
        </w:rPr>
      </w:pPr>
    </w:p>
    <w:p>
      <w:pPr>
        <w:ind w:left="1000" w:right="40" w:hanging="317"/>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16" w:lineRule="exact"/>
        <w:rPr>
          <w:rFonts w:ascii="Arial" w:cs="Arial" w:eastAsia="Arial" w:hAnsi="Arial"/>
          <w:sz w:val="18"/>
          <w:szCs w:val="18"/>
          <w:color w:val="auto"/>
        </w:rPr>
      </w:pPr>
    </w:p>
    <w:p>
      <w:pPr>
        <w:ind w:left="1000" w:right="140" w:hanging="317"/>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16" w:lineRule="exact"/>
        <w:rPr>
          <w:rFonts w:ascii="Arial" w:cs="Arial" w:eastAsia="Arial" w:hAnsi="Arial"/>
          <w:sz w:val="18"/>
          <w:szCs w:val="18"/>
          <w:color w:val="auto"/>
        </w:rPr>
      </w:pPr>
    </w:p>
    <w:p>
      <w:pPr>
        <w:ind w:left="1000" w:hanging="317"/>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171"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Collection issues, including those caused by weak commodity prices or other factors which can lead to credit deterioration of our customers</w:t>
      </w:r>
    </w:p>
    <w:p>
      <w:pPr>
        <w:spacing w:after="0" w:line="182" w:lineRule="exact"/>
        <w:rPr>
          <w:rFonts w:ascii="Arial" w:cs="Arial" w:eastAsia="Arial" w:hAnsi="Arial"/>
          <w:sz w:val="17"/>
          <w:szCs w:val="17"/>
          <w:color w:val="auto"/>
        </w:rPr>
      </w:pPr>
    </w:p>
    <w:p>
      <w:pPr>
        <w:ind w:left="640" w:hanging="321"/>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Capacity constraints under our senior revolving credit facility and remaining in compliance with all covenants contained in the Credit Agreement</w:t>
      </w:r>
    </w:p>
    <w:p>
      <w:pPr>
        <w:spacing w:after="0" w:line="182" w:lineRule="exact"/>
        <w:rPr>
          <w:rFonts w:ascii="Arial" w:cs="Arial" w:eastAsia="Arial" w:hAnsi="Arial"/>
          <w:sz w:val="17"/>
          <w:szCs w:val="17"/>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of Baillie Tank Equipment, Ltd. discussed in Note 2 of the Notes to Consolidated Financial Statements included in Part II, Item 8 of this Annual Report on Form 10-K was funded with cash on hand. The Company believes that the remaining availability under the senior revolving credit facility, as discussed under the caption "Senior Revolving Credit Facility" included in this Financial Condition and Liquidity section of the Form 10-K, along with cash on hand and cash generated from operations will provide sufficient liquidity to achieve both our short and long-term business objectives.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under the caption "Senior Revolving Credit Facility" included in this Financial Condition and Liquidity section of the Form 10-K, our Credit Agreement includes a Senior Leverage Ratio covenant, which provides that Consolidated Funded Indebtedness, as defined in the Credit Agreement, as of the end of any fiscal quarter, may not exceed 2.5 times Consolidated EBITDA, as defined in the Credit Agreement, over the previous four quarters. Consequently, recent operating results have caused a short term capacity constraint on the Company's senior revolving credit facility. Although the constraint reduces our liquidity, the Company believes that the remaining availability under our senior revolving credit facility along with cash on hand and cash generated from operations will provide sufficient liquidity to achieve both our short-term and long-term business objectives.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provided by operating activities for the twelve months ended June 30, 2016 totaled $30.3 million. Major components of cash flows from operating activities for the year ending June 30, 2016 are as follows:</w:t>
      </w:r>
    </w:p>
    <w:p>
      <w:pPr>
        <w:spacing w:after="0" w:line="27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5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25,537</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8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33,753</w:t>
            </w:r>
          </w:p>
        </w:tc>
      </w:tr>
      <w:tr>
        <w:trPr>
          <w:trHeight w:val="27"/>
        </w:trPr>
        <w:tc>
          <w:tcPr>
            <w:tcW w:w="8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1,871</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Cash effect of changes in operating assets and liabilities, net of acquisitions</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(27,814)</w:t>
            </w:r>
          </w:p>
        </w:tc>
      </w:tr>
      <w:tr>
        <w:trPr>
          <w:trHeight w:val="27"/>
        </w:trPr>
        <w:tc>
          <w:tcPr>
            <w:tcW w:w="8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r>
      <w:tr>
        <w:trPr>
          <w:trHeight w:val="257"/>
        </w:trPr>
        <w:tc>
          <w:tcPr>
            <w:tcW w:w="89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30,326</w:t>
            </w:r>
          </w:p>
        </w:tc>
      </w:tr>
      <w:tr>
        <w:trPr>
          <w:trHeight w:val="20"/>
        </w:trPr>
        <w:tc>
          <w:tcPr>
            <w:tcW w:w="8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cash effect of significant changes in operating assets and liabilities at June 30, 2016 in comparison to June 30, 2015 includes the following, net of the effects from acquisitions:</w:t>
      </w:r>
    </w:p>
    <w:p>
      <w:pPr>
        <w:spacing w:after="0" w:line="116" w:lineRule="exact"/>
        <w:rPr>
          <w:sz w:val="20"/>
          <w:szCs w:val="20"/>
          <w:color w:val="auto"/>
        </w:rPr>
      </w:pPr>
    </w:p>
    <w:p>
      <w:pPr>
        <w:ind w:left="640" w:right="40" w:hanging="321"/>
        <w:spacing w:after="0" w:line="297"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Costs and estimated earnings in excess of billings on uncompleted contracts ("CIE") increased $17.9 million while billings on uncompleted contracts in excess of costs and estimated earnings ("BIE") decreased $38.4 million. The changes were due to the timing of invoice billings and collections. CIE and BIE balances can experience significant day-to-day fluctuations based on contract terms, the timing of when job costs are incurred, the invoicing of those job costs to the customer and subsequent cash collection, and other working capital management factors. See the Consolidated Statement of Cash Flows at Part 2, Item 8 of this Annual Report on Form 10-K for adjustments to net income and the impact of operating activities.</w:t>
      </w:r>
    </w:p>
    <w:p>
      <w:pPr>
        <w:spacing w:after="0" w:line="104" w:lineRule="exact"/>
        <w:rPr>
          <w:rFonts w:ascii="Arial" w:cs="Arial" w:eastAsia="Arial" w:hAnsi="Arial"/>
          <w:sz w:val="16"/>
          <w:szCs w:val="16"/>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payable increased by $14.7 million primarily due to the timing of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Investing activities used $26.6 million of cash during the year ended June 30, 2016 due to capital expenditures of $13.9 million and the net purchase price of $13.0 million for the acquisition of Baillie Tank Equipment, Ltd. as discussed in Note 2 - Acquisitions, partially offset by proceeds from asset dispositions of $0.4 million. Capital expenditures included $5.2 million for the purchase of construction and fabrication equipment and small tools, $3.6 million for transportation equipment, $2.7 million for office equipment and software, and $2.2 million for land and buildings. The Company expects to spend approximately $20.1 million on capital expenditures in fiscal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Financing Activities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Financing activities used $10.6 million of cash during the year ended June 30, 2016 primarily due to repayments of borrowings under our senior revolving credit facility of $19.0 million, the purchase of $10.5 million of Company stock as permitted under the Company's stock buyback program and the repurchase of $4.6 million of Company stock for payment of withholding taxes due on equity-based compensation. These uses of cash were partially offset by $10.9 million of capital contributions received from the non-controlling interest holder of the EPC joint venture, borrowings under our senior revolving credit facility of $10.2 million, excess tax benefits of $3.3 million on exercised stock options and vesting of deferred shares, exercise of stock options of $0.6 million and $0.3 million of cash received from employees for the purchase of shares in connection with the Company's Employee Stock Purchase Plan.</w:t>
      </w:r>
    </w:p>
    <w:p>
      <w:pPr>
        <w:spacing w:after="0" w:line="111" w:lineRule="exact"/>
        <w:rPr>
          <w:sz w:val="20"/>
          <w:szCs w:val="20"/>
          <w:color w:val="auto"/>
        </w:rPr>
      </w:pPr>
    </w:p>
    <w:p>
      <w:pPr>
        <w:ind w:right="380"/>
        <w:spacing w:after="0" w:line="438" w:lineRule="auto"/>
        <w:rPr>
          <w:sz w:val="20"/>
          <w:szCs w:val="20"/>
          <w:color w:val="auto"/>
        </w:rPr>
      </w:pPr>
      <w:r>
        <w:rPr>
          <w:rFonts w:ascii="Arial" w:cs="Arial" w:eastAsia="Arial" w:hAnsi="Arial"/>
          <w:sz w:val="18"/>
          <w:szCs w:val="18"/>
          <w:color w:val="auto"/>
        </w:rPr>
        <w:t xml:space="preserve">Borrowings during fiscal 2016 under our senior revolving credit facility were used for Canadian Dollar advances required for short-term working capital. </w:t>
      </w:r>
      <w:r>
        <w:rPr>
          <w:rFonts w:ascii="Arial" w:cs="Arial" w:eastAsia="Arial" w:hAnsi="Arial"/>
          <w:sz w:val="18"/>
          <w:szCs w:val="18"/>
          <w:i w:val="1"/>
          <w:iCs w:val="1"/>
          <w:color w:val="auto"/>
        </w:rPr>
        <w:t>Senior Revolving Credit Facility</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five-year, $200.0 million senior secured revolving credit facility under a credit agreement (the “Credit Agreement”) that expires March 13, 2019. Advances under the senior revolving credit facility may be used for working capital, acquisitions, capital expenditures, issuance of letters of credit and other lawful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determined as of the end of each fiscal quarter.</w:t>
      </w:r>
    </w:p>
    <w:p>
      <w:pPr>
        <w:spacing w:after="0" w:line="171" w:lineRule="exact"/>
        <w:rPr>
          <w:rFonts w:ascii="Arial" w:cs="Arial" w:eastAsia="Arial" w:hAnsi="Arial"/>
          <w:sz w:val="18"/>
          <w:szCs w:val="18"/>
          <w:color w:val="auto"/>
        </w:rPr>
      </w:pPr>
    </w:p>
    <w:p>
      <w:pPr>
        <w:ind w:left="640" w:right="22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Amounts borrowed under the senior revolving credit facility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Revolving Credit Facility Fee is between 0.20% and 0.35% based on the Senior Leverage Ratio.</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as defined in the Credit Agreement, may not exceed 2.5 times Consolidated EBITDA, as defined in the Credit Agreement, over the previous four quarters. For the four quarters ended June 30, 2016, Consolidated EBITDA, as defined in the Credit Agreement, was $71.9 million. Accordingly, at June 30, 2016, there was a restriction on our ability to access the full amount of the senior revolving credit facility. However, any continued constraint in future fiscal periods is not expected to impact our ability to operate the business. Consolidated Funded Indebtedness at June 30, 2016 was $13.1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revolving credit facility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jc w:val="right"/>
              <w:ind w:right="754"/>
              <w:spacing w:after="0"/>
              <w:rPr>
                <w:sz w:val="20"/>
                <w:szCs w:val="20"/>
                <w:color w:val="auto"/>
              </w:rPr>
            </w:pPr>
            <w:r>
              <w:rPr>
                <w:rFonts w:ascii="Arial" w:cs="Arial" w:eastAsia="Arial" w:hAnsi="Arial"/>
                <w:sz w:val="14"/>
                <w:szCs w:val="14"/>
                <w:b w:val="1"/>
                <w:bCs w:val="1"/>
                <w:color w:val="auto"/>
              </w:rPr>
              <w:t>June 30,</w:t>
            </w:r>
          </w:p>
        </w:tc>
      </w:tr>
      <w:tr>
        <w:trPr>
          <w:trHeight w:val="192"/>
        </w:trPr>
        <w:tc>
          <w:tcPr>
            <w:tcW w:w="6420" w:type="dxa"/>
            <w:vAlign w:val="bottom"/>
          </w:tcPr>
          <w:p>
            <w:pPr>
              <w:spacing w:after="0"/>
              <w:rPr>
                <w:sz w:val="16"/>
                <w:szCs w:val="16"/>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2015</w:t>
            </w:r>
          </w:p>
        </w:tc>
      </w:tr>
      <w:tr>
        <w:trPr>
          <w:trHeight w:val="250"/>
        </w:trPr>
        <w:tc>
          <w:tcPr>
            <w:tcW w:w="6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21"/>
                <w:szCs w:val="21"/>
                <w:color w:val="auto"/>
              </w:rPr>
            </w:pPr>
          </w:p>
        </w:tc>
      </w:tr>
      <w:tr>
        <w:trPr>
          <w:trHeight w:val="25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revolving credit facility</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14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20,138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54,968</w:t>
            </w:r>
          </w:p>
        </w:tc>
      </w:tr>
      <w:tr>
        <w:trPr>
          <w:trHeight w:val="27"/>
        </w:trPr>
        <w:tc>
          <w:tcPr>
            <w:tcW w:w="6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senior revolving credit facility</w:t>
            </w:r>
          </w:p>
        </w:tc>
        <w:tc>
          <w:tcPr>
            <w:tcW w:w="1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179,862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145,032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14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8,804</w:t>
            </w:r>
          </w:p>
        </w:tc>
      </w:tr>
      <w:tr>
        <w:trPr>
          <w:trHeight w:val="27"/>
        </w:trPr>
        <w:tc>
          <w:tcPr>
            <w:tcW w:w="6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20,755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40,587</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Availability under the senior revolving credit facility</w:t>
            </w:r>
          </w:p>
        </w:tc>
        <w:tc>
          <w:tcPr>
            <w:tcW w:w="1420" w:type="dxa"/>
            <w:vAlign w:val="bottom"/>
            <w:tcBorders>
              <w:top w:val="single" w:sz="8" w:color="auto"/>
            </w:tcBorders>
          </w:tcPr>
          <w:p>
            <w:pPr>
              <w:jc w:val="right"/>
              <w:ind w:right="121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8"/>
              </w:rPr>
              <w:t>159,107</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95,641</w:t>
            </w:r>
          </w:p>
        </w:tc>
      </w:tr>
      <w:tr>
        <w:trPr>
          <w:trHeight w:val="27"/>
        </w:trPr>
        <w:tc>
          <w:tcPr>
            <w:tcW w:w="64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other affirmative, negative, and financial covenants under the Credit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2016, the Company was at the lowest margin tier for the LIBOR, Alternate Base Rate, CDOR and Canadian Prime Rate loans and the lowest tier for the Unused Revolving Credit Facility Fee.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4, 2014 the Board of Directors approved a stock buyback program that replaced the program that had been in place since November 2012. The new program, which expires on December 31, 2016, allows the Company to purchase up to $25.0 million of common stock annually if sufficient liquidity exists and management believes the purchase would be accretive to the Company's stockholders. The annual $25.0 million limitation is applied on a calendar year basis. The cumulative number of shares repurchased cannot exceed 2,653,399, which represents 10% of the shares outstanding on the date the new repurchase program was approved. The Company purchased 654,958 and 283,772 shares for $10.5 million and $5.0 million under the stock buyback program during the fiscal years ended June 30, 2016 and 2015, respectively.</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205,504 shares during fiscal 2016 to satisfy these obligations. These shares were returned to the Company’s pool of treasury shares.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1,591,072 treasury shares as of June 30, 2016 and intends to utilize these treasury shares solely in connection with equity awards under the Company’s stock incentive plans.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the following commitments and off-balance sheet arrangements were in place to support our ordinary course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4"/>
              </w:rPr>
              <w:t>Commitments by Expiration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Less than 1</w:t>
            </w:r>
          </w:p>
        </w:tc>
        <w:tc>
          <w:tcPr>
            <w:tcW w:w="26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3–5 Years</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More than 5</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20,755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20,755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2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135,712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137,595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156,467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158,350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540" w:right="160" w:hanging="316"/>
        <w:spacing w:after="0" w:line="257"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All letters of credit issued under our senior revolving credit facility are in support of our workers’ compensation insurance programs or certain construction contracts. The letters of credit that support our workers’ compensation programs are expected to renew annually through the term of our senior revolving credit facility. The letters of credit that support construction contracts will expire within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97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at June 30, 2016 are summarized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Contractual Obligations by Expiration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Less than 1</w:t>
            </w: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3-5 Years</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More than 5</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33,731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39,700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interest rate risk results primarily from our variable rate indebtedness under our Credit Agreement, which is influenced by movements in short-term rates. Borrowings under our $200.0 million senior revolving credit facility are based on an Alternate Base Rate, LIBOR, CDOR or Canadian Prime Rate as elected by the Company plus an additional margin based on our Senior Leverage Ratio.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interest rate risk at June 30, 2016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Maturity by Fiscal Year</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Fair Value as</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center"/>
              <w:ind w:right="104"/>
              <w:spacing w:after="0" w:line="139" w:lineRule="exact"/>
              <w:rPr>
                <w:sz w:val="20"/>
                <w:szCs w:val="20"/>
                <w:color w:val="auto"/>
              </w:rPr>
            </w:pPr>
            <w:r>
              <w:rPr>
                <w:rFonts w:ascii="Arial" w:cs="Arial" w:eastAsia="Arial" w:hAnsi="Arial"/>
                <w:sz w:val="14"/>
                <w:szCs w:val="14"/>
                <w:b w:val="1"/>
                <w:bCs w:val="1"/>
                <w:color w:val="auto"/>
                <w:w w:val="90"/>
              </w:rPr>
              <w:t>of June 30,</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2017</w:t>
            </w:r>
          </w:p>
        </w:tc>
        <w:tc>
          <w:tcPr>
            <w:tcW w:w="11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2019</w:t>
            </w:r>
          </w:p>
        </w:tc>
        <w:tc>
          <w:tcPr>
            <w:tcW w:w="114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12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0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3340" w:type="dxa"/>
            <w:vAlign w:val="bottom"/>
          </w:tcPr>
          <w:p>
            <w:pPr>
              <w:ind w:left="40"/>
              <w:spacing w:after="0"/>
              <w:rPr>
                <w:sz w:val="20"/>
                <w:szCs w:val="20"/>
                <w:color w:val="auto"/>
              </w:rPr>
            </w:pPr>
            <w:r>
              <w:rPr>
                <w:rFonts w:ascii="Arial" w:cs="Arial" w:eastAsia="Arial" w:hAnsi="Arial"/>
                <w:sz w:val="18"/>
                <w:szCs w:val="18"/>
                <w:color w:val="auto"/>
              </w:rPr>
              <w:t xml:space="preserve">Variable rate debt </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140" w:type="dxa"/>
            <w:vAlign w:val="bottom"/>
          </w:tcPr>
          <w:p>
            <w:pPr>
              <w:ind w:left="50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40" w:right="40" w:hanging="316"/>
        <w:spacing w:after="0" w:line="267" w:lineRule="auto"/>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Amounts borrowed under the Credit Agreement bear interest at LIBOR or an Alternate Base Rate, plus in each case, an additional margin based on the Senior Leverage Ratio. The additional margin on Alternate Base Rate loans ranges between 0.25% and 1.0% and the additional margin on LIBOR-based loans ranges between 1.25% and 2.0%. 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 The Unused Credit Facility Fee is between 0.20% and 0.35% based on the Senior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-840740</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interest rate risk at June 30, 2015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Maturity by Fiscal Year</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Fair Value as</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center"/>
              <w:ind w:right="104"/>
              <w:spacing w:after="0" w:line="139" w:lineRule="exact"/>
              <w:rPr>
                <w:sz w:val="20"/>
                <w:szCs w:val="20"/>
                <w:color w:val="auto"/>
              </w:rPr>
            </w:pPr>
            <w:r>
              <w:rPr>
                <w:rFonts w:ascii="Arial" w:cs="Arial" w:eastAsia="Arial" w:hAnsi="Arial"/>
                <w:sz w:val="14"/>
                <w:szCs w:val="14"/>
                <w:b w:val="1"/>
                <w:bCs w:val="1"/>
                <w:color w:val="auto"/>
                <w:w w:val="90"/>
              </w:rPr>
              <w:t>of June 30,</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2016</w:t>
            </w:r>
          </w:p>
        </w:tc>
        <w:tc>
          <w:tcPr>
            <w:tcW w:w="11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2017</w:t>
            </w: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2018</w:t>
            </w:r>
          </w:p>
        </w:tc>
        <w:tc>
          <w:tcPr>
            <w:tcW w:w="8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5"/>
                <w:szCs w:val="5"/>
                <w:color w:val="auto"/>
              </w:rPr>
            </w:pPr>
          </w:p>
        </w:tc>
        <w:tc>
          <w:tcPr>
            <w:tcW w:w="112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8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40" w:type="dxa"/>
            <w:vAlign w:val="bottom"/>
            <w:gridSpan w:val="2"/>
          </w:tcPr>
          <w:p>
            <w:pPr>
              <w:ind w:left="4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3340" w:type="dxa"/>
            <w:vAlign w:val="bottom"/>
          </w:tcPr>
          <w:p>
            <w:pPr>
              <w:ind w:left="40"/>
              <w:spacing w:after="0"/>
              <w:rPr>
                <w:sz w:val="20"/>
                <w:szCs w:val="20"/>
                <w:color w:val="auto"/>
              </w:rPr>
            </w:pPr>
            <w:r>
              <w:rPr>
                <w:rFonts w:ascii="Arial" w:cs="Arial" w:eastAsia="Arial" w:hAnsi="Arial"/>
                <w:sz w:val="18"/>
                <w:szCs w:val="18"/>
                <w:color w:val="auto"/>
              </w:rPr>
              <w:t xml:space="preserve">Variable rate debt </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140" w:type="dxa"/>
            <w:vAlign w:val="bottom"/>
          </w:tcPr>
          <w:p>
            <w:pPr>
              <w:ind w:left="50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8,804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8,804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4"/>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40" w:right="40" w:hanging="316"/>
        <w:spacing w:after="0" w:line="267" w:lineRule="auto"/>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borrowed under the Credit Agreement bear interest at LIBOR or an Alternate Base Rate, plus in each case, an additional margin based on the Senior Leverage Ratio. The additional margin on Alternate Base Rate loans ranges between 0.25% and 1.0% and the additional margin on LIBOR-based loans ranges between 1.25% and 2.0%. 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 The Unused Credit Facility Fee is between 0.20% and 0.35% based on the Senior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-840740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Matrix Service Company has subsidiaries with operations in Canada and South Korea, which use the Canadian Dollar and South Korean Won, respectively, as their functional currencies. The Company also has a subsidiary with operations in Australia, but its functional currency is the U.S. Dollar since its sales are primarily denominated in U.S. Dollars. The Company's operations in South Korea and Australia were acquired in the Baillie Tank Equipment, Ltd. acquisition as discussed in Note 2 of the Notes to Consolidated Financial Statements included in Part II, Item 8 of this Annual Report on Form 10-K.</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movements in the Canadian Dollar to U.S. Dollar exchange rate have not significantly impacted the Company's results. Also, the Company does not expect exchange rate fluctuations in its South Korean and Australian operations to materially impact its financial results since these operations represent an insignificant portion of the Company's consolidated revenues and expenses. However, further growth in its Canadian, South Korean and/or Australian operations and/or significant fluctuations in the Canadian Dollar, South Korean Won and/or Australian Dollar to U.S. Dollar exchange rates could impact the Company’s financial results in the future.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has not entered into derivative instruments to hedge foreign currency risk, but periodically evaluates the materiality of our foreign currency exposure. To mitigate our risk, on occasion we borrow Canadian Dollars under our senior revolving credit facility to settle U.S. Dollar account balances. A 10% unfavorable change in the Canadian Dollar against the U.S. Dollar would not have had a material impact on the financial results of the Company for the fiscal year ended June 30,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no direct commodity exposure, but we do have exposure to materials derived from certain commodities including steel plate, steel pipe, and copper which are key materials used by the Company. Supplies of these materials are available throughout the United States and worldwide. We anticipate that adequate amounts of these materials will be available in the foreseeable future. However, the price, quantity, and delivery schedules of these materials could change rapidly due to various factors, including producer capacity, the level of foreign imports, worldwide demand, the imposition or removal of tariffs on imported steel and other market conditions. We mitigate these risks primarily by procuring materials upon contract execution to ensure that our purchase price approximates the costs included in the project estimate, and also by negotiating contract escalation clauses to cover unexpected costs due to fluctuations in materials derived from certain commodities.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6"/>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567"/>
        </w:trPr>
        <w:tc>
          <w:tcPr>
            <w:tcW w:w="40" w:type="dxa"/>
            <w:vAlign w:val="bottom"/>
          </w:tcPr>
          <w:p>
            <w:pPr>
              <w:spacing w:after="0"/>
              <w:rPr>
                <w:sz w:val="24"/>
                <w:szCs w:val="24"/>
                <w:color w:val="auto"/>
              </w:rPr>
            </w:pPr>
          </w:p>
        </w:tc>
        <w:tc>
          <w:tcPr>
            <w:tcW w:w="11180" w:type="dxa"/>
            <w:vAlign w:val="bottom"/>
            <w:gridSpan w:val="15"/>
          </w:tcPr>
          <w:p>
            <w:pPr>
              <w:spacing w:after="0"/>
              <w:rPr>
                <w:sz w:val="20"/>
                <w:szCs w:val="20"/>
                <w:color w:val="auto"/>
              </w:rPr>
            </w:pPr>
            <w:r>
              <w:rPr>
                <w:rFonts w:ascii="Arial" w:cs="Arial" w:eastAsia="Arial" w:hAnsi="Arial"/>
                <w:sz w:val="18"/>
                <w:szCs w:val="18"/>
                <w:color w:val="auto"/>
              </w:rPr>
              <w:t>Financial Statements of the Company</w:t>
            </w:r>
          </w:p>
        </w:tc>
        <w:tc>
          <w:tcPr>
            <w:tcW w:w="18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Management’s Report on Internal Control Over Financial Reporting</w:t>
              </w:r>
            </w:hyperlink>
          </w:p>
        </w:tc>
        <w:tc>
          <w:tcPr>
            <w:tcW w:w="180" w:type="dxa"/>
            <w:vAlign w:val="bottom"/>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1"/>
              </w:rPr>
              <w:t>Reports of Independent Registered Public Accounting Firm</w:t>
            </w:r>
          </w:p>
        </w:tc>
        <w:tc>
          <w:tcPr>
            <w:tcW w:w="600" w:type="dxa"/>
            <w:vAlign w:val="bottom"/>
            <w:tcBorders>
              <w:top w:val="single" w:sz="8" w:color="0000EE"/>
            </w:tcBorders>
          </w:tcPr>
          <w:p>
            <w:pPr>
              <w:spacing w:after="0"/>
              <w:rPr>
                <w:sz w:val="24"/>
                <w:szCs w:val="24"/>
                <w:color w:val="auto"/>
              </w:rPr>
            </w:pPr>
          </w:p>
        </w:tc>
        <w:tc>
          <w:tcPr>
            <w:tcW w:w="594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Consolidated Statements of Income for the Years Ended June 30, 2016, June 30, 2015, and June 30, 2014</w:t>
              </w:r>
            </w:hyperlink>
          </w:p>
        </w:tc>
        <w:tc>
          <w:tcPr>
            <w:tcW w:w="292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Comprehensive Income for the Years Ended June 30, 2016, June 30, 2015, and June 30,</w:t>
              </w:r>
            </w:hyperlink>
          </w:p>
        </w:tc>
        <w:tc>
          <w:tcPr>
            <w:tcW w:w="1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80" w:type="dxa"/>
            <w:vAlign w:val="bottom"/>
            <w:gridSpan w:val="4"/>
          </w:tcPr>
          <w:p>
            <w:pPr>
              <w:ind w:left="720"/>
              <w:spacing w:after="0" w:line="196" w:lineRule="exact"/>
              <w:rPr>
                <w:rFonts w:ascii="Arial" w:cs="Arial" w:eastAsia="Arial" w:hAnsi="Arial"/>
                <w:sz w:val="18"/>
                <w:szCs w:val="18"/>
                <w:color w:val="0000EE"/>
                <w:w w:val="84"/>
              </w:rPr>
            </w:pPr>
            <w:hyperlink w:anchor="page49">
              <w:r>
                <w:rPr>
                  <w:rFonts w:ascii="Arial" w:cs="Arial" w:eastAsia="Arial" w:hAnsi="Arial"/>
                  <w:sz w:val="18"/>
                  <w:szCs w:val="18"/>
                  <w:color w:val="0000EE"/>
                  <w:w w:val="84"/>
                </w:rPr>
                <w:t>2014</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Balance Sheets as of June 30, 2016 and June 30, 2015</w:t>
              </w:r>
            </w:hyperlink>
          </w:p>
        </w:tc>
        <w:tc>
          <w:tcPr>
            <w:tcW w:w="5620" w:type="dxa"/>
            <w:vAlign w:val="bottom"/>
            <w:gridSpan w:val="5"/>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Statements of Cash Flows for the Years Ended June 30, 2016, June 30, 2015, and June 30, 2014</w:t>
              </w:r>
            </w:hyperlink>
          </w:p>
        </w:tc>
        <w:tc>
          <w:tcPr>
            <w:tcW w:w="262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Changes in Stockholders’ Equity for the Years Ended June 30, 2016, June 30, 2015, and</w:t>
              </w:r>
            </w:hyperlink>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June 30, 2014</w:t>
              </w:r>
            </w:hyperlink>
          </w:p>
        </w:tc>
        <w:tc>
          <w:tcPr>
            <w:tcW w:w="9500" w:type="dxa"/>
            <w:vAlign w:val="bottom"/>
            <w:gridSpan w:val="11"/>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Notes to Consolidated Financial Statements</w:t>
              </w:r>
            </w:hyperlink>
          </w:p>
        </w:tc>
        <w:tc>
          <w:tcPr>
            <w:tcW w:w="736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54</w:t>
              </w:r>
            </w:hyperlink>
          </w:p>
        </w:tc>
      </w:tr>
      <w:tr>
        <w:trPr>
          <w:trHeight w:val="372"/>
        </w:trPr>
        <w:tc>
          <w:tcPr>
            <w:tcW w:w="40" w:type="dxa"/>
            <w:vAlign w:val="bottom"/>
          </w:tcPr>
          <w:p>
            <w:pPr>
              <w:spacing w:after="0"/>
              <w:rPr>
                <w:sz w:val="24"/>
                <w:szCs w:val="24"/>
                <w:color w:val="auto"/>
              </w:rPr>
            </w:pPr>
          </w:p>
        </w:tc>
        <w:tc>
          <w:tcPr>
            <w:tcW w:w="27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Quarterly Financial Data (Unaudited)</w:t>
              </w:r>
            </w:hyperlink>
          </w:p>
        </w:tc>
        <w:tc>
          <w:tcPr>
            <w:tcW w:w="8480" w:type="dxa"/>
            <w:vAlign w:val="bottom"/>
            <w:gridSpan w:val="10"/>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79</w:t>
              </w:r>
            </w:hyperlink>
          </w:p>
        </w:tc>
      </w:tr>
      <w:tr>
        <w:trPr>
          <w:trHeight w:val="372"/>
        </w:trPr>
        <w:tc>
          <w:tcPr>
            <w:tcW w:w="40" w:type="dxa"/>
            <w:vAlign w:val="bottom"/>
          </w:tcPr>
          <w:p>
            <w:pPr>
              <w:spacing w:after="0"/>
              <w:rPr>
                <w:sz w:val="24"/>
                <w:szCs w:val="24"/>
                <w:color w:val="auto"/>
              </w:rPr>
            </w:pPr>
          </w:p>
        </w:tc>
        <w:tc>
          <w:tcPr>
            <w:tcW w:w="11180" w:type="dxa"/>
            <w:vAlign w:val="bottom"/>
            <w:gridSpan w:val="1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Schedule II—Valuation and Qualifying Accounts</w:t>
              </w:r>
            </w:hyperlink>
          </w:p>
        </w:tc>
        <w:tc>
          <w:tcPr>
            <w:tcW w:w="180" w:type="dxa"/>
            <w:vAlign w:val="bottom"/>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80</w:t>
              </w:r>
            </w:hyperlink>
          </w:p>
        </w:tc>
      </w:tr>
      <w:tr>
        <w:trPr>
          <w:trHeight w:val="20"/>
        </w:trPr>
        <w:tc>
          <w:tcPr>
            <w:tcW w:w="40" w:type="dxa"/>
            <w:vAlign w:val="bottom"/>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26"/>
        </w:trPr>
        <w:tc>
          <w:tcPr>
            <w:tcW w:w="11220" w:type="dxa"/>
            <w:vAlign w:val="bottom"/>
            <w:gridSpan w:val="16"/>
          </w:tcPr>
          <w:p>
            <w:pPr>
              <w:spacing w:after="0"/>
              <w:rPr>
                <w:sz w:val="20"/>
                <w:szCs w:val="20"/>
                <w:color w:val="auto"/>
              </w:rPr>
            </w:pPr>
            <w:r>
              <w:rPr>
                <w:rFonts w:ascii="Arial" w:cs="Arial" w:eastAsia="Arial" w:hAnsi="Arial"/>
                <w:sz w:val="18"/>
                <w:szCs w:val="18"/>
                <w:b w:val="1"/>
                <w:bCs w:val="1"/>
                <w:color w:val="auto"/>
              </w:rPr>
              <w:t>Financial Statement Schedules</w:t>
            </w:r>
          </w:p>
        </w:tc>
        <w:tc>
          <w:tcPr>
            <w:tcW w:w="180" w:type="dxa"/>
            <w:vAlign w:val="bottom"/>
          </w:tcPr>
          <w:p>
            <w:pPr>
              <w:spacing w:after="0"/>
              <w:rPr>
                <w:sz w:val="24"/>
                <w:szCs w:val="24"/>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 schedule is filed as a part of this report under Schedule II – Valuation and Qualifying Accounts for the three fiscal years ended June 30, 2016, June 30, 2015 and June 30, 2014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management of Matrix Service Company (the “Company”) and its wholly-owned subsidiaries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3" w:lineRule="exact"/>
        <w:rPr>
          <w:sz w:val="20"/>
          <w:szCs w:val="20"/>
          <w:color w:val="auto"/>
        </w:rPr>
      </w:pPr>
    </w:p>
    <w:p>
      <w:pPr>
        <w:ind w:firstLine="8"/>
        <w:spacing w:after="0" w:line="261"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June 30, 2016. In making this assessment, the Company’s management used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set forth by the Committee of Sponsoring Organizations of the Treadway Commission (“COSO”) in Internal Control-Integrated Framework.</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2016 was effective.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has issued an attestation report on the effectiveness of the Company’s internal control over financial reporting as of June 30, 2016.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John R. Hewitt</w:t>
            </w:r>
          </w:p>
        </w:tc>
        <w:tc>
          <w:tcPr>
            <w:tcW w:w="2500" w:type="dxa"/>
            <w:vAlign w:val="bottom"/>
          </w:tcPr>
          <w:p>
            <w:pPr>
              <w:spacing w:after="0"/>
              <w:rPr>
                <w:sz w:val="20"/>
                <w:szCs w:val="20"/>
                <w:color w:val="auto"/>
              </w:rPr>
            </w:pPr>
          </w:p>
        </w:tc>
        <w:tc>
          <w:tcPr>
            <w:tcW w:w="4680" w:type="dxa"/>
            <w:vAlign w:val="bottom"/>
          </w:tcPr>
          <w:p>
            <w:pPr>
              <w:jc w:val="center"/>
              <w:ind w:left="262"/>
              <w:spacing w:after="0"/>
              <w:rPr>
                <w:sz w:val="20"/>
                <w:szCs w:val="20"/>
                <w:color w:val="auto"/>
              </w:rPr>
            </w:pPr>
            <w:r>
              <w:rPr>
                <w:rFonts w:ascii="Arial" w:cs="Arial" w:eastAsia="Arial" w:hAnsi="Arial"/>
                <w:sz w:val="18"/>
                <w:szCs w:val="18"/>
                <w:color w:val="auto"/>
                <w:w w:val="89"/>
              </w:rPr>
              <w:t>/S/ Kevin S. Cavanah</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4"/>
              </w:rPr>
              <w:t>John R. Hewitt</w:t>
            </w:r>
          </w:p>
        </w:tc>
        <w:tc>
          <w:tcPr>
            <w:tcW w:w="2500" w:type="dxa"/>
            <w:vAlign w:val="bottom"/>
          </w:tcPr>
          <w:p>
            <w:pPr>
              <w:spacing w:after="0"/>
              <w:rPr>
                <w:sz w:val="16"/>
                <w:szCs w:val="16"/>
                <w:color w:val="auto"/>
              </w:rPr>
            </w:pPr>
          </w:p>
        </w:tc>
        <w:tc>
          <w:tcPr>
            <w:tcW w:w="46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3"/>
              </w:rPr>
              <w:t>Kevin S. Cavanah</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c>
          <w:tcPr>
            <w:tcW w:w="2500" w:type="dxa"/>
            <w:vAlign w:val="bottom"/>
          </w:tcPr>
          <w:p>
            <w:pPr>
              <w:spacing w:after="0"/>
              <w:rPr>
                <w:sz w:val="17"/>
                <w:szCs w:val="17"/>
                <w:color w:val="auto"/>
              </w:rPr>
            </w:pPr>
          </w:p>
        </w:tc>
        <w:tc>
          <w:tcPr>
            <w:tcW w:w="46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4"/>
              </w:rPr>
              <w:t>Vice President and Chief Financial Officer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4240" w:type="dxa"/>
            <w:vAlign w:val="bottom"/>
          </w:tcPr>
          <w:p>
            <w:pPr>
              <w:spacing w:after="0"/>
              <w:rPr>
                <w:sz w:val="20"/>
                <w:szCs w:val="20"/>
                <w:color w:val="auto"/>
              </w:rPr>
            </w:pPr>
            <w:r>
              <w:rPr>
                <w:rFonts w:ascii="Arial" w:cs="Arial" w:eastAsia="Arial" w:hAnsi="Arial"/>
                <w:sz w:val="18"/>
                <w:szCs w:val="18"/>
                <w:color w:val="auto"/>
              </w:rPr>
              <w:t>September 1, 2016</w:t>
            </w:r>
          </w:p>
        </w:tc>
        <w:tc>
          <w:tcPr>
            <w:tcW w:w="25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240" w:type="dxa"/>
            <w:vAlign w:val="bottom"/>
          </w:tcPr>
          <w:p>
            <w:pPr>
              <w:spacing w:after="0"/>
              <w:rPr>
                <w:sz w:val="24"/>
                <w:szCs w:val="24"/>
                <w:color w:val="auto"/>
              </w:rPr>
            </w:pPr>
          </w:p>
        </w:tc>
        <w:tc>
          <w:tcPr>
            <w:tcW w:w="2500" w:type="dxa"/>
            <w:vAlign w:val="bottom"/>
          </w:tcPr>
          <w:p>
            <w:pPr>
              <w:jc w:val="right"/>
              <w:ind w:right="850"/>
              <w:spacing w:after="0"/>
              <w:rPr>
                <w:sz w:val="20"/>
                <w:szCs w:val="20"/>
                <w:color w:val="auto"/>
              </w:rPr>
            </w:pPr>
            <w:r>
              <w:rPr>
                <w:rFonts w:ascii="Arial" w:cs="Arial" w:eastAsia="Arial" w:hAnsi="Arial"/>
                <w:sz w:val="18"/>
                <w:szCs w:val="18"/>
                <w:color w:val="auto"/>
              </w:rPr>
              <w:t>44</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internal control over financial reporting of Matrix Service Company and subsidiaries (the “Company”) as of June 30, 2016, based on the criteria established in Internal Control - Integrated Framework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June 30, 2016, based on the criteria established in Internal Control-Integrated Framework (2013) issued by the Committee of Sponsoring Organizations of the Treadway Commission.</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June 30, 2016 and financial statement schedule of the Company and our report dated September 1, 2016 expressed an unqualified opinion on those financial statements and 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Matrix Service Company and subsidiaries (the “Company”) as of June 30, 2016 and 2015, and the related consolidated statements of income, comprehensive income, cash flows and changes in stockholders’ equity for each of the three years in the period ended June 30, 2016.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Matrix Service Company and subsidiaries as of June 30, 2016 and 2015, and the results of their operations and their cash flows for each of the three years in the period ended June 30, 2016,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June 30, 2016,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September 1, 2016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1,311,917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1,343,135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1,263,089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1,185,926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1,255,765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1,126,616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125,991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136,473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85,109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78,568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77,866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58,607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39,653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8,192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56,811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19,934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36,877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28,863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17,157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35,810</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26,603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26,288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27,100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27,177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26,976</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47</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Twelve Months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2"/>
        </w:trPr>
        <w:tc>
          <w:tcPr>
            <w:tcW w:w="7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36,877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1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Foreign currency translation loss (net of tax of $236, $606 and $116 for the years ended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June 30, 2016, 2015 and 2014,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24,618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36,468</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1,067</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attributable to Matrix Service Company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27,944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11,413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35,401</w:t>
            </w:r>
          </w:p>
        </w:tc>
      </w:tr>
      <w:tr>
        <w:trPr>
          <w:trHeight w:val="27"/>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440" w:type="dxa"/>
            <w:vAlign w:val="bottom"/>
          </w:tcPr>
          <w:p>
            <w:pPr>
              <w:jc w:val="right"/>
              <w:ind w:right="5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79,239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 less allowances (2016 - $8,403; 2015 - $561)</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190,434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199,149</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86,071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2,773</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5,660</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375,446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373,471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32,746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90,386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87,561</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47,468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29,577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28,874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5,196</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215,708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201,845</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(116,782)</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84,731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85,063</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20,999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23,961</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3,947</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564,967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561,689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440" w:type="dxa"/>
            <w:vAlign w:val="bottom"/>
          </w:tcPr>
          <w:p>
            <w:pPr>
              <w:jc w:val="right"/>
              <w:ind w:right="5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125,792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58,327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96,704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26,725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9,246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8,100</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6,621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6,498</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267,087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1,244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revolving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249,401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277,135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Matrix Service Company stockholders' equity:</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Common stock—$.01 par value; 60,000,000 shares authorized; 27,888,217 shares issued as of</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6"/>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June 30, 2016 and June 30, 2015; 26,297,145 and 26,440,823 shares outstanding as of June 30,</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 and June 30, 2015</w:t>
            </w: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126,958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123,038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223,257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194,394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(5,926)</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343,649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311,785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w w:val="92"/>
              </w:rPr>
              <w:t>Less treasury stock, at cost — 1,591,072 and 1,447,394 shares as of June 30, 2016 and June 30, 2015</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(26,907)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(18,489)</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Matrix Service Company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316,742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293,296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(8,742)</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315,566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284,554</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564,967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561,689</w:t>
            </w:r>
          </w:p>
        </w:tc>
      </w:tr>
      <w:tr>
        <w:trPr>
          <w:trHeight w:val="27"/>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25,537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36,877</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Adjustments to reconcile net income to net cash provided by operating activities, net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effects of 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21,441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23,480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18,518</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(Gain) loss on sale of property, plant and equipment</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uncollectible accounts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6,317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5,688</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6"/>
              </w:rPr>
              <w:t>Excess tax benefit of exercised stock options and vesting of deferred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208</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Changes in operating assets and liabilities increasing (decreasing) cash, net of effects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(31,395)</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6"/>
              </w:rPr>
              <w:t>Costs and estimated earnings in excess of billings on uncompleted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13,540</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14,698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12,957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29,234</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6"/>
              </w:rPr>
              <w:t>Billings on uncompleted contracts in excess of costs and estimated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3,142</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6,468</w:t>
            </w: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76,988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 of property, plant and equipment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Acquisitions, net of cash acquired (Note 2)</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asset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by investing activities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15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(13,939)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(15,773)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(23,589)</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(13,049)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(51,607)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(26,566)</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(20,574)</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-334010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4" w:lineRule="exact"/>
        <w:rPr>
          <w:sz w:val="20"/>
          <w:szCs w:val="20"/>
          <w:color w:val="auto"/>
        </w:rPr>
      </w:pPr>
    </w:p>
    <w:p>
      <w:pPr>
        <w:jc w:val="center"/>
        <w:ind w:right="4820"/>
        <w:spacing w:after="0"/>
        <w:rPr>
          <w:sz w:val="20"/>
          <w:szCs w:val="20"/>
          <w:color w:val="auto"/>
        </w:rPr>
      </w:pPr>
      <w:r>
        <w:rPr>
          <w:rFonts w:ascii="Arial" w:cs="Arial" w:eastAsia="Arial" w:hAnsi="Arial"/>
          <w:sz w:val="15"/>
          <w:szCs w:val="15"/>
          <w:i w:val="1"/>
          <w:iCs w:val="1"/>
          <w:color w:val="auto"/>
        </w:rPr>
        <w:t>See accompanying notes</w:t>
      </w:r>
    </w:p>
    <w:p>
      <w:pPr>
        <w:spacing w:after="0" w:line="152" w:lineRule="exact"/>
        <w:rPr>
          <w:sz w:val="20"/>
          <w:szCs w:val="20"/>
          <w:color w:val="auto"/>
        </w:rPr>
      </w:pPr>
    </w:p>
    <w:p>
      <w:pPr>
        <w:jc w:val="center"/>
        <w:ind w:right="4820"/>
        <w:spacing w:after="0"/>
        <w:rPr>
          <w:sz w:val="20"/>
          <w:szCs w:val="20"/>
          <w:color w:val="auto"/>
        </w:rPr>
      </w:pPr>
      <w:r>
        <w:rPr>
          <w:rFonts w:ascii="Arial" w:cs="Arial" w:eastAsia="Arial" w:hAnsi="Arial"/>
          <w:sz w:val="18"/>
          <w:szCs w:val="18"/>
          <w:i w:val="1"/>
          <w:iCs w:val="1"/>
          <w:color w:val="auto"/>
        </w:rPr>
        <w:t>51</w:t>
      </w:r>
    </w:p>
    <w:p>
      <w:pPr>
        <w:sectPr>
          <w:pgSz w:w="11900" w:h="16838" w:orient="portrait"/>
          <w:cols w:equalWidth="0" w:num="2">
            <w:col w:w="4100" w:space="720"/>
            <w:col w:w="660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Advances under senior revolving credit facility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10,213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11,165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87,826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(76,205)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Repayment of acquired long-term debt</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debt amendment fees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Open market purchase of treasury shares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7"/>
              </w:rPr>
              <w:t>Repurchase of common stock for payment of statutory taxes due on equity-based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contributions from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71,656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79,239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77,115</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19,160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Interest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Purchases of property, plant and equipment on account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Assumption of debt from acquisition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Balances, July 1, 2013</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20" w:right="360"/>
        <w:spacing w:after="0" w:line="253" w:lineRule="auto"/>
        <w:rPr>
          <w:sz w:val="20"/>
          <w:szCs w:val="20"/>
          <w:color w:val="auto"/>
        </w:rPr>
      </w:pPr>
      <w:r>
        <w:rPr>
          <w:rFonts w:ascii="Arial" w:cs="Arial" w:eastAsia="Arial" w:hAnsi="Arial"/>
          <w:sz w:val="14"/>
          <w:szCs w:val="14"/>
          <w:color w:val="auto"/>
        </w:rPr>
        <w:t>Consolidated joint venture included in acquisition (Note 2)</w:t>
      </w:r>
    </w:p>
    <w:p>
      <w:pPr>
        <w:spacing w:after="0" w:line="12" w:lineRule="exact"/>
        <w:rPr>
          <w:sz w:val="20"/>
          <w:szCs w:val="20"/>
          <w:color w:val="auto"/>
        </w:rPr>
      </w:pPr>
    </w:p>
    <w:p>
      <w:pPr>
        <w:ind w:left="420" w:right="240"/>
        <w:spacing w:after="0" w:line="305" w:lineRule="auto"/>
        <w:rPr>
          <w:sz w:val="20"/>
          <w:szCs w:val="20"/>
          <w:color w:val="auto"/>
        </w:rPr>
      </w:pPr>
      <w:r>
        <w:rPr>
          <w:rFonts w:ascii="Arial" w:cs="Arial" w:eastAsia="Arial" w:hAnsi="Arial"/>
          <w:sz w:val="12"/>
          <w:szCs w:val="12"/>
          <w:color w:val="auto"/>
        </w:rPr>
        <w:t>Treasury Shares sold to Employee Stock Purchase Plan (5,440 shares) (Note 12)</w:t>
      </w:r>
    </w:p>
    <w:p>
      <w:pPr>
        <w:ind w:left="420"/>
        <w:spacing w:after="0"/>
        <w:rPr>
          <w:sz w:val="20"/>
          <w:szCs w:val="20"/>
          <w:color w:val="auto"/>
        </w:rPr>
      </w:pPr>
      <w:r>
        <w:rPr>
          <w:rFonts w:ascii="Arial" w:cs="Arial" w:eastAsia="Arial" w:hAnsi="Arial"/>
          <w:sz w:val="13"/>
          <w:szCs w:val="13"/>
          <w:color w:val="auto"/>
        </w:rPr>
        <w:t>Exercise of stock options (134,450 shares)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Issuance of deferred shares (266,209 shares)</w:t>
      </w:r>
    </w:p>
    <w:p>
      <w:pPr>
        <w:spacing w:after="0" w:line="132" w:lineRule="exact"/>
        <w:rPr>
          <w:sz w:val="20"/>
          <w:szCs w:val="20"/>
          <w:color w:val="auto"/>
        </w:rPr>
      </w:pPr>
    </w:p>
    <w:p>
      <w:pPr>
        <w:ind w:left="420" w:right="160"/>
        <w:spacing w:after="0" w:line="305" w:lineRule="auto"/>
        <w:rPr>
          <w:sz w:val="20"/>
          <w:szCs w:val="20"/>
          <w:color w:val="auto"/>
        </w:rPr>
      </w:pPr>
      <w:r>
        <w:rPr>
          <w:rFonts w:ascii="Arial" w:cs="Arial" w:eastAsia="Arial" w:hAnsi="Arial"/>
          <w:sz w:val="12"/>
          <w:szCs w:val="12"/>
          <w:color w:val="auto"/>
        </w:rPr>
        <w:t>Treasury shares repurchased to satisfy tax withholding obligations (80,096 shares)</w:t>
      </w:r>
    </w:p>
    <w:p>
      <w:pPr>
        <w:ind w:left="420" w:right="220"/>
        <w:spacing w:after="0" w:line="253" w:lineRule="auto"/>
        <w:rPr>
          <w:sz w:val="20"/>
          <w:szCs w:val="20"/>
          <w:color w:val="auto"/>
        </w:rPr>
      </w:pPr>
      <w:r>
        <w:rPr>
          <w:rFonts w:ascii="Arial" w:cs="Arial" w:eastAsia="Arial" w:hAnsi="Arial"/>
          <w:sz w:val="14"/>
          <w:szCs w:val="14"/>
          <w:color w:val="auto"/>
        </w:rPr>
        <w:t>Tax effect of exercised stock options and vesting of deferred shares</w:t>
      </w:r>
    </w:p>
    <w:p>
      <w:pPr>
        <w:spacing w:after="0" w:line="12" w:lineRule="exact"/>
        <w:rPr>
          <w:sz w:val="20"/>
          <w:szCs w:val="20"/>
          <w:color w:val="auto"/>
        </w:rPr>
      </w:pPr>
    </w:p>
    <w:p>
      <w:pPr>
        <w:ind w:left="60" w:right="520" w:firstLine="351"/>
        <w:spacing w:after="0" w:line="402" w:lineRule="auto"/>
        <w:rPr>
          <w:sz w:val="20"/>
          <w:szCs w:val="20"/>
          <w:color w:val="auto"/>
        </w:rPr>
      </w:pPr>
      <w:r>
        <w:rPr>
          <w:rFonts w:ascii="Arial" w:cs="Arial" w:eastAsia="Arial" w:hAnsi="Arial"/>
          <w:sz w:val="14"/>
          <w:szCs w:val="14"/>
          <w:color w:val="auto"/>
        </w:rPr>
        <w:t>Stock-based compensation expense Balances, June 30, 2014</w:t>
      </w:r>
    </w:p>
    <w:p>
      <w:pPr>
        <w:spacing w:after="0" w:line="1" w:lineRule="exact"/>
        <w:rPr>
          <w:sz w:val="20"/>
          <w:szCs w:val="20"/>
          <w:color w:val="auto"/>
        </w:rPr>
      </w:pPr>
    </w:p>
    <w:p>
      <w:pPr>
        <w:ind w:left="420" w:right="160"/>
        <w:spacing w:after="0" w:line="253" w:lineRule="auto"/>
        <w:rPr>
          <w:sz w:val="20"/>
          <w:szCs w:val="20"/>
          <w:color w:val="auto"/>
        </w:rPr>
      </w:pPr>
      <w:r>
        <w:rPr>
          <w:rFonts w:ascii="Arial" w:cs="Arial" w:eastAsia="Arial" w:hAnsi="Arial"/>
          <w:sz w:val="14"/>
          <w:szCs w:val="14"/>
          <w:color w:val="auto"/>
        </w:rPr>
        <w:t>Capital contributions from noncontrolling interest</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20" w:right="160"/>
        <w:spacing w:after="0" w:line="253" w:lineRule="auto"/>
        <w:rPr>
          <w:sz w:val="20"/>
          <w:szCs w:val="20"/>
          <w:color w:val="auto"/>
        </w:rPr>
      </w:pPr>
      <w:r>
        <w:rPr>
          <w:rFonts w:ascii="Arial" w:cs="Arial" w:eastAsia="Arial" w:hAnsi="Arial"/>
          <w:sz w:val="14"/>
          <w:szCs w:val="14"/>
          <w:color w:val="auto"/>
        </w:rPr>
        <w:t>Open market purchases of treasury shares (283,772 shares)</w:t>
      </w:r>
    </w:p>
    <w:p>
      <w:pPr>
        <w:spacing w:after="0" w:line="12" w:lineRule="exact"/>
        <w:rPr>
          <w:sz w:val="20"/>
          <w:szCs w:val="20"/>
          <w:color w:val="auto"/>
        </w:rPr>
      </w:pPr>
    </w:p>
    <w:p>
      <w:pPr>
        <w:jc w:val="both"/>
        <w:ind w:left="420" w:right="240"/>
        <w:spacing w:after="0" w:line="305" w:lineRule="auto"/>
        <w:rPr>
          <w:sz w:val="20"/>
          <w:szCs w:val="20"/>
          <w:color w:val="auto"/>
        </w:rPr>
      </w:pPr>
      <w:r>
        <w:rPr>
          <w:rFonts w:ascii="Arial" w:cs="Arial" w:eastAsia="Arial" w:hAnsi="Arial"/>
          <w:sz w:val="12"/>
          <w:szCs w:val="12"/>
          <w:color w:val="auto"/>
        </w:rPr>
        <w:t>Treasury Shares sold to Employee Stock Purchase Plan (13,243 shares) (Note 12)</w:t>
      </w:r>
    </w:p>
    <w:p>
      <w:pPr>
        <w:ind w:left="420"/>
        <w:spacing w:after="0"/>
        <w:rPr>
          <w:sz w:val="20"/>
          <w:szCs w:val="20"/>
          <w:color w:val="auto"/>
        </w:rPr>
      </w:pPr>
      <w:r>
        <w:rPr>
          <w:rFonts w:ascii="Arial" w:cs="Arial" w:eastAsia="Arial" w:hAnsi="Arial"/>
          <w:sz w:val="13"/>
          <w:szCs w:val="13"/>
          <w:color w:val="auto"/>
        </w:rPr>
        <w:t>Exercise of stock options (55,200 shares)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Issuance of deferred shares (326,763 shares)</w:t>
      </w:r>
    </w:p>
    <w:p>
      <w:pPr>
        <w:spacing w:after="0" w:line="132" w:lineRule="exact"/>
        <w:rPr>
          <w:sz w:val="20"/>
          <w:szCs w:val="20"/>
          <w:color w:val="auto"/>
        </w:rPr>
      </w:pPr>
    </w:p>
    <w:p>
      <w:pPr>
        <w:jc w:val="both"/>
        <w:ind w:left="420" w:right="160"/>
        <w:spacing w:after="0" w:line="305" w:lineRule="auto"/>
        <w:rPr>
          <w:sz w:val="20"/>
          <w:szCs w:val="20"/>
          <w:color w:val="auto"/>
        </w:rPr>
      </w:pPr>
      <w:r>
        <w:rPr>
          <w:rFonts w:ascii="Arial" w:cs="Arial" w:eastAsia="Arial" w:hAnsi="Arial"/>
          <w:sz w:val="12"/>
          <w:szCs w:val="12"/>
          <w:color w:val="auto"/>
        </w:rPr>
        <w:t>Treasury shares repurchased to satisfy tax withholding obligations (105,058 shares)</w:t>
      </w:r>
    </w:p>
    <w:p>
      <w:pPr>
        <w:ind w:left="420" w:right="220"/>
        <w:spacing w:after="0" w:line="253" w:lineRule="auto"/>
        <w:rPr>
          <w:sz w:val="20"/>
          <w:szCs w:val="20"/>
          <w:color w:val="auto"/>
        </w:rPr>
      </w:pPr>
      <w:r>
        <w:rPr>
          <w:rFonts w:ascii="Arial" w:cs="Arial" w:eastAsia="Arial" w:hAnsi="Arial"/>
          <w:sz w:val="14"/>
          <w:szCs w:val="14"/>
          <w:color w:val="auto"/>
        </w:rPr>
        <w:t>Tax effect of exercised stock options and vesting of deferred shares</w:t>
      </w:r>
    </w:p>
    <w:p>
      <w:pPr>
        <w:spacing w:after="0" w:line="12" w:lineRule="exact"/>
        <w:rPr>
          <w:sz w:val="20"/>
          <w:szCs w:val="20"/>
          <w:color w:val="auto"/>
        </w:rPr>
      </w:pPr>
    </w:p>
    <w:p>
      <w:pPr>
        <w:ind w:left="60" w:right="520" w:firstLine="351"/>
        <w:spacing w:after="0" w:line="402" w:lineRule="auto"/>
        <w:rPr>
          <w:sz w:val="20"/>
          <w:szCs w:val="20"/>
          <w:color w:val="auto"/>
        </w:rPr>
      </w:pPr>
      <w:r>
        <w:rPr>
          <w:rFonts w:ascii="Arial" w:cs="Arial" w:eastAsia="Arial" w:hAnsi="Arial"/>
          <w:sz w:val="14"/>
          <w:szCs w:val="14"/>
          <w:color w:val="auto"/>
        </w:rPr>
        <w:t>Stock-based compensation expense Balances, June 30, 2015</w:t>
      </w:r>
    </w:p>
    <w:p>
      <w:pPr>
        <w:spacing w:after="0" w:line="1" w:lineRule="exact"/>
        <w:rPr>
          <w:sz w:val="20"/>
          <w:szCs w:val="20"/>
          <w:color w:val="auto"/>
        </w:rPr>
      </w:pPr>
    </w:p>
    <w:p>
      <w:pPr>
        <w:ind w:left="420" w:right="40"/>
        <w:spacing w:after="0" w:line="253" w:lineRule="auto"/>
        <w:rPr>
          <w:sz w:val="20"/>
          <w:szCs w:val="20"/>
          <w:color w:val="auto"/>
        </w:rPr>
      </w:pPr>
      <w:r>
        <w:rPr>
          <w:rFonts w:ascii="Arial" w:cs="Arial" w:eastAsia="Arial" w:hAnsi="Arial"/>
          <w:sz w:val="14"/>
          <w:szCs w:val="14"/>
          <w:color w:val="auto"/>
        </w:rPr>
        <w:t>Capital contributions from Non-Controlling Interest</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20" w:right="160"/>
        <w:spacing w:after="0" w:line="253" w:lineRule="auto"/>
        <w:rPr>
          <w:sz w:val="20"/>
          <w:szCs w:val="20"/>
          <w:color w:val="auto"/>
        </w:rPr>
      </w:pPr>
      <w:r>
        <w:rPr>
          <w:rFonts w:ascii="Arial" w:cs="Arial" w:eastAsia="Arial" w:hAnsi="Arial"/>
          <w:sz w:val="14"/>
          <w:szCs w:val="14"/>
          <w:color w:val="auto"/>
        </w:rPr>
        <w:t>Open market purchases of treasury shares (654,958)</w:t>
      </w:r>
    </w:p>
    <w:p>
      <w:pPr>
        <w:spacing w:after="0" w:line="12" w:lineRule="exact"/>
        <w:rPr>
          <w:sz w:val="20"/>
          <w:szCs w:val="20"/>
          <w:color w:val="auto"/>
        </w:rPr>
      </w:pPr>
    </w:p>
    <w:p>
      <w:pPr>
        <w:jc w:val="both"/>
        <w:ind w:left="420" w:right="200"/>
        <w:spacing w:after="0" w:line="305" w:lineRule="auto"/>
        <w:rPr>
          <w:sz w:val="20"/>
          <w:szCs w:val="20"/>
          <w:color w:val="auto"/>
        </w:rPr>
      </w:pPr>
      <w:r>
        <w:rPr>
          <w:rFonts w:ascii="Arial" w:cs="Arial" w:eastAsia="Arial" w:hAnsi="Arial"/>
          <w:sz w:val="12"/>
          <w:szCs w:val="12"/>
          <w:color w:val="auto"/>
        </w:rPr>
        <w:t>Treasury Shares Sold to Employee Stock Purchase Plan (17,304 shares) (Note 12)</w:t>
      </w:r>
    </w:p>
    <w:p>
      <w:pPr>
        <w:ind w:left="420"/>
        <w:spacing w:after="0"/>
        <w:rPr>
          <w:sz w:val="20"/>
          <w:szCs w:val="20"/>
          <w:color w:val="auto"/>
        </w:rPr>
      </w:pPr>
      <w:r>
        <w:rPr>
          <w:rFonts w:ascii="Arial" w:cs="Arial" w:eastAsia="Arial" w:hAnsi="Arial"/>
          <w:sz w:val="13"/>
          <w:szCs w:val="13"/>
          <w:color w:val="auto"/>
        </w:rPr>
        <w:t>Exercise of stock options (68,037 shares)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Issuance of deferred shares (631,443 shares)</w:t>
      </w:r>
    </w:p>
    <w:p>
      <w:pPr>
        <w:spacing w:after="0" w:line="132" w:lineRule="exact"/>
        <w:rPr>
          <w:sz w:val="20"/>
          <w:szCs w:val="20"/>
          <w:color w:val="auto"/>
        </w:rPr>
      </w:pPr>
    </w:p>
    <w:p>
      <w:pPr>
        <w:jc w:val="both"/>
        <w:ind w:left="420" w:right="160"/>
        <w:spacing w:after="0" w:line="305" w:lineRule="auto"/>
        <w:rPr>
          <w:sz w:val="20"/>
          <w:szCs w:val="20"/>
          <w:color w:val="auto"/>
        </w:rPr>
      </w:pPr>
      <w:r>
        <w:rPr>
          <w:rFonts w:ascii="Arial" w:cs="Arial" w:eastAsia="Arial" w:hAnsi="Arial"/>
          <w:sz w:val="12"/>
          <w:szCs w:val="12"/>
          <w:color w:val="auto"/>
        </w:rPr>
        <w:t>Treasury shares repurchased to satisfy tax withholding obligations (205,504 shares)</w:t>
      </w:r>
    </w:p>
    <w:p>
      <w:pPr>
        <w:ind w:left="420" w:right="220"/>
        <w:spacing w:after="0" w:line="253" w:lineRule="auto"/>
        <w:rPr>
          <w:sz w:val="20"/>
          <w:szCs w:val="20"/>
          <w:color w:val="auto"/>
        </w:rPr>
      </w:pPr>
      <w:r>
        <w:rPr>
          <w:rFonts w:ascii="Arial" w:cs="Arial" w:eastAsia="Arial" w:hAnsi="Arial"/>
          <w:sz w:val="14"/>
          <w:szCs w:val="14"/>
          <w:color w:val="auto"/>
        </w:rPr>
        <w:t>Tax effect of exercised stock options and vesting of deferred shares</w:t>
      </w:r>
    </w:p>
    <w:p>
      <w:pPr>
        <w:spacing w:after="0" w:line="12" w:lineRule="exact"/>
        <w:rPr>
          <w:sz w:val="20"/>
          <w:szCs w:val="20"/>
          <w:color w:val="auto"/>
        </w:rPr>
      </w:pPr>
    </w:p>
    <w:p>
      <w:pPr>
        <w:ind w:left="60" w:right="520" w:firstLine="351"/>
        <w:spacing w:after="0" w:line="434" w:lineRule="auto"/>
        <w:rPr>
          <w:sz w:val="20"/>
          <w:szCs w:val="20"/>
          <w:color w:val="auto"/>
        </w:rPr>
      </w:pPr>
      <w:r>
        <w:rPr>
          <w:rFonts w:ascii="Arial" w:cs="Arial" w:eastAsia="Arial" w:hAnsi="Arial"/>
          <w:sz w:val="14"/>
          <w:szCs w:val="14"/>
          <w:color w:val="auto"/>
        </w:rPr>
        <w:t>Stock-based compensation expense Balances, June 30,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20"/>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3320"/>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32" w:lineRule="exact"/>
        <w:rPr>
          <w:sz w:val="20"/>
          <w:szCs w:val="20"/>
          <w:color w:val="auto"/>
        </w:rPr>
      </w:pPr>
    </w:p>
    <w:p>
      <w:pPr>
        <w:jc w:val="center"/>
        <w:ind w:right="3320"/>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5"/>
                <w:szCs w:val="5"/>
                <w:color w:val="auto"/>
              </w:rPr>
            </w:pPr>
          </w:p>
        </w:tc>
        <w:tc>
          <w:tcPr>
            <w:tcW w:w="13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5"/>
                <w:szCs w:val="5"/>
                <w:color w:val="auto"/>
              </w:rPr>
            </w:pPr>
          </w:p>
        </w:tc>
        <w:tc>
          <w:tcPr>
            <w:tcW w:w="9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Controlling</w:t>
            </w:r>
          </w:p>
        </w:tc>
        <w:tc>
          <w:tcPr>
            <w:tcW w:w="160" w:type="dxa"/>
            <w:vAlign w:val="bottom"/>
          </w:tcPr>
          <w:p>
            <w:pPr>
              <w:spacing w:after="0"/>
              <w:rPr>
                <w:sz w:val="7"/>
                <w:szCs w:val="7"/>
                <w:color w:val="auto"/>
              </w:rPr>
            </w:pPr>
          </w:p>
        </w:tc>
        <w:tc>
          <w:tcPr>
            <w:tcW w:w="640" w:type="dxa"/>
            <w:vAlign w:val="bottom"/>
            <w:vMerge w:val="restart"/>
          </w:tcPr>
          <w:p>
            <w:pPr>
              <w:jc w:val="right"/>
              <w:ind w:right="16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5"/>
                <w:szCs w:val="5"/>
                <w:color w:val="auto"/>
              </w:rPr>
            </w:pPr>
          </w:p>
        </w:tc>
        <w:tc>
          <w:tcPr>
            <w:tcW w:w="13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5"/>
                <w:szCs w:val="5"/>
                <w:color w:val="auto"/>
              </w:rPr>
            </w:pPr>
          </w:p>
        </w:tc>
        <w:tc>
          <w:tcPr>
            <w:tcW w:w="9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2"/>
              </w:rPr>
              <w:t>Income(Loss)</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118,190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141,427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(21,961)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238,162</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35,810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36,877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4,680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5,688</w:t>
            </w:r>
          </w:p>
        </w:tc>
        <w:tc>
          <w:tcPr>
            <w:tcW w:w="0" w:type="dxa"/>
            <w:vAlign w:val="bottom"/>
          </w:tcPr>
          <w:p>
            <w:pPr>
              <w:spacing w:after="0"/>
              <w:rPr>
                <w:sz w:val="1"/>
                <w:szCs w:val="1"/>
                <w:color w:val="auto"/>
              </w:rPr>
            </w:pPr>
          </w:p>
        </w:tc>
      </w:tr>
      <w:tr>
        <w:trPr>
          <w:trHeight w:val="53"/>
        </w:trPr>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119,777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177,237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282,283</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8,546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8,546</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17,157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(5,744)</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4,702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(2,528)</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6,302</w:t>
            </w:r>
          </w:p>
        </w:tc>
        <w:tc>
          <w:tcPr>
            <w:tcW w:w="0" w:type="dxa"/>
            <w:vAlign w:val="bottom"/>
          </w:tcPr>
          <w:p>
            <w:pPr>
              <w:spacing w:after="0"/>
              <w:rPr>
                <w:sz w:val="1"/>
                <w:szCs w:val="1"/>
                <w:color w:val="auto"/>
              </w:rPr>
            </w:pPr>
          </w:p>
        </w:tc>
      </w:tr>
      <w:tr>
        <w:trPr>
          <w:trHeight w:val="53"/>
        </w:trPr>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123,038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194,394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284,554</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10,892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10,892</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28,863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25,537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(10,461)</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5,849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(4,588)</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3,261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3,261</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6,317</w:t>
            </w:r>
          </w:p>
        </w:tc>
        <w:tc>
          <w:tcPr>
            <w:tcW w:w="0" w:type="dxa"/>
            <w:vAlign w:val="bottom"/>
          </w:tcPr>
          <w:p>
            <w:pPr>
              <w:spacing w:after="0"/>
              <w:rPr>
                <w:sz w:val="1"/>
                <w:szCs w:val="1"/>
                <w:color w:val="auto"/>
              </w:rPr>
            </w:pPr>
          </w:p>
        </w:tc>
      </w:tr>
      <w:tr>
        <w:trPr>
          <w:trHeight w:val="53"/>
        </w:trPr>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126,958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223,257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(26,907)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315,566</w:t>
            </w:r>
          </w:p>
        </w:tc>
        <w:tc>
          <w:tcPr>
            <w:tcW w:w="0" w:type="dxa"/>
            <w:vAlign w:val="bottom"/>
          </w:tcPr>
          <w:p>
            <w:pPr>
              <w:spacing w:after="0"/>
              <w:rPr>
                <w:sz w:val="1"/>
                <w:szCs w:val="1"/>
                <w:color w:val="auto"/>
              </w:rPr>
            </w:pPr>
          </w:p>
        </w:tc>
      </w:tr>
      <w:tr>
        <w:trPr>
          <w:trHeight w:val="39"/>
        </w:trPr>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-6396990</wp:posOffset>
            </wp:positionV>
            <wp:extent cx="72123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-6054090</wp:posOffset>
            </wp:positionV>
            <wp:extent cx="72123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-5659120</wp:posOffset>
            </wp:positionV>
            <wp:extent cx="721233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-5264785</wp:posOffset>
            </wp:positionV>
            <wp:extent cx="72123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-4870450</wp:posOffset>
            </wp:positionV>
            <wp:extent cx="721233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-4476115</wp:posOffset>
            </wp:positionV>
            <wp:extent cx="72123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-4081145</wp:posOffset>
            </wp:positionV>
            <wp:extent cx="72123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-3738245</wp:posOffset>
            </wp:positionV>
            <wp:extent cx="721233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-3292475</wp:posOffset>
            </wp:positionV>
            <wp:extent cx="72123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-2949575</wp:posOffset>
            </wp:positionV>
            <wp:extent cx="721233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-2503805</wp:posOffset>
            </wp:positionV>
            <wp:extent cx="72123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-2160270</wp:posOffset>
            </wp:positionV>
            <wp:extent cx="721233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-1765935</wp:posOffset>
            </wp:positionV>
            <wp:extent cx="72123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-1371600</wp:posOffset>
            </wp:positionV>
            <wp:extent cx="721233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-977265</wp:posOffset>
            </wp:positionV>
            <wp:extent cx="72123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-582295</wp:posOffset>
            </wp:positionV>
            <wp:extent cx="721233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-187960</wp:posOffset>
            </wp:positionV>
            <wp:extent cx="72123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317" w:lineRule="exact"/>
        <w:rPr>
          <w:sz w:val="20"/>
          <w:szCs w:val="20"/>
          <w:color w:val="auto"/>
        </w:rPr>
      </w:pPr>
    </w:p>
    <w:p>
      <w:pPr>
        <w:jc w:val="center"/>
        <w:ind w:right="3320"/>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ind w:right="3320"/>
        <w:spacing w:after="0"/>
        <w:rPr>
          <w:sz w:val="20"/>
          <w:szCs w:val="20"/>
          <w:color w:val="auto"/>
        </w:rPr>
      </w:pPr>
      <w:r>
        <w:rPr>
          <w:rFonts w:ascii="Arial" w:cs="Arial" w:eastAsia="Arial" w:hAnsi="Arial"/>
          <w:sz w:val="18"/>
          <w:szCs w:val="18"/>
          <w:i w:val="1"/>
          <w:iCs w:val="1"/>
          <w:color w:val="auto"/>
        </w:rPr>
        <w:t>53</w:t>
      </w:r>
    </w:p>
    <w:p>
      <w:pPr>
        <w:sectPr>
          <w:pgSz w:w="11900" w:h="16838" w:orient="portrait"/>
          <w:cols w:equalWidth="0" w:num="2">
            <w:col w:w="2980" w:space="360"/>
            <w:col w:w="806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Basis of Presentation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the accounts of Matrix Service Company (“Matrix” or the “Company”) and its subsidiaries, all of which are wholly owned. Intercompany transactions and balances have been eliminated in consolidation.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in the United States, Canada, South Korea and Australia. The Company’s reportable segments are Electrical Infrastructure, Oil Gas &amp; Chemical, Storage Solutions and Industrial.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valuation reserves on our accounts receivable and deferred tax assets, and the estimation of loss contingencies, including liabilities associated with litigation and with the self-insured retentions on our insurance programs. Actual results could materially differ from those estimates.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Matrix records revenue on fixed-price contracts on a percentage-of-completion basis, primarily based on costs incurred to date compared to the total estimated contract cost. The Company records revenue on reimbursable and time and 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provision is made through a contract write-down for the total loss anticipated. A number of our contracts contain various cost and performance incentives and penalties that impact the earnings we realize from our contracts, and adjustments related to these incentives and penalties are recorded in the period, on a percentage-of-completion basis, when estimable and probable.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Precontract Costs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Precontract costs are costs incurred in anticipation of obtaining a contract that will result in no future benefit unless the contract is obtained. The Company generally expenses precontract costs to cost of revenue as incurred, but, in certain cases their recognition may be deferred if specific criteria are met. We had no deferred precontract costs at June 30, 2016 or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Orders and Claims Recognition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 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133" w:lineRule="exact"/>
        <w:rPr>
          <w:sz w:val="20"/>
          <w:szCs w:val="20"/>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a legal basis for the claim;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additional costs were caused by circumstances that were unforeseen by the Company and are not the result of deficiencies in our performance;</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are identifiable or determinable and are reasonable in view of the work performed;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evidence supporting the claim is objective and verifiable.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all of these requirements are met, revenue from a claim is recorded only to the extent that we have incurred costs relating to the claim. Unapproved change orders and claims are more fully discussed in Note 7—Contingencies.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includes as cash equivalents all investments with original maturities of three months or less which are readily convertible into cash. The Company had approximately $0.3 million of restricted cash related to a customer deposit at June 30, 2016 and $0.3 million of restricted cash at June 30, 2015. We have cash on deposit at June 30, 2016 with banks in the United States, Canada and South Korea in excess of Federal Deposit Insurance Corporation ("FDIC"), Canada Deposit Insurance Corporation ("CDIC") and Korea Deposit Insurance Corporation ("KDIC") insurance limits, respectively. We also have cash on deposit at June 30, 2016 with a bank in Australia that is not eligible for Financial Claims Scheme ("FSC") protection since those funds are in U.S. Dollars; other funds held by the Company in Australia were eligible for FSC protection and were within its protection limits.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Accounts receivable are carried on a gross basis, less the allowance for uncollectible accounts. The Company’s customers consist primarily of major integrated oil companies, steel companies, independent refiners and marketers, power companies, petrochemical companies, pipeline companies, mining companies, contractors and engineering firms. The Company is exposed to the risk of individual customer defaults or depressed cycles in our customers’ industries. To mitigate this risk many of our contracts require payment as projects progress or advance payment in some circumstances. In addition, in most cases the Company can place liens against the property, plant or equipment constructed or terminate the contract if a material contract default occurs. Management estimates the allowance for uncollectible accounts based on existing economic conditions, the financial condition of its customers and the amount and age of past due accounts. Accounts are written off against the allowance for uncollectible accounts only after all collection attempts have been exhausted.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retentions collectible beyond one year are included in Other Assets in the Consolidated Balance Sheets. Accounts payable retentions are generally settled within one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Legal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consist primarily of steel plate and pipe and aluminum coil and extrusions. Cost is determined primarily using the average cost method and inventories are stated at the lower of cost or net realizable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Depreciation is computed using the straight-line method over the estimated useful lives of the depreciable assets. Depreciable lives are as follows: buildings —40 years, construction equipment—3 to 15 years, transportation equipment—3 to 5 years, and office equipment and software—3 to 10 years. Leasehold improvements are amortized over the shorter of the useful life of the asset or the lease term.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our annual analysis during the fourth quarter of each fiscal year and in any other period in which indicators of impairment warrant additional analysis. Goodwill impairment reviews involve a two-step process. Goodwill is first evaluated for impairment by comparing management’s estimate of the fair value of a reporting unit with its carrying value, including goodwill.</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utilizes a discounted cash flow analysis, referred to as an income approach, to determine the estimated fair value of our reporting units. Significant judgments and assumptions including the discount rate, anticipated revenue growth rate and gross margins, estimated operating and interest expense,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consider indications obtained from market-based approaches. We compare market multiples derived from market prices of stock of companies that are engaged in a similar line of business to the corresponding measures of the Company. We also consider the combined carrying values of our reporting units to our market capitalization.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carrying value of our reporting unit is higher than its fair value, there is an indication that impairment may exist and the second step must be performed to measure the amount of impairment. The amount of impairment is determined by comparing the implied fair value of the reporting unit's goodwill to the carrying value of the goodwill calculated in the same manner as if the reporting unit were being acquired in a business combination. If the implied fair value of goodwill is less than its carrying value, we would record an impairment charge for the difference.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Intangible assets that have finite useful lives are amortized by the straight-line method over their useful lives ranging from 1.5 years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Intangible assets are considered impaired if the fair value of the intangible asset is less than its net book value. If quoted market prices are not available, the fair values of the intangible assets are based on present values of expected future cash flows or royalties avoided using discount rates commensurate with the risks involved.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issued stock options and nonvested deferred share awards under its long-term incentive compensation plans. The fair value of these awards is calculated at grant date. The fair value of time-based, nonvested deferred shares is the value of the Company’s common stock at the grant date. The fair value of market-based nonvested deferred shares is based on several factors, including the probability that the market condition specified in the grant will be achieved. The fair value of stock options is determined based on the Black-Scholes option pricing model. For all stock-based awards, expense is recognized over the requisite service period, net of estimated forfeitures.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functional currencies of the Company’s operations in Canada, South Korea and Australia are the Canadian Dollar, South Korean Won and U.S. Dollar, respectively. For subsidiaries with operations using a foreign functional currency, assets and liabilities are translated at the year end exchange rates and the income statement accounts are translated at average exchange rates throughout the year. Translation gains and losses are reported in Accumulated Other Comprehensive Income (Loss) in the Consolidated Statements of Changes in Stockholders’ Equity and in Other Comprehensive Income (Loss) in the Consolidated Statements of Comprehensive Income. Transaction gains and losses are reported as a component of Other income (expense) in the Consolidated Statements of Income.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annual reporting periods beginning after December 15, 2017, with early adoption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Accounting Standards Update 2014-15, Presentation of Financial Statements—Going Concern (Subtopic 205-40): Disclosure of Uncertainties about an Entity’s Ability to Continue as a Going Concern</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 early adoption is permitted. We expect to adopt this standard in fiscal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2015-16, Business Combinations (Topic 805): Simplifying the Accounting for Measurement-Period Adjustments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adopted this standard on July 1, 2016 with no material impact to the Company's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2015-17, Income Taxes (Topic 740): Balance Sheet Classification of Deferred Taxes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20, 2015, the FASB issued ASU 2015-17, which requires entities to present deferred tax assets ("DTAs") and deferred tax liabilities ("DTLs") as noncurrent in a classified balance sheet. The ASU simplifies the current guidance, which requires entities to separately present DTAs and DTLs as current and noncurrent in a classified balance sheet based on the classification of the related asset or liability. For public business entities, the ASU will be effective for annual periods beginning after December 15, 2016, and interim periods within those years with early adoption permitted. The Company elected to retrospectively early adopt ASU 2015-17, effective for the quarter ended December 31, 2015. The quantitative effects of the change on the prior balance sheet presented, for the fiscal year ended June 30, 2015, resulted in a net reclassification of $6.6 million and $6.6 million from the "Deferred income taxes" current asset and liability financial statement line items, respectively, to the "Deferred income taxes" asset and liability financial statement line items included in the noncurrent asset and liability sections of the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For public business entities, the ASU is effective for fiscal years beginning after December 15, 2018, including interim periods within those fiscal years. We are currently evaluating its expected impact on our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2016-09, Stock Compensation (Topic 718): Improvements to Employee Share-Based Payment Accounting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2016, the FASB issued ASU 2016-09, which simplified several aspects of accounting for stock-based compensation transactions, including the accounting for income taxes and forfeitures and statutory tax withholding requirements. The ASU is effective for the Company on July 1, 2017 and early adoption is permitted. The Company is planning to adopt the ASU in the first quarter of fiscal 2017, with no material impacts expected. The following is a description of the key provisions of the ASU and its transition requirements: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Accounting for Income Taxes</w:t>
      </w:r>
      <w:r>
        <w:rPr>
          <w:rFonts w:ascii="Arial" w:cs="Arial" w:eastAsia="Arial" w:hAnsi="Arial"/>
          <w:sz w:val="16"/>
          <w:szCs w:val="16"/>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Currently, the Company recognizes any excess tax benefits in additional paid-in capital ("APIC") in the balance sheet and any tax deficiencies are recognized as a reduction of APIC to the extent the Company has accumulated excess tax benefits. Any tax deficiencies in excess of accumulated excess tax benefits in APIC are recognized in the provision for income taxes. The amendments also require the Company to only present excess tax benefits and tax deficiencies in the operating section of its statements of cash flows. Currently, the Company is required to present such items in both the financing section and operating section of its statements of cash flows. Amendments to the presentation of excess tax benefits and tax deficiencies in the statements of cash flows may be applied retrospectively or prospectively.</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Amendments requiring the recognition of excess tax benefits and tax deficiencies in income are to be applied prospectively. The Company is required to apply the amendments for accumulated excess tax benefits on a modified retrospective basis as a cumulative-effect adjustment to retained earnings as of the date of adoption. The balance of accumulated excess tax benefits included in APIC was $9.8 million as of June 30, 2016.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Accounting for Forfeitures</w:t>
      </w:r>
      <w:r>
        <w:rPr>
          <w:rFonts w:ascii="Arial" w:cs="Arial" w:eastAsia="Arial" w:hAnsi="Arial"/>
          <w:sz w:val="18"/>
          <w:szCs w:val="18"/>
          <w:color w:val="auto"/>
        </w:rPr>
        <w:t>: The Company currently recognizes expense on all stock-based awards over the requisite service period, net of estimated forfeitures. The amendments in this ASU allow the Company to elect, as a company-wide accounting policy, either to continue to estimate the amount of forfeitures to exclude from compensation expense or to exclude forfeitures from compensation expense when they occur. The Company is planning to account for forfeitures when they occur when it adopts the amendments in the first quarter of fiscal 2017. The Company will apply the accounting change on a modified retrospective basis as a cumulative-effect adjustment to retained earnings as of the date of adoption. The Company does not expect the adoption of these amendments to have a material impact to its financial statements.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Statutory Tax Withholding Requirements</w:t>
      </w:r>
      <w:r>
        <w:rPr>
          <w:rFonts w:ascii="Arial" w:cs="Arial" w:eastAsia="Arial" w:hAnsi="Arial"/>
          <w:sz w:val="17"/>
          <w:szCs w:val="17"/>
          <w:color w:val="auto"/>
        </w:rPr>
        <w:t>: Currently, an entire award must be classified as a liability if the fair value of the shares withheld exceeds the Company's minimum statutory withholding obligation. Under the ASU, the Company will be allowed to withhold shares with a fair value up to the amount of tax owed using the maximum statutory tax rate in the employee's applicable jurisdictions. The Company will be allowed to determine one maximum rate for all employees in each jurisdiction, rather than a rate for each employee in the jurisdiction. Also, the ASU requires that cash outflows to reacquire shares withheld for taxes to be classified in the financing section of its statements of cash flows. Since the Company does not have any awards classified as liabilities due to statutory tax withholding requirements as of June 30, 2016, and since the Company already presents its cash outflows for reacquiring shares withheld for taxes as a financing activity in its statements of cash flows, the Company does not expect these amendments to have any impact on its financial statements when adopted during the 1st quarter of fiscal 2017.</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changes how the Company accounts for its allowance for uncolletible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The Company does not expect this update to have a material impact to its estimate of the allowance for uncollectible accounts.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Baillie Tank Equipment, Ltd.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2016, the Company completed the acquisition of all outstanding stock of Baillie Tank Equipment, Ltd. (“BTE”), an internationally-based company with nearly 20 years of experience in the design and manufacture of products for use on aboveground storage tanks. Founded in 1998, BTE is a provider of tank products including geodesic domes, aluminum internal floating roofs, floating suction and skimmer systems, roof drain systems, and seals. BTE is headquartered in Sydney, Australia with a manufacturing facility in Seoul, South Korea. The Company acquired BTE to expand its service offerings of certain technical solutions for aboveground storage tanks. The business is now known as Matrix Applied Technologies, and its operating results are included in the Storage Solutions segment.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purchased BTE with cash on-hand for a net purchase price of $13.0 million. The Company paid $15.4 million when including the subsequent repayment of long-term debt acquired and the settlement of certain other liabilities acquired, and excluding the cash acquired and certain amounts owed to the former owners for working capital adjustments. The net purchase price was allocated to the major categories of assets and liabilities based on their estimated fair value at the acquisition date.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preliminary net purchase price allocation (in thousands):</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4,347</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720</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7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17,816</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329</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407</w:t>
            </w:r>
          </w:p>
        </w:tc>
      </w:tr>
      <w:tr>
        <w:trPr>
          <w:trHeight w:val="27"/>
        </w:trPr>
        <w:tc>
          <w:tcPr>
            <w:tcW w:w="9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592</w:t>
            </w:r>
          </w:p>
        </w:tc>
      </w:tr>
      <w:tr>
        <w:trPr>
          <w:trHeight w:val="27"/>
        </w:trPr>
        <w:tc>
          <w:tcPr>
            <w:tcW w:w="9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13,049</w:t>
            </w:r>
          </w:p>
        </w:tc>
      </w:tr>
      <w:tr>
        <w:trPr>
          <w:trHeight w:val="20"/>
        </w:trPr>
        <w:tc>
          <w:tcPr>
            <w:tcW w:w="9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recognized from the acquisition is attributable to the synergies of combining our operations and the technical expertise of the acquired workforce. None of the goodwill recognized is deductible for income tax purposes. The fair value of the net assets acquired is preliminary pending the final valuation of those assets. As a result, goodwill is also preliminary since it has been recorded as the excess of the purchase price over the estimated fair value of the net assets acquired.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incurred $1.2 million of expenses related to the acquisition for the year ended June 30, 2016, which are included within selling, general and administrative expenses in the consolidated statements of income. The acquired business contributed revenues of $5.4 million and operating income of $0.3 million for the period from February 1, 2016 to June 30, 2016. Pro forma financial information has not been provided since BTE's impact to the Company's operating results is not material.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HDB Ltd. Limited Partnership</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22, 2014, the Company purchased substantially all of the assets of HDB Ltd. Limited Partnership ("HDB"). HDB, headquartered in Bakersfield, California provides construction, fabrication and turnaround services to energy companies throughout California's central valley. The acquisition advanced a strategic goal of the Company to expand into the upstream energy market. The acquisition purchase price was $5.6 million and was funded with cash on hand. Commencing on August 22, 2014, HDB's operating results are included in the Oil Gas &amp; Chemical Segment.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following table summarizes the purchase price allocation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1,001</w:t>
            </w:r>
          </w:p>
        </w:tc>
      </w:tr>
      <w:tr>
        <w:trPr>
          <w:trHeight w:val="27"/>
        </w:trPr>
        <w:tc>
          <w:tcPr>
            <w:tcW w:w="9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deductible goodwill</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900</w:t>
            </w:r>
          </w:p>
        </w:tc>
      </w:tr>
      <w:tr>
        <w:trPr>
          <w:trHeight w:val="27"/>
        </w:trPr>
        <w:tc>
          <w:tcPr>
            <w:tcW w:w="9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1,060</w:t>
            </w:r>
          </w:p>
        </w:tc>
      </w:tr>
      <w:tr>
        <w:trPr>
          <w:trHeight w:val="27"/>
        </w:trPr>
        <w:tc>
          <w:tcPr>
            <w:tcW w:w="9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5,551</w:t>
            </w:r>
          </w:p>
        </w:tc>
      </w:tr>
      <w:tr>
        <w:trPr>
          <w:trHeight w:val="20"/>
        </w:trPr>
        <w:tc>
          <w:tcPr>
            <w:tcW w:w="9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of the recorded goodwill from the HDB acquisition is tax deductible. The operating data related to this acquisition was not material.</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1"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Kvaerner North American Construction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as of December 21, 2013, the Company acquired 100% of the stock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Matrix NAC is a premier provider of maintenance and capital construction services to power generation, integrated iron and steel, and industrial process facilities. The acquisition significantly expanded the Company's presence in the Electrical Infrastructure and Industrial Segments, and to a lesser extent, the Oil Gas and Chemical segment.</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purchased KNAC for $88.3 million. The acquisition was funded through a combination of cash-on-hand and borrowings under our senior revolving credit facility. The purchase price was allocated to the major categories of assets and liabilities based on their estimated fair value at the acquisition date.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final purchase price allocation (in thousands):</w:t>
            </w: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83,575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11,377</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39,295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24,009</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158,256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68,115</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Noncontrolling interest of consolidated joint venture</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88,262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36,655</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51,607</w:t>
            </w: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the underlying net tangible and intangible assets. This acquisition generated $39.3 million of goodwill, of which $30.7 million is tax deductible.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equity in the consolidated joint venture represents the acquired equity in KVPB Power Partners. KVPB Power Partners was subsequently renamed MXPB Power Partners, which we refer to as the "acquired EPC joint venture project". The acquired EPC joint venture project was formed by KNAC and an engineering firm to engineer and construct a combined cycle power plant in Dover, Delaware. The Company holds a 65% voting and economic interest in the acquired EPC joint venture project. The total acquired equity of the acquired EPC joint venture project was $2.0 million of which the Company's portion was approximately $1.3 million and the other party's non-controlling portion was approximately $0.7 million.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approximately $2.0 million of expenses related to the acquisition in the second quarter of fiscal 2014; therefore, such expenses are included in our results as selling, general and administrative costs for the year ended June 30, 2015.</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financial information in the table below summarizes the combined results of operations of Matrix Service Company and Matrix NAC for the for the twelve months ended June 30, 2014 and June 30, 2013, on a pro forma basis, as though the companies had been combined as of July 1, 2012. The pro forma earnings for the twelve months ended June 30, 2014 were adjusted to include incremental intangible amortization expense of $4.1 million and depreciation expense of $1.3 million. The pro forma earnings for the twelve months ended June 30, 2013 were adjusted to include incremental amortization expense of $4.1 million and depreciation expense of $1.3 million. Additionally, $0.6 million of income from a one-time KNAC tax settlement and $2.0 million of acquisition-related expenses were removed from the twelve months ended June 30, 2014. The $2.0 million of acquisition-related expenses were included in the twelve months ended June 30, 2013 as if the acquisition occurred at July 1, 2012. The pro forma financial information presented in the table below is for informational purposes only and is not indicative of the results of operations that would have been achieved if the acquisition had taken place at July 1, 2012 nor should it be taken as indicative of our future consolidated results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June 30, 2014</w:t>
            </w: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7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3"/>
            <w:shd w:val="clear" w:color="auto" w:fill="CCEEFF"/>
          </w:tcPr>
          <w:p>
            <w:pPr>
              <w:jc w:val="right"/>
              <w:ind w:right="754"/>
              <w:spacing w:after="0"/>
              <w:rPr>
                <w:sz w:val="20"/>
                <w:szCs w:val="20"/>
                <w:color w:val="auto"/>
              </w:rPr>
            </w:pPr>
            <w:r>
              <w:rPr>
                <w:rFonts w:ascii="Arial" w:cs="Arial" w:eastAsia="Arial" w:hAnsi="Arial"/>
                <w:sz w:val="18"/>
                <w:szCs w:val="18"/>
                <w:color w:val="auto"/>
              </w:rPr>
              <w:t>(In thousands, except per share data)</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1,397,706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1,096,267</w:t>
            </w:r>
          </w:p>
        </w:tc>
      </w:tr>
      <w:tr>
        <w:trPr>
          <w:trHeight w:val="27"/>
        </w:trPr>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28,444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1.10</w:t>
            </w:r>
          </w:p>
        </w:tc>
      </w:tr>
      <w:tr>
        <w:trPr>
          <w:trHeight w:val="27"/>
        </w:trPr>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r>
      <w:tr>
        <w:trPr>
          <w:trHeight w:val="27"/>
        </w:trPr>
        <w:tc>
          <w:tcPr>
            <w:tcW w:w="7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3—Uncompleted Contracts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on uncompleted contracts is reported as a current liability. Gross and net amounts on uncompleted contracts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300" w:type="dxa"/>
            <w:vAlign w:val="bottom"/>
          </w:tcPr>
          <w:p>
            <w:pPr>
              <w:jc w:val="right"/>
              <w:ind w:right="59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recognized on uncompleted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1,875,014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1,633,780</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1,829,340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1,644,413</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45,674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on balance sheet as: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104,001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86,071</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58,327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96,704</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45,674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Progress billings in accounts receivable at June 30, 2016 and June 30, 2015 included retentions to be collected within one year of $29.7 million and $25.2 million, respectively. Contract retentions collectible beyond one year are included in other assets in the condensed consolidated balance sheet and totaled $0.3 million at June 30, 2016 and $2.8 million at June 30, 2015. Accounts payable included retentions of $14.9 million at June 30, 2016 and $10.2 million at June 30, 2015. Accounts payable retentions are generally expected to be settled within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June 30, 2015 our results of operations were materially impacted by charges resulting from a change in estimate related to an acquired EPC joint venture project in the Electrical Infrastructure segment. The charges resulted in a reduction to operating income of $53.4 million and an after-tax reduction of $18.3 million to net income attributable to Matrix Service Company for fiscal year 2015. The Company recorded additional charges on this project during the year ended June 30, 2016, which resulted in a reduction to operating income of $7.1 million and an after-tax reduction to net income attributable to Matrix Service Company of $2.5 million. The fiscal 2016 project charges are attributable to higher than expected project closeout costs. The Company reached substantial completion on the project in the fourth quarter of fiscal 2015.</w:t>
      </w: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percentage of completion accounting for fixed-priced contracts, contract revenues and earnings are recognized ratably over the contract term based on the proportion of actual costs incurred to total estimated costs. As of June 30, 2016, the Company is performing work on two previously announced significant multi-year projects that are contracted on a fixed price basis. One of the projects is expected to be complete in fiscal 2017 and the second project is expected to be complete in fiscal 2018. Based on the information currently available, the Company believes that its current estimates relating to these projects are reasonably stated. However, it is reasonably possible that changes to these contract estimates, including those related to project costs, project timelines, and change orders or claims, could occur and have a material positive or negative impact to our results of operations and financial position in subsequent accounting periods.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Electrical</w:t>
            </w: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Storage</w:t>
            </w: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55,836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Cumulative impairment loss (1)</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2013</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Purchase of Kvaerner North American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Construction (Note 2)</w:t>
            </w:r>
          </w:p>
        </w:tc>
        <w:tc>
          <w:tcPr>
            <w:tcW w:w="24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31,259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39,076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Translation adjustment (2)</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balance at June 30, 2014</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43,243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69,837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related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Purchase of HDB (Note 2)</w:t>
            </w:r>
          </w:p>
        </w:tc>
        <w:tc>
          <w:tcPr>
            <w:tcW w:w="2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Translation adjustment (2)</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balance at June 30, 2015</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42,374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BTE (Note 2)</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Translation adjustment (2)</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78,293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$25.0 million impairment charge was recorded in February 2005.</w:t>
      </w:r>
    </w:p>
    <w:p>
      <w:pPr>
        <w:spacing w:after="0" w:line="23" w:lineRule="exact"/>
        <w:rPr>
          <w:rFonts w:ascii="Arial" w:cs="Arial" w:eastAsia="Arial" w:hAnsi="Arial"/>
          <w:sz w:val="18"/>
          <w:szCs w:val="18"/>
          <w:color w:val="auto"/>
        </w:rPr>
      </w:pPr>
    </w:p>
    <w:p>
      <w:pPr>
        <w:ind w:left="540" w:right="220" w:hanging="316"/>
        <w:spacing w:after="0" w:line="290"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2016</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9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28,179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18,524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20,999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735"/>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2015</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6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27,837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20,728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33,266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23,961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the gross carrying amount of other intangible assets at June 30, 2016 compared to June 30, 2015 is due primarily to the February 1, 2016 acquisition of BTE (Note 2). The BTE intangible assets consist of the following amortizing assets:</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customer-based intangibles with a fair value of $0.5 million and useful life of between 4 months and 10 years;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intellectual property intangibles with a fair value of $0.1 million and useful life of 10 years;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non-compete agreement intangibles with a fair value of $0.1 million and useful life of 4 years.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$3.6 million, $5.0 million, and $2.8 million in fiscal 2016, 2015, and 2014, respectively. We estimate that future amortization of other intangible assets will be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For year ending:</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June 30, 2018</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2,957</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June 30, 2020</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2,580</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2021</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7,012</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amortization expense</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20,999</w:t>
            </w: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five-year, $200.0 million senior secured revolving credit facility under a credit agreement (the "Credit Agreement") that expires March 13, 2019. Advances under the senior revolving credit facility may be used for working capital, acquisitions, capital expenditures, issuance of letters of credit and other lawful corporate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17" w:lineRule="exact"/>
        <w:rPr>
          <w:sz w:val="20"/>
          <w:szCs w:val="20"/>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117" w:lineRule="exact"/>
        <w:rPr>
          <w:rFonts w:ascii="Arial" w:cs="Arial" w:eastAsia="Arial" w:hAnsi="Arial"/>
          <w:sz w:val="18"/>
          <w:szCs w:val="18"/>
          <w:color w:val="auto"/>
        </w:rPr>
      </w:pPr>
    </w:p>
    <w:p>
      <w:pPr>
        <w:ind w:left="640" w:right="200" w:hanging="321"/>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as of the end of each fiscal quarter.</w:t>
      </w:r>
    </w:p>
    <w:p>
      <w:pPr>
        <w:spacing w:after="0" w:line="62"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our Credit Agreement, we may declare and pay dividends on our capital stock during any fiscal year up to an amount which, when added to all other dividends paid during such fiscal year, does not exceed 50% of our cumulative net income for such fiscal year to date. We currently have no future plans to pay cash dividends.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senior revolving credit facility approximates its fair value at each balance sheet 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includes a Senior Leverage Ratio covenant, which provides that Consolidated Funded Indebtedness, as defined in the Credit Agreement, as of the end of any fiscal quarter, may not exceed 2.5 times Consolidated EBITDA, as defined in the Credit Agreement, over the previous four quarters. For the four quarters ended June 30, 2016, Consolidated EBITDA, as defined in the Credit Agreement, was $71.9 million. Accordingly, at June 30, 2016, there was a restriction on our ability to access the full amount of the senior revolving credit facility. Consolidated Funded Indebtedness at June 30, 2016 was $13.1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revolving credit facility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40" w:type="dxa"/>
            <w:vAlign w:val="bottom"/>
          </w:tcPr>
          <w:p>
            <w:pPr>
              <w:jc w:val="right"/>
              <w:ind w:right="534"/>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r>
      <w:tr>
        <w:trPr>
          <w:trHeight w:val="250"/>
        </w:trPr>
        <w:tc>
          <w:tcPr>
            <w:tcW w:w="7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revolving credit facility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36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20,138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54,968</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senior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179,862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145,032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Letters of credit issued</w:t>
            </w:r>
          </w:p>
        </w:tc>
        <w:tc>
          <w:tcPr>
            <w:tcW w:w="36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20,755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40,587</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8,804</w:t>
            </w: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Availability under the senior revolving credit facility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159,107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95,641</w:t>
            </w: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other affirmative, negative, and financial covenants under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acquired $1.9 million of long-term debt in February 2016 as part of the BTE acquisition, which was subsequently repaid in March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pretax income (loss)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33,986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60,129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5,667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12,193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(3,318)</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39,653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8,192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56,811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2016 and 2015, domestic pretax income included losses of $3.3 million and $19.1 million, respectively, related to our acquired EPC joint venture project. Fiscal 2014 domestic pretax income included income of $1.1 million related to the EPC joint venture project. The Company consolidates the acquired EPC joint venture project and reports a noncontrolling interest. Accordingly, the Company's pretax income includes the noncontrolling interest holder's share of the acquired EPC project loss for which the Company does not receive a tax benefit.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 expense (benefit) are as follows:</w:t>
      </w:r>
    </w:p>
    <w:p>
      <w:pPr>
        <w:spacing w:after="0" w:line="392"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23495</wp:posOffset>
            </wp:positionV>
            <wp:extent cx="3173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280" w:type="dxa"/>
            <w:vAlign w:val="bottom"/>
          </w:tcPr>
          <w:p>
            <w:pPr>
              <w:jc w:val="right"/>
              <w:ind w:right="47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Federal</w:t>
            </w:r>
          </w:p>
        </w:tc>
        <w:tc>
          <w:tcPr>
            <w:tcW w:w="3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9,930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19,870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Foreign</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23,600</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Deferred:</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State</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19,934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difference between the expected income tax provision applying the domestic federal statutory tax rate and the reported income tax provision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provision for Federal income taxes at the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19,887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2,275</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foreign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Charges without tax benefit</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1,405</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IRC S199 deduction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(1,546)</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 and other tax credits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(1,793)</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differential</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Adjustment to tax accounts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19,934</w:t>
            </w:r>
          </w:p>
        </w:tc>
      </w:tr>
      <w:tr>
        <w:trPr>
          <w:trHeight w:val="27"/>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100" w:type="dxa"/>
            <w:vAlign w:val="bottom"/>
          </w:tcPr>
          <w:p>
            <w:pPr>
              <w:jc w:val="center"/>
              <w:ind w:left="5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center"/>
              <w:ind w:right="453"/>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100" w:type="dxa"/>
            <w:vAlign w:val="bottom"/>
            <w:tcBorders>
              <w:bottom w:val="single" w:sz="8" w:color="auto"/>
            </w:tcBorders>
          </w:tcPr>
          <w:p>
            <w:pPr>
              <w:jc w:val="center"/>
              <w:ind w:left="520"/>
              <w:spacing w:after="0"/>
              <w:rPr>
                <w:sz w:val="20"/>
                <w:szCs w:val="20"/>
                <w:color w:val="auto"/>
              </w:rPr>
            </w:pPr>
            <w:r>
              <w:rPr>
                <w:rFonts w:ascii="Arial" w:cs="Arial" w:eastAsia="Arial" w:hAnsi="Arial"/>
                <w:sz w:val="14"/>
                <w:szCs w:val="14"/>
                <w:b w:val="1"/>
                <w:bCs w:val="1"/>
                <w:color w:val="auto"/>
                <w:w w:val="96"/>
              </w:rPr>
              <w:t>2016</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Warranty reserve</w:t>
            </w:r>
          </w:p>
        </w:tc>
        <w:tc>
          <w:tcPr>
            <w:tcW w:w="1100" w:type="dxa"/>
            <w:vAlign w:val="bottom"/>
          </w:tcPr>
          <w:p>
            <w:pPr>
              <w:jc w:val="right"/>
              <w:ind w:right="9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Bad debt reserve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Paid-time-off accrual</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Insurance reserve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Legal reserve</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benefit and credit carryforwards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pension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Stock compensation expense on nonvested deferred shares</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3,472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losses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Foreign currency translation and other</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20,634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17,072</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over book depreciation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11,504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Tax over book amortization</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Branch future liability</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Prepaid insurance</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holdbacks and other</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20,113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14,587</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100" w:type="dxa"/>
            <w:vAlign w:val="bottom"/>
            <w:tcBorders>
              <w:bottom w:val="single" w:sz="8" w:color="CCEEFF"/>
            </w:tcBorders>
            <w:shd w:val="clear" w:color="auto" w:fill="CCEEFF"/>
          </w:tcPr>
          <w:p>
            <w:pPr>
              <w:jc w:val="right"/>
              <w:ind w:right="90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reported in the consolidated balance sheets: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880" w:type="dxa"/>
            <w:vAlign w:val="bottom"/>
          </w:tcPr>
          <w:p>
            <w:pPr>
              <w:spacing w:after="0"/>
              <w:rPr>
                <w:sz w:val="24"/>
                <w:szCs w:val="24"/>
                <w:color w:val="auto"/>
              </w:rPr>
            </w:pPr>
          </w:p>
        </w:tc>
        <w:tc>
          <w:tcPr>
            <w:tcW w:w="1100" w:type="dxa"/>
            <w:vAlign w:val="bottom"/>
          </w:tcPr>
          <w:p>
            <w:pPr>
              <w:jc w:val="center"/>
              <w:ind w:left="5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center"/>
              <w:ind w:right="453"/>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100" w:type="dxa"/>
            <w:vAlign w:val="bottom"/>
            <w:tcBorders>
              <w:bottom w:val="single" w:sz="8" w:color="auto"/>
            </w:tcBorders>
          </w:tcPr>
          <w:p>
            <w:pPr>
              <w:jc w:val="center"/>
              <w:ind w:left="520"/>
              <w:spacing w:after="0"/>
              <w:rPr>
                <w:sz w:val="20"/>
                <w:szCs w:val="20"/>
                <w:color w:val="auto"/>
              </w:rPr>
            </w:pPr>
            <w:r>
              <w:rPr>
                <w:rFonts w:ascii="Arial" w:cs="Arial" w:eastAsia="Arial" w:hAnsi="Arial"/>
                <w:sz w:val="14"/>
                <w:szCs w:val="14"/>
                <w:b w:val="1"/>
                <w:bCs w:val="1"/>
                <w:color w:val="auto"/>
                <w:w w:val="96"/>
              </w:rPr>
              <w:t>2016</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100" w:type="dxa"/>
            <w:vAlign w:val="bottom"/>
            <w:tcBorders>
              <w:bottom w:val="single" w:sz="8" w:color="CCEEFF"/>
            </w:tcBorders>
            <w:shd w:val="clear" w:color="auto" w:fill="CCEEFF"/>
          </w:tcPr>
          <w:p>
            <w:pPr>
              <w:jc w:val="right"/>
              <w:ind w:right="90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state net operating loss carryforwards, state tax credit carryforwards, federal foreign tax credit carryforwards, foreign net operating loss carryforwards and foreign tax credit carryforwards. The valuation allowance at June 30, 2016 and June 30, 2015 reduces the recognized tax benefit of these carryforwards to an amount that is more likely than not to be realized. These carryforwards will generally expire as shown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Credit Carryforwards</w:t>
            </w:r>
          </w:p>
        </w:tc>
        <w:tc>
          <w:tcPr>
            <w:tcW w:w="5440" w:type="dxa"/>
            <w:vAlign w:val="bottom"/>
            <w:tcBorders>
              <w:bottom w:val="single" w:sz="8" w:color="auto"/>
            </w:tcBorders>
          </w:tcPr>
          <w:p>
            <w:pPr>
              <w:ind w:left="3440"/>
              <w:spacing w:after="0"/>
              <w:rPr>
                <w:sz w:val="20"/>
                <w:szCs w:val="20"/>
                <w:color w:val="auto"/>
              </w:rPr>
            </w:pPr>
            <w:r>
              <w:rPr>
                <w:rFonts w:ascii="Arial" w:cs="Arial" w:eastAsia="Arial" w:hAnsi="Arial"/>
                <w:sz w:val="14"/>
                <w:szCs w:val="14"/>
                <w:b w:val="1"/>
                <w:bCs w:val="1"/>
                <w:color w:val="auto"/>
              </w:rPr>
              <w:t>Expiration Period</w:t>
            </w: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Amount (in thousands)</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 credits</w:t>
            </w:r>
          </w:p>
        </w:tc>
        <w:tc>
          <w:tcPr>
            <w:tcW w:w="5440" w:type="dxa"/>
            <w:vAlign w:val="bottom"/>
            <w:tcBorders>
              <w:bottom w:val="single" w:sz="8" w:color="CCEEFF"/>
            </w:tcBorders>
            <w:shd w:val="clear" w:color="auto" w:fill="CCEEFF"/>
          </w:tcPr>
          <w:p>
            <w:pPr>
              <w:ind w:left="3440"/>
              <w:spacing w:after="0"/>
              <w:rPr>
                <w:sz w:val="20"/>
                <w:szCs w:val="20"/>
                <w:color w:val="auto"/>
              </w:rPr>
            </w:pPr>
            <w:r>
              <w:rPr>
                <w:rFonts w:ascii="Arial" w:cs="Arial" w:eastAsia="Arial" w:hAnsi="Arial"/>
                <w:sz w:val="18"/>
                <w:szCs w:val="18"/>
                <w:color w:val="auto"/>
              </w:rPr>
              <w:t>No expiration</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Federal foreign tax credits</w:t>
            </w:r>
          </w:p>
        </w:tc>
        <w:tc>
          <w:tcPr>
            <w:tcW w:w="5440" w:type="dxa"/>
            <w:vAlign w:val="bottom"/>
          </w:tcPr>
          <w:p>
            <w:pPr>
              <w:ind w:left="3440"/>
              <w:spacing w:after="0"/>
              <w:rPr>
                <w:sz w:val="20"/>
                <w:szCs w:val="20"/>
                <w:color w:val="auto"/>
              </w:rPr>
            </w:pPr>
            <w:r>
              <w:rPr>
                <w:rFonts w:ascii="Arial" w:cs="Arial" w:eastAsia="Arial" w:hAnsi="Arial"/>
                <w:sz w:val="18"/>
                <w:szCs w:val="18"/>
                <w:color w:val="auto"/>
              </w:rPr>
              <w:t>June 2017 to June 2025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3,076</w:t>
            </w:r>
          </w:p>
        </w:tc>
      </w:tr>
      <w:tr>
        <w:trPr>
          <w:trHeight w:val="27"/>
        </w:trPr>
        <w:tc>
          <w:tcPr>
            <w:tcW w:w="39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credits/incentives</w:t>
            </w:r>
          </w:p>
        </w:tc>
        <w:tc>
          <w:tcPr>
            <w:tcW w:w="5440" w:type="dxa"/>
            <w:vAlign w:val="bottom"/>
            <w:tcBorders>
              <w:bottom w:val="single" w:sz="8" w:color="CCEEFF"/>
            </w:tcBorders>
            <w:shd w:val="clear" w:color="auto" w:fill="CCEEFF"/>
          </w:tcPr>
          <w:p>
            <w:pPr>
              <w:ind w:left="3440"/>
              <w:spacing w:after="0"/>
              <w:rPr>
                <w:sz w:val="20"/>
                <w:szCs w:val="20"/>
                <w:color w:val="auto"/>
              </w:rPr>
            </w:pPr>
            <w:r>
              <w:rPr>
                <w:rFonts w:ascii="Arial" w:cs="Arial" w:eastAsia="Arial" w:hAnsi="Arial"/>
                <w:sz w:val="18"/>
                <w:szCs w:val="18"/>
                <w:color w:val="auto"/>
              </w:rPr>
              <w:t>June 2034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r>
      <w:tr>
        <w:trPr>
          <w:trHeight w:val="675"/>
        </w:trPr>
        <w:tc>
          <w:tcPr>
            <w:tcW w:w="3900" w:type="dxa"/>
            <w:vAlign w:val="bottom"/>
          </w:tcPr>
          <w:p>
            <w:pPr>
              <w:spacing w:after="0"/>
              <w:rPr>
                <w:sz w:val="24"/>
                <w:szCs w:val="24"/>
                <w:color w:val="auto"/>
              </w:rPr>
            </w:pPr>
          </w:p>
        </w:tc>
        <w:tc>
          <w:tcPr>
            <w:tcW w:w="5440" w:type="dxa"/>
            <w:vAlign w:val="bottom"/>
          </w:tcPr>
          <w:p>
            <w:pPr>
              <w:ind w:left="1720"/>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Loss Carryforwards</w:t>
            </w:r>
          </w:p>
        </w:tc>
        <w:tc>
          <w:tcPr>
            <w:tcW w:w="464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Expiration Period</w:t>
            </w: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Amount (in thousands)</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net operating losses</w:t>
            </w:r>
          </w:p>
        </w:tc>
        <w:tc>
          <w:tcPr>
            <w:tcW w:w="4640" w:type="dxa"/>
            <w:vAlign w:val="bottom"/>
            <w:tcBorders>
              <w:bottom w:val="single" w:sz="8" w:color="CCEEFF"/>
            </w:tcBorders>
            <w:shd w:val="clear" w:color="auto" w:fill="CCEEFF"/>
          </w:tcPr>
          <w:p>
            <w:pPr>
              <w:ind w:left="2640"/>
              <w:spacing w:after="0"/>
              <w:rPr>
                <w:sz w:val="20"/>
                <w:szCs w:val="20"/>
                <w:color w:val="auto"/>
              </w:rPr>
            </w:pPr>
            <w:r>
              <w:rPr>
                <w:rFonts w:ascii="Arial" w:cs="Arial" w:eastAsia="Arial" w:hAnsi="Arial"/>
                <w:sz w:val="18"/>
                <w:szCs w:val="18"/>
                <w:color w:val="auto"/>
              </w:rPr>
              <w:t>June 2025 to June 2032</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18,083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net operating losses</w:t>
            </w:r>
          </w:p>
        </w:tc>
        <w:tc>
          <w:tcPr>
            <w:tcW w:w="4640" w:type="dxa"/>
            <w:vAlign w:val="bottom"/>
          </w:tcPr>
          <w:p>
            <w:pPr>
              <w:ind w:left="2640"/>
              <w:spacing w:after="0"/>
              <w:rPr>
                <w:sz w:val="20"/>
                <w:szCs w:val="20"/>
                <w:color w:val="auto"/>
              </w:rPr>
            </w:pPr>
            <w:r>
              <w:rPr>
                <w:rFonts w:ascii="Arial" w:cs="Arial" w:eastAsia="Arial" w:hAnsi="Arial"/>
                <w:sz w:val="18"/>
                <w:szCs w:val="18"/>
                <w:color w:val="auto"/>
              </w:rPr>
              <w:t>June 2028 to June 2035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11,724</w:t>
            </w: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general, it is the practice and intention of the Company to reinvest the earnings of its foreign subsidiaries in its foreign operations. Such amounts become subject to United States taxation upon the remittance of dividends and under certain other circumstances. As of June 30, 2016, unremitted earnings of foreign subsidiaries, which have been or are intended to be permanently invested, aggregated to approximately $14.0 million. We anticipate that any deferred tax liability related to the investment in these foreign subsidiaries could be offset by foreign tax credits.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files tax returns in multiple domestic and foreign taxing jurisdictions. With a few exceptions, the Company is no longer subject to examination by taxing authorities through fiscal 2011. At June 30, 2016, the Company updated its evaluation of its open tax years in all known jurisdictions. Based on this evaluation, the Company did not identify any material uncertain tax positions. We have recorded a $0.6 million liability as of June 30, 2016 for unrecognized tax positions and the payment of related interest and penalties. We treat the related interest and penalties as income tax expense. Due to the uncertainties related to these tax matters, we are unable to make a reasonably reliable estimate as to when cash settlement with a taxing authority will occur.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2016 and June 30, 2015, costs and estimated earnings in excess of billings on uncompleted contracts included revenues for unapproved change orders and claims of $10.3 million and $12.7 million, respectively. Generally, collection of amounts related to unapproved change orders and claims is expected within twelve months. However, customers may not pay these amounts until final resolution of related claims, and accordingly,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8—Operating Leases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the lessee under operating leases covering real estate and office equipment under non-cancelable operating lease agreements that expire at various times. Future minimum lease payments under non-cancelable operating leases that were in effect at June 30, 2016 total $33.7 million and are payable as follows: fiscal 2017—$6.2 million; fiscal 2018—$5.1 million; fiscal 2019—$4.7 million; fiscal 2020—$3.7 million; fiscal 2021—$3.3 million and thereafter—$10.8 million. Operating lease expense was $6.6 million, $6.7 million and $5.3 million for the twelve months ended June 30, 2016, June 30, 2015 and June 30, 2014,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5.0 million shares of preferred stock authorized, none of which was issued or outstanding at June 30, 2016 or June 30,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4, 2014 the Board of Directors approved a stock buyback program that replaced the program that had been in place since November 2012. The new program, which expires on December 31, 2016, allows the Company to purchase up to $25.0 million annually, on a calendar year basis, of common stock if sufficient liquidity exists and management believes the shares purchased would be accretive to the Company's stockholders. The cumulative number of shares repurchased cannot exceed 2,653,399, which represents 10% of the shares outstanding on the date the new repurchase program was approved. The Company purchased 654,958 and 283,772 shares for $10.5 million and $5.0 million under the stock buyback program during the fiscal years ended June 30, 2016 and 2015, respectively.</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stock buyback program, the Company may repurchase shares of common stock to satisfy the tax withholding obligations upon vesting of an employee’s deferred shares. Matrix repurchased 205,504 and 105,058 shares of common stock during fiscal 2016 and fiscal 2015, respectively, to satisfy these obligations. These shares were returned to the Company’s pool of treasury shares. The Company has 1,591,072 treasury shares as of June 30, 2016 and intends to utilize these treasury shares solely in connection with equity awards under the Company’s stock incentive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10—Stock-Based Compensation</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stock-based compensation expense for the years ended June 30, 2016, June 30, 2015, and June 30, 2014 was $6.3 million, $6.3 million and $5.7 million, respectively. Measured but unrecognized stock-based compensation expense at June 30, 2016 was $9.3 million, all of which related to nonvested deferred shares which are expected to be recognized as expense over a weighted average period of 1.7 years. The recognized tax benefit related to the stock-based compensation expense for the years ended June 30, 2016, June 30, 2015 and June 30, 2014 totaled $3.2 million, $2.5 million and $2.8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Information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Matrix Service Company's 2012 Stock and Incentive Compensation Plan ("2012 Plan") provides stock-based and cash-based incentives for officers, other key employees and directors. Stock options, restricted stock, restricted stock units, stock appreciation rights, performance shares and cash-based awards can be issued under this plan. Upon approval of the 2012 Plan by the Company's stockholders, the 2004 Stock Incentive Plan ("2004 Plan") was frozen with the exception of normal vesting, forfeiture and other activity associated with awards previously granted under the 2004 Plan. Awards totaling 2,300,000 shares have been authorized under the 2012 Plan. At June 30, 2016 there were 1,249,780 shares available for grant under the 2012 Plan.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options are granted at the market value of the Company’s common stock on the grant date and expire after 10 years. The Company’s policy is to issue shares upon the exercise of stock options from its treasury shares, if available. The Company did not award any new stock options in fiscal years 2014, 2015, or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and related information for the year ended June 30, 2016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600" w:type="dxa"/>
            <w:vAlign w:val="bottom"/>
          </w:tcPr>
          <w:p>
            <w:pPr>
              <w:jc w:val="right"/>
              <w:ind w:right="332"/>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00" w:type="dxa"/>
            <w:vAlign w:val="bottom"/>
          </w:tcPr>
          <w:p>
            <w:pPr>
              <w:spacing w:after="0"/>
              <w:rPr>
                <w:sz w:val="17"/>
                <w:szCs w:val="17"/>
                <w:color w:val="auto"/>
              </w:rPr>
            </w:pPr>
          </w:p>
        </w:tc>
        <w:tc>
          <w:tcPr>
            <w:tcW w:w="1400" w:type="dxa"/>
            <w:vAlign w:val="bottom"/>
          </w:tcPr>
          <w:p>
            <w:pPr>
              <w:jc w:val="center"/>
              <w:ind w:right="114"/>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600" w:type="dxa"/>
            <w:vAlign w:val="bottom"/>
          </w:tcPr>
          <w:p>
            <w:pPr>
              <w:jc w:val="right"/>
              <w:ind w:right="432"/>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200" w:type="dxa"/>
            <w:vAlign w:val="bottom"/>
          </w:tcPr>
          <w:p>
            <w:pPr>
              <w:spacing w:after="0"/>
              <w:rPr>
                <w:sz w:val="18"/>
                <w:szCs w:val="18"/>
                <w:color w:val="auto"/>
              </w:rPr>
            </w:pPr>
          </w:p>
        </w:tc>
        <w:tc>
          <w:tcPr>
            <w:tcW w:w="1400" w:type="dxa"/>
            <w:vAlign w:val="bottom"/>
          </w:tcPr>
          <w:p>
            <w:pPr>
              <w:jc w:val="center"/>
              <w:ind w:right="94"/>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2015</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0"/>
              <w:spacing w:after="0"/>
              <w:rPr>
                <w:sz w:val="20"/>
                <w:szCs w:val="20"/>
                <w:color w:val="auto"/>
              </w:rPr>
            </w:pPr>
            <w:r>
              <w:rPr>
                <w:rFonts w:ascii="Arial" w:cs="Arial" w:eastAsia="Arial" w:hAnsi="Arial"/>
                <w:sz w:val="18"/>
                <w:szCs w:val="18"/>
                <w:color w:val="auto"/>
              </w:rPr>
              <w:t>Cancelled</w:t>
            </w:r>
          </w:p>
        </w:tc>
        <w:tc>
          <w:tcPr>
            <w:tcW w:w="16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122,063</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40"/>
              <w:spacing w:after="0"/>
              <w:rPr>
                <w:sz w:val="20"/>
                <w:szCs w:val="20"/>
                <w:color w:val="auto"/>
              </w:rPr>
            </w:pPr>
            <w:r>
              <w:rPr>
                <w:rFonts w:ascii="Arial" w:cs="Arial" w:eastAsia="Arial" w:hAnsi="Arial"/>
                <w:sz w:val="18"/>
                <w:szCs w:val="18"/>
                <w:color w:val="auto"/>
              </w:rPr>
              <w:t>Vested at June 30, 2016</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tcBorders>
              <w:bottom w:val="single" w:sz="8" w:color="CCEEFF"/>
            </w:tcBorders>
            <w:vMerge w:val="continue"/>
          </w:tcPr>
          <w:p>
            <w:pPr>
              <w:spacing w:after="0"/>
              <w:rPr>
                <w:sz w:val="24"/>
                <w:szCs w:val="24"/>
                <w:color w:val="auto"/>
              </w:rPr>
            </w:pP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122,063</w:t>
            </w:r>
          </w:p>
        </w:tc>
        <w:tc>
          <w:tcPr>
            <w:tcW w:w="17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5"/>
              </w:rPr>
              <w:t>5.3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1"/>
        </w:trPr>
        <w:tc>
          <w:tcPr>
            <w:tcW w:w="48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June 30, 2016</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122,063</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stock options exercised during fiscal 2016, 2015, and 2014 was $0.7 million, $0.7 million and $2.4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Deferred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issued nonvested deferred shares under the following types of arrangements:</w:t>
      </w:r>
    </w:p>
    <w:p>
      <w:pPr>
        <w:spacing w:after="0" w:line="171" w:lineRule="exact"/>
        <w:rPr>
          <w:sz w:val="20"/>
          <w:szCs w:val="20"/>
          <w:color w:val="auto"/>
        </w:rPr>
      </w:pPr>
    </w:p>
    <w:p>
      <w:pPr>
        <w:ind w:left="640" w:right="420" w:hanging="321"/>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Time-based awards—Employee awards generally vest in four or five equal annual installments beginning one year after the grant date. Director awards cliff vest on the earlier of three years or upon retirement from the Board.</w:t>
      </w:r>
    </w:p>
    <w:p>
      <w:pPr>
        <w:spacing w:after="0" w:line="116" w:lineRule="exact"/>
        <w:rPr>
          <w:rFonts w:ascii="Arial" w:cs="Arial" w:eastAsia="Arial" w:hAnsi="Arial"/>
          <w:sz w:val="18"/>
          <w:szCs w:val="18"/>
          <w:color w:val="auto"/>
        </w:rPr>
      </w:pPr>
    </w:p>
    <w:p>
      <w:pPr>
        <w:ind w:left="640" w:right="220" w:hanging="321"/>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Market-based awards—These awards are in the form of performance units which vest 3 years after the grant date only if the Company’s common stock achieves certain levels of total shareholder return when compared to the total shareholder return of a peer group of companies as selected by the Compensation Committee of the Board of Directors. The payout is pro-rated and can range from zero to 200% of the original award depending on the Company's relative total shareholder return during the performance period. These awards are settled entirely in stock. As of June 30, 2016, there are approximately 125,000, 81,000, and 128,000 performance units that are scheduled to vest in fiscal 2017, fiscal 2018, and fiscal 2019,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All awards vest upon the death or disability of the participant or upon a change of control of the Company.</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grant date fair value of the time-based awards is determined by the market value of the Company's common stock on the grant date. The grant date fair value of the market-based awards is calculated using a Monte Carlo model. For the fiscal 2016 grant, the model estimated the fair value of the award based on approximately 100,000 simulations of the future prices of the Company's common stock compared to the future prices of the common stock of its peer companies based on historical volatilities. The model also took into account the expected dividends of the peer companies over the performance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Nonvested deferred share activity for the twelve months ended June 30, 2016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Weighted Average Grant</w:t>
            </w:r>
          </w:p>
        </w:tc>
      </w:tr>
      <w:tr>
        <w:trPr>
          <w:trHeight w:val="210"/>
        </w:trPr>
        <w:tc>
          <w:tcPr>
            <w:tcW w:w="7220" w:type="dxa"/>
            <w:vAlign w:val="bottom"/>
          </w:tcPr>
          <w:p>
            <w:pPr>
              <w:spacing w:after="0"/>
              <w:rPr>
                <w:sz w:val="18"/>
                <w:szCs w:val="18"/>
                <w:color w:val="auto"/>
              </w:rPr>
            </w:pPr>
          </w:p>
        </w:tc>
        <w:tc>
          <w:tcPr>
            <w:tcW w:w="1260" w:type="dxa"/>
            <w:vAlign w:val="bottom"/>
          </w:tcPr>
          <w:p>
            <w:pPr>
              <w:ind w:left="780"/>
              <w:spacing w:after="0"/>
              <w:rPr>
                <w:sz w:val="20"/>
                <w:szCs w:val="20"/>
                <w:color w:val="auto"/>
              </w:rPr>
            </w:pPr>
            <w:r>
              <w:rPr>
                <w:rFonts w:ascii="Arial" w:cs="Arial" w:eastAsia="Arial" w:hAnsi="Arial"/>
                <w:sz w:val="16"/>
                <w:szCs w:val="16"/>
                <w:b w:val="1"/>
                <w:bCs w:val="1"/>
                <w:color w:val="auto"/>
                <w:w w:val="86"/>
              </w:rPr>
              <w:t>Shares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Date Fair Value per Share</w:t>
            </w:r>
          </w:p>
        </w:tc>
      </w:tr>
      <w:tr>
        <w:trPr>
          <w:trHeight w:val="33"/>
        </w:trPr>
        <w:tc>
          <w:tcPr>
            <w:tcW w:w="7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June 30, 2015</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990,268</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Shares granted</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370,490</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20.77</w:t>
            </w:r>
          </w:p>
        </w:tc>
      </w:tr>
      <w:tr>
        <w:trPr>
          <w:trHeight w:val="27"/>
        </w:trPr>
        <w:tc>
          <w:tcPr>
            <w:tcW w:w="7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shares awarded in excess of target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157,022</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Shares vested and released</w:t>
            </w:r>
          </w:p>
        </w:tc>
        <w:tc>
          <w:tcPr>
            <w:tcW w:w="760" w:type="dxa"/>
            <w:vAlign w:val="bottom"/>
          </w:tcPr>
          <w:p>
            <w:pPr>
              <w:jc w:val="right"/>
              <w:spacing w:after="0"/>
              <w:rPr>
                <w:sz w:val="20"/>
                <w:szCs w:val="20"/>
                <w:color w:val="auto"/>
              </w:rPr>
            </w:pPr>
            <w:r>
              <w:rPr>
                <w:rFonts w:ascii="Arial" w:cs="Arial" w:eastAsia="Arial" w:hAnsi="Arial"/>
                <w:sz w:val="18"/>
                <w:szCs w:val="18"/>
                <w:color w:val="auto"/>
                <w:w w:val="90"/>
              </w:rPr>
              <w:t>(631,443)</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12.39</w:t>
            </w:r>
          </w:p>
        </w:tc>
      </w:tr>
      <w:tr>
        <w:trPr>
          <w:trHeight w:val="27"/>
        </w:trPr>
        <w:tc>
          <w:tcPr>
            <w:tcW w:w="7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cancelled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(94,342)</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w:t>
            </w:r>
          </w:p>
        </w:tc>
      </w:tr>
      <w:tr>
        <w:trPr>
          <w:trHeight w:val="257"/>
        </w:trPr>
        <w:tc>
          <w:tcPr>
            <w:tcW w:w="7220" w:type="dxa"/>
            <w:vAlign w:val="bottom"/>
          </w:tcPr>
          <w:p>
            <w:pPr>
              <w:ind w:left="40"/>
              <w:spacing w:after="0"/>
              <w:rPr>
                <w:sz w:val="20"/>
                <w:szCs w:val="20"/>
                <w:color w:val="auto"/>
              </w:rPr>
            </w:pPr>
            <w:r>
              <w:rPr>
                <w:rFonts w:ascii="Arial" w:cs="Arial" w:eastAsia="Arial" w:hAnsi="Arial"/>
                <w:sz w:val="18"/>
                <w:szCs w:val="18"/>
                <w:color w:val="auto"/>
              </w:rPr>
              <w:t>Nonvested shares at June 30, 2016</w:t>
            </w:r>
          </w:p>
        </w:tc>
        <w:tc>
          <w:tcPr>
            <w:tcW w:w="1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791,995</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21.45</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242,649 and 381,038 deferred shares granted in fiscal 2015 and 2014 with average grant date fair values of $29.31 and $18.01, respectively. There were 631,443, 326,763 and 266,029 deferred shares that vested and were released in fiscal 2016, 2015 and 2014 with weighted average fair values of $22.34, $23.93 and $22.38 per share,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Common Share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of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EPS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Years Ended</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4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3"/>
                <w:szCs w:val="13"/>
                <w:color w:val="auto"/>
              </w:rPr>
            </w:pPr>
          </w:p>
        </w:tc>
        <w:tc>
          <w:tcPr>
            <w:tcW w:w="122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60" w:type="dxa"/>
            <w:vAlign w:val="bottom"/>
            <w:gridSpan w:val="6"/>
          </w:tcPr>
          <w:p>
            <w:pPr>
              <w:jc w:val="center"/>
              <w:ind w:left="835"/>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28,863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17,157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35,810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outstanding</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EPS</w:t>
            </w:r>
          </w:p>
        </w:tc>
        <w:tc>
          <w:tcPr>
            <w:tcW w:w="1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 EPS:</w:t>
            </w:r>
          </w:p>
        </w:tc>
        <w:tc>
          <w:tcPr>
            <w:tcW w:w="17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shares outstanding—basic</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26,597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26,603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26,288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26,976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EPS</w:t>
            </w:r>
          </w:p>
        </w:tc>
        <w:tc>
          <w:tcPr>
            <w:tcW w:w="1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00" w:type="dxa"/>
            <w:vAlign w:val="bottom"/>
            <w:vMerge w:val="restart"/>
          </w:tcPr>
          <w:p>
            <w:pPr>
              <w:jc w:val="right"/>
              <w:ind w:right="510"/>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Twelve Months Ended</w:t>
            </w:r>
          </w:p>
        </w:tc>
        <w:tc>
          <w:tcPr>
            <w:tcW w:w="1580" w:type="dxa"/>
            <w:vAlign w:val="bottom"/>
            <w:tcBorders>
              <w:bottom w:val="single" w:sz="8" w:color="auto"/>
            </w:tcBorders>
          </w:tcPr>
          <w:p>
            <w:pPr>
              <w:spacing w:after="0"/>
              <w:rPr>
                <w:sz w:val="16"/>
                <w:szCs w:val="16"/>
                <w:color w:val="auto"/>
              </w:rPr>
            </w:pPr>
          </w:p>
        </w:tc>
      </w:tr>
      <w:tr>
        <w:trPr>
          <w:trHeight w:val="152"/>
        </w:trPr>
        <w:tc>
          <w:tcPr>
            <w:tcW w:w="6620" w:type="dxa"/>
            <w:vAlign w:val="bottom"/>
          </w:tcPr>
          <w:p>
            <w:pPr>
              <w:spacing w:after="0"/>
              <w:rPr>
                <w:sz w:val="13"/>
                <w:szCs w:val="13"/>
                <w:color w:val="auto"/>
              </w:rPr>
            </w:pPr>
          </w:p>
        </w:tc>
        <w:tc>
          <w:tcPr>
            <w:tcW w:w="110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2"/>
              </w:rPr>
              <w:t>June 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June 30,</w:t>
            </w: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77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580" w:type="dxa"/>
            <w:vAlign w:val="bottom"/>
          </w:tcPr>
          <w:p>
            <w:pPr>
              <w:jc w:val="right"/>
              <w:ind w:right="579"/>
              <w:spacing w:after="0"/>
              <w:rPr>
                <w:sz w:val="20"/>
                <w:szCs w:val="20"/>
                <w:color w:val="auto"/>
              </w:rPr>
            </w:pPr>
            <w:r>
              <w:rPr>
                <w:rFonts w:ascii="Arial" w:cs="Arial" w:eastAsia="Arial" w:hAnsi="Arial"/>
                <w:sz w:val="14"/>
                <w:szCs w:val="14"/>
                <w:b w:val="1"/>
                <w:bCs w:val="1"/>
                <w:color w:val="auto"/>
              </w:rPr>
              <w:t>2014</w:t>
            </w:r>
          </w:p>
        </w:tc>
      </w:tr>
      <w:tr>
        <w:trPr>
          <w:trHeight w:val="250"/>
        </w:trPr>
        <w:tc>
          <w:tcPr>
            <w:tcW w:w="66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Borders>
              <w:top w:val="single" w:sz="8" w:color="auto"/>
            </w:tcBorders>
          </w:tcPr>
          <w:p>
            <w:pPr>
              <w:spacing w:after="0"/>
              <w:rPr>
                <w:sz w:val="21"/>
                <w:szCs w:val="21"/>
                <w:color w:val="auto"/>
              </w:rPr>
            </w:pPr>
          </w:p>
        </w:tc>
      </w:tr>
      <w:tr>
        <w:trPr>
          <w:trHeight w:val="276"/>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color w:val="auto"/>
              </w:rPr>
              <w:t>Total antidilutive securities</w:t>
            </w: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158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12—Employee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sponsors defined contribution savings plans for all eligible employees meeting length of service requirements. Under the primary plan, participants may contribute an amount up to 25% of pretax annual compensation subject to certain limitations. The Company matches 100% of the first 3% of employee contributions and 50% of the next 2% of employee contributions. The Company matching contributions vest immediately.</w:t>
      </w:r>
    </w:p>
    <w:p>
      <w:pPr>
        <w:spacing w:after="0" w:line="111" w:lineRule="exact"/>
        <w:rPr>
          <w:sz w:val="20"/>
          <w:szCs w:val="20"/>
          <w:color w:val="auto"/>
        </w:rPr>
      </w:pPr>
    </w:p>
    <w:p>
      <w:pPr>
        <w:ind w:right="380"/>
        <w:spacing w:after="0" w:line="438" w:lineRule="auto"/>
        <w:rPr>
          <w:sz w:val="20"/>
          <w:szCs w:val="20"/>
          <w:color w:val="auto"/>
        </w:rPr>
      </w:pPr>
      <w:r>
        <w:rPr>
          <w:rFonts w:ascii="Arial" w:cs="Arial" w:eastAsia="Arial" w:hAnsi="Arial"/>
          <w:sz w:val="18"/>
          <w:szCs w:val="18"/>
          <w:color w:val="auto"/>
        </w:rPr>
        <w:t xml:space="preserve">The Company’s matching contributions were $5.0 million, $4.9 million, and $4.1 million for the years ended June 30, 2016, 2015 and 2014, respectively. </w:t>
      </w:r>
      <w:r>
        <w:rPr>
          <w:rFonts w:ascii="Arial" w:cs="Arial" w:eastAsia="Arial" w:hAnsi="Arial"/>
          <w:sz w:val="18"/>
          <w:szCs w:val="18"/>
          <w:i w:val="1"/>
          <w:iCs w:val="1"/>
          <w:color w:val="auto"/>
        </w:rPr>
        <w:t>Multiemployer Pension Plans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contributes to various union sponsored multiemployer benefit plans in the U.S. and Canada. Benefits under these plans are generally based on compensation levels and years of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the Company, the financial risks of participating in multiemployer plans are different from single-employer plans in the following respects:</w:t>
      </w:r>
    </w:p>
    <w:p>
      <w:pPr>
        <w:spacing w:after="0" w:line="171" w:lineRule="exact"/>
        <w:rPr>
          <w:sz w:val="20"/>
          <w:szCs w:val="20"/>
          <w:color w:val="auto"/>
        </w:rPr>
      </w:pPr>
    </w:p>
    <w:p>
      <w:pPr>
        <w:ind w:left="640" w:hanging="321"/>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Assets contributed to the multiemployer plan by one employer may be used to provide benefits to employees of other participating employers.</w:t>
      </w:r>
    </w:p>
    <w:p>
      <w:pPr>
        <w:spacing w:after="0" w:line="182" w:lineRule="exact"/>
        <w:rPr>
          <w:rFonts w:ascii="Arial" w:cs="Arial" w:eastAsia="Arial" w:hAnsi="Arial"/>
          <w:sz w:val="17"/>
          <w:szCs w:val="17"/>
          <w:color w:val="auto"/>
        </w:rPr>
      </w:pPr>
    </w:p>
    <w:p>
      <w:pPr>
        <w:ind w:left="640" w:right="300" w:hanging="321"/>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participating employer discontinues contributions to a plan, the unfunded obligations of the plan may be borne by the remaining participating employers.</w:t>
      </w:r>
    </w:p>
    <w:p>
      <w:pPr>
        <w:spacing w:after="0" w:line="116"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a plan, a withdrawal liability may be created based on the unfunded vested benefits for all employees in the plan.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participation in significant plans for the fiscal year ended June 30, 2016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Pr>
          <w:p>
            <w:pPr>
              <w:spacing w:after="0"/>
              <w:rPr>
                <w:sz w:val="14"/>
                <w:szCs w:val="14"/>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FIP/RP</w:t>
            </w:r>
          </w:p>
        </w:tc>
        <w:tc>
          <w:tcPr>
            <w:tcW w:w="200" w:type="dxa"/>
            <w:vAlign w:val="bottom"/>
          </w:tcPr>
          <w:p>
            <w:pPr>
              <w:spacing w:after="0"/>
              <w:rPr>
                <w:sz w:val="14"/>
                <w:szCs w:val="14"/>
                <w:color w:val="auto"/>
              </w:rPr>
            </w:pPr>
          </w:p>
        </w:tc>
        <w:tc>
          <w:tcPr>
            <w:tcW w:w="2000" w:type="dxa"/>
            <w:vAlign w:val="bottom"/>
            <w:gridSpan w:val="6"/>
            <w:vMerge w:val="restart"/>
          </w:tcPr>
          <w:p>
            <w:pPr>
              <w:jc w:val="center"/>
              <w:ind w:left="376"/>
              <w:spacing w:after="0"/>
              <w:rPr>
                <w:sz w:val="20"/>
                <w:szCs w:val="20"/>
                <w:color w:val="auto"/>
              </w:rPr>
            </w:pPr>
            <w:r>
              <w:rPr>
                <w:rFonts w:ascii="Arial" w:cs="Arial" w:eastAsia="Arial" w:hAnsi="Arial"/>
                <w:sz w:val="14"/>
                <w:szCs w:val="14"/>
                <w:b w:val="1"/>
                <w:bCs w:val="1"/>
                <w:color w:val="auto"/>
                <w:w w:val="92"/>
              </w:rPr>
              <w:t>Company Contributions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Protection Act</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Zone Status</w:t>
            </w: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Status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Collective-</w:t>
            </w:r>
          </w:p>
        </w:tc>
        <w:tc>
          <w:tcPr>
            <w:tcW w:w="0" w:type="dxa"/>
            <w:vAlign w:val="bottom"/>
          </w:tcPr>
          <w:p>
            <w:pPr>
              <w:spacing w:after="0"/>
              <w:rPr>
                <w:sz w:val="1"/>
                <w:szCs w:val="1"/>
                <w:color w:val="auto"/>
              </w:rPr>
            </w:pPr>
          </w:p>
        </w:tc>
      </w:tr>
      <w:tr>
        <w:trPr>
          <w:trHeight w:val="50"/>
        </w:trPr>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EIN/Pension</w:t>
            </w:r>
          </w:p>
        </w:tc>
        <w:tc>
          <w:tcPr>
            <w:tcW w:w="10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Pending or</w:t>
            </w: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Surcharge</w:t>
            </w: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Bargaining</w:t>
            </w:r>
          </w:p>
        </w:tc>
        <w:tc>
          <w:tcPr>
            <w:tcW w:w="0" w:type="dxa"/>
            <w:vAlign w:val="bottom"/>
          </w:tcPr>
          <w:p>
            <w:pPr>
              <w:spacing w:after="0"/>
              <w:rPr>
                <w:sz w:val="1"/>
                <w:szCs w:val="1"/>
                <w:color w:val="auto"/>
              </w:rPr>
            </w:pPr>
          </w:p>
        </w:tc>
      </w:tr>
      <w:tr>
        <w:trPr>
          <w:trHeight w:val="79"/>
        </w:trPr>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Pension Fund</w:t>
            </w:r>
          </w:p>
        </w:tc>
        <w:tc>
          <w:tcPr>
            <w:tcW w:w="1320" w:type="dxa"/>
            <w:vAlign w:val="bottom"/>
            <w:gridSpan w:val="2"/>
            <w:vMerge w:val="continue"/>
          </w:tcPr>
          <w:p>
            <w:pPr>
              <w:spacing w:after="0"/>
              <w:rPr>
                <w:sz w:val="6"/>
                <w:szCs w:val="6"/>
                <w:color w:val="auto"/>
              </w:rPr>
            </w:pPr>
          </w:p>
        </w:tc>
        <w:tc>
          <w:tcPr>
            <w:tcW w:w="10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220" w:type="dxa"/>
            <w:vAlign w:val="bottom"/>
            <w:gridSpan w:val="2"/>
            <w:vMerge w:val="continue"/>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Plan Number</w:t>
            </w:r>
          </w:p>
        </w:tc>
        <w:tc>
          <w:tcPr>
            <w:tcW w:w="10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Implemented</w:t>
            </w: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Imposed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50"/>
        </w:trPr>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Joint Pension Fund</w:t>
            </w: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Local Union 164</w:t>
            </w: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22-6031199/001</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Yes</w:t>
            </w:r>
          </w:p>
        </w:tc>
        <w:tc>
          <w:tcPr>
            <w:tcW w:w="2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2,635</w:t>
            </w:r>
          </w:p>
        </w:tc>
        <w:tc>
          <w:tcPr>
            <w:tcW w:w="2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3,026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2,955</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5/31/2017</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IBEW</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89"/>
              </w:rPr>
              <w:t>Boilermaker-</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87"/>
              </w:rPr>
              <w:t>Described below</w:t>
            </w:r>
          </w:p>
        </w:tc>
        <w:tc>
          <w:tcPr>
            <w:tcW w:w="0" w:type="dxa"/>
            <w:vAlign w:val="bottom"/>
          </w:tcPr>
          <w:p>
            <w:pPr>
              <w:spacing w:after="0"/>
              <w:rPr>
                <w:sz w:val="1"/>
                <w:szCs w:val="1"/>
                <w:color w:val="auto"/>
              </w:rPr>
            </w:pPr>
          </w:p>
        </w:tc>
      </w:tr>
      <w:tr>
        <w:trPr>
          <w:trHeight w:val="68"/>
        </w:trPr>
        <w:tc>
          <w:tcPr>
            <w:tcW w:w="12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color w:val="auto"/>
                <w:w w:val="91"/>
              </w:rPr>
              <w:t>Blacksmith National</w:t>
            </w:r>
          </w:p>
        </w:tc>
        <w:tc>
          <w:tcPr>
            <w:tcW w:w="120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48-6168020/001</w:t>
            </w:r>
          </w:p>
        </w:tc>
        <w:tc>
          <w:tcPr>
            <w:tcW w:w="120" w:type="dxa"/>
            <w:vAlign w:val="bottom"/>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100" w:type="dxa"/>
            <w:vAlign w:val="bottom"/>
          </w:tcPr>
          <w:p>
            <w:pPr>
              <w:spacing w:after="0"/>
              <w:rPr>
                <w:sz w:val="5"/>
                <w:szCs w:val="5"/>
                <w:color w:val="auto"/>
              </w:rPr>
            </w:pPr>
          </w:p>
        </w:tc>
        <w:tc>
          <w:tcPr>
            <w:tcW w:w="13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color w:val="auto"/>
                <w:w w:val="89"/>
              </w:rPr>
              <w:t>Yes</w:t>
            </w:r>
          </w:p>
        </w:tc>
        <w:tc>
          <w:tcPr>
            <w:tcW w:w="200" w:type="dxa"/>
            <w:vAlign w:val="bottom"/>
          </w:tcPr>
          <w:p>
            <w:pPr>
              <w:spacing w:after="0"/>
              <w:rPr>
                <w:sz w:val="5"/>
                <w:szCs w:val="5"/>
                <w:color w:val="auto"/>
              </w:rPr>
            </w:pPr>
          </w:p>
        </w:tc>
        <w:tc>
          <w:tcPr>
            <w:tcW w:w="660" w:type="dxa"/>
            <w:vAlign w:val="bottom"/>
            <w:vMerge w:val="restart"/>
          </w:tcPr>
          <w:p>
            <w:pPr>
              <w:jc w:val="right"/>
              <w:ind w:right="36"/>
              <w:spacing w:after="0" w:line="135" w:lineRule="exact"/>
              <w:rPr>
                <w:sz w:val="20"/>
                <w:szCs w:val="20"/>
                <w:color w:val="auto"/>
              </w:rPr>
            </w:pPr>
            <w:r>
              <w:rPr>
                <w:rFonts w:ascii="Arial" w:cs="Arial" w:eastAsia="Arial" w:hAnsi="Arial"/>
                <w:sz w:val="13"/>
                <w:szCs w:val="13"/>
                <w:color w:val="auto"/>
              </w:rPr>
              <w:t>7,658</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restart"/>
          </w:tcPr>
          <w:p>
            <w:pPr>
              <w:jc w:val="right"/>
              <w:ind w:right="36"/>
              <w:spacing w:after="0" w:line="135" w:lineRule="exact"/>
              <w:rPr>
                <w:sz w:val="20"/>
                <w:szCs w:val="20"/>
                <w:color w:val="auto"/>
              </w:rPr>
            </w:pPr>
            <w:r>
              <w:rPr>
                <w:rFonts w:ascii="Arial" w:cs="Arial" w:eastAsia="Arial" w:hAnsi="Arial"/>
                <w:sz w:val="13"/>
                <w:szCs w:val="13"/>
                <w:color w:val="auto"/>
              </w:rPr>
              <w:t>8,330</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restart"/>
          </w:tcPr>
          <w:p>
            <w:pPr>
              <w:jc w:val="right"/>
              <w:ind w:right="56"/>
              <w:spacing w:after="0" w:line="135" w:lineRule="exact"/>
              <w:rPr>
                <w:sz w:val="20"/>
                <w:szCs w:val="20"/>
                <w:color w:val="auto"/>
              </w:rPr>
            </w:pPr>
            <w:r>
              <w:rPr>
                <w:rFonts w:ascii="Arial" w:cs="Arial" w:eastAsia="Arial" w:hAnsi="Arial"/>
                <w:sz w:val="13"/>
                <w:szCs w:val="13"/>
                <w:color w:val="auto"/>
              </w:rPr>
              <w:t>3,271</w:t>
            </w:r>
          </w:p>
        </w:tc>
        <w:tc>
          <w:tcPr>
            <w:tcW w:w="100" w:type="dxa"/>
            <w:vAlign w:val="bottom"/>
          </w:tcPr>
          <w:p>
            <w:pPr>
              <w:spacing w:after="0"/>
              <w:rPr>
                <w:sz w:val="5"/>
                <w:szCs w:val="5"/>
                <w:color w:val="auto"/>
              </w:rPr>
            </w:pPr>
          </w:p>
        </w:tc>
        <w:tc>
          <w:tcPr>
            <w:tcW w:w="108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93"/>
        </w:trPr>
        <w:tc>
          <w:tcPr>
            <w:tcW w:w="12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7"/>
              </w:rPr>
              <w:t>Pension Trust</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2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Joint Pension Fund</w:t>
            </w: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2"/>
              </w:rPr>
              <w:t>of Local Union No</w:t>
            </w: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22-1615726/001</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2"/>
              </w:rPr>
              <w:t>N/A</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3,063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2,395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2,381</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6/1/2018</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102</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92"/>
              </w:rPr>
              <w:t>IBEW Local 456</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22-6238995/001</w:t>
            </w: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88"/>
              </w:rPr>
              <w:t>Green</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2"/>
              </w:rPr>
              <w:t>N/A</w:t>
            </w:r>
          </w:p>
        </w:tc>
        <w:tc>
          <w:tcPr>
            <w:tcW w:w="200" w:type="dxa"/>
            <w:vAlign w:val="bottom"/>
          </w:tcPr>
          <w:p>
            <w:pPr>
              <w:spacing w:after="0"/>
              <w:rPr>
                <w:sz w:val="12"/>
                <w:szCs w:val="12"/>
                <w:color w:val="auto"/>
              </w:rPr>
            </w:pPr>
          </w:p>
        </w:tc>
        <w:tc>
          <w:tcPr>
            <w:tcW w:w="660" w:type="dxa"/>
            <w:vAlign w:val="bottom"/>
            <w:vMerge w:val="restart"/>
          </w:tcPr>
          <w:p>
            <w:pPr>
              <w:jc w:val="right"/>
              <w:ind w:right="36"/>
              <w:spacing w:after="0"/>
              <w:rPr>
                <w:sz w:val="20"/>
                <w:szCs w:val="20"/>
                <w:color w:val="auto"/>
              </w:rPr>
            </w:pPr>
            <w:r>
              <w:rPr>
                <w:rFonts w:ascii="Arial" w:cs="Arial" w:eastAsia="Arial" w:hAnsi="Arial"/>
                <w:sz w:val="13"/>
                <w:szCs w:val="13"/>
                <w:color w:val="auto"/>
              </w:rPr>
              <w:t>1,168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6"/>
              </w:rPr>
              <w:t>No</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89"/>
              </w:rPr>
              <w:t>5/31/2017</w:t>
            </w:r>
          </w:p>
        </w:tc>
        <w:tc>
          <w:tcPr>
            <w:tcW w:w="0" w:type="dxa"/>
            <w:vAlign w:val="bottom"/>
          </w:tcPr>
          <w:p>
            <w:pPr>
              <w:spacing w:after="0"/>
              <w:rPr>
                <w:sz w:val="1"/>
                <w:szCs w:val="1"/>
                <w:color w:val="auto"/>
              </w:rPr>
            </w:pPr>
          </w:p>
        </w:tc>
      </w:tr>
      <w:tr>
        <w:trPr>
          <w:trHeight w:val="93"/>
        </w:trPr>
        <w:tc>
          <w:tcPr>
            <w:tcW w:w="12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6"/>
              </w:rPr>
              <w:t>Pension Plan</w:t>
            </w: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2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Local 351 IBEW</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22-3417366/001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Described below</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Described</w:t>
            </w:r>
          </w:p>
        </w:tc>
        <w:tc>
          <w:tcPr>
            <w:tcW w:w="1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Described below (2)</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5,018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2,608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2,218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Described below</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9/27/2016</w:t>
            </w:r>
          </w:p>
        </w:tc>
        <w:tc>
          <w:tcPr>
            <w:tcW w:w="0" w:type="dxa"/>
            <w:vAlign w:val="bottom"/>
          </w:tcPr>
          <w:p>
            <w:pPr>
              <w:spacing w:after="0"/>
              <w:rPr>
                <w:sz w:val="1"/>
                <w:szCs w:val="1"/>
                <w:color w:val="auto"/>
              </w:rPr>
            </w:pPr>
          </w:p>
        </w:tc>
      </w:tr>
      <w:tr>
        <w:trPr>
          <w:trHeight w:val="93"/>
        </w:trPr>
        <w:tc>
          <w:tcPr>
            <w:tcW w:w="12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6"/>
              </w:rPr>
              <w:t>Pension Plan</w:t>
            </w: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restart"/>
            <w:shd w:val="clear" w:color="auto" w:fill="CCEEFF"/>
          </w:tcPr>
          <w:p>
            <w:pPr>
              <w:jc w:val="right"/>
              <w:ind w:right="395"/>
              <w:spacing w:after="0"/>
              <w:rPr>
                <w:sz w:val="20"/>
                <w:szCs w:val="20"/>
                <w:color w:val="auto"/>
              </w:rPr>
            </w:pPr>
            <w:r>
              <w:rPr>
                <w:rFonts w:ascii="Arial" w:cs="Arial" w:eastAsia="Arial" w:hAnsi="Arial"/>
                <w:sz w:val="13"/>
                <w:szCs w:val="13"/>
                <w:color w:val="auto"/>
              </w:rPr>
              <w:t>(2)</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below (2)</w:t>
            </w:r>
          </w:p>
        </w:tc>
        <w:tc>
          <w:tcPr>
            <w:tcW w:w="10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80" w:type="dxa"/>
            <w:vAlign w:val="bottom"/>
            <w:gridSpan w:val="2"/>
            <w:vMerge w:val="restart"/>
            <w:shd w:val="clear" w:color="auto" w:fill="CCEEFF"/>
          </w:tcPr>
          <w:p>
            <w:pPr>
              <w:jc w:val="center"/>
              <w:ind w:left="37"/>
              <w:spacing w:after="0"/>
              <w:rPr>
                <w:sz w:val="20"/>
                <w:szCs w:val="20"/>
                <w:color w:val="auto"/>
              </w:rPr>
            </w:pPr>
            <w:r>
              <w:rPr>
                <w:rFonts w:ascii="Arial" w:cs="Arial" w:eastAsia="Arial" w:hAnsi="Arial"/>
                <w:sz w:val="13"/>
                <w:szCs w:val="13"/>
                <w:color w:val="auto"/>
                <w:w w:val="87"/>
              </w:rPr>
              <w:t>(2)</w:t>
            </w: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220" w:type="dxa"/>
            <w:vAlign w:val="bottom"/>
            <w:gridSpan w:val="2"/>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88"/>
              </w:rPr>
              <w:t>Steamfitters Local</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Union No 420</w:t>
            </w: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23-2004424/001</w:t>
            </w:r>
          </w:p>
        </w:tc>
        <w:tc>
          <w:tcPr>
            <w:tcW w:w="1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Yes</w:t>
            </w:r>
          </w:p>
        </w:tc>
        <w:tc>
          <w:tcPr>
            <w:tcW w:w="200" w:type="dxa"/>
            <w:vAlign w:val="bottom"/>
          </w:tcPr>
          <w:p>
            <w:pPr>
              <w:spacing w:after="0"/>
              <w:rPr>
                <w:sz w:val="11"/>
                <w:szCs w:val="11"/>
                <w:color w:val="auto"/>
              </w:rPr>
            </w:pPr>
          </w:p>
        </w:tc>
        <w:tc>
          <w:tcPr>
            <w:tcW w:w="660" w:type="dxa"/>
            <w:vAlign w:val="bottom"/>
          </w:tcPr>
          <w:p>
            <w:pPr>
              <w:jc w:val="right"/>
              <w:ind w:right="36"/>
              <w:spacing w:after="0" w:line="135" w:lineRule="exact"/>
              <w:rPr>
                <w:sz w:val="20"/>
                <w:szCs w:val="20"/>
                <w:color w:val="auto"/>
              </w:rPr>
            </w:pPr>
            <w:r>
              <w:rPr>
                <w:rFonts w:ascii="Arial" w:cs="Arial" w:eastAsia="Arial" w:hAnsi="Arial"/>
                <w:sz w:val="13"/>
                <w:szCs w:val="13"/>
                <w:color w:val="auto"/>
              </w:rPr>
              <w:t>1,265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6"/>
              <w:spacing w:after="0" w:line="135" w:lineRule="exact"/>
              <w:rPr>
                <w:sz w:val="20"/>
                <w:szCs w:val="20"/>
                <w:color w:val="auto"/>
              </w:rPr>
            </w:pPr>
            <w:r>
              <w:rPr>
                <w:rFonts w:ascii="Arial" w:cs="Arial" w:eastAsia="Arial" w:hAnsi="Arial"/>
                <w:sz w:val="13"/>
                <w:szCs w:val="13"/>
                <w:color w:val="auto"/>
              </w:rPr>
              <w:t>937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1,677</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0"/>
              </w:rPr>
              <w:t>Yes</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89"/>
              </w:rPr>
              <w:t>4/30/2017</w:t>
            </w:r>
          </w:p>
        </w:tc>
        <w:tc>
          <w:tcPr>
            <w:tcW w:w="0" w:type="dxa"/>
            <w:vAlign w:val="bottom"/>
          </w:tcPr>
          <w:p>
            <w:pPr>
              <w:spacing w:after="0"/>
              <w:rPr>
                <w:sz w:val="1"/>
                <w:szCs w:val="1"/>
                <w:color w:val="auto"/>
              </w:rPr>
            </w:pPr>
          </w:p>
        </w:tc>
      </w:tr>
      <w:tr>
        <w:trPr>
          <w:trHeight w:val="168"/>
        </w:trPr>
        <w:tc>
          <w:tcPr>
            <w:tcW w:w="12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Pension Plan</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IBEW Local Union</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23-1990722/001</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1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Yes</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1,653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2,768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1,380</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4/29/2017</w:t>
            </w:r>
          </w:p>
        </w:tc>
        <w:tc>
          <w:tcPr>
            <w:tcW w:w="0" w:type="dxa"/>
            <w:vAlign w:val="bottom"/>
          </w:tcPr>
          <w:p>
            <w:pPr>
              <w:spacing w:after="0"/>
              <w:rPr>
                <w:sz w:val="1"/>
                <w:szCs w:val="1"/>
                <w:color w:val="auto"/>
              </w:rPr>
            </w:pPr>
          </w:p>
        </w:tc>
      </w:tr>
      <w:tr>
        <w:trPr>
          <w:trHeight w:val="93"/>
        </w:trPr>
        <w:tc>
          <w:tcPr>
            <w:tcW w:w="12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6"/>
              </w:rPr>
              <w:t>98 Pension Plan</w:t>
            </w: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220" w:type="dxa"/>
            <w:vAlign w:val="bottom"/>
            <w:gridSpan w:val="2"/>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88"/>
              </w:rPr>
              <w:t>Indiana Laborers</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35-6027150/001</w:t>
            </w: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3"/>
              </w:rPr>
              <w:t>Red</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Yes</w:t>
            </w:r>
          </w:p>
        </w:tc>
        <w:tc>
          <w:tcPr>
            <w:tcW w:w="200" w:type="dxa"/>
            <w:vAlign w:val="bottom"/>
          </w:tcPr>
          <w:p>
            <w:pPr>
              <w:spacing w:after="0"/>
              <w:rPr>
                <w:sz w:val="12"/>
                <w:szCs w:val="12"/>
                <w:color w:val="auto"/>
              </w:rPr>
            </w:pPr>
          </w:p>
        </w:tc>
        <w:tc>
          <w:tcPr>
            <w:tcW w:w="660" w:type="dxa"/>
            <w:vAlign w:val="bottom"/>
            <w:vMerge w:val="restart"/>
          </w:tcPr>
          <w:p>
            <w:pPr>
              <w:jc w:val="right"/>
              <w:ind w:right="36"/>
              <w:spacing w:after="0"/>
              <w:rPr>
                <w:sz w:val="20"/>
                <w:szCs w:val="20"/>
                <w:color w:val="auto"/>
              </w:rPr>
            </w:pPr>
            <w:r>
              <w:rPr>
                <w:rFonts w:ascii="Arial" w:cs="Arial" w:eastAsia="Arial" w:hAnsi="Arial"/>
                <w:sz w:val="13"/>
                <w:szCs w:val="13"/>
                <w:color w:val="auto"/>
              </w:rPr>
              <w:t>2,320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2,519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auto"/>
              </w:rPr>
              <w:t>1,268</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6"/>
              </w:rPr>
              <w:t>No</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89"/>
              </w:rPr>
              <w:t>5/31/2017</w:t>
            </w:r>
          </w:p>
        </w:tc>
        <w:tc>
          <w:tcPr>
            <w:tcW w:w="0" w:type="dxa"/>
            <w:vAlign w:val="bottom"/>
          </w:tcPr>
          <w:p>
            <w:pPr>
              <w:spacing w:after="0"/>
              <w:rPr>
                <w:sz w:val="1"/>
                <w:szCs w:val="1"/>
                <w:color w:val="auto"/>
              </w:rPr>
            </w:pPr>
          </w:p>
        </w:tc>
      </w:tr>
      <w:tr>
        <w:trPr>
          <w:trHeight w:val="93"/>
        </w:trPr>
        <w:tc>
          <w:tcPr>
            <w:tcW w:w="12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4"/>
              </w:rPr>
              <w:t>Pension Fund</w:t>
            </w: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2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0"/>
              </w:rPr>
              <w:t>Iron Workers Mid-</w:t>
            </w: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7"/>
              </w:rPr>
              <w:t>America Pension</w:t>
            </w: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36-6488227/001</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2"/>
              </w:rPr>
              <w:t>N/A</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2,248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2,605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1,156</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5/31/2019</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Plan</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89"/>
              </w:rPr>
              <w:t>Plumbers &amp;</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Pipefitters Local</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51-6015925/001</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10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Yes</w:t>
            </w:r>
          </w:p>
        </w:tc>
        <w:tc>
          <w:tcPr>
            <w:tcW w:w="200" w:type="dxa"/>
            <w:vAlign w:val="bottom"/>
          </w:tcPr>
          <w:p>
            <w:pPr>
              <w:spacing w:after="0"/>
              <w:rPr>
                <w:sz w:val="11"/>
                <w:szCs w:val="11"/>
                <w:color w:val="auto"/>
              </w:rPr>
            </w:pPr>
          </w:p>
        </w:tc>
        <w:tc>
          <w:tcPr>
            <w:tcW w:w="660" w:type="dxa"/>
            <w:vAlign w:val="bottom"/>
            <w:vMerge w:val="restart"/>
          </w:tcPr>
          <w:p>
            <w:pPr>
              <w:jc w:val="right"/>
              <w:ind w:right="36"/>
              <w:spacing w:after="0"/>
              <w:rPr>
                <w:sz w:val="20"/>
                <w:szCs w:val="20"/>
                <w:color w:val="auto"/>
              </w:rPr>
            </w:pPr>
            <w:r>
              <w:rPr>
                <w:rFonts w:ascii="Arial" w:cs="Arial" w:eastAsia="Arial" w:hAnsi="Arial"/>
                <w:sz w:val="13"/>
                <w:szCs w:val="13"/>
                <w:color w:val="auto"/>
              </w:rPr>
              <w:t>552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4,473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6"/>
              </w:rPr>
              <w:t>No</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89"/>
              </w:rPr>
              <w:t>6/15/2017</w:t>
            </w:r>
          </w:p>
        </w:tc>
        <w:tc>
          <w:tcPr>
            <w:tcW w:w="0" w:type="dxa"/>
            <w:vAlign w:val="bottom"/>
          </w:tcPr>
          <w:p>
            <w:pPr>
              <w:spacing w:after="0"/>
              <w:rPr>
                <w:sz w:val="1"/>
                <w:szCs w:val="1"/>
                <w:color w:val="auto"/>
              </w:rPr>
            </w:pPr>
          </w:p>
        </w:tc>
      </w:tr>
      <w:tr>
        <w:trPr>
          <w:trHeight w:val="93"/>
        </w:trPr>
        <w:tc>
          <w:tcPr>
            <w:tcW w:w="12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color w:val="auto"/>
                <w:w w:val="87"/>
              </w:rPr>
              <w:t>Union 74 Pension</w:t>
            </w: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122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2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Fund</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Pipe Fitters</w:t>
            </w: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Retirement Fund,</w:t>
            </w: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62-6105084/001</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2"/>
              </w:rPr>
              <w:t>N/A</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2,377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2,259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949</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5/31/2017</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Local 597</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60" w:type="dxa"/>
            <w:vAlign w:val="bottom"/>
            <w:tcBorders>
              <w:bottom w:val="single" w:sz="8" w:color="CCEEFF"/>
            </w:tcBorders>
            <w:gridSpan w:val="5"/>
          </w:tcPr>
          <w:p>
            <w:pPr>
              <w:ind w:left="40"/>
              <w:spacing w:after="0"/>
              <w:rPr>
                <w:sz w:val="20"/>
                <w:szCs w:val="20"/>
                <w:color w:val="auto"/>
              </w:rPr>
            </w:pPr>
            <w:r>
              <w:rPr>
                <w:rFonts w:ascii="Arial" w:cs="Arial" w:eastAsia="Arial" w:hAnsi="Arial"/>
                <w:sz w:val="13"/>
                <w:szCs w:val="13"/>
                <w:color w:val="auto"/>
              </w:rPr>
              <w:t>Contributions to other multiemployer plans</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16,054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22,282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11,639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contributions made</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46,011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54,990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30,369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60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80" w:lineRule="exact"/>
        <w:rPr>
          <w:sz w:val="20"/>
          <w:szCs w:val="20"/>
          <w:color w:val="auto"/>
        </w:rPr>
      </w:pPr>
    </w:p>
    <w:p>
      <w:pPr>
        <w:ind w:left="460" w:right="100" w:hanging="330"/>
        <w:spacing w:after="0" w:line="250"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employees are members of several Boilermaker unions that participate in the Boilermaker-Blacksmith National Pension Trust. The most significant of these unions are Boilermakers Local 374 and Boilermakers Local 169, which have collective bargaining agreements that expire on December 31, 2016 and December 31, 2020, respectively.</w:t>
      </w:r>
    </w:p>
    <w:p>
      <w:pPr>
        <w:ind w:left="460" w:hanging="330"/>
        <w:spacing w:after="0" w:line="271" w:lineRule="auto"/>
        <w:tabs>
          <w:tab w:leader="none" w:pos="4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For the Local 351 IBEW Pension Plan, the Company has not received a funding notification that covers the Company's fiscal years 2015 or 2016 during the preparation of this Form 10-K.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also observed that the Local 351 IBEW Pension Plan has not submitted any Critical or Endangered Status Notices to the Department of Labor for either calendar years 2015 or 2016 (which can be accessed at http://www.dol.gov/ebsa/criticalstatusnotices.html).</w:t>
      </w: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121"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at market value with no discount to the participant. Contributions 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The Company has made 1,000,000 shares available under the ESPP. The ESPP can be terminated at the discretion of the Board of Directors or on January 2, 2021. Shares are issued from Treasury Stock under the ESPP. There were 17,304 shares issued in fiscal 2016, 13,243 shares in fiscal 2015, and 5,440 shares in fiscal 2014.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 Gas &amp; Chemical segment includes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Storage Solutions segment includes new construction of crude and refined products ASTs, as well as planned and emergency maintenance services. The Storage Solutions segment also includes balance of plant work in storage terminals and tank farms. Also included in the Storage Solutions segment is work related to specialty storage tanks including LNG, LIN/LOX, LPG tanks and other specialty vessels including spheres. Finally, we offer AST products, including geodesic domes, aluminum internal floating roofs, floating suction and skimmer systems, roof drain systems and floating roof seals.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Our work in the mining and minerals industry is primarily for customers engaged in the extraction of copper. We also perform work in bulk material handling and fertilizer production facilities, thermal vacuum chambers, and other industrial markets.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recognized.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and goodwill.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Oil Gas &amp;</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Storage</w:t>
            </w:r>
          </w:p>
        </w:tc>
        <w:tc>
          <w:tcPr>
            <w:tcW w:w="14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Unallocated</w:t>
            </w:r>
          </w:p>
        </w:tc>
        <w:tc>
          <w:tcPr>
            <w:tcW w:w="26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Chemical</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Twelve months ended June 30, 2016</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Gross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349,011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252,973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564,738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149,744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1,316,466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349,011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249,795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563,512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149,599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1,311,917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125,991</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40,882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564,967</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13,939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21,441</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Twelve months ended June 30, 2015</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1,354,230</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Less: inter-segment revenues</w:t>
            </w: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11,095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1,343,135</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58,085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87,370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129,725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172,857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102,761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561,689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15,773</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23,480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Twelve months ended June 30, 2014</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Gross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205,570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240,131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611,826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206,933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1,264,460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205,570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239,690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610,896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206,933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1,263,089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136,473</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58,607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200,493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568,932</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18,518</w:t>
            </w:r>
          </w:p>
        </w:tc>
        <w:tc>
          <w:tcPr>
            <w:tcW w:w="0" w:type="dxa"/>
            <w:vAlign w:val="bottom"/>
          </w:tcPr>
          <w:p>
            <w:pPr>
              <w:spacing w:after="0"/>
              <w:rPr>
                <w:sz w:val="1"/>
                <w:szCs w:val="1"/>
                <w:color w:val="auto"/>
              </w:rPr>
            </w:pPr>
          </w:p>
        </w:tc>
      </w:tr>
      <w:tr>
        <w:trPr>
          <w:trHeight w:val="675"/>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45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121" w:right="5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Geographical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50"/>
        </w:trPr>
        <w:tc>
          <w:tcPr>
            <w:tcW w:w="6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center"/>
              <w:ind w:right="276"/>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1,127,893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1,205,713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1,149,262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178,603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137,422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113,827</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1,311,917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1,343,135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1,263,089</w:t>
            </w:r>
          </w:p>
        </w:tc>
      </w:tr>
      <w:tr>
        <w:trPr>
          <w:trHeight w:val="27"/>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42"/>
        </w:trPr>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Long-Lived Assets</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center"/>
              <w:ind w:right="276"/>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158,970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166,132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164,894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19,915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22,086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28,490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189,521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188,218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193,384</w:t>
            </w:r>
          </w:p>
        </w:tc>
      </w:tr>
      <w:tr>
        <w:trPr>
          <w:trHeight w:val="27"/>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Significant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2016, one customer accounted for 14.8% of our consolidated revenue and 38.9% and 10.2% of our Electrical Infrastructure and Storage Solutions revenue, respectively. Another customer accounted for 10.6% of our consolidated revenue and 24.7% of our Storage Solutions revenue. Three other customers accounted for 16.6%, 14.4%, and 12.7% of our Electrical Infrastructure revenue, and another customer accounted for 19.3% of our Storage Solutions revenue. An additional two customers accounted for 20.2% and 11.2% of our Oil Gas &amp; Chemical revenue, respectively. Three other customers accounted for 36.9%, 20.1% and 14.0% of our Industrial revenue, respectively.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2015, one customer accounted for 12.3% of our consolidated revenue and 33.0% of our Storage Solutions revenue. Another customer accounted for 10.9% of our Storage Solutions revenue. Five other customers accounted for 25.1%, 16.3%, 14.7%, 12.7% and 12.7% of our Electrical Infrastructure revenue, respectively. An additional two customers accounted for 17.7% and 12.3% of our Oil Gas &amp; Chemical revenue, respectively. Three other customers accounted for 34.0%, 27.6%, and 19.0% of our Industrial revenue, respectively.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2014, two customers accounted for 17.3% and 12.7% of our consolidated revenue and 35.8% and 26.3% of our Storage Solutions revenue, respectively. Four other customers accounted for 20.8%, 17.5%, 17.0%, and 10.8% of our Electrical Infrastructure revenue, respectively. An additional three customers accounted for 18.3%, 14.0%, and 10.2% of our Oil Gas &amp; Chemical revenue, respectively. Five more customers accounted for 23.3%, 15.1%, 13.0%, 12.7%, and 11.3% of our Industrial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June 30, 2016 and June 30, 2015</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33"/>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4"/>
                <w:szCs w:val="14"/>
                <w:color w:val="auto"/>
              </w:rPr>
            </w:pPr>
          </w:p>
        </w:tc>
        <w:tc>
          <w:tcPr>
            <w:tcW w:w="1340" w:type="dxa"/>
            <w:vAlign w:val="bottom"/>
          </w:tcPr>
          <w:p>
            <w:pPr>
              <w:jc w:val="right"/>
              <w:ind w:right="474"/>
              <w:spacing w:after="0"/>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4"/>
                <w:szCs w:val="14"/>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Fourth</w:t>
            </w:r>
          </w:p>
        </w:tc>
      </w:t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Quarter</w:t>
            </w:r>
          </w:p>
        </w:tc>
      </w:tr>
      <w:tr>
        <w:trPr>
          <w:trHeight w:val="250"/>
        </w:trPr>
        <w:tc>
          <w:tcPr>
            <w:tcW w:w="5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w w:val="92"/>
              </w:rPr>
              <w:t>(In thousands, except per share amounts)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2016</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319,331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323,529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309,422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359,635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34,584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30,005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27,303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15,101</w:t>
            </w:r>
          </w:p>
        </w:tc>
        <w:tc>
          <w:tcPr>
            <w:tcW w:w="28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4,935</w:t>
            </w:r>
          </w:p>
        </w:tc>
        <w:tc>
          <w:tcPr>
            <w:tcW w:w="36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6,347</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14,499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9,941</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5,431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4,357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0.38</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0.20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0.20</w:t>
            </w:r>
          </w:p>
        </w:tc>
        <w:tc>
          <w:tcPr>
            <w:tcW w:w="36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0.16</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0.34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2015</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321,683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342,880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314,155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364,417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28,379</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15,955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2,632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8,547</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(3,671)</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(14,448)</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18,374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Matrix Service Company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5,914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3,286</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0.22</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0.12</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0.40</w:t>
            </w:r>
          </w:p>
        </w:tc>
      </w:tr>
    </w:tbl>
    <w:p>
      <w:pPr>
        <w:spacing w:after="0" w:line="3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sum of earnings per share for the four quarters may not equal the total earnings per share for the year due to changes in the average number of common shares outstanding and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60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June 30, 2016, June 30, 2015, and June 30, 2014</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9"/>
              </w:rPr>
              <w:t>COL. C</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ind w:left="1820"/>
              <w:spacing w:after="0"/>
              <w:rPr>
                <w:sz w:val="20"/>
                <w:szCs w:val="20"/>
                <w:color w:val="auto"/>
              </w:rPr>
            </w:pPr>
            <w:r>
              <w:rPr>
                <w:rFonts w:ascii="Arial" w:cs="Arial" w:eastAsia="Arial" w:hAnsi="Arial"/>
                <w:sz w:val="16"/>
                <w:szCs w:val="16"/>
                <w:b w:val="1"/>
                <w:bCs w:val="1"/>
                <w:color w:val="auto"/>
              </w:rPr>
              <w:t>COL. A</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COL. B</w:t>
            </w:r>
          </w:p>
        </w:tc>
        <w:tc>
          <w:tcPr>
            <w:tcW w:w="160" w:type="dxa"/>
            <w:vAlign w:val="bottom"/>
          </w:tcPr>
          <w:p>
            <w:pPr>
              <w:spacing w:after="0"/>
              <w:rPr>
                <w:sz w:val="18"/>
                <w:szCs w:val="18"/>
                <w:color w:val="auto"/>
              </w:rPr>
            </w:pPr>
          </w:p>
        </w:tc>
        <w:tc>
          <w:tcPr>
            <w:tcW w:w="258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ADDITIONS</w:t>
            </w:r>
          </w:p>
        </w:tc>
        <w:tc>
          <w:tcPr>
            <w:tcW w:w="120" w:type="dxa"/>
            <w:vAlign w:val="bottom"/>
          </w:tcPr>
          <w:p>
            <w:pPr>
              <w:spacing w:after="0"/>
              <w:rPr>
                <w:sz w:val="18"/>
                <w:szCs w:val="18"/>
                <w:color w:val="auto"/>
              </w:rPr>
            </w:pPr>
          </w:p>
        </w:tc>
        <w:tc>
          <w:tcPr>
            <w:tcW w:w="960" w:type="dxa"/>
            <w:vAlign w:val="bottom"/>
          </w:tcPr>
          <w:p>
            <w:pPr>
              <w:jc w:val="center"/>
              <w:ind w:right="34"/>
              <w:spacing w:after="0"/>
              <w:rPr>
                <w:sz w:val="20"/>
                <w:szCs w:val="20"/>
                <w:color w:val="auto"/>
              </w:rPr>
            </w:pPr>
            <w:r>
              <w:rPr>
                <w:rFonts w:ascii="Arial" w:cs="Arial" w:eastAsia="Arial" w:hAnsi="Arial"/>
                <w:sz w:val="16"/>
                <w:szCs w:val="16"/>
                <w:b w:val="1"/>
                <w:bCs w:val="1"/>
                <w:color w:val="auto"/>
              </w:rPr>
              <w:t>COL. 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5"/>
              <w:spacing w:after="0"/>
              <w:rPr>
                <w:sz w:val="20"/>
                <w:szCs w:val="20"/>
                <w:color w:val="auto"/>
              </w:rPr>
            </w:pPr>
            <w:r>
              <w:rPr>
                <w:rFonts w:ascii="Arial" w:cs="Arial" w:eastAsia="Arial" w:hAnsi="Arial"/>
                <w:sz w:val="16"/>
                <w:szCs w:val="16"/>
                <w:b w:val="1"/>
                <w:bCs w:val="1"/>
                <w:color w:val="auto"/>
              </w:rPr>
              <w:t>COL. E</w:t>
            </w:r>
          </w:p>
        </w:tc>
        <w:tc>
          <w:tcPr>
            <w:tcW w:w="0" w:type="dxa"/>
            <w:vAlign w:val="bottom"/>
          </w:tcPr>
          <w:p>
            <w:pPr>
              <w:spacing w:after="0"/>
              <w:rPr>
                <w:sz w:val="1"/>
                <w:szCs w:val="1"/>
                <w:color w:val="auto"/>
              </w:rPr>
            </w:pPr>
          </w:p>
        </w:tc>
      </w:tr>
      <w:tr>
        <w:trPr>
          <w:trHeight w:val="33"/>
        </w:trPr>
        <w:tc>
          <w:tcPr>
            <w:tcW w:w="4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Balance at</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Charged to</w:t>
            </w:r>
          </w:p>
        </w:tc>
        <w:tc>
          <w:tcPr>
            <w:tcW w:w="160" w:type="dxa"/>
            <w:vAlign w:val="bottom"/>
          </w:tcPr>
          <w:p>
            <w:pPr>
              <w:spacing w:after="0"/>
              <w:rPr>
                <w:sz w:val="12"/>
                <w:szCs w:val="12"/>
                <w:color w:val="auto"/>
              </w:rPr>
            </w:pPr>
          </w:p>
        </w:tc>
        <w:tc>
          <w:tcPr>
            <w:tcW w:w="1380" w:type="dxa"/>
            <w:vAlign w:val="bottom"/>
            <w:gridSpan w:val="2"/>
          </w:tcPr>
          <w:p>
            <w:pPr>
              <w:jc w:val="center"/>
              <w:ind w:right="600"/>
              <w:spacing w:after="0" w:line="147" w:lineRule="exact"/>
              <w:rPr>
                <w:sz w:val="20"/>
                <w:szCs w:val="20"/>
                <w:color w:val="auto"/>
              </w:rPr>
            </w:pPr>
            <w:r>
              <w:rPr>
                <w:rFonts w:ascii="Arial" w:cs="Arial" w:eastAsia="Arial" w:hAnsi="Arial"/>
                <w:sz w:val="14"/>
                <w:szCs w:val="14"/>
                <w:b w:val="1"/>
                <w:bCs w:val="1"/>
                <w:color w:val="auto"/>
                <w:w w:val="94"/>
              </w:rPr>
              <w:t>Charged to</w:t>
            </w:r>
          </w:p>
        </w:tc>
        <w:tc>
          <w:tcPr>
            <w:tcW w:w="120" w:type="dxa"/>
            <w:vAlign w:val="bottom"/>
          </w:tcPr>
          <w:p>
            <w:pPr>
              <w:spacing w:after="0"/>
              <w:rPr>
                <w:sz w:val="12"/>
                <w:szCs w:val="12"/>
                <w:color w:val="auto"/>
              </w:rPr>
            </w:pPr>
          </w:p>
        </w:tc>
        <w:tc>
          <w:tcPr>
            <w:tcW w:w="9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3"/>
              </w:rPr>
              <w:t>Deductions—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Costs and</w:t>
            </w:r>
          </w:p>
        </w:tc>
        <w:tc>
          <w:tcPr>
            <w:tcW w:w="15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Other Accounts</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Expenses</w:t>
            </w:r>
          </w:p>
        </w:tc>
        <w:tc>
          <w:tcPr>
            <w:tcW w:w="160" w:type="dxa"/>
            <w:vAlign w:val="bottom"/>
          </w:tcPr>
          <w:p>
            <w:pPr>
              <w:spacing w:after="0"/>
              <w:rPr>
                <w:sz w:val="16"/>
                <w:szCs w:val="16"/>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—Describe</w:t>
            </w:r>
          </w:p>
        </w:tc>
        <w:tc>
          <w:tcPr>
            <w:tcW w:w="120" w:type="dxa"/>
            <w:vAlign w:val="bottom"/>
          </w:tcPr>
          <w:p>
            <w:pPr>
              <w:spacing w:after="0"/>
              <w:rPr>
                <w:sz w:val="16"/>
                <w:szCs w:val="16"/>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Describe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43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2016</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Deducted from asset accounts: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1,808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43"/>
        </w:trPr>
        <w:tc>
          <w:tcPr>
            <w:tcW w:w="4300" w:type="dxa"/>
            <w:vAlign w:val="bottom"/>
            <w:gridSpan w:val="2"/>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1,808</w:t>
            </w: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Fiscal Year 2015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Deducted from asset accounts: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3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540" w:type="dxa"/>
            <w:vAlign w:val="bottom"/>
          </w:tcPr>
          <w:p>
            <w:pPr>
              <w:ind w:left="40"/>
              <w:spacing w:after="0"/>
              <w:rPr>
                <w:sz w:val="20"/>
                <w:szCs w:val="20"/>
                <w:color w:val="auto"/>
              </w:rPr>
            </w:pPr>
            <w:r>
              <w:rPr>
                <w:rFonts w:ascii="Arial" w:cs="Arial" w:eastAsia="Arial" w:hAnsi="Arial"/>
                <w:sz w:val="18"/>
                <w:szCs w:val="18"/>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67"/>
        </w:trPr>
        <w:tc>
          <w:tcPr>
            <w:tcW w:w="4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3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Fiscal Year 2014</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Deducted from asset accounts: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4300" w:type="dxa"/>
            <w:vAlign w:val="bottom"/>
            <w:gridSpan w:val="2"/>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Relates to a reclassification of reserves that were initially recorded in billings on uncompleted contracts in excess of costs and estimated earnings.</w:t>
      </w:r>
    </w:p>
    <w:p>
      <w:pPr>
        <w:spacing w:after="0" w:line="13" w:lineRule="exact"/>
        <w:rPr>
          <w:rFonts w:ascii="Arial" w:cs="Arial" w:eastAsia="Arial" w:hAnsi="Arial"/>
          <w:sz w:val="14"/>
          <w:szCs w:val="14"/>
          <w:color w:val="auto"/>
        </w:rPr>
      </w:pPr>
    </w:p>
    <w:p>
      <w:pPr>
        <w:ind w:left="540" w:hanging="316"/>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Receivables written off against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660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240" w:top="125" w:right="6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980"/>
        <w:spacing w:after="0" w:line="47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2016. Based on the foregoing, our Chief Executive Officer and Chief Financial Officer concluded that our disclosure controls and procedures were effective at the reasonable assurance level at June 30,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“Management’s Report on Internal Control over Financial Reporting” set forth in Item 8, Financial Statements and Supplementary Data of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during the fourth fiscal quarter that materially affected, or are reasonably likely to materially affect, our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required by this item with respect to the Company’s directors and corporate governance is incorporated herein by reference to the sections entitled “Proposal Number 1: Election of Directors” and “Corporate Governance and Board Matters” in the Company’s definitive Proxy Statement for the 2016 Annual Meeting of Stockholders (“Proxy Statement”). The information required by this item with respect to the Company’s executive officers is incorporated herein by reference to the section entitled “Executive Officer Information” in the Proxy Statement. The information required by this item with respect to the Section 16 ownership reports is incorporated herein by reference to the section entitled “Section 16(a) Beneficial Ownership Reporting Compliance” in the Proxy Statement.</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has adopted a Code of Business Conduct and Ethics applicable to all directors, officers and employees, including the principal executive officer, principal financial officer and principal accounting officer of the Company.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and “Executive Officer Compensation”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"Corporate Governance and Board Matters" and “Certain Relationships and Related Transactions”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 of the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financial statements and supplementary data are filed as a part of this report under “Item 8—Financial Statements and Supplementary Data” in this Annual Report on Form 10-K:</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180" w:type="dxa"/>
            <w:vAlign w:val="bottom"/>
            <w:gridSpan w:val="12"/>
          </w:tcPr>
          <w:p>
            <w:pPr>
              <w:spacing w:after="0"/>
              <w:rPr>
                <w:sz w:val="20"/>
                <w:szCs w:val="20"/>
                <w:color w:val="auto"/>
              </w:rPr>
            </w:pPr>
            <w:r>
              <w:rPr>
                <w:rFonts w:ascii="Arial" w:cs="Arial" w:eastAsia="Arial" w:hAnsi="Arial"/>
                <w:sz w:val="18"/>
                <w:szCs w:val="18"/>
                <w:color w:val="auto"/>
              </w:rPr>
              <w:t>Financial Statements of the Company</w:t>
            </w:r>
          </w:p>
        </w:tc>
        <w:tc>
          <w:tcPr>
            <w:tcW w:w="18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49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Management’s Report on Internal Control Over Financial Reporting</w:t>
              </w:r>
            </w:hyperlink>
          </w:p>
        </w:tc>
        <w:tc>
          <w:tcPr>
            <w:tcW w:w="592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sz w:val="20"/>
                <w:szCs w:val="20"/>
                <w:color w:val="auto"/>
              </w:rPr>
            </w:pPr>
            <w:r>
              <w:rPr>
                <w:rFonts w:ascii="Arial" w:cs="Arial" w:eastAsia="Arial" w:hAnsi="Arial"/>
                <w:sz w:val="18"/>
                <w:szCs w:val="18"/>
                <w:color w:val="0000EE"/>
              </w:rPr>
              <w:t>Reports of Independent Registered Public Accounting Firm (Deloitte &amp; Touche LLP)</w:t>
            </w:r>
          </w:p>
        </w:tc>
        <w:tc>
          <w:tcPr>
            <w:tcW w:w="180" w:type="dxa"/>
            <w:vAlign w:val="bottom"/>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Income for the Years Ended June 30, 2016, June 30, 2015 and June 30, 2014</w:t>
              </w:r>
            </w:hyperlink>
          </w:p>
        </w:tc>
        <w:tc>
          <w:tcPr>
            <w:tcW w:w="180" w:type="dxa"/>
            <w:vAlign w:val="bottom"/>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8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Statements of Comprehensive Income for the Years Ended June 30, 2016, June 30, 2015 and June 30, 2014</w:t>
              </w:r>
            </w:hyperlink>
          </w:p>
        </w:tc>
        <w:tc>
          <w:tcPr>
            <w:tcW w:w="212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372"/>
        </w:trPr>
        <w:tc>
          <w:tcPr>
            <w:tcW w:w="340" w:type="dxa"/>
            <w:vAlign w:val="bottom"/>
          </w:tcPr>
          <w:p>
            <w:pPr>
              <w:spacing w:after="0"/>
              <w:rPr>
                <w:sz w:val="24"/>
                <w:szCs w:val="24"/>
                <w:color w:val="auto"/>
              </w:rPr>
            </w:pPr>
          </w:p>
        </w:tc>
        <w:tc>
          <w:tcPr>
            <w:tcW w:w="49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Balance Sheets as of June 30, 2016 and June 30, 2015</w:t>
              </w:r>
            </w:hyperlink>
          </w:p>
        </w:tc>
        <w:tc>
          <w:tcPr>
            <w:tcW w:w="5940" w:type="dxa"/>
            <w:vAlign w:val="bottom"/>
            <w:gridSpan w:val="7"/>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 for the Years Ended June 30, 2016, June 30, 2015 and June 30, 2014</w:t>
              </w:r>
            </w:hyperlink>
          </w:p>
        </w:tc>
        <w:tc>
          <w:tcPr>
            <w:tcW w:w="180" w:type="dxa"/>
            <w:vAlign w:val="bottom"/>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640" w:type="dxa"/>
            <w:vAlign w:val="bottom"/>
            <w:gridSpan w:val="5"/>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89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Changes in Stockholders’ Equity for the Years Ended June 30, 2016, June 30, 2015 and June 30,</w:t>
              </w:r>
            </w:hyperlink>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4">
              <w:r>
                <w:rPr>
                  <w:rFonts w:ascii="Arial" w:cs="Arial" w:eastAsia="Arial" w:hAnsi="Arial"/>
                  <w:sz w:val="18"/>
                  <w:szCs w:val="18"/>
                  <w:color w:val="0000EE"/>
                  <w:w w:val="84"/>
                </w:rPr>
                <w:t>2014</w:t>
              </w:r>
            </w:hyperlink>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53</w:t>
              </w:r>
            </w:hyperlink>
          </w:p>
        </w:tc>
      </w:tr>
      <w:tr>
        <w:trPr>
          <w:trHeight w:val="372"/>
        </w:trPr>
        <w:tc>
          <w:tcPr>
            <w:tcW w:w="340" w:type="dxa"/>
            <w:vAlign w:val="bottom"/>
          </w:tcPr>
          <w:p>
            <w:pPr>
              <w:spacing w:after="0"/>
              <w:rPr>
                <w:sz w:val="24"/>
                <w:szCs w:val="24"/>
                <w:color w:val="auto"/>
              </w:rPr>
            </w:pPr>
          </w:p>
        </w:tc>
        <w:tc>
          <w:tcPr>
            <w:tcW w:w="32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Notes to Consolidated Financial Statements</w:t>
              </w:r>
            </w:hyperlink>
          </w:p>
        </w:tc>
        <w:tc>
          <w:tcPr>
            <w:tcW w:w="764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54</w:t>
              </w:r>
            </w:hyperlink>
          </w:p>
        </w:tc>
      </w:tr>
      <w:tr>
        <w:trPr>
          <w:trHeight w:val="372"/>
        </w:trPr>
        <w:tc>
          <w:tcPr>
            <w:tcW w:w="27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Quarterly Financial Data (Unaudited)</w:t>
              </w:r>
            </w:hyperlink>
          </w:p>
        </w:tc>
        <w:tc>
          <w:tcPr>
            <w:tcW w:w="8480" w:type="dxa"/>
            <w:vAlign w:val="bottom"/>
            <w:gridSpan w:val="9"/>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79</w:t>
              </w:r>
            </w:hyperlink>
          </w:p>
        </w:tc>
      </w:tr>
      <w:tr>
        <w:trPr>
          <w:trHeight w:val="372"/>
        </w:trPr>
        <w:tc>
          <w:tcPr>
            <w:tcW w:w="11180" w:type="dxa"/>
            <w:vAlign w:val="bottom"/>
            <w:gridSpan w:val="1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Schedule II—Valuation and Qualifying Accounts</w:t>
              </w:r>
            </w:hyperlink>
          </w:p>
        </w:tc>
        <w:tc>
          <w:tcPr>
            <w:tcW w:w="180" w:type="dxa"/>
            <w:vAlign w:val="bottom"/>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80</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 schedule is filed as a part of this report under Schedule II—Valuation and Qualifying Accounts for the three fiscal years ended June 30, 2016, June 30, 2015 and June 30, 2014,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The following documents are included as exhibits to this Annual Report on Form 10-K:</w:t>
      </w:r>
    </w:p>
    <w:p>
      <w:pPr>
        <w:spacing w:after="0" w:line="175" w:lineRule="exact"/>
        <w:rPr>
          <w:sz w:val="20"/>
          <w:szCs w:val="20"/>
          <w:color w:val="auto"/>
        </w:rPr>
      </w:pPr>
    </w:p>
    <w:p>
      <w:pPr>
        <w:ind w:left="1340" w:right="40" w:hanging="480"/>
        <w:spacing w:after="0" w:line="259" w:lineRule="auto"/>
        <w:tabs>
          <w:tab w:leader="none" w:pos="1320" w:val="left"/>
        </w:tabs>
        <w:rPr>
          <w:sz w:val="20"/>
          <w:szCs w:val="20"/>
          <w:color w:val="auto"/>
        </w:rPr>
      </w:pPr>
      <w:r>
        <w:rPr>
          <w:rFonts w:ascii="Arial" w:cs="Arial" w:eastAsia="Arial" w:hAnsi="Arial"/>
          <w:sz w:val="18"/>
          <w:szCs w:val="18"/>
          <w:color w:val="auto"/>
        </w:rPr>
        <w:t>2.0</w:t>
        <w:tab/>
        <w:t>Sales and Purchase Agreement dated December 8, 2013 between Matrix North America Construction, Inc. and Matrix Canadian Holdings, Inc., as Buyers, Matrix Service Company as a Buyer Party, Kvaerner North American Construction Inc. and Kvaerner AS, as Sellers and Kvaerner ASA, as Seller's Guarantor (Exhibit 2.1 to the Company's Current Report on Form 8-K (File No. 1-15461) filed December 27, 2013, is hereby incorporated by reference).</w:t>
      </w:r>
    </w:p>
    <w:p>
      <w:pPr>
        <w:spacing w:after="0" w:line="146"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(Exhibit 4.1 to the Company’s Registration Statement on Form S-3 (File No. 333-</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156814) filed January 21, 2009, is hereby incorporated by reference).</w:t>
      </w:r>
    </w:p>
    <w:p>
      <w:pPr>
        <w:spacing w:after="0" w:line="170" w:lineRule="exact"/>
        <w:rPr>
          <w:sz w:val="20"/>
          <w:szCs w:val="20"/>
          <w:color w:val="auto"/>
        </w:rPr>
      </w:pPr>
    </w:p>
    <w:p>
      <w:pPr>
        <w:jc w:val="center"/>
        <w:ind w:left="680" w:right="420"/>
        <w:spacing w:after="0" w:line="308" w:lineRule="auto"/>
        <w:rPr>
          <w:sz w:val="20"/>
          <w:szCs w:val="20"/>
          <w:color w:val="auto"/>
        </w:rPr>
      </w:pPr>
      <w:r>
        <w:rPr>
          <w:rFonts w:ascii="Arial" w:cs="Arial" w:eastAsia="Arial" w:hAnsi="Arial"/>
          <w:sz w:val="17"/>
          <w:szCs w:val="17"/>
          <w:color w:val="auto"/>
        </w:rPr>
        <w:t>3.2   Certification of Designations, Preferences and Rights of Series B Junior Preferred Stock dated November 12, 1999 (Exhibit 3.2 to the Company’s Registration Statement on Form S-3 (File No. 333-117077) filed July 1, 2004, is hereby incorporated by reference).</w:t>
      </w:r>
    </w:p>
    <w:p>
      <w:pPr>
        <w:spacing w:after="0" w:line="106" w:lineRule="exact"/>
        <w:rPr>
          <w:sz w:val="20"/>
          <w:szCs w:val="20"/>
          <w:color w:val="auto"/>
        </w:rPr>
      </w:pPr>
    </w:p>
    <w:p>
      <w:pPr>
        <w:ind w:left="1340" w:right="160" w:hanging="480"/>
        <w:spacing w:after="0" w:line="264" w:lineRule="auto"/>
        <w:tabs>
          <w:tab w:leader="none" w:pos="1320" w:val="left"/>
        </w:tabs>
        <w:rPr>
          <w:sz w:val="20"/>
          <w:szCs w:val="20"/>
          <w:color w:val="auto"/>
        </w:rPr>
      </w:pPr>
      <w:r>
        <w:rPr>
          <w:rFonts w:ascii="Arial" w:cs="Arial" w:eastAsia="Arial" w:hAnsi="Arial"/>
          <w:sz w:val="18"/>
          <w:szCs w:val="18"/>
          <w:color w:val="auto"/>
        </w:rPr>
        <w:t>3.3</w:t>
        <w:tab/>
        <w:t>Certificate of Increase of Authorized Number of Shares of Series B Junior Participating Preferred Stock pursuant to Section 151 of the General Corporation Law of the State of Delaware dated July 11, 2005 (Exhibit 3.5 to the Company’s Annual Report on Form 10-K (File No. 1-15461) filed August 17, 2005, is hereby incorporated by reference).</w:t>
      </w:r>
    </w:p>
    <w:p>
      <w:pPr>
        <w:spacing w:after="0" w:line="141" w:lineRule="exact"/>
        <w:rPr>
          <w:sz w:val="20"/>
          <w:szCs w:val="20"/>
          <w:color w:val="auto"/>
        </w:rPr>
      </w:pPr>
    </w:p>
    <w:p>
      <w:pPr>
        <w:ind w:left="1340" w:right="260" w:hanging="480"/>
        <w:spacing w:after="0" w:line="264" w:lineRule="auto"/>
        <w:tabs>
          <w:tab w:leader="none" w:pos="1320" w:val="left"/>
        </w:tabs>
        <w:rPr>
          <w:sz w:val="20"/>
          <w:szCs w:val="20"/>
          <w:color w:val="auto"/>
        </w:rPr>
      </w:pPr>
      <w:r>
        <w:rPr>
          <w:rFonts w:ascii="Arial" w:cs="Arial" w:eastAsia="Arial" w:hAnsi="Arial"/>
          <w:sz w:val="18"/>
          <w:szCs w:val="18"/>
          <w:color w:val="auto"/>
        </w:rPr>
        <w:t>3.4</w:t>
        <w:tab/>
        <w:t>Certificate of Increase of Authorized Number of Shares of Series B Junior Participating Preferred Stock pursuant to Section 151 of the General Corporation Law of the State of Delaware dated October 23, 2006 (Exhibit 3.7 to the Company’s Annual Report on Form 10-K (File No. 1-15461) filed August 14, 2007, is hereby incorporated by reference).</w:t>
      </w:r>
    </w:p>
    <w:p>
      <w:pPr>
        <w:spacing w:after="0" w:line="141" w:lineRule="exact"/>
        <w:rPr>
          <w:sz w:val="20"/>
          <w:szCs w:val="20"/>
          <w:color w:val="auto"/>
        </w:rPr>
      </w:pPr>
    </w:p>
    <w:p>
      <w:pPr>
        <w:ind w:left="1340" w:right="180" w:hanging="480"/>
        <w:spacing w:after="0" w:line="277" w:lineRule="auto"/>
        <w:tabs>
          <w:tab w:leader="none" w:pos="1320" w:val="left"/>
        </w:tabs>
        <w:rPr>
          <w:sz w:val="20"/>
          <w:szCs w:val="20"/>
          <w:color w:val="auto"/>
        </w:rPr>
      </w:pPr>
      <w:r>
        <w:rPr>
          <w:rFonts w:ascii="Arial" w:cs="Arial" w:eastAsia="Arial" w:hAnsi="Arial"/>
          <w:sz w:val="18"/>
          <w:szCs w:val="18"/>
          <w:color w:val="auto"/>
        </w:rPr>
        <w:t>3.5</w:t>
        <w:tab/>
        <w:t>Amended and Restated Bylaws, effective February 2, 2016 (Exhibit 3 to the Company’s Current Report on Form 8-K (File No. 1-15461) filed February 5, 2016, is hereby incorporated by reference).</w:t>
      </w:r>
    </w:p>
    <w:p>
      <w:pPr>
        <w:spacing w:after="0" w:line="130" w:lineRule="exact"/>
        <w:rPr>
          <w:sz w:val="20"/>
          <w:szCs w:val="20"/>
          <w:color w:val="auto"/>
        </w:rPr>
      </w:pPr>
    </w:p>
    <w:p>
      <w:pPr>
        <w:ind w:left="1340" w:hanging="341"/>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Specimen Common Stock Certificate (Exhibit 4.1 to the Company’s Registration Statement on Form S-1 (File No. 33-36081) filed July 26, 1990, is hereby incorporated by reference).</w:t>
      </w:r>
    </w:p>
    <w:p>
      <w:pPr>
        <w:spacing w:after="0" w:line="13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Matrix Service Company 2004 Stock Incentive Plan (Appendix B to the Company’s Proxy Statement filed September 15, 2006 (File No.</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1-15461), is hereby incorporated by reference).</w:t>
      </w:r>
    </w:p>
    <w:p>
      <w:pPr>
        <w:spacing w:after="0" w:line="170" w:lineRule="exact"/>
        <w:rPr>
          <w:sz w:val="20"/>
          <w:szCs w:val="20"/>
          <w:color w:val="auto"/>
        </w:rPr>
      </w:pPr>
    </w:p>
    <w:p>
      <w:pPr>
        <w:ind w:left="1340" w:right="200" w:hanging="672"/>
        <w:spacing w:after="0" w:line="277" w:lineRule="auto"/>
        <w:tabs>
          <w:tab w:leader="none" w:pos="1320" w:val="left"/>
        </w:tabs>
        <w:rPr>
          <w:sz w:val="20"/>
          <w:szCs w:val="20"/>
          <w:color w:val="auto"/>
        </w:rPr>
      </w:pPr>
      <w:r>
        <w:rPr>
          <w:rFonts w:ascii="Arial" w:cs="Arial" w:eastAsia="Arial" w:hAnsi="Arial"/>
          <w:sz w:val="18"/>
          <w:szCs w:val="18"/>
          <w:color w:val="auto"/>
        </w:rPr>
        <w:t>+10.2</w:t>
        <w:tab/>
        <w:t>Amendment 1 to Matrix Service Company 2004 Stock Incentive Plan (Exhibit 10 to Amended Schedule 14A filed October 4, 2006 (File No. 1-15461), is hereby incorporated by reference).</w:t>
      </w:r>
    </w:p>
    <w:p>
      <w:pPr>
        <w:spacing w:after="0" w:line="130" w:lineRule="exact"/>
        <w:rPr>
          <w:sz w:val="20"/>
          <w:szCs w:val="20"/>
          <w:color w:val="auto"/>
        </w:rPr>
      </w:pPr>
    </w:p>
    <w:p>
      <w:pPr>
        <w:ind w:left="1340" w:right="140" w:hanging="672"/>
        <w:spacing w:after="0" w:line="277" w:lineRule="auto"/>
        <w:tabs>
          <w:tab w:leader="none" w:pos="1320" w:val="left"/>
        </w:tabs>
        <w:rPr>
          <w:sz w:val="20"/>
          <w:szCs w:val="20"/>
          <w:color w:val="auto"/>
        </w:rPr>
      </w:pPr>
      <w:r>
        <w:rPr>
          <w:rFonts w:ascii="Arial" w:cs="Arial" w:eastAsia="Arial" w:hAnsi="Arial"/>
          <w:sz w:val="18"/>
          <w:szCs w:val="18"/>
          <w:color w:val="auto"/>
        </w:rPr>
        <w:t>+10.3</w:t>
        <w:tab/>
        <w:t>Amendment 2 to Matrix Service Company 2004 Stock Incentive Plan (Exhibit 10.6 to the Company’s Annual Report on Form 10-K (File No. 1-15461) filed August 5, 2008, is hereby incorporated by reference).</w:t>
      </w:r>
    </w:p>
    <w:p>
      <w:pPr>
        <w:spacing w:after="0" w:line="13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Amendment 3 to Matrix Service Company 2004 Stock Incentive Plan (Exhibit A to the Company’s Proxy Statement filed September 11,</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2009 (File No. 1-15461), is hereby incorporated by reference).</w:t>
      </w:r>
    </w:p>
    <w:p>
      <w:pPr>
        <w:spacing w:after="0" w:line="170" w:lineRule="exact"/>
        <w:rPr>
          <w:sz w:val="20"/>
          <w:szCs w:val="20"/>
          <w:color w:val="auto"/>
        </w:rPr>
      </w:pPr>
    </w:p>
    <w:p>
      <w:pPr>
        <w:ind w:left="1340" w:right="120" w:hanging="672"/>
        <w:spacing w:after="0" w:line="342" w:lineRule="auto"/>
        <w:tabs>
          <w:tab w:leader="none" w:pos="13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Restricted Stock Unit Award Agreement for non-employee directors (2004 Stock Incentive Plan) (Exhibit 10.8 to the Company’s Annual Report on Form 10-K (File No. 1-15461) filed September 28, 2010 (the “2010 10-K”), is hereby incorporated by reference).</w:t>
      </w:r>
    </w:p>
    <w:p>
      <w:pPr>
        <w:spacing w:after="0" w:line="83" w:lineRule="exact"/>
        <w:rPr>
          <w:sz w:val="20"/>
          <w:szCs w:val="20"/>
          <w:color w:val="auto"/>
        </w:rPr>
      </w:pPr>
    </w:p>
    <w:p>
      <w:pPr>
        <w:ind w:left="1340" w:right="40" w:hanging="672"/>
        <w:spacing w:after="0" w:line="342" w:lineRule="auto"/>
        <w:tabs>
          <w:tab w:leader="none" w:pos="13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Restricted Stock Unit Award Agreement for employees (2004 Stock Incentive Plan - time-based) (Exhibit 10.11 to the Company's Annual Report on Form 10-K (File No. 1-15461) filed September 6, 2012 (the "2012 10-K"), is hereby incorporated by reference).</w:t>
      </w:r>
    </w:p>
    <w:p>
      <w:pPr>
        <w:spacing w:after="0" w:line="83"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Restricted Stock Unit Award Agreement for executive management (2004 Stock Incentive Plan – performance based) (Exhibit</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10.10 to the 2010 10-K is hereby incorporated by reference).</w:t>
      </w:r>
    </w:p>
    <w:p>
      <w:pPr>
        <w:spacing w:after="0" w:line="17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Matrix Service Company 2012 Stock and Incentive Compensation Plan (Attachment A to the Company's Proxy Statement (File No. 1-</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15461) filed October 10, 2012, is hereby incorporated by reference).</w:t>
      </w:r>
    </w:p>
    <w:p>
      <w:pPr>
        <w:spacing w:after="0" w:line="170" w:lineRule="exact"/>
        <w:rPr>
          <w:sz w:val="20"/>
          <w:szCs w:val="20"/>
          <w:color w:val="auto"/>
        </w:rPr>
      </w:pPr>
    </w:p>
    <w:p>
      <w:pPr>
        <w:ind w:left="1340" w:right="140" w:hanging="713"/>
        <w:spacing w:after="0" w:line="277" w:lineRule="auto"/>
        <w:tabs>
          <w:tab w:leader="none" w:pos="7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10.9 Amendment Number 1 to the Matrix Service Company 2012 Stock and Incentive Compensation Plan (Exhibit A to the Company's Proxy Statement (File No. 1-15461) filed October 10, 2014, is hereby incorporated by reference).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125"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10160" w:type="dxa"/>
            <w:vAlign w:val="bottom"/>
          </w:tcPr>
          <w:p>
            <w:pPr>
              <w:ind w:left="80"/>
              <w:spacing w:after="0"/>
              <w:rPr>
                <w:sz w:val="20"/>
                <w:szCs w:val="20"/>
                <w:color w:val="auto"/>
              </w:rPr>
            </w:pPr>
            <w:r>
              <w:rPr>
                <w:rFonts w:ascii="Arial" w:cs="Arial" w:eastAsia="Arial" w:hAnsi="Arial"/>
                <w:sz w:val="18"/>
                <w:szCs w:val="18"/>
                <w:color w:val="auto"/>
                <w:w w:val="92"/>
              </w:rPr>
              <w:t>Long-Term Incentive Award Agreement (2012 Stock and Incentive Compensation Plan) (Exhibit 10 to the Company's Quarterly Report on</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Form 10-Q (File No. 1-15461) filed February 7, 2013,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Form of Severance Agreement (Exhibit 10.6 to the Company’s Current Report on Form 8-K (File No. 1-15461) filed October 27, 2006, is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Form of Amendment to Severance Agreement, (Exhibit 10.2 to the Company’s Quarterly Report on Form 10-Q (File No. 1-15461) filed</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+10.13</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Amended and Restated Deferred Compensation Plan for Members of the Board of Directors (Exhibit 10.1 to the Company’s Quarterly</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Report on Form 10-Q (File No. 1-15461) filed 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Amendment 1 to Amended and Restated Deferred Compensation Plan for Members of the Board of Directors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Quarterly Report on Form 10-Q (File No. 1-15461) filed November 9, 2012,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10160" w:type="dxa"/>
            <w:vAlign w:val="bottom"/>
          </w:tcPr>
          <w:p>
            <w:pPr>
              <w:ind w:left="80"/>
              <w:spacing w:after="0"/>
              <w:rPr>
                <w:sz w:val="20"/>
                <w:szCs w:val="20"/>
                <w:color w:val="auto"/>
              </w:rPr>
            </w:pPr>
            <w:r>
              <w:rPr>
                <w:rFonts w:ascii="Arial" w:cs="Arial" w:eastAsia="Arial" w:hAnsi="Arial"/>
                <w:sz w:val="18"/>
                <w:szCs w:val="18"/>
                <w:color w:val="auto"/>
                <w:w w:val="90"/>
              </w:rPr>
              <w:t>Third Amended and Restated Credit Agreement dated as of November 7, 2011, among the Company, as Borrower, JPMorgan Chase Bank,</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6"/>
              </w:rPr>
              <w:t>N.A., as Administrative Agent, Swingline Lender and Issuing Bank, J.P. Morgan Securities LLC, as Sole Bookrunner and Sole Lead</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Arranger and the Lenders party thereto (Exhibit 10 to the Company’s Quarterly Report on Form 10-Q (File No. 1-15461) filed November 8,</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2011,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10160" w:type="dxa"/>
            <w:vAlign w:val="bottom"/>
          </w:tcPr>
          <w:p>
            <w:pPr>
              <w:ind w:left="80"/>
              <w:spacing w:after="0"/>
              <w:rPr>
                <w:sz w:val="20"/>
                <w:szCs w:val="20"/>
                <w:color w:val="auto"/>
              </w:rPr>
            </w:pPr>
            <w:r>
              <w:rPr>
                <w:rFonts w:ascii="Arial" w:cs="Arial" w:eastAsia="Arial" w:hAnsi="Arial"/>
                <w:sz w:val="18"/>
                <w:szCs w:val="18"/>
                <w:color w:val="auto"/>
                <w:w w:val="95"/>
              </w:rPr>
              <w:t>First Amendment effective as of March 13, 2014 to the Third Amended and Restated Credit Agreement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Current Report on Form 8-K (File No. 1-5461) filed March 19, 2014,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10160" w:type="dxa"/>
            <w:vAlign w:val="bottom"/>
          </w:tcPr>
          <w:p>
            <w:pPr>
              <w:ind w:left="80"/>
              <w:spacing w:after="0"/>
              <w:rPr>
                <w:sz w:val="20"/>
                <w:szCs w:val="20"/>
                <w:color w:val="auto"/>
              </w:rPr>
            </w:pPr>
            <w:r>
              <w:rPr>
                <w:rFonts w:ascii="Arial" w:cs="Arial" w:eastAsia="Arial" w:hAnsi="Arial"/>
                <w:sz w:val="18"/>
                <w:szCs w:val="18"/>
                <w:color w:val="auto"/>
                <w:w w:val="95"/>
              </w:rPr>
              <w:t>Second Amendment effective as of May 3, 2016 to the Third Amended and Restated Credit Agreement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Current Report on Form 8-K (File No. 1-5461) filed May 5, 2016,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Form of Indemnification Agreement (Exhibit 10.1 to the Company's Current Report on Form 8-K (File No. 1-15461) filed June 9, 2015, is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hereby incorporated by reference).</w:t>
            </w:r>
          </w:p>
        </w:tc>
      </w:tr>
      <w:tr>
        <w:trPr>
          <w:trHeight w:val="270"/>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160" w:type="dxa"/>
            <w:vAlign w:val="bottom"/>
          </w:tcPr>
          <w:p>
            <w:pPr>
              <w:ind w:left="80"/>
              <w:spacing w:after="0"/>
              <w:rPr>
                <w:sz w:val="20"/>
                <w:szCs w:val="20"/>
                <w:color w:val="auto"/>
              </w:rPr>
            </w:pPr>
            <w:r>
              <w:rPr>
                <w:rFonts w:ascii="Arial" w:cs="Arial" w:eastAsia="Arial" w:hAnsi="Arial"/>
                <w:sz w:val="18"/>
                <w:szCs w:val="18"/>
                <w:color w:val="auto"/>
              </w:rPr>
              <w:t>Subsidiaries.</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16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Firm—Deloitte &amp; Touche LLP.</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160" w:type="dxa"/>
            <w:vAlign w:val="bottom"/>
          </w:tcPr>
          <w:p>
            <w:pPr>
              <w:ind w:left="80"/>
              <w:spacing w:after="0"/>
              <w:rPr>
                <w:sz w:val="20"/>
                <w:szCs w:val="20"/>
                <w:color w:val="auto"/>
              </w:rPr>
            </w:pPr>
            <w:r>
              <w:rPr>
                <w:rFonts w:ascii="Arial" w:cs="Arial" w:eastAsia="Arial" w:hAnsi="Arial"/>
                <w:sz w:val="18"/>
                <w:szCs w:val="18"/>
                <w:color w:val="auto"/>
              </w:rPr>
              <w:t>Mine Safety Disclosure.</w:t>
            </w:r>
          </w:p>
        </w:tc>
      </w:tr>
      <w:tr>
        <w:trPr>
          <w:trHeight w:val="270"/>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1016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*101.SCH</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5"/>
              </w:rPr>
              <w:t>*101.CAL</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4"/>
              </w:rPr>
              <w:t>*101.DEF</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7"/>
              </w:rPr>
              <w:t>*101.LAB</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3"/>
              </w:rPr>
              <w:t>*101.PRE</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Contract or Compensatory Plan.</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80"/>
          </w:cols>
          <w:pgMar w:left="240" w:top="125" w:right="27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Matrix Service Company has duly caused this report to be signed on its behalf by the undersigned, thereunto duly authorized.</w:t>
      </w:r>
    </w:p>
    <w:p>
      <w:pPr>
        <w:spacing w:after="0" w:line="275"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Matrix Service Company</w:t>
      </w:r>
    </w:p>
    <w:p>
      <w:pPr>
        <w:spacing w:after="0" w:line="387" w:lineRule="exact"/>
        <w:rPr>
          <w:sz w:val="20"/>
          <w:szCs w:val="20"/>
          <w:color w:val="auto"/>
        </w:rPr>
      </w:pPr>
    </w:p>
    <w:p>
      <w:pPr>
        <w:ind w:left="40"/>
        <w:spacing w:after="0"/>
        <w:tabs>
          <w:tab w:leader="none" w:pos="7200" w:val="left"/>
          <w:tab w:leader="none" w:pos="8880" w:val="left"/>
        </w:tabs>
        <w:rPr>
          <w:sz w:val="20"/>
          <w:szCs w:val="20"/>
          <w:color w:val="auto"/>
        </w:rPr>
      </w:pPr>
      <w:r>
        <w:rPr>
          <w:rFonts w:ascii="Arial" w:cs="Arial" w:eastAsia="Arial" w:hAnsi="Arial"/>
          <w:sz w:val="18"/>
          <w:szCs w:val="18"/>
          <w:color w:val="auto"/>
        </w:rPr>
        <w:t>Date : September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2"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John R. Hewitt, President and</w:t>
      </w:r>
    </w:p>
    <w:p>
      <w:pPr>
        <w:spacing w:after="0" w:line="4"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Chief Executive Officer</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4920" w:type="dxa"/>
            <w:vAlign w:val="bottom"/>
            <w:gridSpan w:val="3"/>
          </w:tcPr>
          <w:p>
            <w:pPr>
              <w:jc w:val="center"/>
              <w:ind w:left="151"/>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920" w:type="dxa"/>
            <w:vAlign w:val="bottom"/>
            <w:gridSpan w:val="3"/>
          </w:tcPr>
          <w:p>
            <w:pPr>
              <w:ind w:left="100"/>
              <w:spacing w:after="0"/>
              <w:rPr>
                <w:sz w:val="20"/>
                <w:szCs w:val="20"/>
                <w:color w:val="auto"/>
              </w:rPr>
            </w:pPr>
            <w:r>
              <w:rPr>
                <w:rFonts w:ascii="Arial" w:cs="Arial" w:eastAsia="Arial" w:hAnsi="Arial"/>
                <w:sz w:val="18"/>
                <w:szCs w:val="18"/>
                <w:b w:val="1"/>
                <w:bCs w:val="1"/>
                <w:color w:val="auto"/>
              </w:rPr>
              <w:t>John R. Hewitt</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2"/>
              </w:rPr>
              <w:t>President, Chief Executive Officer and 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1, 2016</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920" w:type="dxa"/>
            <w:vAlign w:val="bottom"/>
            <w:gridSpan w:val="3"/>
            <w:vMerge w:val="restart"/>
          </w:tcPr>
          <w:p>
            <w:pPr>
              <w:jc w:val="center"/>
              <w:ind w:left="131"/>
              <w:spacing w:after="0"/>
              <w:rPr>
                <w:sz w:val="20"/>
                <w:szCs w:val="20"/>
                <w:color w:val="auto"/>
              </w:rPr>
            </w:pPr>
            <w:r>
              <w:rPr>
                <w:rFonts w:ascii="Arial" w:cs="Arial" w:eastAsia="Arial" w:hAnsi="Arial"/>
                <w:sz w:val="18"/>
                <w:szCs w:val="18"/>
                <w:color w:val="auto"/>
                <w:w w:val="94"/>
              </w:rPr>
              <w:t>(Principal Executive Officer)</w:t>
            </w: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gridSpan w:val="4"/>
          </w:tcPr>
          <w:p>
            <w:pPr>
              <w:ind w:left="1040"/>
              <w:spacing w:after="0"/>
              <w:rPr>
                <w:sz w:val="20"/>
                <w:szCs w:val="20"/>
                <w:color w:val="auto"/>
              </w:rPr>
            </w:pPr>
            <w:r>
              <w:rPr>
                <w:rFonts w:ascii="Arial" w:cs="Arial" w:eastAsia="Arial" w:hAnsi="Arial"/>
                <w:sz w:val="14"/>
                <w:szCs w:val="14"/>
                <w:b w:val="1"/>
                <w:bCs w:val="1"/>
                <w:color w:val="auto"/>
              </w:rPr>
              <w:t>John R. Hewitt</w:t>
            </w:r>
          </w:p>
        </w:tc>
        <w:tc>
          <w:tcPr>
            <w:tcW w:w="4920" w:type="dxa"/>
            <w:vAlign w:val="bottom"/>
            <w:gridSpan w:val="3"/>
            <w:vMerge w:val="continue"/>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132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/S/</w:t>
            </w:r>
          </w:p>
        </w:tc>
        <w:tc>
          <w:tcPr>
            <w:tcW w:w="29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Kevin S. Cavanah</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89"/>
              </w:rPr>
              <w:t>Vice President</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1, 2016</w:t>
            </w:r>
          </w:p>
        </w:tc>
        <w:tc>
          <w:tcPr>
            <w:tcW w:w="0" w:type="dxa"/>
            <w:vAlign w:val="bottom"/>
          </w:tcPr>
          <w:p>
            <w:pPr>
              <w:spacing w:after="0"/>
              <w:rPr>
                <w:sz w:val="1"/>
                <w:szCs w:val="1"/>
                <w:color w:val="auto"/>
              </w:rPr>
            </w:pPr>
          </w:p>
        </w:tc>
      </w:tr>
      <w:tr>
        <w:trPr>
          <w:trHeight w:val="230"/>
        </w:trPr>
        <w:tc>
          <w:tcPr>
            <w:tcW w:w="1320" w:type="dxa"/>
            <w:vAlign w:val="bottom"/>
            <w:vMerge w:val="continue"/>
          </w:tcPr>
          <w:p>
            <w:pPr>
              <w:spacing w:after="0"/>
              <w:rPr>
                <w:sz w:val="20"/>
                <w:szCs w:val="20"/>
                <w:color w:val="auto"/>
              </w:rPr>
            </w:pPr>
          </w:p>
        </w:tc>
        <w:tc>
          <w:tcPr>
            <w:tcW w:w="2920" w:type="dxa"/>
            <w:vAlign w:val="bottom"/>
            <w:gridSpan w:val="3"/>
            <w:vMerge w:val="continue"/>
          </w:tcPr>
          <w:p>
            <w:pPr>
              <w:spacing w:after="0"/>
              <w:rPr>
                <w:sz w:val="20"/>
                <w:szCs w:val="20"/>
                <w:color w:val="auto"/>
              </w:rPr>
            </w:pPr>
          </w:p>
        </w:tc>
        <w:tc>
          <w:tcPr>
            <w:tcW w:w="4920" w:type="dxa"/>
            <w:vAlign w:val="bottom"/>
            <w:gridSpan w:val="3"/>
          </w:tcPr>
          <w:p>
            <w:pPr>
              <w:jc w:val="center"/>
              <w:ind w:left="131"/>
              <w:spacing w:after="0"/>
              <w:rPr>
                <w:sz w:val="20"/>
                <w:szCs w:val="20"/>
                <w:color w:val="auto"/>
              </w:rPr>
            </w:pPr>
            <w:r>
              <w:rPr>
                <w:rFonts w:ascii="Arial" w:cs="Arial" w:eastAsia="Arial" w:hAnsi="Arial"/>
                <w:sz w:val="18"/>
                <w:szCs w:val="18"/>
                <w:color w:val="auto"/>
                <w:w w:val="93"/>
              </w:rPr>
              <w:t>and Chief Financial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920" w:type="dxa"/>
            <w:vAlign w:val="bottom"/>
            <w:gridSpan w:val="3"/>
            <w:vMerge w:val="restart"/>
          </w:tcPr>
          <w:p>
            <w:pPr>
              <w:jc w:val="center"/>
              <w:ind w:left="131"/>
              <w:spacing w:after="0"/>
              <w:rPr>
                <w:sz w:val="20"/>
                <w:szCs w:val="20"/>
                <w:color w:val="auto"/>
              </w:rPr>
            </w:pPr>
            <w:r>
              <w:rPr>
                <w:rFonts w:ascii="Arial" w:cs="Arial" w:eastAsia="Arial" w:hAnsi="Arial"/>
                <w:sz w:val="18"/>
                <w:szCs w:val="18"/>
                <w:color w:val="auto"/>
                <w:w w:val="93"/>
              </w:rPr>
              <w:t>(Principal Accounting and</w:t>
            </w: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gridSpan w:val="4"/>
          </w:tcPr>
          <w:p>
            <w:pPr>
              <w:ind w:left="1040"/>
              <w:spacing w:after="0"/>
              <w:rPr>
                <w:sz w:val="20"/>
                <w:szCs w:val="20"/>
                <w:color w:val="auto"/>
              </w:rPr>
            </w:pPr>
            <w:r>
              <w:rPr>
                <w:rFonts w:ascii="Arial" w:cs="Arial" w:eastAsia="Arial" w:hAnsi="Arial"/>
                <w:sz w:val="14"/>
                <w:szCs w:val="14"/>
                <w:b w:val="1"/>
                <w:bCs w:val="1"/>
                <w:color w:val="auto"/>
              </w:rPr>
              <w:t>Kevin S. Cavanah</w:t>
            </w:r>
          </w:p>
        </w:tc>
        <w:tc>
          <w:tcPr>
            <w:tcW w:w="4920" w:type="dxa"/>
            <w:vAlign w:val="bottom"/>
            <w:gridSpan w:val="3"/>
            <w:vMerge w:val="continue"/>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Principal Financial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920" w:type="dxa"/>
            <w:vAlign w:val="bottom"/>
            <w:gridSpan w:val="3"/>
          </w:tcPr>
          <w:p>
            <w:pPr>
              <w:ind w:left="100"/>
              <w:spacing w:after="0"/>
              <w:rPr>
                <w:sz w:val="20"/>
                <w:szCs w:val="20"/>
                <w:color w:val="auto"/>
              </w:rPr>
            </w:pPr>
            <w:r>
              <w:rPr>
                <w:rFonts w:ascii="Arial" w:cs="Arial" w:eastAsia="Arial" w:hAnsi="Arial"/>
                <w:sz w:val="18"/>
                <w:szCs w:val="18"/>
                <w:b w:val="1"/>
                <w:bCs w:val="1"/>
                <w:color w:val="auto"/>
              </w:rPr>
              <w:t>Michael J. Hall</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2"/>
              </w:rPr>
              <w:t>Chairman of the Board of Directors</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1, 2016</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gridSpan w:val="4"/>
          </w:tcPr>
          <w:p>
            <w:pPr>
              <w:ind w:left="1040"/>
              <w:spacing w:after="0"/>
              <w:rPr>
                <w:sz w:val="20"/>
                <w:szCs w:val="20"/>
                <w:color w:val="auto"/>
              </w:rPr>
            </w:pPr>
            <w:r>
              <w:rPr>
                <w:rFonts w:ascii="Arial" w:cs="Arial" w:eastAsia="Arial" w:hAnsi="Arial"/>
                <w:sz w:val="14"/>
                <w:szCs w:val="14"/>
                <w:b w:val="1"/>
                <w:bCs w:val="1"/>
                <w:color w:val="auto"/>
              </w:rPr>
              <w:t>Michael J. Hall</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920" w:type="dxa"/>
            <w:vAlign w:val="bottom"/>
            <w:gridSpan w:val="3"/>
          </w:tcPr>
          <w:p>
            <w:pPr>
              <w:ind w:left="100"/>
              <w:spacing w:after="0"/>
              <w:rPr>
                <w:sz w:val="20"/>
                <w:szCs w:val="20"/>
                <w:color w:val="auto"/>
              </w:rPr>
            </w:pPr>
            <w:r>
              <w:rPr>
                <w:rFonts w:ascii="Arial" w:cs="Arial" w:eastAsia="Arial" w:hAnsi="Arial"/>
                <w:sz w:val="18"/>
                <w:szCs w:val="18"/>
                <w:b w:val="1"/>
                <w:bCs w:val="1"/>
                <w:color w:val="auto"/>
              </w:rPr>
              <w:t>I. Edgar Hendrix</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1, 2016</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gridSpan w:val="4"/>
          </w:tcPr>
          <w:p>
            <w:pPr>
              <w:ind w:left="1040"/>
              <w:spacing w:after="0"/>
              <w:rPr>
                <w:sz w:val="20"/>
                <w:szCs w:val="20"/>
                <w:color w:val="auto"/>
              </w:rPr>
            </w:pPr>
            <w:r>
              <w:rPr>
                <w:rFonts w:ascii="Arial" w:cs="Arial" w:eastAsia="Arial" w:hAnsi="Arial"/>
                <w:sz w:val="14"/>
                <w:szCs w:val="14"/>
                <w:b w:val="1"/>
                <w:bCs w:val="1"/>
                <w:color w:val="auto"/>
              </w:rPr>
              <w:t>I. Edgar Hendrix</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920" w:type="dxa"/>
            <w:vAlign w:val="bottom"/>
            <w:gridSpan w:val="3"/>
          </w:tcPr>
          <w:p>
            <w:pPr>
              <w:ind w:left="100"/>
              <w:spacing w:after="0"/>
              <w:rPr>
                <w:sz w:val="20"/>
                <w:szCs w:val="20"/>
                <w:color w:val="auto"/>
              </w:rPr>
            </w:pPr>
            <w:r>
              <w:rPr>
                <w:rFonts w:ascii="Arial" w:cs="Arial" w:eastAsia="Arial" w:hAnsi="Arial"/>
                <w:sz w:val="18"/>
                <w:szCs w:val="18"/>
                <w:b w:val="1"/>
                <w:bCs w:val="1"/>
                <w:color w:val="auto"/>
              </w:rPr>
              <w:t>Paul K. Lackey</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1, 2016</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gridSpan w:val="4"/>
          </w:tcPr>
          <w:p>
            <w:pPr>
              <w:ind w:left="1040"/>
              <w:spacing w:after="0"/>
              <w:rPr>
                <w:sz w:val="20"/>
                <w:szCs w:val="20"/>
                <w:color w:val="auto"/>
              </w:rPr>
            </w:pPr>
            <w:r>
              <w:rPr>
                <w:rFonts w:ascii="Arial" w:cs="Arial" w:eastAsia="Arial" w:hAnsi="Arial"/>
                <w:sz w:val="14"/>
                <w:szCs w:val="14"/>
                <w:b w:val="1"/>
                <w:bCs w:val="1"/>
                <w:color w:val="auto"/>
              </w:rPr>
              <w:t>Paul K. Lackey</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920" w:type="dxa"/>
            <w:vAlign w:val="bottom"/>
            <w:gridSpan w:val="3"/>
          </w:tcPr>
          <w:p>
            <w:pPr>
              <w:ind w:left="100"/>
              <w:spacing w:after="0"/>
              <w:rPr>
                <w:sz w:val="20"/>
                <w:szCs w:val="20"/>
                <w:color w:val="auto"/>
              </w:rPr>
            </w:pPr>
            <w:r>
              <w:rPr>
                <w:rFonts w:ascii="Arial" w:cs="Arial" w:eastAsia="Arial" w:hAnsi="Arial"/>
                <w:sz w:val="18"/>
                <w:szCs w:val="18"/>
                <w:b w:val="1"/>
                <w:bCs w:val="1"/>
                <w:color w:val="auto"/>
              </w:rPr>
              <w:t>Tom E. Maxwell</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1, 2016</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gridSpan w:val="4"/>
          </w:tcPr>
          <w:p>
            <w:pPr>
              <w:ind w:left="1040"/>
              <w:spacing w:after="0"/>
              <w:rPr>
                <w:sz w:val="20"/>
                <w:szCs w:val="20"/>
                <w:color w:val="auto"/>
              </w:rPr>
            </w:pPr>
            <w:r>
              <w:rPr>
                <w:rFonts w:ascii="Arial" w:cs="Arial" w:eastAsia="Arial" w:hAnsi="Arial"/>
                <w:sz w:val="14"/>
                <w:szCs w:val="14"/>
                <w:b w:val="1"/>
                <w:bCs w:val="1"/>
                <w:color w:val="auto"/>
              </w:rPr>
              <w:t>Tom E. Maxwell</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920" w:type="dxa"/>
            <w:vAlign w:val="bottom"/>
            <w:gridSpan w:val="3"/>
          </w:tcPr>
          <w:p>
            <w:pPr>
              <w:ind w:left="100"/>
              <w:spacing w:after="0"/>
              <w:rPr>
                <w:sz w:val="20"/>
                <w:szCs w:val="20"/>
                <w:color w:val="auto"/>
              </w:rPr>
            </w:pPr>
            <w:r>
              <w:rPr>
                <w:rFonts w:ascii="Arial" w:cs="Arial" w:eastAsia="Arial" w:hAnsi="Arial"/>
                <w:sz w:val="18"/>
                <w:szCs w:val="18"/>
                <w:b w:val="1"/>
                <w:bCs w:val="1"/>
                <w:color w:val="auto"/>
              </w:rPr>
              <w:t>Jim W. Mogg</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1, 2016</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gridSpan w:val="4"/>
          </w:tcPr>
          <w:p>
            <w:pPr>
              <w:ind w:left="1040"/>
              <w:spacing w:after="0"/>
              <w:rPr>
                <w:sz w:val="20"/>
                <w:szCs w:val="20"/>
                <w:color w:val="auto"/>
              </w:rPr>
            </w:pPr>
            <w:r>
              <w:rPr>
                <w:rFonts w:ascii="Arial" w:cs="Arial" w:eastAsia="Arial" w:hAnsi="Arial"/>
                <w:sz w:val="14"/>
                <w:szCs w:val="14"/>
                <w:b w:val="1"/>
                <w:bCs w:val="1"/>
                <w:color w:val="auto"/>
              </w:rPr>
              <w:t>Jim W. Mogg</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920" w:type="dxa"/>
            <w:vAlign w:val="bottom"/>
            <w:gridSpan w:val="3"/>
          </w:tcPr>
          <w:p>
            <w:pPr>
              <w:ind w:left="100"/>
              <w:spacing w:after="0"/>
              <w:rPr>
                <w:sz w:val="20"/>
                <w:szCs w:val="20"/>
                <w:color w:val="auto"/>
              </w:rPr>
            </w:pPr>
            <w:r>
              <w:rPr>
                <w:rFonts w:ascii="Arial" w:cs="Arial" w:eastAsia="Arial" w:hAnsi="Arial"/>
                <w:sz w:val="18"/>
                <w:szCs w:val="18"/>
                <w:b w:val="1"/>
                <w:bCs w:val="1"/>
                <w:color w:val="auto"/>
              </w:rPr>
              <w:t>James H. Miller</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1, 2016</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gridSpan w:val="4"/>
          </w:tcPr>
          <w:p>
            <w:pPr>
              <w:ind w:left="1040"/>
              <w:spacing w:after="0"/>
              <w:rPr>
                <w:sz w:val="20"/>
                <w:szCs w:val="20"/>
                <w:color w:val="auto"/>
              </w:rPr>
            </w:pPr>
            <w:r>
              <w:rPr>
                <w:rFonts w:ascii="Arial" w:cs="Arial" w:eastAsia="Arial" w:hAnsi="Arial"/>
                <w:sz w:val="14"/>
                <w:szCs w:val="14"/>
                <w:b w:val="1"/>
                <w:bCs w:val="1"/>
                <w:color w:val="auto"/>
              </w:rPr>
              <w:t>James H. Miller</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920" w:type="dxa"/>
            <w:vAlign w:val="bottom"/>
            <w:gridSpan w:val="3"/>
          </w:tcPr>
          <w:p>
            <w:pPr>
              <w:ind w:left="100"/>
              <w:spacing w:after="0"/>
              <w:rPr>
                <w:sz w:val="20"/>
                <w:szCs w:val="20"/>
                <w:color w:val="auto"/>
              </w:rPr>
            </w:pPr>
            <w:r>
              <w:rPr>
                <w:rFonts w:ascii="Arial" w:cs="Arial" w:eastAsia="Arial" w:hAnsi="Arial"/>
                <w:sz w:val="18"/>
                <w:szCs w:val="18"/>
                <w:b w:val="1"/>
                <w:bCs w:val="1"/>
                <w:color w:val="auto"/>
              </w:rPr>
              <w:t>John W. Gibson</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1, 2016</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240" w:type="dxa"/>
            <w:vAlign w:val="bottom"/>
            <w:gridSpan w:val="4"/>
          </w:tcPr>
          <w:p>
            <w:pPr>
              <w:ind w:left="1040"/>
              <w:spacing w:after="0"/>
              <w:rPr>
                <w:sz w:val="20"/>
                <w:szCs w:val="20"/>
                <w:color w:val="auto"/>
              </w:rPr>
            </w:pPr>
            <w:r>
              <w:rPr>
                <w:rFonts w:ascii="Arial" w:cs="Arial" w:eastAsia="Arial" w:hAnsi="Arial"/>
                <w:sz w:val="14"/>
                <w:szCs w:val="14"/>
                <w:b w:val="1"/>
                <w:bCs w:val="1"/>
                <w:color w:val="auto"/>
              </w:rPr>
              <w:t>John W. Gibson</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7"/>
        </w:trPr>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40" w:type="dxa"/>
            <w:vAlign w:val="bottom"/>
          </w:tcPr>
          <w:p>
            <w:pPr>
              <w:jc w:val="right"/>
              <w:ind w:right="791"/>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ind w:left="1300" w:right="60" w:hanging="261"/>
        <w:spacing w:after="0" w:line="259"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and Purchase Agreement dated December 8, 2013 between Matrix North America Construction, Inc. and Matrix Canadian Holdings, Inc., as Buyers, Matrix Service Company as a Buyer Party, Kvaerner North American Construction Inc. and Kvaerner AS, as Sellers and Kvaerner ASA, as Seller's Guarantor (Exhibit 2.1 to the Company's Current Report on Form 8-K (File No. 1-15461) filed December 27, 2013, is hereby incorporated by reference).</w:t>
      </w:r>
    </w:p>
    <w:p>
      <w:pPr>
        <w:spacing w:after="0" w:line="363"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(Exhibit 4.1 to the Company’s Registration Statement on Form S-3 (File No. 333-</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156814) filed January 21, 2009, is hereby incorporated by reference).</w:t>
      </w:r>
    </w:p>
    <w:p>
      <w:pPr>
        <w:spacing w:after="0" w:line="170" w:lineRule="exact"/>
        <w:rPr>
          <w:sz w:val="20"/>
          <w:szCs w:val="20"/>
          <w:color w:val="auto"/>
        </w:rPr>
      </w:pPr>
    </w:p>
    <w:p>
      <w:pPr>
        <w:ind w:left="1300" w:right="440" w:hanging="386"/>
        <w:spacing w:after="0" w:line="342"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Designations, Preferences and Rights of Series B Junior Preferred Stock dated November 12, 1999 (Exhibit 3.2 to the Company’s Registration Statement on Form S-3 (File No. 333-117077) filed July 1, 2004, is hereby incorporated by reference).</w:t>
      </w:r>
    </w:p>
    <w:p>
      <w:pPr>
        <w:spacing w:after="0" w:line="83" w:lineRule="exact"/>
        <w:rPr>
          <w:sz w:val="20"/>
          <w:szCs w:val="20"/>
          <w:color w:val="auto"/>
        </w:rPr>
      </w:pPr>
    </w:p>
    <w:p>
      <w:pPr>
        <w:ind w:left="1300" w:right="160" w:hanging="386"/>
        <w:spacing w:after="0" w:line="264" w:lineRule="auto"/>
        <w:tabs>
          <w:tab w:leader="none" w:pos="1280" w:val="left"/>
        </w:tabs>
        <w:rPr>
          <w:sz w:val="20"/>
          <w:szCs w:val="20"/>
          <w:color w:val="auto"/>
        </w:rPr>
      </w:pPr>
      <w:r>
        <w:rPr>
          <w:rFonts w:ascii="Arial" w:cs="Arial" w:eastAsia="Arial" w:hAnsi="Arial"/>
          <w:sz w:val="18"/>
          <w:szCs w:val="18"/>
          <w:color w:val="auto"/>
        </w:rPr>
        <w:t>3.3</w:t>
        <w:tab/>
        <w:t>Certificate of Increase of Authorized Number of Shares of Series B Junior Participating Preferred Stock pursuant to Section 151 of the General Corporation Law of the State of Delaware dated July 11, 2005 (Exhibit 3.5 to the Company’s Annual Report on Form 10-K (File No. 1-15461) filed August 17, 2005, is hereby incorporated by reference).</w:t>
      </w:r>
    </w:p>
    <w:p>
      <w:pPr>
        <w:spacing w:after="0" w:line="141" w:lineRule="exact"/>
        <w:rPr>
          <w:sz w:val="20"/>
          <w:szCs w:val="20"/>
          <w:color w:val="auto"/>
        </w:rPr>
      </w:pPr>
    </w:p>
    <w:p>
      <w:pPr>
        <w:ind w:left="1300" w:right="260" w:hanging="386"/>
        <w:spacing w:after="0" w:line="264" w:lineRule="auto"/>
        <w:tabs>
          <w:tab w:leader="none" w:pos="1280" w:val="left"/>
        </w:tabs>
        <w:rPr>
          <w:sz w:val="20"/>
          <w:szCs w:val="20"/>
          <w:color w:val="auto"/>
        </w:rPr>
      </w:pPr>
      <w:r>
        <w:rPr>
          <w:rFonts w:ascii="Arial" w:cs="Arial" w:eastAsia="Arial" w:hAnsi="Arial"/>
          <w:sz w:val="18"/>
          <w:szCs w:val="18"/>
          <w:color w:val="auto"/>
        </w:rPr>
        <w:t>3.4</w:t>
        <w:tab/>
        <w:t>Certificate of Increase of Authorized Number of Shares of Series B Junior Participating Preferred Stock pursuant to Section 151 of the General Corporation Law of the State of Delaware dated October 23, 2006 (Exhibit 3.7 to the Company’s Annual Report on Form 10-K (File No. 1-15461) filed August 14, 2007, is hereby incorporated by reference).</w:t>
      </w:r>
    </w:p>
    <w:p>
      <w:pPr>
        <w:spacing w:after="0" w:line="141" w:lineRule="exact"/>
        <w:rPr>
          <w:sz w:val="20"/>
          <w:szCs w:val="20"/>
          <w:color w:val="auto"/>
        </w:rPr>
      </w:pPr>
    </w:p>
    <w:p>
      <w:pPr>
        <w:ind w:left="1300" w:right="200" w:hanging="386"/>
        <w:spacing w:after="0" w:line="277" w:lineRule="auto"/>
        <w:tabs>
          <w:tab w:leader="none" w:pos="1280" w:val="left"/>
        </w:tabs>
        <w:rPr>
          <w:sz w:val="20"/>
          <w:szCs w:val="20"/>
          <w:color w:val="auto"/>
        </w:rPr>
      </w:pPr>
      <w:r>
        <w:rPr>
          <w:rFonts w:ascii="Arial" w:cs="Arial" w:eastAsia="Arial" w:hAnsi="Arial"/>
          <w:sz w:val="18"/>
          <w:szCs w:val="18"/>
          <w:color w:val="auto"/>
        </w:rPr>
        <w:t>3.5</w:t>
        <w:tab/>
        <w:t>Amended and Restated Bylaws, effective February 2, 2016 (Exhibit 3 to the Company’s Current Report on Form 8-K (File No. 1-15461) filed February 5, 2016, is hereby incorporated by reference).</w:t>
      </w:r>
    </w:p>
    <w:p>
      <w:pPr>
        <w:spacing w:after="0" w:line="130" w:lineRule="exact"/>
        <w:rPr>
          <w:sz w:val="20"/>
          <w:szCs w:val="20"/>
          <w:color w:val="auto"/>
        </w:rPr>
      </w:pPr>
    </w:p>
    <w:p>
      <w:pPr>
        <w:ind w:left="1300" w:right="20" w:hanging="261"/>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Specimen Common Stock Certificate (Exhibit 4.1 to the Company’s Registration Statement on Form S-1 (File No. 33-36081) filed July 26, 1990, is hereby incorporated by reference).</w:t>
      </w:r>
    </w:p>
    <w:p>
      <w:pPr>
        <w:spacing w:after="0" w:line="13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Matrix Service Company 2004 Stock Incentive Plan (Appendix B to the Company’s Proxy Statement filed September 15, 2006 (File No. 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15461), is hereby incorporated by reference).</w:t>
      </w:r>
    </w:p>
    <w:p>
      <w:pPr>
        <w:spacing w:after="0" w:line="170" w:lineRule="exact"/>
        <w:rPr>
          <w:sz w:val="20"/>
          <w:szCs w:val="20"/>
          <w:color w:val="auto"/>
        </w:rPr>
      </w:pPr>
    </w:p>
    <w:p>
      <w:pPr>
        <w:ind w:left="1300" w:right="220" w:hanging="577"/>
        <w:spacing w:after="0" w:line="277" w:lineRule="auto"/>
        <w:tabs>
          <w:tab w:leader="none" w:pos="1280" w:val="left"/>
        </w:tabs>
        <w:rPr>
          <w:sz w:val="20"/>
          <w:szCs w:val="20"/>
          <w:color w:val="auto"/>
        </w:rPr>
      </w:pPr>
      <w:r>
        <w:rPr>
          <w:rFonts w:ascii="Arial" w:cs="Arial" w:eastAsia="Arial" w:hAnsi="Arial"/>
          <w:sz w:val="18"/>
          <w:szCs w:val="18"/>
          <w:color w:val="auto"/>
        </w:rPr>
        <w:t>+10.2</w:t>
        <w:tab/>
        <w:t>Amendment 1 to Matrix Service Company 2004 Stock Incentive Plan (Exhibit 10 to Amended Schedule 14A filed October 4, 2006 (File No. 1-15461), is hereby incorporated by reference).</w:t>
      </w:r>
    </w:p>
    <w:p>
      <w:pPr>
        <w:spacing w:after="0" w:line="130" w:lineRule="exact"/>
        <w:rPr>
          <w:sz w:val="20"/>
          <w:szCs w:val="20"/>
          <w:color w:val="auto"/>
        </w:rPr>
      </w:pPr>
    </w:p>
    <w:p>
      <w:pPr>
        <w:ind w:left="1300" w:right="160" w:hanging="577"/>
        <w:spacing w:after="0" w:line="277" w:lineRule="auto"/>
        <w:tabs>
          <w:tab w:leader="none" w:pos="1280" w:val="left"/>
        </w:tabs>
        <w:rPr>
          <w:sz w:val="20"/>
          <w:szCs w:val="20"/>
          <w:color w:val="auto"/>
        </w:rPr>
      </w:pPr>
      <w:r>
        <w:rPr>
          <w:rFonts w:ascii="Arial" w:cs="Arial" w:eastAsia="Arial" w:hAnsi="Arial"/>
          <w:sz w:val="18"/>
          <w:szCs w:val="18"/>
          <w:color w:val="auto"/>
        </w:rPr>
        <w:t>+10.3</w:t>
        <w:tab/>
        <w:t>Amendment 2 to Matrix Service Company 2004 Stock Incentive Plan (Exhibit 10.6 to the Company’s Annual Report on Form 10-K (File No. 1-15461) filed August 5, 2008, is hereby incorporated by reference).</w:t>
      </w:r>
    </w:p>
    <w:p>
      <w:pPr>
        <w:spacing w:after="0" w:line="13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Amendment 3 to Matrix Service Company 2004 Stock Incentive Plan (Exhibit A to the Company’s Proxy Statement filed September 11,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2009 (File No. 1-15461), is hereby incorporated by reference).</w:t>
      </w:r>
    </w:p>
    <w:p>
      <w:pPr>
        <w:spacing w:after="0" w:line="170" w:lineRule="exact"/>
        <w:rPr>
          <w:sz w:val="20"/>
          <w:szCs w:val="20"/>
          <w:color w:val="auto"/>
        </w:rPr>
      </w:pPr>
    </w:p>
    <w:p>
      <w:pPr>
        <w:ind w:left="1300" w:right="140" w:hanging="577"/>
        <w:spacing w:after="0" w:line="342" w:lineRule="auto"/>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Restricted Stock Unit Award Agreement for non-employee directors (2004 Stock Incentive Plan) (Exhibit 10.8 to the Company’s Annual Report on Form 10-K (File No. 1-15461) filed September 28, 2010 (the “2010 10-K”), is hereby incorporated by reference).</w:t>
      </w:r>
    </w:p>
    <w:p>
      <w:pPr>
        <w:spacing w:after="0" w:line="83" w:lineRule="exact"/>
        <w:rPr>
          <w:sz w:val="20"/>
          <w:szCs w:val="20"/>
          <w:color w:val="auto"/>
        </w:rPr>
      </w:pPr>
    </w:p>
    <w:p>
      <w:pPr>
        <w:jc w:val="center"/>
        <w:ind w:left="900" w:right="60"/>
        <w:spacing w:after="0" w:line="308" w:lineRule="auto"/>
        <w:rPr>
          <w:sz w:val="20"/>
          <w:szCs w:val="20"/>
          <w:color w:val="auto"/>
        </w:rPr>
      </w:pPr>
      <w:r>
        <w:rPr>
          <w:rFonts w:ascii="Arial" w:cs="Arial" w:eastAsia="Arial" w:hAnsi="Arial"/>
          <w:sz w:val="17"/>
          <w:szCs w:val="17"/>
          <w:color w:val="auto"/>
        </w:rPr>
        <w:t>+10.6  Form of Restricted Stock Unit Award Agreement for employees (2004 Stock Incentive Plan - time-based) (Exhibit 10.11 to the Company's Annual Report on Form 10-K (File No. 1-15461) filed September 6, 2012 (the "2012 10-K"), is hereby incorporated by reference.</w:t>
      </w:r>
    </w:p>
    <w:p>
      <w:pPr>
        <w:spacing w:after="0" w:line="106"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Restricted Stock Unit Award Agreement for executive management (2004 Stock Incentive Plan – performance based) (Exhibit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10.10 to the 2010 10-K is hereby incorporated by reference).</w:t>
      </w: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240" w:top="125" w:right="3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Matrix Service Company 2012 Stock and Incentive Compensation Plan (Attachment A to the Company's Proxy Statement (File No. 1-</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15461) filed October 10, 2012,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Amendment Number 1 to the Matrix Service Company 2012 Stock and Incentive Compensation Plan (Exhibit A to the Company's Proxy</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Statement (File No. 1-15461) filed October 10, 2014,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10160" w:type="dxa"/>
            <w:vAlign w:val="bottom"/>
          </w:tcPr>
          <w:p>
            <w:pPr>
              <w:ind w:left="80"/>
              <w:spacing w:after="0"/>
              <w:rPr>
                <w:sz w:val="20"/>
                <w:szCs w:val="20"/>
                <w:color w:val="auto"/>
              </w:rPr>
            </w:pPr>
            <w:r>
              <w:rPr>
                <w:rFonts w:ascii="Arial" w:cs="Arial" w:eastAsia="Arial" w:hAnsi="Arial"/>
                <w:sz w:val="18"/>
                <w:szCs w:val="18"/>
                <w:color w:val="auto"/>
                <w:w w:val="92"/>
              </w:rPr>
              <w:t>Long-Term Incentive Award Agreement (2012 Stock and Incentive Compensation Plan) (Exhibit 10 to the Company's Quarterly Report on</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Form 10-Q (File No. 1-15461) filed February 7, 213,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Form of Severance Agreement (Exhibit 10.6 to the Company’s Current Report on Form 8-K (File No. 1-15461) filed October 27, 2006, is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Form of Amendment to Severance Agreement, (Exhibit 10.2 to the Company’s Quarterly Report on Form 10-Q (File No. 1-15461) filed</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+10.13</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Amended and Restated Deferred Compensation Plan for Members of the Board of Directors (Exhibit 10.1 to the Company’s Quarterly</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Report on Form 10-Q (File No. 1-15461) filed 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Amendment 1 to Amended and Restated Deferred Compensation Plan for Members of the Board of Directors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Quarterly Report on From 10-Q (File No. 1-15461) filed November 9, 2012,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10160" w:type="dxa"/>
            <w:vAlign w:val="bottom"/>
          </w:tcPr>
          <w:p>
            <w:pPr>
              <w:ind w:left="80"/>
              <w:spacing w:after="0"/>
              <w:rPr>
                <w:sz w:val="20"/>
                <w:szCs w:val="20"/>
                <w:color w:val="auto"/>
              </w:rPr>
            </w:pPr>
            <w:r>
              <w:rPr>
                <w:rFonts w:ascii="Arial" w:cs="Arial" w:eastAsia="Arial" w:hAnsi="Arial"/>
                <w:sz w:val="18"/>
                <w:szCs w:val="18"/>
                <w:color w:val="auto"/>
                <w:w w:val="90"/>
              </w:rPr>
              <w:t>Third Amended and Restated Credit Agreement, dated as of November 7, 2011, among the Company, as Borrower, JPMorgan Chase Bank,</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6"/>
              </w:rPr>
              <w:t>N.A., as Administrative Agent, Swingline Lender and Issuing Bank, J.P. Morgan Securities LLC, as Sole Bookrunner and Sole Lead</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Arranger and the Lenders party thereto (Exhibit 10 to the Company’s Quarterly Report on Form 10-Q (File No. 1-15461) filed November 8,</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2011,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10160" w:type="dxa"/>
            <w:vAlign w:val="bottom"/>
          </w:tcPr>
          <w:p>
            <w:pPr>
              <w:ind w:left="80"/>
              <w:spacing w:after="0"/>
              <w:rPr>
                <w:sz w:val="20"/>
                <w:szCs w:val="20"/>
                <w:color w:val="auto"/>
              </w:rPr>
            </w:pPr>
            <w:r>
              <w:rPr>
                <w:rFonts w:ascii="Arial" w:cs="Arial" w:eastAsia="Arial" w:hAnsi="Arial"/>
                <w:sz w:val="18"/>
                <w:szCs w:val="18"/>
                <w:color w:val="auto"/>
                <w:w w:val="95"/>
              </w:rPr>
              <w:t>First Amendment effective as of March 13, 2014 to the Third Amended and Restated Credit Agreement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Current Report on Form 8-K (File No. 1-5461) filed March 19, 2014,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10160" w:type="dxa"/>
            <w:vAlign w:val="bottom"/>
          </w:tcPr>
          <w:p>
            <w:pPr>
              <w:ind w:left="80"/>
              <w:spacing w:after="0"/>
              <w:rPr>
                <w:sz w:val="20"/>
                <w:szCs w:val="20"/>
                <w:color w:val="auto"/>
              </w:rPr>
            </w:pPr>
            <w:r>
              <w:rPr>
                <w:rFonts w:ascii="Arial" w:cs="Arial" w:eastAsia="Arial" w:hAnsi="Arial"/>
                <w:sz w:val="18"/>
                <w:szCs w:val="18"/>
                <w:color w:val="auto"/>
                <w:w w:val="95"/>
              </w:rPr>
              <w:t>Second Amendment effective as of May 3, 2016 to the Third Amended and Restated Credit Agreement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Current Report on Form 8-K (File No. 1-5461) filed May 5, 2016,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Form of Indemnification Agreement (Exhibit 10.1 to the Company's Current Report on Form 8-K (File No. 1-15461) filed June 9, 2015, is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hereby incorporated by reference).</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160" w:type="dxa"/>
            <w:vAlign w:val="bottom"/>
          </w:tcPr>
          <w:p>
            <w:pPr>
              <w:ind w:left="80"/>
              <w:spacing w:after="0"/>
              <w:rPr>
                <w:sz w:val="20"/>
                <w:szCs w:val="20"/>
                <w:color w:val="auto"/>
              </w:rPr>
            </w:pPr>
            <w:r>
              <w:rPr>
                <w:rFonts w:ascii="Arial" w:cs="Arial" w:eastAsia="Arial" w:hAnsi="Arial"/>
                <w:sz w:val="18"/>
                <w:szCs w:val="18"/>
                <w:color w:val="auto"/>
              </w:rPr>
              <w:t>Subsidiaries.</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16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Firm—Deloitte &amp; Touche LLP.</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160" w:type="dxa"/>
            <w:vAlign w:val="bottom"/>
          </w:tcPr>
          <w:p>
            <w:pPr>
              <w:ind w:left="80"/>
              <w:spacing w:after="0"/>
              <w:rPr>
                <w:sz w:val="20"/>
                <w:szCs w:val="20"/>
                <w:color w:val="auto"/>
              </w:rPr>
            </w:pPr>
            <w:r>
              <w:rPr>
                <w:rFonts w:ascii="Arial" w:cs="Arial" w:eastAsia="Arial" w:hAnsi="Arial"/>
                <w:sz w:val="18"/>
                <w:szCs w:val="18"/>
                <w:color w:val="auto"/>
              </w:rPr>
              <w:t>Mine Safety Disclosure.</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1016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*101.SCH</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5"/>
              </w:rPr>
              <w:t>*101.CAL</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4"/>
              </w:rPr>
              <w:t>*101.DEF</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7"/>
              </w:rPr>
              <w:t>*101.LAB</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3"/>
              </w:rPr>
              <w:t>*101.PRE</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+Management Contract or Compensatory Plan.</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80"/>
          </w:cols>
          <w:pgMar w:left="240" w:top="125" w:right="27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 an Oklahoma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Canada ULC, an Alberta, Canada unlimited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North American Construction, Inc., an Oklahoma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North American Construction, Ltd., a Canadian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ULC, a Nova Scotia, Canada unlimited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PDM Engineering,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PDM, LLC, an Oklahoma 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Specialized Transport, Inc., a Pennsylvania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International Holding Company, Ltd., a British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Ltd., a South Korean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Pty. Ltd., an Australian corporation</w:t>
      </w:r>
    </w:p>
    <w:p>
      <w:pPr>
        <w:sectPr>
          <w:pgSz w:w="11900" w:h="16838" w:orient="portrait"/>
          <w:cols w:equalWidth="0" w:num="1">
            <w:col w:w="11420"/>
          </w:cols>
          <w:pgMar w:left="240" w:top="5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following Registration Statements on Forms S-8 of our reports dated September 1, 2016, relating to the consolidated financial statements and financial statement schedule of Matrix Service Company and subsidiaries, and the effectiveness of Matrix Service Company and subsidiaries' internal control over financial reporting, appearing in the Annual Report on Form 10-K of Matrix Service Company for the year ended June 30, 2016:</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Registration Statement on Form S-8 (File No. 333-203207) related to the Matrix Service Company 2012 Stock and Incentive Compensation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Registration Statement on Form S-8 (File No. 333-184982) related to the Matrix Service Company 2012 Stock and Incentive Compensation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333-171247) related to the Matrix Service Company 2011 Employee Stock Purchase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333-171245) related to the Matrix Service Company 2004 Stock Incentive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333-119840) related to the Matrix Service Company 2004 Stock Option Plan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2016</w:t>
      </w:r>
    </w:p>
    <w:p>
      <w:pPr>
        <w:sectPr>
          <w:pgSz w:w="11900" w:h="16838" w:orient="portrait"/>
          <w:cols w:equalWidth="0" w:num="1">
            <w:col w:w="11420"/>
          </w:cols>
          <w:pgMar w:left="240" w:top="66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Date:</w:t>
        <w:tab/>
        <w:t>September 1,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18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September 1,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587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2016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September 1,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298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2016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95" w:name="page96"/>
    <w:bookmarkEnd w:id="95"/>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twelve months ended June 30, 2016:</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166"/>
        </w:trPr>
        <w:tc>
          <w:tcPr>
            <w:tcW w:w="94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9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Mine or</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of Potential to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Operating</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Name/MSHA</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Identification</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Section 104 S&amp;S</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Citations and</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4"/>
              </w:rPr>
              <w:t>Related</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Section 104(e)</w:t>
            </w:r>
            <w:r>
              <w:rPr>
                <w:rFonts w:ascii="Arial" w:cs="Arial" w:eastAsia="Arial" w:hAnsi="Arial"/>
                <w:sz w:val="8"/>
                <w:szCs w:val="8"/>
                <w:color w:val="auto"/>
                <w:w w:val="88"/>
              </w:rPr>
              <w:t>(7)</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Resolved During</w:t>
            </w: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6"/>
              </w:rPr>
              <w:t>Number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Citations</w:t>
            </w:r>
            <w:r>
              <w:rPr>
                <w:rFonts w:ascii="Arial" w:cs="Arial" w:eastAsia="Arial" w:hAnsi="Arial"/>
                <w:sz w:val="8"/>
                <w:szCs w:val="8"/>
                <w:color w:val="auto"/>
                <w:w w:val="95"/>
              </w:rPr>
              <w:t>(1)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Violations</w:t>
            </w:r>
            <w:r>
              <w:rPr>
                <w:rFonts w:ascii="Arial" w:cs="Arial" w:eastAsia="Arial" w:hAnsi="Arial"/>
                <w:sz w:val="8"/>
                <w:szCs w:val="8"/>
                <w:color w:val="auto"/>
                <w:w w:val="97"/>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color w:val="auto"/>
                <w:w w:val="88"/>
              </w:rPr>
              <w:t>Freeport-</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McMoran</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8</w:t>
            </w:r>
          </w:p>
        </w:tc>
        <w:tc>
          <w:tcPr>
            <w:tcW w:w="0" w:type="dxa"/>
            <w:vAlign w:val="bottom"/>
          </w:tcPr>
          <w:p>
            <w:pPr>
              <w:spacing w:after="0"/>
              <w:rPr>
                <w:sz w:val="1"/>
                <w:szCs w:val="1"/>
                <w:color w:val="auto"/>
              </w:rPr>
            </w:pPr>
          </w:p>
        </w:tc>
      </w:tr>
      <w:tr>
        <w:trPr>
          <w:trHeight w:val="82"/>
        </w:trPr>
        <w:tc>
          <w:tcPr>
            <w:tcW w:w="940" w:type="dxa"/>
            <w:vAlign w:val="bottom"/>
            <w:tcBorders>
              <w:left w:val="single" w:sz="8" w:color="auto"/>
              <w:right w:val="single" w:sz="8" w:color="auto"/>
            </w:tcBorders>
            <w:vMerge w:val="restart"/>
          </w:tcPr>
          <w:p>
            <w:pPr>
              <w:jc w:val="center"/>
              <w:spacing w:after="0" w:line="122" w:lineRule="exact"/>
              <w:rPr>
                <w:sz w:val="20"/>
                <w:szCs w:val="20"/>
                <w:color w:val="auto"/>
              </w:rPr>
            </w:pPr>
            <w:r>
              <w:rPr>
                <w:rFonts w:ascii="Arial" w:cs="Arial" w:eastAsia="Arial" w:hAnsi="Arial"/>
                <w:sz w:val="11"/>
                <w:szCs w:val="11"/>
                <w:color w:val="auto"/>
                <w:w w:val="93"/>
              </w:rPr>
              <w:t>Morenci Inc, 02-</w:t>
            </w: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94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00024</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color w:val="auto"/>
                <w:w w:val="89"/>
              </w:rPr>
              <w:t>Solvay Chemicals</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2</w:t>
            </w:r>
          </w:p>
        </w:tc>
        <w:tc>
          <w:tcPr>
            <w:tcW w:w="0" w:type="dxa"/>
            <w:vAlign w:val="bottom"/>
          </w:tcPr>
          <w:p>
            <w:pPr>
              <w:spacing w:after="0"/>
              <w:rPr>
                <w:sz w:val="1"/>
                <w:szCs w:val="1"/>
                <w:color w:val="auto"/>
              </w:rPr>
            </w:pPr>
          </w:p>
        </w:tc>
      </w:tr>
      <w:tr>
        <w:trPr>
          <w:trHeight w:val="82"/>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2"/>
              </w:rPr>
              <w:t>Inc; 48-01295</w:t>
            </w: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right w:val="single" w:sz="8" w:color="auto"/>
            </w:tcBorders>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color w:val="auto"/>
                <w:w w:val="93"/>
              </w:rPr>
              <w:t>Big Island Mine</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&amp; Refinery 48-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00154</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Freeport</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McMoran Safford</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69"/>
        </w:trPr>
        <w:tc>
          <w:tcPr>
            <w:tcW w:w="940" w:type="dxa"/>
            <w:vAlign w:val="bottom"/>
            <w:tcBorders>
              <w:left w:val="single" w:sz="8" w:color="auto"/>
              <w:right w:val="single" w:sz="8" w:color="auto"/>
            </w:tcBorders>
            <w:vMerge w:val="restart"/>
          </w:tcPr>
          <w:p>
            <w:pPr>
              <w:jc w:val="center"/>
              <w:spacing w:after="0" w:line="122" w:lineRule="exact"/>
              <w:rPr>
                <w:sz w:val="20"/>
                <w:szCs w:val="20"/>
                <w:color w:val="auto"/>
              </w:rPr>
            </w:pPr>
            <w:r>
              <w:rPr>
                <w:rFonts w:ascii="Arial" w:cs="Arial" w:eastAsia="Arial" w:hAnsi="Arial"/>
                <w:sz w:val="11"/>
                <w:szCs w:val="11"/>
                <w:color w:val="auto"/>
                <w:w w:val="92"/>
              </w:rPr>
              <w:t>Inc. 02-03131</w:t>
            </w:r>
          </w:p>
        </w:tc>
        <w:tc>
          <w:tcPr>
            <w:tcW w:w="92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3"/>
              </w:rPr>
              <w:t>5CP</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60" w:right="360" w:hanging="252"/>
        <w:spacing w:after="0" w:line="322" w:lineRule="auto"/>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64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upperLetter"/>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lvl w:ilvl="1">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lowerRoman"/>
      <w:start w:val="3"/>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upperLetter"/>
      <w:start w:val="1"/>
    </w:lvl>
  </w:abstractNum>
  <w:abstractNum w:abstractNumId="33">
    <w:nsid w:val="5C482A97"/>
    <w:multiLevelType w:val="hybridMultilevel"/>
    <w:lvl w:ilvl="0">
      <w:lvlJc w:val="left"/>
      <w:lvlText w:val="4"/>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2"/>
      <w:numFmt w:val="bullet"/>
      <w:start w:val="1"/>
    </w:lvl>
  </w:abstractNum>
  <w:abstractNum w:abstractNumId="36">
    <w:nsid w:val="51EAD36B"/>
    <w:multiLevelType w:val="hybridMultilevel"/>
    <w:lvl w:ilvl="0">
      <w:lvlJc w:val="left"/>
      <w:lvlText w:val="4"/>
      <w:numFmt w:val="bullet"/>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2019-12-29T09:44:34Z</dcterms:created>
  <dcterms:modified xsi:type="dcterms:W3CDTF">2019-12-29T09:44:34Z</dcterms:modified>
</cp:coreProperties>
</file>