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before="180" w:after="283"/>
        <w:jc w:val="center"/>
      </w:p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120"/>
        <w:jc w:val="center"/>
        <w:rPr>
          <w:color w:val="000000"/>
        </w:rPr>
      </w:pPr>
      <w:r>
        <w:rPr>
          <w:color w:val="000000"/>
        </w:rPr>
        <w:t> </w:t>
      </w:r>
      <w:r>
        <w:rPr>
          <w:rFonts w:ascii="Times New Roman;serif" w:hAnsi="Times New Roman;serif"/>
          <w:b/>
          <w:color w:val="000000"/>
          <w:sz w:val="20"/>
        </w:rPr>
        <w:t>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November 3, 2026</w:t>
      </w:r>
    </w:p>
    <w:p>
      <w:pPr>
        <w:pStyle w:val="TextBody"/>
        <w:bidi w:val="0"/>
        <w:spacing w:lineRule="auto" w:line="288" w:before="80" w:after="283"/>
        <w:jc w:val="center"/>
      </w:pPr>
      <w:r>
        <w:rPr>
          <w:rFonts w:ascii="Times New Roman;serif" w:hAnsi="Times New Roman;serif"/>
          <w:b/>
          <w:color w:val="000000"/>
          <w:sz w:val="20"/>
        </w:rPr>
        <w:t>___________________</w:t>
      </w: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___________________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001-15461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73-1352174</w:t>
            </w:r>
          </w:p>
        </w:tc>
      </w:tr>
      <w:t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15333 JFK Blvd., Ste 400 Houston, Texas 77032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(281) 458-8781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__________________ </w:t>
      </w:r>
    </w:p>
    <w:p>
      <w:pPr>
        <w:pStyle w:val="TextBody"/>
        <w:bidi w:val="0"/>
        <w:spacing w:lineRule="auto" w:line="288" w:before="100" w:after="283"/>
        <w:ind w:left="0" w:right="0" w:firstLine="495"/>
        <w:jc w:val="left"/>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 w:after="1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Act of 1934 (17 CFR §240.12b-2).</w:t>
      </w:r>
    </w:p>
    <w:p>
      <w:pPr>
        <w:pStyle w:val="TextBody"/>
        <w:bidi w:val="0"/>
        <w:spacing w:lineRule="auto" w:line="288" w:before="60" w:after="140"/>
        <w:jc w:val="left"/>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140"/>
        <w:jc w:val="left"/>
      </w:pPr>
      <w:r>
        <w:rPr>
          <w:rFonts w:ascii="Times New Roman;serif" w:hAnsi="Times New Roman;serif"/>
          <w:b w:val="false"/>
          <w:color w:val="000000"/>
          <w:sz w:val="20"/>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3, 2026, Matrix Service Company (the "Company") held its 2026 Annual Meeting of Stockholders (the "Annual Meeting"). Set forth below are the matters acted upon by the stockholders at the Annual Meeting, and the final voting results of each such proposal.</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Proposal One - Election of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nominees for election to the Board of Directors were elected to serve for a term expiring at the 2027 Annual Meeting of Stockholders or until their successors shall be duly elected and qualified. The results of the vote were as follows:</w:t>
      </w:r>
    </w:p>
    <w:tbl>
      <w:tblPr>
        <w:tblW w:w="8029" w:type="dxa"/>
        <w:jc w:val="left"/>
        <w:tblInd w:w="0" w:type="dxa"/>
        <w:tblLayout w:type="fixed"/>
        <w:tblCellMar>
          <w:top w:w="28" w:type="dxa"/>
          <w:left w:w="28" w:type="dxa"/>
          <w:bottom w:w="28" w:type="dxa"/>
          <w:right w:w="28" w:type="dxa"/>
        </w:tblCellMar>
      </w:tblPr>
      <w:tblGrid>
        <w:gridCol w:w="606"/>
        <w:gridCol w:w="533"/>
        <w:gridCol w:w="541"/>
        <w:gridCol w:w="109"/>
        <w:gridCol w:w="109"/>
        <w:gridCol w:w="109"/>
        <w:gridCol w:w="344"/>
        <w:gridCol w:w="344"/>
        <w:gridCol w:w="348"/>
        <w:gridCol w:w="109"/>
        <w:gridCol w:w="109"/>
        <w:gridCol w:w="109"/>
        <w:gridCol w:w="419"/>
        <w:gridCol w:w="419"/>
        <w:gridCol w:w="421"/>
        <w:gridCol w:w="109"/>
        <w:gridCol w:w="109"/>
        <w:gridCol w:w="109"/>
        <w:gridCol w:w="360"/>
        <w:gridCol w:w="360"/>
        <w:gridCol w:w="361"/>
        <w:gridCol w:w="109"/>
        <w:gridCol w:w="109"/>
        <w:gridCol w:w="109"/>
        <w:gridCol w:w="487"/>
        <w:gridCol w:w="487"/>
        <w:gridCol w:w="691"/>
      </w:tblGrid>
      <w:t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 Votes</w:t>
            </w:r>
          </w:p>
        </w:tc>
      </w:tr>
      <w:t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 L. Bustamante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17,909,597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4,481,262</w:t>
            </w:r>
          </w:p>
        </w:tc>
      </w:tr>
      <w:t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Martha Z. Carnes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18,292,620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4,481,262</w:t>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D. Chandler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18,490,389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4,481,262</w:t>
            </w:r>
          </w:p>
        </w:tc>
      </w:tr>
      <w:t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Carlin G. Conner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18,399,790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147,355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4,481,262</w:t>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Liane K. Hinrichs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17,741,991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805,458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4,481,262</w:t>
            </w:r>
          </w:p>
        </w:tc>
      </w:tr>
      <w:t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H. Miller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18,364,862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4,481,262</w:t>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Shawn P. Payne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18,503,685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4,481,262</w:t>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Proposal Two - Ratification of Selection of Independent Registered Public Accounting Firm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proposal to ratify the appointment of Deloitte &amp; Touche LLP as the Company's independent registered public accounting firm for fiscal 2027 was approved. The results of the vote were as follows:</w:t>
      </w:r>
    </w:p>
    <w:tbl>
      <w:tblPr>
        <w:tblW w:w="2658" w:type="dxa"/>
        <w:jc w:val="left"/>
        <w:tblInd w:w="0" w:type="dxa"/>
        <w:tblLayout w:type="fixed"/>
        <w:tblCellMar>
          <w:top w:w="28" w:type="dxa"/>
          <w:left w:w="28" w:type="dxa"/>
          <w:bottom w:w="28" w:type="dxa"/>
          <w:right w:w="28" w:type="dxa"/>
        </w:tblCellMar>
      </w:tblPr>
      <w:tblGrid>
        <w:gridCol w:w="394"/>
        <w:gridCol w:w="347"/>
        <w:gridCol w:w="355"/>
        <w:gridCol w:w="109"/>
        <w:gridCol w:w="109"/>
        <w:gridCol w:w="109"/>
        <w:gridCol w:w="540"/>
        <w:gridCol w:w="541"/>
        <w:gridCol w:w="154"/>
      </w:tblGrid>
      <w:t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22,440,249 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Proposal Three - Advisory Vote to Approve Named Executive Officer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stockholders voted to approve, on an advisory basis, named executive officer compensation. The results were as follows:</w:t>
      </w:r>
    </w:p>
    <w:tbl>
      <w:tblPr>
        <w:tblW w:w="3076" w:type="dxa"/>
        <w:jc w:val="left"/>
        <w:tblInd w:w="0" w:type="dxa"/>
        <w:tblLayout w:type="fixed"/>
        <w:tblCellMar>
          <w:top w:w="28" w:type="dxa"/>
          <w:left w:w="28" w:type="dxa"/>
          <w:bottom w:w="28" w:type="dxa"/>
          <w:right w:w="28" w:type="dxa"/>
        </w:tblCellMar>
      </w:tblPr>
      <w:tblGrid>
        <w:gridCol w:w="544"/>
        <w:gridCol w:w="479"/>
        <w:gridCol w:w="491"/>
        <w:gridCol w:w="109"/>
        <w:gridCol w:w="109"/>
        <w:gridCol w:w="109"/>
        <w:gridCol w:w="540"/>
        <w:gridCol w:w="541"/>
        <w:gridCol w:w="154"/>
      </w:tblGrid>
      <w:tr>
        <w:tc>
          <w:tcPr>
            <w:tcW w:w="5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17,627,589 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 votes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888" w:type="dxa"/>
        <w:jc w:val="left"/>
        <w:tblInd w:w="0" w:type="dxa"/>
        <w:tblLayout w:type="fixed"/>
        <w:tblCellMar>
          <w:top w:w="28" w:type="dxa"/>
          <w:left w:w="28" w:type="dxa"/>
          <w:bottom w:w="28" w:type="dxa"/>
          <w:right w:w="28" w:type="dxa"/>
        </w:tblCellMar>
      </w:tblPr>
      <w:tblGrid>
        <w:gridCol w:w="797"/>
        <w:gridCol w:w="700"/>
        <w:gridCol w:w="707"/>
        <w:gridCol w:w="109"/>
        <w:gridCol w:w="109"/>
        <w:gridCol w:w="109"/>
        <w:gridCol w:w="232"/>
        <w:gridCol w:w="232"/>
        <w:gridCol w:w="232"/>
        <w:gridCol w:w="232"/>
        <w:gridCol w:w="232"/>
        <w:gridCol w:w="232"/>
        <w:gridCol w:w="1455"/>
        <w:gridCol w:w="1455"/>
        <w:gridCol w:w="2055"/>
      </w:tblGrid>
      <w:t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Matrix Service Company</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Dated: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J. Smith</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J. Smith</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Accounting Officer)</w:t>
            </w:r>
          </w:p>
        </w:tc>
      </w:tr>
    </w:tbl>
    <w:p>
      <w:pPr>
        <w:pStyle w:val="TextBody"/>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3484</Characters>
  <CharactersWithSpaces>4004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