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Bustamante Jose Luis M.</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MATRIX SERVICE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MTRX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3"/>
            <w:vMerge w:val="restart"/>
          </w:tcPr>
          <w:p>
            <w:pPr>
              <w:spacing w:after="0"/>
              <w:rPr>
                <w:sz w:val="20"/>
                <w:szCs w:val="20"/>
                <w:color w:val="auto"/>
              </w:rPr>
            </w:pPr>
            <w:r>
              <w:rPr>
                <w:rFonts w:ascii="Arial" w:cs="Arial" w:eastAsia="Arial" w:hAnsi="Arial"/>
                <w:sz w:val="13"/>
                <w:szCs w:val="13"/>
                <w:color w:val="auto"/>
              </w:rPr>
              <w:t>Foreign Trading Symbol</w:t>
            </w: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70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3"/>
            <w:vMerge w:val="continue"/>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3"/>
                <w:szCs w:val="3"/>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20" w:type="dxa"/>
            <w:vAlign w:val="bottom"/>
            <w:gridSpan w:val="6"/>
            <w:vMerge w:val="continue"/>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15333 JOHN F KENNEDY BOULEVARD</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11/03/2026</w:t>
            </w: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400</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4"/>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11/03/2026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10,325</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51,949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 each unit will entitle the reporting person to one share of Matrix Service Company Common Stock if and when the conditions of the restriction have been satisfied. For this grant, 100% will vest on the first anniversary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Jose Luis Martin de</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11/04/2026</w:t>
            </w:r>
          </w:p>
        </w:tc>
        <w:tc>
          <w:tcPr>
            <w:tcW w:w="0" w:type="dxa"/>
            <w:vAlign w:val="bottom"/>
          </w:tcPr>
          <w:p>
            <w:pPr>
              <w:spacing w:after="0"/>
              <w:rPr>
                <w:sz w:val="1"/>
                <w:szCs w:val="1"/>
                <w:color w:val="auto"/>
              </w:rPr>
            </w:pPr>
          </w:p>
        </w:tc>
      </w:tr>
      <w:tr>
        <w:trPr>
          <w:trHeight w:val="87"/>
        </w:trPr>
        <w:tc>
          <w:tcPr>
            <w:tcW w:w="13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Bustamante</w:t>
            </w:r>
          </w:p>
        </w:tc>
        <w:tc>
          <w:tcPr>
            <w:tcW w:w="7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380" w:type="dxa"/>
            <w:vAlign w:val="bottom"/>
            <w:tcBorders>
              <w:top w:val="single" w:sz="8" w:color="auto"/>
            </w:tcBorders>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3588" TargetMode="External"/><Relationship Id="rId14" Type="http://schemas.openxmlformats.org/officeDocument/2006/relationships/hyperlink" Target="http://www.sec.gov/cgi-bin/browse-edgar?action=getcompany&amp;CIK=00008662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2026-11-04T16:37:14Z</dcterms:created>
  <dcterms:modified xsi:type="dcterms:W3CDTF">2026-11-04T16:37:14Z</dcterms:modified>
</cp:coreProperties>
</file>