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273050</wp:posOffset>
            </wp:positionH>
            <wp:positionV relativeFrom="page">
              <wp:posOffset>414655</wp:posOffset>
            </wp:positionV>
            <wp:extent cx="70021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2145" cy="8255"/>
                    </a:xfrm>
                    <a:prstGeom prst="rect">
                      <a:avLst/>
                    </a:prstGeom>
                    <a:noFill/>
                  </pic:spPr>
                </pic:pic>
              </a:graphicData>
            </a:graphic>
          </wp:anchor>
        </w:drawing>
        <w:drawing>
          <wp:anchor simplePos="0" relativeHeight="251657728" behindDoc="1" locked="0" layoutInCell="0" allowOverlap="1">
            <wp:simplePos x="0" y="0"/>
            <wp:positionH relativeFrom="page">
              <wp:posOffset>273050</wp:posOffset>
            </wp:positionH>
            <wp:positionV relativeFrom="page">
              <wp:posOffset>381000</wp:posOffset>
            </wp:positionV>
            <wp:extent cx="70021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214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71" w:lineRule="exact"/>
        <w:rPr>
          <w:sz w:val="24"/>
          <w:szCs w:val="24"/>
          <w:color w:val="auto"/>
        </w:rPr>
      </w:pPr>
    </w:p>
    <w:p>
      <w:pPr>
        <w:ind w:left="1060"/>
        <w:spacing w:after="0"/>
        <w:rPr>
          <w:sz w:val="20"/>
          <w:szCs w:val="20"/>
          <w:color w:val="auto"/>
        </w:rPr>
      </w:pPr>
      <w:r>
        <w:rPr>
          <w:rFonts w:ascii="Arial" w:cs="Arial" w:eastAsia="Arial" w:hAnsi="Arial"/>
          <w:sz w:val="14"/>
          <w:szCs w:val="14"/>
          <w:color w:val="auto"/>
        </w:rPr>
        <w:t>(Mark One)</w:t>
      </w:r>
    </w:p>
    <w:p>
      <w:pPr>
        <w:ind w:left="1920" w:hanging="614"/>
        <w:spacing w:after="0" w:line="194" w:lineRule="auto"/>
        <w:tabs>
          <w:tab w:leader="none" w:pos="1920" w:val="left"/>
        </w:tabs>
        <w:numPr>
          <w:ilvl w:val="0"/>
          <w:numId w:val="1"/>
        </w:numPr>
        <w:rPr>
          <w:rFonts w:ascii="MS PGothic" w:cs="MS PGothic" w:eastAsia="MS PGothic" w:hAnsi="MS PGothic"/>
          <w:sz w:val="35"/>
          <w:szCs w:val="35"/>
          <w:color w:val="auto"/>
          <w:vertAlign w:val="subscript"/>
        </w:rPr>
      </w:pPr>
      <w:r>
        <w:rPr>
          <w:rFonts w:ascii="Arial" w:cs="Arial" w:eastAsia="Arial" w:hAnsi="Arial"/>
          <w:sz w:val="17"/>
          <w:szCs w:val="17"/>
          <w:b w:val="1"/>
          <w:bCs w:val="1"/>
          <w:color w:val="auto"/>
        </w:rPr>
        <w:t>Annual Report 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June 30, 2023</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1" w:lineRule="exact"/>
        <w:rPr>
          <w:sz w:val="24"/>
          <w:szCs w:val="24"/>
          <w:color w:val="auto"/>
        </w:rPr>
      </w:pPr>
    </w:p>
    <w:p>
      <w:pPr>
        <w:ind w:left="1920" w:hanging="614"/>
        <w:spacing w:after="0"/>
        <w:tabs>
          <w:tab w:leader="none" w:pos="1920" w:val="left"/>
        </w:tabs>
        <w:numPr>
          <w:ilvl w:val="0"/>
          <w:numId w:val="2"/>
        </w:numPr>
        <w:rPr>
          <w:rFonts w:ascii="MS PGothic" w:cs="MS PGothic" w:eastAsia="MS PGothic" w:hAnsi="MS PGothic"/>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66" w:lineRule="exact"/>
        <w:rPr>
          <w:sz w:val="24"/>
          <w:szCs w:val="24"/>
          <w:color w:val="auto"/>
        </w:rPr>
      </w:pPr>
    </w:p>
    <w:p>
      <w:pPr>
        <w:ind w:left="3600"/>
        <w:spacing w:after="0"/>
        <w:tabs>
          <w:tab w:leader="none" w:pos="65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001-15461</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MATRIX SERVICE COMPANY</w:t>
      </w:r>
    </w:p>
    <w:p>
      <w:pPr>
        <w:sectPr>
          <w:pgSz w:w="11900" w:h="16838" w:orient="portrait"/>
          <w:cols w:equalWidth="0" w:num="1">
            <w:col w:w="11240"/>
          </w:cols>
          <w:pgMar w:left="320" w:top="712" w:right="339" w:bottom="1440" w:gutter="0" w:footer="0" w:header="0"/>
        </w:sectPr>
      </w:pPr>
    </w:p>
    <w:p>
      <w:pPr>
        <w:spacing w:after="0" w:line="35"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3" w:lineRule="exact"/>
        <w:rPr>
          <w:sz w:val="24"/>
          <w:szCs w:val="24"/>
          <w:color w:val="auto"/>
        </w:rPr>
      </w:pPr>
    </w:p>
    <w:p>
      <w:pPr>
        <w:jc w:val="center"/>
        <w:ind w:right="1040"/>
        <w:spacing w:after="0"/>
        <w:rPr>
          <w:sz w:val="20"/>
          <w:szCs w:val="20"/>
          <w:color w:val="auto"/>
        </w:rPr>
      </w:pPr>
      <w:r>
        <w:rPr>
          <w:rFonts w:ascii="Arial" w:cs="Arial" w:eastAsia="Arial" w:hAnsi="Arial"/>
          <w:sz w:val="14"/>
          <w:szCs w:val="14"/>
          <w:b w:val="1"/>
          <w:bCs w:val="1"/>
          <w:color w:val="auto"/>
        </w:rPr>
        <w:t>Delaware</w:t>
      </w:r>
    </w:p>
    <w:p>
      <w:pPr>
        <w:spacing w:after="0" w:line="23" w:lineRule="exact"/>
        <w:rPr>
          <w:sz w:val="24"/>
          <w:szCs w:val="24"/>
          <w:color w:val="auto"/>
        </w:rPr>
      </w:pPr>
    </w:p>
    <w:p>
      <w:pPr>
        <w:ind w:left="2200"/>
        <w:spacing w:after="0"/>
        <w:rPr>
          <w:sz w:val="20"/>
          <w:szCs w:val="20"/>
          <w:color w:val="auto"/>
        </w:rPr>
      </w:pPr>
      <w:r>
        <w:rPr>
          <w:rFonts w:ascii="Arial" w:cs="Arial" w:eastAsia="Arial" w:hAnsi="Arial"/>
          <w:sz w:val="14"/>
          <w:szCs w:val="14"/>
          <w:b w:val="1"/>
          <w:bCs w:val="1"/>
          <w:color w:val="auto"/>
        </w:rPr>
        <w:t>(State or other jurisdiction of</w:t>
      </w:r>
    </w:p>
    <w:p>
      <w:pPr>
        <w:ind w:left="2160"/>
        <w:spacing w:after="0"/>
        <w:rPr>
          <w:sz w:val="20"/>
          <w:szCs w:val="20"/>
          <w:color w:val="auto"/>
        </w:rPr>
      </w:pPr>
      <w:r>
        <w:rPr>
          <w:rFonts w:ascii="Arial" w:cs="Arial" w:eastAsia="Arial" w:hAnsi="Arial"/>
          <w:sz w:val="14"/>
          <w:szCs w:val="14"/>
          <w:b w:val="1"/>
          <w:bCs w:val="1"/>
          <w:color w:val="auto"/>
        </w:rPr>
        <w:t>incorporation or organization)</w:t>
      </w:r>
    </w:p>
    <w:p>
      <w:pPr>
        <w:spacing w:after="0" w:line="112" w:lineRule="exact"/>
        <w:rPr>
          <w:sz w:val="24"/>
          <w:szCs w:val="24"/>
          <w:color w:val="auto"/>
        </w:rPr>
      </w:pPr>
    </w:p>
    <w:p>
      <w:pPr>
        <w:jc w:val="right"/>
        <w:ind w:right="3500"/>
        <w:spacing w:after="0"/>
        <w:rPr>
          <w:sz w:val="20"/>
          <w:szCs w:val="20"/>
          <w:color w:val="auto"/>
        </w:rPr>
      </w:pPr>
      <w:r>
        <w:rPr>
          <w:rFonts w:ascii="Arial" w:cs="Arial" w:eastAsia="Arial" w:hAnsi="Arial"/>
          <w:sz w:val="14"/>
          <w:szCs w:val="14"/>
          <w:b w:val="1"/>
          <w:bCs w:val="1"/>
          <w:color w:val="auto"/>
        </w:rPr>
        <w:t>15 E. 5th Street Suite 1100</w:t>
      </w:r>
    </w:p>
    <w:p>
      <w:pPr>
        <w:spacing w:after="0" w:line="36" w:lineRule="exact"/>
        <w:rPr>
          <w:sz w:val="24"/>
          <w:szCs w:val="24"/>
          <w:color w:val="auto"/>
        </w:rPr>
      </w:pPr>
    </w:p>
    <w:p>
      <w:pPr>
        <w:jc w:val="right"/>
        <w:ind w:right="3480"/>
        <w:spacing w:after="0"/>
        <w:rPr>
          <w:sz w:val="20"/>
          <w:szCs w:val="20"/>
          <w:color w:val="auto"/>
        </w:rPr>
      </w:pPr>
      <w:r>
        <w:rPr>
          <w:rFonts w:ascii="Arial" w:cs="Arial" w:eastAsia="Arial" w:hAnsi="Arial"/>
          <w:sz w:val="14"/>
          <w:szCs w:val="14"/>
          <w:b w:val="1"/>
          <w:bCs w:val="1"/>
          <w:color w:val="auto"/>
        </w:rPr>
        <w:t>Tulsa, Oklahoma</w:t>
      </w:r>
    </w:p>
    <w:p>
      <w:pPr>
        <w:spacing w:after="0" w:line="49" w:lineRule="exact"/>
        <w:rPr>
          <w:sz w:val="24"/>
          <w:szCs w:val="24"/>
          <w:color w:val="auto"/>
        </w:rPr>
      </w:pPr>
    </w:p>
    <w:p>
      <w:pPr>
        <w:ind w:left="18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jc w:val="center"/>
        <w:ind w:right="2480"/>
        <w:spacing w:after="0"/>
        <w:rPr>
          <w:sz w:val="20"/>
          <w:szCs w:val="20"/>
          <w:color w:val="auto"/>
        </w:rPr>
      </w:pPr>
      <w:r>
        <w:rPr>
          <w:rFonts w:ascii="Arial" w:cs="Arial" w:eastAsia="Arial" w:hAnsi="Arial"/>
          <w:sz w:val="14"/>
          <w:szCs w:val="14"/>
          <w:b w:val="1"/>
          <w:bCs w:val="1"/>
          <w:color w:val="auto"/>
        </w:rPr>
        <w:t>73-1352174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6" w:lineRule="exact"/>
        <w:rPr>
          <w:sz w:val="24"/>
          <w:szCs w:val="24"/>
          <w:color w:val="auto"/>
        </w:rPr>
      </w:pPr>
    </w:p>
    <w:p>
      <w:pPr>
        <w:jc w:val="center"/>
        <w:ind w:right="2480"/>
        <w:spacing w:after="0"/>
        <w:rPr>
          <w:sz w:val="20"/>
          <w:szCs w:val="20"/>
          <w:color w:val="auto"/>
        </w:rPr>
      </w:pPr>
      <w:r>
        <w:rPr>
          <w:rFonts w:ascii="Arial" w:cs="Arial" w:eastAsia="Arial" w:hAnsi="Arial"/>
          <w:sz w:val="14"/>
          <w:szCs w:val="14"/>
          <w:b w:val="1"/>
          <w:bCs w:val="1"/>
          <w:color w:val="auto"/>
        </w:rPr>
        <w:t>74103</w:t>
      </w:r>
    </w:p>
    <w:p>
      <w:pPr>
        <w:spacing w:after="0" w:line="154" w:lineRule="exact"/>
        <w:rPr>
          <w:sz w:val="24"/>
          <w:szCs w:val="24"/>
          <w:color w:val="auto"/>
        </w:rPr>
      </w:pPr>
    </w:p>
    <w:p>
      <w:pPr>
        <w:ind w:left="220"/>
        <w:spacing w:after="0"/>
        <w:rPr>
          <w:sz w:val="20"/>
          <w:szCs w:val="20"/>
          <w:color w:val="auto"/>
        </w:rPr>
      </w:pPr>
      <w:r>
        <w:rPr>
          <w:rFonts w:ascii="Arial" w:cs="Arial" w:eastAsia="Arial" w:hAnsi="Arial"/>
          <w:sz w:val="14"/>
          <w:szCs w:val="14"/>
          <w:b w:val="1"/>
          <w:bCs w:val="1"/>
          <w:color w:val="auto"/>
        </w:rPr>
        <w:t>(Zip Code)</w:t>
      </w:r>
    </w:p>
    <w:p>
      <w:pPr>
        <w:spacing w:after="0" w:line="132" w:lineRule="exact"/>
        <w:rPr>
          <w:sz w:val="24"/>
          <w:szCs w:val="24"/>
          <w:color w:val="auto"/>
        </w:rPr>
      </w:pPr>
    </w:p>
    <w:p>
      <w:pPr>
        <w:sectPr>
          <w:pgSz w:w="11900" w:h="16838" w:orient="portrait"/>
          <w:cols w:equalWidth="0" w:num="2">
            <w:col w:w="7180" w:space="480"/>
            <w:col w:w="3580"/>
          </w:cols>
          <w:pgMar w:left="320" w:top="712"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64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Trading Symbol(s)</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42"/>
        </w:trPr>
        <w:tc>
          <w:tcPr>
            <w:tcW w:w="4900" w:type="dxa"/>
            <w:vAlign w:val="bottom"/>
            <w:gridSpan w:val="3"/>
          </w:tcPr>
          <w:p>
            <w:pPr>
              <w:jc w:val="center"/>
              <w:ind w:left="192"/>
              <w:spacing w:after="0"/>
              <w:rPr>
                <w:sz w:val="20"/>
                <w:szCs w:val="20"/>
                <w:color w:val="auto"/>
              </w:rPr>
            </w:pPr>
            <w:r>
              <w:rPr>
                <w:rFonts w:ascii="Arial" w:cs="Arial" w:eastAsia="Arial" w:hAnsi="Arial"/>
                <w:sz w:val="18"/>
                <w:szCs w:val="18"/>
                <w:color w:val="auto"/>
                <w:w w:val="86"/>
              </w:rPr>
              <w:t>Common Stock, par value $0.01 per share</w:t>
            </w: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color w:val="auto"/>
              </w:rPr>
              <w:t>MTRX</w:t>
            </w:r>
          </w:p>
        </w:tc>
        <w:tc>
          <w:tcPr>
            <w:tcW w:w="340" w:type="dxa"/>
            <w:vAlign w:val="bottom"/>
          </w:tcPr>
          <w:p>
            <w:pPr>
              <w:spacing w:after="0"/>
              <w:rPr>
                <w:sz w:val="21"/>
                <w:szCs w:val="21"/>
                <w:color w:val="auto"/>
              </w:rPr>
            </w:pPr>
          </w:p>
        </w:tc>
        <w:tc>
          <w:tcPr>
            <w:tcW w:w="3260" w:type="dxa"/>
            <w:vAlign w:val="bottom"/>
            <w:gridSpan w:val="3"/>
          </w:tcPr>
          <w:p>
            <w:pPr>
              <w:jc w:val="center"/>
              <w:spacing w:after="0"/>
              <w:rPr>
                <w:sz w:val="20"/>
                <w:szCs w:val="20"/>
                <w:color w:val="auto"/>
              </w:rPr>
            </w:pPr>
            <w:r>
              <w:rPr>
                <w:rFonts w:ascii="Arial" w:cs="Arial" w:eastAsia="Arial" w:hAnsi="Arial"/>
                <w:sz w:val="18"/>
                <w:szCs w:val="18"/>
                <w:color w:val="auto"/>
                <w:w w:val="91"/>
              </w:rPr>
              <w:t>NASDAQ Global Select Market</w:t>
            </w:r>
          </w:p>
        </w:tc>
      </w:tr>
      <w:tr>
        <w:trPr>
          <w:trHeight w:val="355"/>
        </w:trPr>
        <w:tc>
          <w:tcPr>
            <w:tcW w:w="1940" w:type="dxa"/>
            <w:vAlign w:val="bottom"/>
          </w:tcPr>
          <w:p>
            <w:pPr>
              <w:spacing w:after="0"/>
              <w:rPr>
                <w:sz w:val="24"/>
                <w:szCs w:val="24"/>
                <w:color w:val="auto"/>
              </w:rPr>
            </w:pPr>
          </w:p>
        </w:tc>
        <w:tc>
          <w:tcPr>
            <w:tcW w:w="6460" w:type="dxa"/>
            <w:vAlign w:val="bottom"/>
            <w:gridSpan w:val="6"/>
          </w:tcPr>
          <w:p>
            <w:pPr>
              <w:jc w:val="center"/>
              <w:ind w:left="812"/>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0"/>
        </w:trPr>
        <w:tc>
          <w:tcPr>
            <w:tcW w:w="840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tcPr>
          <w:p>
            <w:pPr>
              <w:jc w:val="center"/>
              <w:ind w:right="92"/>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20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02"/>
        </w:trPr>
        <w:tc>
          <w:tcPr>
            <w:tcW w:w="840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2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39" w:lineRule="exact"/>
        <w:rPr>
          <w:sz w:val="24"/>
          <w:szCs w:val="24"/>
          <w:color w:val="auto"/>
        </w:rPr>
      </w:pPr>
    </w:p>
    <w:p>
      <w:pPr>
        <w:jc w:val="both"/>
        <w:ind w:right="40"/>
        <w:spacing w:after="0" w:line="22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3" w:lineRule="exact"/>
        <w:rPr>
          <w:sz w:val="24"/>
          <w:szCs w:val="24"/>
          <w:color w:val="auto"/>
        </w:rPr>
      </w:pPr>
    </w:p>
    <w:p>
      <w:pPr>
        <w:ind w:right="640"/>
        <w:spacing w:after="0" w:line="23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3" w:lineRule="exact"/>
        <w:rPr>
          <w:sz w:val="24"/>
          <w:szCs w:val="24"/>
          <w:color w:val="auto"/>
        </w:rPr>
      </w:pPr>
    </w:p>
    <w:p>
      <w:pPr>
        <w:ind w:right="240"/>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 w:lineRule="exact"/>
        <w:rPr>
          <w:sz w:val="24"/>
          <w:szCs w:val="24"/>
          <w:color w:val="auto"/>
        </w:rPr>
      </w:pPr>
    </w:p>
    <w:p>
      <w:pPr>
        <w:ind w:left="400" w:right="2140"/>
        <w:spacing w:after="0" w:line="252"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53" w:lineRule="exact"/>
        <w:rPr>
          <w:sz w:val="24"/>
          <w:szCs w:val="24"/>
          <w:color w:val="auto"/>
        </w:rPr>
      </w:pPr>
    </w:p>
    <w:p>
      <w:pPr>
        <w:ind w:right="28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4"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120" w:val="left"/>
          <w:tab w:leader="none" w:pos="88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34"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color w:val="auto"/>
        </w:rPr>
        <w:t>The aggregate market value of the registrant’s common stock held by non-affiliates computed by reference to the price at which the common stock was last sold as of the last business day of the registrant’s most recently completed second quarter was approximately $162.3 million.</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September 8, 2023 was 27,209,838 shares.</w:t>
      </w:r>
    </w:p>
    <w:p>
      <w:pPr>
        <w:spacing w:after="0" w:line="76"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01" w:lineRule="exact"/>
        <w:rPr>
          <w:sz w:val="24"/>
          <w:szCs w:val="24"/>
          <w:color w:val="auto"/>
        </w:rPr>
      </w:pPr>
    </w:p>
    <w:p>
      <w:pPr>
        <w:spacing w:after="0" w:line="324" w:lineRule="auto"/>
        <w:rPr>
          <w:sz w:val="20"/>
          <w:szCs w:val="20"/>
          <w:color w:val="auto"/>
        </w:rPr>
      </w:pPr>
      <w:r>
        <w:rPr>
          <w:rFonts w:ascii="Arial" w:cs="Arial" w:eastAsia="Arial" w:hAnsi="Arial"/>
          <w:sz w:val="16"/>
          <w:szCs w:val="16"/>
          <w:color w:val="auto"/>
        </w:rPr>
        <w:t>Certain sections of the registrant's definitive proxy statement relating to the registrant's 2023 annual meeting of stockholders, which definitive proxy statement will be filed within 120 days of the end of the registrant's fiscal year,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40" w:type="dxa"/>
            <w:vAlign w:val="bottom"/>
            <w:gridSpan w:val="8"/>
          </w:tcPr>
          <w:p>
            <w:pPr>
              <w:jc w:val="center"/>
              <w:ind w:right="3480"/>
              <w:spacing w:after="0"/>
              <w:rPr>
                <w:sz w:val="20"/>
                <w:szCs w:val="20"/>
                <w:color w:val="auto"/>
              </w:rPr>
            </w:pPr>
            <w:r>
              <w:rPr>
                <w:rFonts w:ascii="Arial" w:cs="Arial" w:eastAsia="Arial" w:hAnsi="Arial"/>
                <w:sz w:val="18"/>
                <w:szCs w:val="18"/>
                <w:b w:val="1"/>
                <w:bCs w:val="1"/>
                <w:color w:val="auto"/>
                <w:w w:val="96"/>
              </w:rPr>
              <w:t>TABLE OF CONTENTS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gridSpan w:val="4"/>
          </w:tcPr>
          <w:p>
            <w:pPr>
              <w:ind w:lef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1200" w:type="dxa"/>
            <w:vAlign w:val="bottom"/>
          </w:tcPr>
          <w:p>
            <w:pPr>
              <w:spacing w:after="0"/>
              <w:rPr>
                <w:sz w:val="2"/>
                <w:szCs w:val="2"/>
                <w:color w:val="auto"/>
              </w:rPr>
            </w:pPr>
          </w:p>
        </w:tc>
        <w:tc>
          <w:tcPr>
            <w:tcW w:w="6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0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7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4840" w:type="dxa"/>
            <w:vAlign w:val="bottom"/>
            <w:gridSpan w:val="6"/>
            <w:vMerge w:val="restart"/>
          </w:tcPr>
          <w:p>
            <w:pPr>
              <w:jc w:val="center"/>
              <w:ind w:right="4260"/>
              <w:spacing w:after="0"/>
              <w:rPr>
                <w:sz w:val="20"/>
                <w:szCs w:val="20"/>
                <w:color w:val="auto"/>
              </w:rPr>
            </w:pPr>
            <w:r>
              <w:rPr>
                <w:rFonts w:ascii="Arial" w:cs="Arial" w:eastAsia="Arial" w:hAnsi="Arial"/>
                <w:sz w:val="18"/>
                <w:szCs w:val="18"/>
                <w:b w:val="1"/>
                <w:bCs w:val="1"/>
                <w:color w:val="auto"/>
              </w:rPr>
              <w:t>Part I</w:t>
            </w: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840" w:type="dxa"/>
            <w:vAlign w:val="bottom"/>
            <w:gridSpan w:val="6"/>
            <w:vMerge w:val="continue"/>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1200" w:type="dxa"/>
            <w:vAlign w:val="bottom"/>
          </w:tcPr>
          <w:p>
            <w:pPr>
              <w:ind w:left="20"/>
              <w:spacing w:after="0"/>
              <w:rPr>
                <w:sz w:val="20"/>
                <w:szCs w:val="20"/>
                <w:color w:val="auto"/>
              </w:rPr>
            </w:pPr>
            <w:r>
              <w:rPr>
                <w:rFonts w:ascii="Arial" w:cs="Arial" w:eastAsia="Arial" w:hAnsi="Arial"/>
                <w:sz w:val="18"/>
                <w:szCs w:val="18"/>
                <w:color w:val="auto"/>
              </w:rPr>
              <w:t>Item 1.</w:t>
            </w:r>
          </w:p>
        </w:tc>
        <w:tc>
          <w:tcPr>
            <w:tcW w:w="9080" w:type="dxa"/>
            <w:vAlign w:val="bottom"/>
            <w:gridSpan w:val="19"/>
          </w:tcPr>
          <w:p>
            <w:pPr>
              <w:spacing w:after="0"/>
              <w:rPr>
                <w:sz w:val="20"/>
                <w:szCs w:val="20"/>
                <w:color w:val="auto"/>
              </w:rPr>
            </w:pPr>
            <w:r>
              <w:rPr>
                <w:rFonts w:ascii="Arial" w:cs="Arial" w:eastAsia="Arial" w:hAnsi="Arial"/>
                <w:sz w:val="18"/>
                <w:szCs w:val="18"/>
                <w:color w:val="0000FF"/>
              </w:rPr>
              <w:t>Business</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1A.</w:t>
            </w:r>
          </w:p>
        </w:tc>
        <w:tc>
          <w:tcPr>
            <w:tcW w:w="908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1B.</w:t>
            </w:r>
          </w:p>
        </w:tc>
        <w:tc>
          <w:tcPr>
            <w:tcW w:w="2000" w:type="dxa"/>
            <w:vAlign w:val="bottom"/>
            <w:gridSpan w:val="8"/>
          </w:tcPr>
          <w:p>
            <w:pPr>
              <w:spacing w:after="0"/>
              <w:rPr>
                <w:sz w:val="20"/>
                <w:szCs w:val="20"/>
                <w:color w:val="auto"/>
              </w:rPr>
            </w:pPr>
            <w:r>
              <w:rPr>
                <w:rFonts w:ascii="Arial" w:cs="Arial" w:eastAsia="Arial" w:hAnsi="Arial"/>
                <w:sz w:val="18"/>
                <w:szCs w:val="18"/>
                <w:color w:val="0000FF"/>
                <w:w w:val="87"/>
              </w:rPr>
              <w:t>Unresolved Staff Comments</w:t>
            </w:r>
          </w:p>
        </w:tc>
        <w:tc>
          <w:tcPr>
            <w:tcW w:w="7080" w:type="dxa"/>
            <w:vAlign w:val="bottom"/>
            <w:gridSpan w:val="11"/>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2.</w:t>
            </w:r>
          </w:p>
        </w:tc>
        <w:tc>
          <w:tcPr>
            <w:tcW w:w="660" w:type="dxa"/>
            <w:vAlign w:val="bottom"/>
            <w:gridSpan w:val="2"/>
          </w:tcPr>
          <w:p>
            <w:pPr>
              <w:spacing w:after="0"/>
              <w:rPr>
                <w:sz w:val="20"/>
                <w:szCs w:val="20"/>
                <w:color w:val="auto"/>
              </w:rPr>
            </w:pPr>
            <w:r>
              <w:rPr>
                <w:rFonts w:ascii="Arial" w:cs="Arial" w:eastAsia="Arial" w:hAnsi="Arial"/>
                <w:sz w:val="18"/>
                <w:szCs w:val="18"/>
                <w:color w:val="0000FF"/>
                <w:w w:val="75"/>
              </w:rPr>
              <w:t>Properties</w:t>
            </w:r>
          </w:p>
        </w:tc>
        <w:tc>
          <w:tcPr>
            <w:tcW w:w="1340" w:type="dxa"/>
            <w:vAlign w:val="bottom"/>
            <w:gridSpan w:val="6"/>
          </w:tcPr>
          <w:p>
            <w:pPr>
              <w:spacing w:after="0"/>
              <w:rPr>
                <w:sz w:val="22"/>
                <w:szCs w:val="22"/>
                <w:color w:val="auto"/>
              </w:rPr>
            </w:pPr>
          </w:p>
        </w:tc>
        <w:tc>
          <w:tcPr>
            <w:tcW w:w="7080" w:type="dxa"/>
            <w:vAlign w:val="bottom"/>
            <w:gridSpan w:val="11"/>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3.</w:t>
            </w:r>
          </w:p>
        </w:tc>
        <w:tc>
          <w:tcPr>
            <w:tcW w:w="908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18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4.</w:t>
            </w:r>
          </w:p>
        </w:tc>
        <w:tc>
          <w:tcPr>
            <w:tcW w:w="9080" w:type="dxa"/>
            <w:vAlign w:val="bottom"/>
            <w:gridSpan w:val="19"/>
          </w:tcPr>
          <w:p>
            <w:pPr>
              <w:spacing w:after="0"/>
              <w:rPr>
                <w:sz w:val="20"/>
                <w:szCs w:val="20"/>
                <w:color w:val="auto"/>
              </w:rPr>
            </w:pPr>
            <w:r>
              <w:rPr>
                <w:rFonts w:ascii="Arial" w:cs="Arial" w:eastAsia="Arial" w:hAnsi="Arial"/>
                <w:sz w:val="18"/>
                <w:szCs w:val="18"/>
                <w:color w:val="0000FF"/>
              </w:rPr>
              <w:t>Mine Safety Disclosures</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18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12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40" w:type="dxa"/>
            <w:vAlign w:val="bottom"/>
            <w:gridSpan w:val="6"/>
          </w:tcPr>
          <w:p>
            <w:pPr>
              <w:jc w:val="center"/>
              <w:ind w:right="4260"/>
              <w:spacing w:after="0"/>
              <w:rPr>
                <w:sz w:val="20"/>
                <w:szCs w:val="20"/>
                <w:color w:val="auto"/>
              </w:rPr>
            </w:pPr>
            <w:r>
              <w:rPr>
                <w:rFonts w:ascii="Arial" w:cs="Arial" w:eastAsia="Arial" w:hAnsi="Arial"/>
                <w:sz w:val="18"/>
                <w:szCs w:val="18"/>
                <w:b w:val="1"/>
                <w:bCs w:val="1"/>
                <w:color w:val="auto"/>
                <w:w w:val="99"/>
              </w:rPr>
              <w:t>Part II</w:t>
            </w:r>
          </w:p>
        </w:tc>
        <w:tc>
          <w:tcPr>
            <w:tcW w:w="7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0" w:type="dxa"/>
            <w:vAlign w:val="bottom"/>
          </w:tcPr>
          <w:p>
            <w:pPr>
              <w:ind w:left="20"/>
              <w:spacing w:after="0"/>
              <w:rPr>
                <w:sz w:val="20"/>
                <w:szCs w:val="20"/>
                <w:color w:val="auto"/>
              </w:rPr>
            </w:pPr>
            <w:r>
              <w:rPr>
                <w:rFonts w:ascii="Arial" w:cs="Arial" w:eastAsia="Arial" w:hAnsi="Arial"/>
                <w:sz w:val="18"/>
                <w:szCs w:val="18"/>
                <w:color w:val="auto"/>
              </w:rPr>
              <w:t>Item 5.</w:t>
            </w:r>
          </w:p>
        </w:tc>
        <w:tc>
          <w:tcPr>
            <w:tcW w:w="9080" w:type="dxa"/>
            <w:vAlign w:val="bottom"/>
            <w:gridSpan w:val="19"/>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6.</w:t>
            </w:r>
          </w:p>
        </w:tc>
        <w:tc>
          <w:tcPr>
            <w:tcW w:w="660" w:type="dxa"/>
            <w:vAlign w:val="bottom"/>
            <w:gridSpan w:val="2"/>
          </w:tcPr>
          <w:p>
            <w:pPr>
              <w:spacing w:after="0"/>
              <w:rPr>
                <w:sz w:val="20"/>
                <w:szCs w:val="20"/>
                <w:color w:val="auto"/>
              </w:rPr>
            </w:pPr>
            <w:r>
              <w:rPr>
                <w:rFonts w:ascii="Arial" w:cs="Arial" w:eastAsia="Arial" w:hAnsi="Arial"/>
                <w:sz w:val="18"/>
                <w:szCs w:val="18"/>
                <w:color w:val="0000FF"/>
                <w:w w:val="80"/>
              </w:rPr>
              <w:t>Reserved</w:t>
            </w:r>
          </w:p>
        </w:tc>
        <w:tc>
          <w:tcPr>
            <w:tcW w:w="7200" w:type="dxa"/>
            <w:vAlign w:val="bottom"/>
            <w:gridSpan w:val="16"/>
          </w:tcPr>
          <w:p>
            <w:pPr>
              <w:spacing w:after="0"/>
              <w:rPr>
                <w:sz w:val="22"/>
                <w:szCs w:val="22"/>
                <w:color w:val="auto"/>
              </w:rPr>
            </w:pPr>
          </w:p>
        </w:tc>
        <w:tc>
          <w:tcPr>
            <w:tcW w:w="122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20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7.</w:t>
            </w:r>
          </w:p>
        </w:tc>
        <w:tc>
          <w:tcPr>
            <w:tcW w:w="6300" w:type="dxa"/>
            <w:vAlign w:val="bottom"/>
            <w:gridSpan w:val="16"/>
          </w:tcPr>
          <w:p>
            <w:pPr>
              <w:spacing w:after="0"/>
              <w:rPr>
                <w:sz w:val="20"/>
                <w:szCs w:val="20"/>
                <w:color w:val="auto"/>
              </w:rPr>
            </w:pPr>
            <w:r>
              <w:rPr>
                <w:rFonts w:ascii="Arial" w:cs="Arial" w:eastAsia="Arial" w:hAnsi="Arial"/>
                <w:sz w:val="18"/>
                <w:szCs w:val="18"/>
                <w:color w:val="0000FF"/>
                <w:w w:val="88"/>
              </w:rPr>
              <w:t>Management’s Discussion and Analysis of Financial Condition and Results of Operations</w:t>
            </w:r>
          </w:p>
        </w:tc>
        <w:tc>
          <w:tcPr>
            <w:tcW w:w="2780" w:type="dxa"/>
            <w:vAlign w:val="bottom"/>
            <w:gridSpan w:val="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20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7A.</w:t>
            </w:r>
          </w:p>
        </w:tc>
        <w:tc>
          <w:tcPr>
            <w:tcW w:w="630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780" w:type="dxa"/>
            <w:vAlign w:val="bottom"/>
            <w:gridSpan w:val="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8.</w:t>
            </w:r>
          </w:p>
        </w:tc>
        <w:tc>
          <w:tcPr>
            <w:tcW w:w="4240" w:type="dxa"/>
            <w:vAlign w:val="bottom"/>
            <w:gridSpan w:val="13"/>
          </w:tcPr>
          <w:p>
            <w:pPr>
              <w:spacing w:after="0"/>
              <w:rPr>
                <w:sz w:val="20"/>
                <w:szCs w:val="20"/>
                <w:color w:val="auto"/>
              </w:rPr>
            </w:pPr>
            <w:r>
              <w:rPr>
                <w:rFonts w:ascii="Arial" w:cs="Arial" w:eastAsia="Arial" w:hAnsi="Arial"/>
                <w:sz w:val="18"/>
                <w:szCs w:val="18"/>
                <w:color w:val="0000FF"/>
              </w:rPr>
              <w:t>Financial Statements and Supplementary Data</w:t>
            </w:r>
          </w:p>
        </w:tc>
        <w:tc>
          <w:tcPr>
            <w:tcW w:w="4840" w:type="dxa"/>
            <w:vAlign w:val="bottom"/>
            <w:gridSpan w:val="6"/>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9.</w:t>
            </w:r>
          </w:p>
        </w:tc>
        <w:tc>
          <w:tcPr>
            <w:tcW w:w="6300" w:type="dxa"/>
            <w:vAlign w:val="bottom"/>
            <w:gridSpan w:val="16"/>
          </w:tcPr>
          <w:p>
            <w:pPr>
              <w:spacing w:after="0"/>
              <w:rPr>
                <w:sz w:val="20"/>
                <w:szCs w:val="20"/>
                <w:color w:val="auto"/>
              </w:rPr>
            </w:pPr>
            <w:r>
              <w:rPr>
                <w:rFonts w:ascii="Arial" w:cs="Arial" w:eastAsia="Arial" w:hAnsi="Arial"/>
                <w:sz w:val="18"/>
                <w:szCs w:val="18"/>
                <w:color w:val="0000FF"/>
                <w:w w:val="87"/>
              </w:rPr>
              <w:t>Changes in and Disagreements with Accountants on Accounting and Financial Disclosure</w:t>
            </w:r>
          </w:p>
        </w:tc>
        <w:tc>
          <w:tcPr>
            <w:tcW w:w="2780" w:type="dxa"/>
            <w:vAlign w:val="bottom"/>
            <w:gridSpan w:val="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78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9A.</w:t>
            </w:r>
          </w:p>
        </w:tc>
        <w:tc>
          <w:tcPr>
            <w:tcW w:w="6300" w:type="dxa"/>
            <w:vAlign w:val="bottom"/>
            <w:gridSpan w:val="16"/>
          </w:tcPr>
          <w:p>
            <w:pPr>
              <w:spacing w:after="0"/>
              <w:rPr>
                <w:sz w:val="20"/>
                <w:szCs w:val="20"/>
                <w:color w:val="auto"/>
              </w:rPr>
            </w:pPr>
            <w:r>
              <w:rPr>
                <w:rFonts w:ascii="Arial" w:cs="Arial" w:eastAsia="Arial" w:hAnsi="Arial"/>
                <w:sz w:val="18"/>
                <w:szCs w:val="18"/>
                <w:color w:val="0000FF"/>
              </w:rPr>
              <w:t>Controls and Procedures</w:t>
            </w:r>
          </w:p>
        </w:tc>
        <w:tc>
          <w:tcPr>
            <w:tcW w:w="2780" w:type="dxa"/>
            <w:vAlign w:val="bottom"/>
            <w:gridSpan w:val="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78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9B.</w:t>
            </w:r>
          </w:p>
        </w:tc>
        <w:tc>
          <w:tcPr>
            <w:tcW w:w="1720" w:type="dxa"/>
            <w:vAlign w:val="bottom"/>
            <w:gridSpan w:val="6"/>
          </w:tcPr>
          <w:p>
            <w:pPr>
              <w:spacing w:after="0"/>
              <w:rPr>
                <w:sz w:val="20"/>
                <w:szCs w:val="20"/>
                <w:color w:val="auto"/>
              </w:rPr>
            </w:pPr>
            <w:r>
              <w:rPr>
                <w:rFonts w:ascii="Arial" w:cs="Arial" w:eastAsia="Arial" w:hAnsi="Arial"/>
                <w:sz w:val="18"/>
                <w:szCs w:val="18"/>
                <w:color w:val="0000FF"/>
              </w:rPr>
              <w:t>Other Information</w:t>
            </w:r>
          </w:p>
        </w:tc>
        <w:tc>
          <w:tcPr>
            <w:tcW w:w="7360" w:type="dxa"/>
            <w:vAlign w:val="bottom"/>
            <w:gridSpan w:val="1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78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9C.</w:t>
            </w:r>
          </w:p>
        </w:tc>
        <w:tc>
          <w:tcPr>
            <w:tcW w:w="4780" w:type="dxa"/>
            <w:vAlign w:val="bottom"/>
            <w:gridSpan w:val="14"/>
          </w:tcPr>
          <w:p>
            <w:pPr>
              <w:spacing w:after="0"/>
              <w:rPr>
                <w:sz w:val="20"/>
                <w:szCs w:val="20"/>
                <w:color w:val="auto"/>
              </w:rPr>
            </w:pPr>
            <w:r>
              <w:rPr>
                <w:rFonts w:ascii="Arial" w:cs="Arial" w:eastAsia="Arial" w:hAnsi="Arial"/>
                <w:sz w:val="18"/>
                <w:szCs w:val="18"/>
                <w:color w:val="0000FF"/>
                <w:w w:val="88"/>
              </w:rPr>
              <w:t>Disclosure Regarding Foreign Jurisdictions that Prevent Inspections</w:t>
            </w:r>
          </w:p>
        </w:tc>
        <w:tc>
          <w:tcPr>
            <w:tcW w:w="4300" w:type="dxa"/>
            <w:vAlign w:val="bottom"/>
            <w:gridSpan w:val="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78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80" w:type="dxa"/>
            <w:vAlign w:val="bottom"/>
            <w:gridSpan w:val="7"/>
          </w:tcPr>
          <w:p>
            <w:pPr>
              <w:jc w:val="center"/>
              <w:ind w:right="4020"/>
              <w:spacing w:after="0"/>
              <w:rPr>
                <w:sz w:val="20"/>
                <w:szCs w:val="20"/>
                <w:color w:val="auto"/>
              </w:rPr>
            </w:pPr>
            <w:r>
              <w:rPr>
                <w:rFonts w:ascii="Arial" w:cs="Arial" w:eastAsia="Arial" w:hAnsi="Arial"/>
                <w:sz w:val="18"/>
                <w:szCs w:val="18"/>
                <w:b w:val="1"/>
                <w:bCs w:val="1"/>
                <w:color w:val="auto"/>
              </w:rPr>
              <w:t>Part III</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0" w:type="dxa"/>
            <w:vAlign w:val="bottom"/>
          </w:tcPr>
          <w:p>
            <w:pPr>
              <w:ind w:left="20"/>
              <w:spacing w:after="0"/>
              <w:rPr>
                <w:sz w:val="20"/>
                <w:szCs w:val="20"/>
                <w:color w:val="auto"/>
              </w:rPr>
            </w:pPr>
            <w:r>
              <w:rPr>
                <w:rFonts w:ascii="Arial" w:cs="Arial" w:eastAsia="Arial" w:hAnsi="Arial"/>
                <w:sz w:val="18"/>
                <w:szCs w:val="18"/>
                <w:color w:val="auto"/>
              </w:rPr>
              <w:t>Item 10.</w:t>
            </w:r>
          </w:p>
        </w:tc>
        <w:tc>
          <w:tcPr>
            <w:tcW w:w="4000" w:type="dxa"/>
            <w:vAlign w:val="bottom"/>
            <w:gridSpan w:val="12"/>
          </w:tcPr>
          <w:p>
            <w:pPr>
              <w:spacing w:after="0"/>
              <w:rPr>
                <w:sz w:val="20"/>
                <w:szCs w:val="20"/>
                <w:color w:val="auto"/>
              </w:rPr>
            </w:pPr>
            <w:r>
              <w:rPr>
                <w:rFonts w:ascii="Arial" w:cs="Arial" w:eastAsia="Arial" w:hAnsi="Arial"/>
                <w:sz w:val="18"/>
                <w:szCs w:val="18"/>
                <w:color w:val="0000FF"/>
                <w:w w:val="88"/>
              </w:rPr>
              <w:t>Directors, Executive Officers and Corporate Governance</w:t>
            </w:r>
          </w:p>
        </w:tc>
        <w:tc>
          <w:tcPr>
            <w:tcW w:w="5080" w:type="dxa"/>
            <w:vAlign w:val="bottom"/>
            <w:gridSpan w:val="7"/>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11.</w:t>
            </w:r>
          </w:p>
        </w:tc>
        <w:tc>
          <w:tcPr>
            <w:tcW w:w="4000" w:type="dxa"/>
            <w:vAlign w:val="bottom"/>
            <w:gridSpan w:val="12"/>
          </w:tcPr>
          <w:p>
            <w:pPr>
              <w:spacing w:after="0"/>
              <w:rPr>
                <w:sz w:val="20"/>
                <w:szCs w:val="20"/>
                <w:color w:val="auto"/>
              </w:rPr>
            </w:pPr>
            <w:r>
              <w:rPr>
                <w:rFonts w:ascii="Arial" w:cs="Arial" w:eastAsia="Arial" w:hAnsi="Arial"/>
                <w:sz w:val="18"/>
                <w:szCs w:val="18"/>
                <w:color w:val="0000FF"/>
              </w:rPr>
              <w:t>Executive Compensation</w:t>
            </w:r>
          </w:p>
        </w:tc>
        <w:tc>
          <w:tcPr>
            <w:tcW w:w="5080" w:type="dxa"/>
            <w:vAlign w:val="bottom"/>
            <w:gridSpan w:val="7"/>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79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12.</w:t>
            </w:r>
          </w:p>
        </w:tc>
        <w:tc>
          <w:tcPr>
            <w:tcW w:w="9080" w:type="dxa"/>
            <w:vAlign w:val="bottom"/>
            <w:gridSpan w:val="19"/>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79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13.</w:t>
            </w:r>
          </w:p>
        </w:tc>
        <w:tc>
          <w:tcPr>
            <w:tcW w:w="5320" w:type="dxa"/>
            <w:vAlign w:val="bottom"/>
            <w:gridSpan w:val="15"/>
          </w:tcPr>
          <w:p>
            <w:pPr>
              <w:spacing w:after="0"/>
              <w:rPr>
                <w:sz w:val="20"/>
                <w:szCs w:val="20"/>
                <w:color w:val="auto"/>
              </w:rPr>
            </w:pPr>
            <w:r>
              <w:rPr>
                <w:rFonts w:ascii="Arial" w:cs="Arial" w:eastAsia="Arial" w:hAnsi="Arial"/>
                <w:sz w:val="18"/>
                <w:szCs w:val="18"/>
                <w:color w:val="0000FF"/>
                <w:w w:val="87"/>
              </w:rPr>
              <w:t>Certain Relationships and Related Transactions, and Director Independence</w:t>
            </w:r>
          </w:p>
        </w:tc>
        <w:tc>
          <w:tcPr>
            <w:tcW w:w="1780" w:type="dxa"/>
            <w:vAlign w:val="bottom"/>
            <w:gridSpan w:val="2"/>
          </w:tcPr>
          <w:p>
            <w:pPr>
              <w:spacing w:after="0"/>
              <w:rPr>
                <w:sz w:val="22"/>
                <w:szCs w:val="22"/>
                <w:color w:val="auto"/>
              </w:rPr>
            </w:pPr>
          </w:p>
        </w:tc>
        <w:tc>
          <w:tcPr>
            <w:tcW w:w="1980" w:type="dxa"/>
            <w:vAlign w:val="bottom"/>
            <w:gridSpan w:val="2"/>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79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14.</w:t>
            </w:r>
          </w:p>
        </w:tc>
        <w:tc>
          <w:tcPr>
            <w:tcW w:w="5320" w:type="dxa"/>
            <w:vAlign w:val="bottom"/>
            <w:gridSpan w:val="15"/>
          </w:tcPr>
          <w:p>
            <w:pPr>
              <w:spacing w:after="0"/>
              <w:rPr>
                <w:sz w:val="20"/>
                <w:szCs w:val="20"/>
                <w:color w:val="auto"/>
              </w:rPr>
            </w:pPr>
            <w:r>
              <w:rPr>
                <w:rFonts w:ascii="Arial" w:cs="Arial" w:eastAsia="Arial" w:hAnsi="Arial"/>
                <w:sz w:val="18"/>
                <w:szCs w:val="18"/>
                <w:color w:val="0000FF"/>
              </w:rPr>
              <w:t>Principal Accounting Fees and Services</w:t>
            </w:r>
          </w:p>
        </w:tc>
        <w:tc>
          <w:tcPr>
            <w:tcW w:w="3760" w:type="dxa"/>
            <w:vAlign w:val="bottom"/>
            <w:gridSpan w:val="4"/>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79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12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80" w:type="dxa"/>
            <w:vAlign w:val="bottom"/>
            <w:gridSpan w:val="7"/>
          </w:tcPr>
          <w:p>
            <w:pPr>
              <w:jc w:val="center"/>
              <w:ind w:right="4020"/>
              <w:spacing w:after="0"/>
              <w:rPr>
                <w:sz w:val="20"/>
                <w:szCs w:val="20"/>
                <w:color w:val="auto"/>
              </w:rPr>
            </w:pPr>
            <w:r>
              <w:rPr>
                <w:rFonts w:ascii="Arial" w:cs="Arial" w:eastAsia="Arial" w:hAnsi="Arial"/>
                <w:sz w:val="18"/>
                <w:szCs w:val="18"/>
                <w:b w:val="1"/>
                <w:bCs w:val="1"/>
                <w:color w:val="auto"/>
              </w:rPr>
              <w:t>Part IV</w:t>
            </w:r>
          </w:p>
        </w:tc>
        <w:tc>
          <w:tcPr>
            <w:tcW w:w="7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0" w:type="dxa"/>
            <w:vAlign w:val="bottom"/>
          </w:tcPr>
          <w:p>
            <w:pPr>
              <w:ind w:left="20"/>
              <w:spacing w:after="0"/>
              <w:rPr>
                <w:sz w:val="20"/>
                <w:szCs w:val="20"/>
                <w:color w:val="auto"/>
              </w:rPr>
            </w:pPr>
            <w:r>
              <w:rPr>
                <w:rFonts w:ascii="Arial" w:cs="Arial" w:eastAsia="Arial" w:hAnsi="Arial"/>
                <w:sz w:val="18"/>
                <w:szCs w:val="18"/>
                <w:color w:val="auto"/>
              </w:rPr>
              <w:t>Item 15.</w:t>
            </w:r>
          </w:p>
        </w:tc>
        <w:tc>
          <w:tcPr>
            <w:tcW w:w="9080" w:type="dxa"/>
            <w:vAlign w:val="bottom"/>
            <w:gridSpan w:val="19"/>
          </w:tcPr>
          <w:p>
            <w:pPr>
              <w:spacing w:after="0"/>
              <w:rPr>
                <w:sz w:val="20"/>
                <w:szCs w:val="20"/>
                <w:color w:val="auto"/>
              </w:rPr>
            </w:pPr>
            <w:r>
              <w:rPr>
                <w:rFonts w:ascii="Arial" w:cs="Arial" w:eastAsia="Arial" w:hAnsi="Arial"/>
                <w:sz w:val="18"/>
                <w:szCs w:val="18"/>
                <w:color w:val="0000FF"/>
              </w:rPr>
              <w:t>Exhibits and Financial Statement Schedules</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600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8"/>
                <w:szCs w:val="18"/>
                <w:color w:val="auto"/>
              </w:rPr>
              <w:t>Item 16.</w:t>
            </w:r>
          </w:p>
        </w:tc>
        <w:tc>
          <w:tcPr>
            <w:tcW w:w="1520" w:type="dxa"/>
            <w:vAlign w:val="bottom"/>
            <w:gridSpan w:val="5"/>
          </w:tcPr>
          <w:p>
            <w:pPr>
              <w:spacing w:after="0"/>
              <w:rPr>
                <w:sz w:val="20"/>
                <w:szCs w:val="20"/>
                <w:color w:val="auto"/>
              </w:rPr>
            </w:pPr>
            <w:r>
              <w:rPr>
                <w:rFonts w:ascii="Arial" w:cs="Arial" w:eastAsia="Arial" w:hAnsi="Arial"/>
                <w:sz w:val="18"/>
                <w:szCs w:val="18"/>
                <w:color w:val="0000FF"/>
                <w:w w:val="89"/>
              </w:rPr>
              <w:t>Form 10-K Summary</w:t>
            </w:r>
          </w:p>
        </w:tc>
        <w:tc>
          <w:tcPr>
            <w:tcW w:w="1560" w:type="dxa"/>
            <w:vAlign w:val="bottom"/>
            <w:gridSpan w:val="5"/>
          </w:tcPr>
          <w:p>
            <w:pPr>
              <w:spacing w:after="0"/>
              <w:rPr>
                <w:sz w:val="22"/>
                <w:szCs w:val="22"/>
                <w:color w:val="auto"/>
              </w:rPr>
            </w:pPr>
          </w:p>
        </w:tc>
        <w:tc>
          <w:tcPr>
            <w:tcW w:w="6000" w:type="dxa"/>
            <w:vAlign w:val="bottom"/>
            <w:gridSpan w:val="9"/>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82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3"/>
        </w:trPr>
        <w:tc>
          <w:tcPr>
            <w:tcW w:w="1200" w:type="dxa"/>
            <w:vAlign w:val="bottom"/>
          </w:tcPr>
          <w:p>
            <w:pPr>
              <w:spacing w:after="0"/>
              <w:rPr>
                <w:sz w:val="24"/>
                <w:szCs w:val="24"/>
                <w:color w:val="auto"/>
              </w:rPr>
            </w:pPr>
          </w:p>
        </w:tc>
        <w:tc>
          <w:tcPr>
            <w:tcW w:w="1520" w:type="dxa"/>
            <w:vAlign w:val="bottom"/>
            <w:tcBorders>
              <w:top w:val="single" w:sz="8" w:color="0000FF"/>
            </w:tcBorders>
            <w:gridSpan w:val="5"/>
          </w:tcPr>
          <w:p>
            <w:pPr>
              <w:spacing w:after="0"/>
              <w:rPr>
                <w:sz w:val="24"/>
                <w:szCs w:val="24"/>
                <w:color w:val="auto"/>
              </w:rPr>
            </w:pPr>
          </w:p>
        </w:tc>
        <w:tc>
          <w:tcPr>
            <w:tcW w:w="3260" w:type="dxa"/>
            <w:vAlign w:val="bottom"/>
            <w:gridSpan w:val="9"/>
          </w:tcPr>
          <w:p>
            <w:pPr>
              <w:jc w:val="right"/>
              <w:ind w:right="232"/>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4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This Annual Report on Form 10-K includes “forward-looking statements” within the meaning of Section 27A of the Securities Act of 1933, as amended, and Section 21E of the Securities Exchange Act of 1934, as amended. All statements, other than statements of historical facts, included in this Annual Report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61" w:lineRule="exact"/>
        <w:rPr>
          <w:sz w:val="20"/>
          <w:szCs w:val="20"/>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and nature of future project awards, revenue and margins from each of our segments;</w:t>
      </w:r>
    </w:p>
    <w:p>
      <w:pPr>
        <w:spacing w:after="0" w:line="161" w:lineRule="exact"/>
        <w:rPr>
          <w:rFonts w:ascii="Arial" w:cs="Arial" w:eastAsia="Arial" w:hAnsi="Arial"/>
          <w:sz w:val="18"/>
          <w:szCs w:val="18"/>
          <w:color w:val="auto"/>
        </w:rPr>
      </w:pPr>
    </w:p>
    <w:p>
      <w:pPr>
        <w:ind w:left="640" w:right="340" w:hanging="319"/>
        <w:spacing w:after="0" w:line="261"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obtain letters of credit, or raise cash in order to meet our short and long-term capital requirements;</w:t>
      </w:r>
    </w:p>
    <w:p>
      <w:pPr>
        <w:spacing w:after="0" w:line="128"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61" w:lineRule="exact"/>
        <w:rPr>
          <w:rFonts w:ascii="Arial" w:cs="Arial" w:eastAsia="Arial" w:hAnsi="Arial"/>
          <w:sz w:val="18"/>
          <w:szCs w:val="18"/>
          <w:color w:val="auto"/>
        </w:rPr>
      </w:pPr>
    </w:p>
    <w:p>
      <w:pPr>
        <w:ind w:left="640" w:right="160" w:hanging="319"/>
        <w:spacing w:after="0" w:line="261"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to our business from economic, market or business conditions in general and in the natural gas, power, oil, petrochemical, agricultural and mining industries in particular;</w:t>
      </w:r>
    </w:p>
    <w:p>
      <w:pPr>
        <w:spacing w:after="0" w:line="128"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inflation on our operating expenses and our business operations;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to our business from disruptions to supply chains, inflation and availability of materials and labor;</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161"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84" w:lineRule="exact"/>
        <w:rPr>
          <w:sz w:val="20"/>
          <w:szCs w:val="20"/>
          <w:color w:val="auto"/>
        </w:rPr>
      </w:pPr>
    </w:p>
    <w:p>
      <w:pPr>
        <w:ind w:left="640" w:right="240" w:hanging="319"/>
        <w:spacing w:after="0" w:line="261"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factors discussed in Item 1A of this Annual Report and listed from time to time in our filings with the Securities and Exchange Commission ("SEC");</w:t>
      </w:r>
    </w:p>
    <w:p>
      <w:pPr>
        <w:spacing w:after="0" w:line="128"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market or business conditions in general and in the natural gas, power, oil, petrochemical, agricultural and mining industries in particular;</w:t>
      </w:r>
    </w:p>
    <w:p>
      <w:pPr>
        <w:spacing w:after="0" w:line="184" w:lineRule="exact"/>
        <w:rPr>
          <w:rFonts w:ascii="Arial" w:cs="Arial" w:eastAsia="Arial" w:hAnsi="Arial"/>
          <w:sz w:val="16"/>
          <w:szCs w:val="16"/>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transition to renewable energy sources and its impact on our current customer base;</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 or over-utilization of our work force;</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the commencement or progression of major projects, whether due to permitting issues or other factors;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 and</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or regulations, including the imposition, cancellation or delay of tariffs on imported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Consequently, all of the forward-looking statements made in this Annual Report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except as required by law, any such forward-looking statements, whether as a result of new information, future events or otherwise.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began operations in 1984 as an Oklahoma corporation under the name of Matrix Service. In 1989, we incorporated in the State of Delaware under the name of Matrix Service Company. We provide engineering, fabrication, construction, and maintenance services to support critical energy infrastructure and industrial markets. We maintain regional offices throughout the United States, Canada and other international locations, and operate through separate union and merit subsidiaries.</w:t>
      </w:r>
    </w:p>
    <w:p>
      <w:pPr>
        <w:spacing w:after="0" w:line="14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operate in all 50 states, in four Canadian provinces and in other international locations. Our principal executive offices are located at 15 E. 5th Street, Suite 1100, Tulsa, Oklahoma 74103. Our telephone number is (918) 838-8822. Unless the context otherwise requires, all references herein to “Matrix Service Company”, “Matrix”, the “Company” or to “we”, “our”, and “us” are to Matrix Service Company and its subsidiaries.</w:t>
      </w:r>
    </w:p>
    <w:p>
      <w:pPr>
        <w:spacing w:after="0" w:line="1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believe we have an obligation to better the world in which we live and work – to do today’s work in a manner that advances and protects tomorrow’s world for future generations. Across the ideals of environmental stewardship, social responsibility, governance, diversity, equity and inclusiveness, we are committed to ensuring our business strategies, policies, and practices align with such ideals so we can have the greatest impact globally and in our own local communities. We are committed to fulfilling our purpose today by safely engineering, constructing, and maintaining essential infrastructure that provides a better, brighter future for tomorrow.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Our public website is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We make available free of charge through the "Investor Relations" section of our website our annual reports to stockholders, annual reports on Form 10-K, quarterly reports on Form 10-Q, current reports on Form 8-K, including exhibits, and amendments to those reports, as soon as reasonably practicable after we file or furnish to the SEC. Any materials we file with or furnish to the SEC are also maintained on the SEC website (</w:t>
      </w:r>
      <w:r>
        <w:rPr>
          <w:rFonts w:ascii="Arial" w:cs="Arial" w:eastAsia="Arial" w:hAnsi="Arial"/>
          <w:sz w:val="18"/>
          <w:szCs w:val="18"/>
          <w:u w:val="single" w:color="auto"/>
          <w:color w:val="auto"/>
        </w:rPr>
        <w:t>sec.gov</w:t>
      </w:r>
      <w:r>
        <w:rPr>
          <w:rFonts w:ascii="Arial" w:cs="Arial" w:eastAsia="Arial" w:hAnsi="Arial"/>
          <w:sz w:val="18"/>
          <w:szCs w:val="18"/>
          <w:color w:val="auto"/>
        </w:rPr>
        <w:t>).</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information contained on our website, or available by hyperlink from our website, is not incorporated into this Annual Report or other documents we file with, or furnish to, the SEC. We intend to use our website as a means of disclosing material non-public information and for complying with our disclosure obligations under Regulation FD. Such disclosures will be included in the "Investor Relations" section of our website. Investors should monitor that section of our website for press releases, investor presentations, SEC filings and public conference calls and webcasts.</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While not our primary means of communication, investors can also learn more about us by visiting our social media channels. We encourage investors, the media, and others interested in us to review the information posted on our Facebook site (</w:t>
      </w:r>
      <w:r>
        <w:rPr>
          <w:rFonts w:ascii="Arial" w:cs="Arial" w:eastAsia="Arial" w:hAnsi="Arial"/>
          <w:sz w:val="16"/>
          <w:szCs w:val="16"/>
          <w:u w:val="single" w:color="auto"/>
          <w:color w:val="auto"/>
        </w:rPr>
        <w:t>facebook.com/matrixservicecompany</w:t>
      </w:r>
      <w:r>
        <w:rPr>
          <w:rFonts w:ascii="Arial" w:cs="Arial" w:eastAsia="Arial" w:hAnsi="Arial"/>
          <w:sz w:val="16"/>
          <w:szCs w:val="16"/>
          <w:color w:val="auto"/>
        </w:rPr>
        <w:t>), our LinkedIn account (</w:t>
      </w:r>
      <w:r>
        <w:rPr>
          <w:rFonts w:ascii="Arial" w:cs="Arial" w:eastAsia="Arial" w:hAnsi="Arial"/>
          <w:sz w:val="16"/>
          <w:szCs w:val="16"/>
          <w:u w:val="single" w:color="auto"/>
          <w:color w:val="auto"/>
        </w:rPr>
        <w:t>linkedin.com/company/matrix-service-company</w:t>
      </w:r>
      <w:r>
        <w:rPr>
          <w:rFonts w:ascii="Arial" w:cs="Arial" w:eastAsia="Arial" w:hAnsi="Arial"/>
          <w:sz w:val="16"/>
          <w:szCs w:val="16"/>
          <w:color w:val="auto"/>
        </w:rPr>
        <w:t>) and our Twitter account (</w:t>
      </w:r>
      <w:r>
        <w:rPr>
          <w:rFonts w:ascii="Arial" w:cs="Arial" w:eastAsia="Arial" w:hAnsi="Arial"/>
          <w:sz w:val="16"/>
          <w:szCs w:val="16"/>
          <w:u w:val="single" w:color="auto"/>
          <w:color w:val="auto"/>
        </w:rPr>
        <w:t>twitter.com/matrixserviceco</w:t>
      </w:r>
      <w:r>
        <w:rPr>
          <w:rFonts w:ascii="Arial" w:cs="Arial" w:eastAsia="Arial" w:hAnsi="Arial"/>
          <w:sz w:val="16"/>
          <w:szCs w:val="16"/>
          <w:color w:val="auto"/>
        </w:rPr>
        <w:t>). Investors, the media or other interested parties can subscribe to the Twitter feed at the address listed above. The information contained in our social media accounts is not incorporated into this Annual Report or other documents we file with, or furnish to, the SEC.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three reportable segments:</w:t>
      </w:r>
    </w:p>
    <w:p>
      <w:pPr>
        <w:spacing w:after="0" w:line="168" w:lineRule="exact"/>
        <w:rPr>
          <w:sz w:val="20"/>
          <w:szCs w:val="20"/>
          <w:color w:val="auto"/>
        </w:rPr>
      </w:pPr>
    </w:p>
    <w:p>
      <w:pPr>
        <w:jc w:val="both"/>
        <w:ind w:left="640" w:hanging="319"/>
        <w:spacing w:after="0" w:line="266" w:lineRule="auto"/>
        <w:tabs>
          <w:tab w:leader="none" w:pos="629" w:val="left"/>
        </w:tabs>
        <w:numPr>
          <w:ilvl w:val="0"/>
          <w:numId w:val="5"/>
        </w:numPr>
        <w:rPr>
          <w:rFonts w:ascii="Arial" w:cs="Arial" w:eastAsia="Arial" w:hAnsi="Arial"/>
          <w:sz w:val="18"/>
          <w:szCs w:val="18"/>
          <w:color w:val="auto"/>
        </w:rPr>
      </w:pPr>
      <w:r>
        <w:rPr>
          <w:rFonts w:ascii="Arial" w:cs="Arial" w:eastAsia="Arial" w:hAnsi="Arial"/>
          <w:sz w:val="17"/>
          <w:szCs w:val="17"/>
          <w:b w:val="1"/>
          <w:bCs w:val="1"/>
          <w:u w:val="single" w:color="auto"/>
          <w:color w:val="auto"/>
        </w:rPr>
        <w:t>Storage and Terminal Solutions</w:t>
      </w:r>
      <w:r>
        <w:rPr>
          <w:rFonts w:ascii="Arial" w:cs="Arial" w:eastAsia="Arial" w:hAnsi="Arial"/>
          <w:sz w:val="17"/>
          <w:szCs w:val="17"/>
          <w:color w:val="auto"/>
        </w:rPr>
        <w:t>: primarily consists of engineering, procurement, fabrication, and construction services related to cryogenic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specialty tanks and terminals for LNG, NGLs, hydrogen, ammonia, propane, butane, liquid nitrogen/liquid oxygen, and liquid petroleum. Also includes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640" w:hanging="319"/>
        <w:spacing w:after="0" w:line="288" w:lineRule="auto"/>
        <w:tabs>
          <w:tab w:leader="none" w:pos="63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Utility and Power Infrastructure</w:t>
      </w:r>
      <w:r>
        <w:rPr>
          <w:rFonts w:ascii="Arial" w:cs="Arial" w:eastAsia="Arial" w:hAnsi="Arial"/>
          <w:sz w:val="16"/>
          <w:szCs w:val="16"/>
          <w:color w:val="auto"/>
        </w:rPr>
        <w:t>: primarily consists of engineering, procurement, fabrication, and construction services to support growing demand</w:t>
      </w:r>
      <w:r>
        <w:rPr>
          <w:rFonts w:ascii="Arial" w:cs="Arial" w:eastAsia="Arial" w:hAnsi="Arial"/>
          <w:sz w:val="16"/>
          <w:szCs w:val="16"/>
          <w:b w:val="1"/>
          <w:bCs w:val="1"/>
          <w:color w:val="auto"/>
        </w:rPr>
        <w:t xml:space="preserve"> </w:t>
      </w:r>
      <w:r>
        <w:rPr>
          <w:rFonts w:ascii="Arial" w:cs="Arial" w:eastAsia="Arial" w:hAnsi="Arial"/>
          <w:sz w:val="16"/>
          <w:szCs w:val="16"/>
          <w:color w:val="auto"/>
        </w:rPr>
        <w:t>for LNG utility peak shaving facilities. We also perform traditional electrical work for public and private utilities, including construction of new substations, upgrades of existing substations, transmission and distribution line installations, and upgrades and maintenance including live wire work. Work may also include emergency and storm restoration services. We also provide construction services to a variety of power generation facilities, including natural gas fired facilities in simple or combined cycle configurations.</w:t>
      </w:r>
    </w:p>
    <w:p>
      <w:pPr>
        <w:spacing w:after="0" w:line="105" w:lineRule="exact"/>
        <w:rPr>
          <w:rFonts w:ascii="Arial" w:cs="Arial" w:eastAsia="Arial" w:hAnsi="Arial"/>
          <w:sz w:val="16"/>
          <w:szCs w:val="16"/>
          <w:b w:val="1"/>
          <w:bCs w:val="1"/>
          <w:color w:val="auto"/>
        </w:rPr>
      </w:pPr>
    </w:p>
    <w:p>
      <w:pPr>
        <w:jc w:val="both"/>
        <w:ind w:left="640" w:hanging="319"/>
        <w:spacing w:after="0" w:line="288" w:lineRule="auto"/>
        <w:tabs>
          <w:tab w:leader="none" w:pos="636" w:val="left"/>
        </w:tabs>
        <w:numPr>
          <w:ilvl w:val="0"/>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Process and Industrial Facilities</w:t>
      </w:r>
      <w:r>
        <w:rPr>
          <w:rFonts w:ascii="Arial" w:cs="Arial" w:eastAsia="Arial" w:hAnsi="Arial"/>
          <w:sz w:val="16"/>
          <w:szCs w:val="16"/>
          <w:color w:val="auto"/>
        </w:rPr>
        <w:t>: primarily consists of plant maintenance, repair, and turnarounds in the downstream and midstream markets for</w:t>
      </w:r>
      <w:r>
        <w:rPr>
          <w:rFonts w:ascii="Arial" w:cs="Arial" w:eastAsia="Arial" w:hAnsi="Arial"/>
          <w:sz w:val="16"/>
          <w:szCs w:val="16"/>
          <w:b w:val="1"/>
          <w:bCs w:val="1"/>
          <w:color w:val="auto"/>
        </w:rPr>
        <w:t xml:space="preserve"> </w:t>
      </w:r>
      <w:r>
        <w:rPr>
          <w:rFonts w:ascii="Arial" w:cs="Arial" w:eastAsia="Arial" w:hAnsi="Arial"/>
          <w:sz w:val="16"/>
          <w:szCs w:val="16"/>
          <w:color w:val="auto"/>
        </w:rPr>
        <w:t>energy clients including refining and processing of crude oil, fractionating, and marketing of natural gas and natural gas liquids. Also includes engineering, procurement, fabrication, and construction for refinery upgrades and retrofits for renewable fuels. We also construct thermal vacuum test chambers for aerospace and defense industries and other infrastructure for industries including petrochemical, sulfur, mining and minerals primarily in the extraction of non-ferrous metals, cement, agriculture, wastewater treatment facilities and other industrial customers.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MATTERS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Marketing</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provided services to approximately 400 customers in fiscal 2023. Most of our revenue comes from long-term customer relationships. One customer accounted for $84.8 million or 10.7% of our consolidated revenue in fiscal 2023, which was primarily included in the Process and Industrial Facilities segment. No other customers individually accounted for more than 10% of our consolidated revenue in fiscal 2023. See Part II, Item 8. Financial Statement and Supplementary Data, Note 13 - Segment Information, for more information about concentration of revenue by segment.</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market our services and products primarily through our marketing and business development personnel, senior professional staff and our operating management. We competitively bid most of our projects; however, we have a number of preferred provider relationships with customers who award us work through long-term agreements. Our projects have durations ranging from a few days to multiple years.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compete with local, regional, national and international contractors and service providers. Competitors vary with the markets we serve. Few competitors compete in all of the markets we serve or provide all of the services we provide. Contracts are generally awarded based on price, quality, safety performance, schedule, experience and customer satisfaction.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operating results can exhibit seasonal fluctuations, especially in our Process and Industrial Facilities segment, for a variety of reasons. Turnarounds and planned outages at customer facilities are typically scheduled in the spring and the fall when the demand for energy is lower. Within the Utility and Power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11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factors impacting operating results in all segments come from decreased work volume during holidays, work site permitting delays or customers accelerating or postponing work. The differing types, sizes, and durations of our contracts, combined with their geographic diversity and stages of completion, often results in fluctuations in our operating results.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overhead cost structure is generally fixed. Significant fluctuations in revenue volume usually leads to over or under recovery of fixed overhead costs, which can have a material impact on our gross margin and profitability.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Sources and Availability</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Beginning in fiscal 2022, increased demand for certain materials and disruptions to global supply chains have led to higher prices for some of the materials we need to run our business, including, but not limited to, structural steel, steel piping, rebar, valves, copper, electrical components, fabricated products and equipment, and delivery freight. We have been proactive with managing our procurement processes to help reduce the impacts of rising materials prices on our business and to help ensure we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continue to have the materials we need available. Rising prices and the potential for materials shortages have created additional risk in bidding and executing work profitably.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maintain insurance coverage for various aspects of our operations. However, exposure to potential losses is retained through the use of deductibles, self-insured retentions and coverage limits.</w:t>
      </w:r>
    </w:p>
    <w:p>
      <w:pPr>
        <w:spacing w:after="0" w:line="12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Typically our contracts require us to indemnify our customers for injury, damage or loss arising from the performance of our services and provide warranties for materials. We may also be required to name the customer as an additional insured up to the limits of insurance available, to purchase special insurance policies or surety bonds for specific customers or to provide letters of credit in lieu of bonds to satisfy performance and financial guarantees on some projects. We maintain a performance and payment bonding line sufficient to support the business. We generally require our subcontractors to indemnify us and our customers and name us as an additional insured for activities arising out of the subcontractors’ work. We also require certain subcontractors to provide additional security, including surety bonds in favor of us, to secure the subcontractors’ work. There can be no assurance that our insurance and the additional insurance coverage provided by our subcontractors will fully protect us against a valid claim or loss under the contracts with our customers.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6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Successful execution of our business strategy is dependent on attracting, developing, and retaining key employees who represent our core values and the communities we serve. Our people are our greatest resource, which makes our certification in fiscal 2023 as a Great Place To Work® — for the seventh consecutive year — both a point of pride and an invaluable tool for continuous improvement supporting our objective of remaining an employer of choice.</w:t>
      </w:r>
    </w:p>
    <w:p>
      <w:pPr>
        <w:spacing w:after="0" w:line="10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Given the nature of our work, the size of our employee population can vary significantly throughout the year because of the number, type, and size of projects we have in progress at any particular time. As of June 30, 2023, we had 2,545 employees worldwide. Of those employees, 621 were employed in office-based positions and 1,924 were employed in field or craft positions. The breakdown by country was: 2,353 located in the United States, 159 in Canada, and 33 across other international locations. At the end of fiscal 2023, worldwide, women in management represented 1.5% and 17.6% of our field and office teams, respectively. The percentage of minorities in management (U.S. only) for field and office represented 9.8% and 18.6%, respectively. Recognizing our commitment to Diversity, Equity and Inclusion (DEI) begins at the top. In fiscal 2023, 43% of our Independent Board Members were diverse, with 29% female and 14% ethnically diverse.</w:t>
      </w:r>
    </w:p>
    <w:p>
      <w:pPr>
        <w:spacing w:after="0" w:line="14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percentage of our employees represented by trade unions as of June 30, 2023, was approximately 35%. Operating under collective bargaining agreements with various unions, our union employees are provided with benefits including health and welfare, pension, training programs and competitive compensation plans. We have not experienced any strikes or work stoppages in recent years and are proud that our relationships with our employees and labor unions are strong.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Ethics and Core Values</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employees are entrusted with engineering, constructing, and maintaining the complex, critical infrastructure that supports modern daily living and quality of life. Ethics and integrity are foundational in our ability to be successful and are engrained in our culture and core values. Across all areas of our business, we maintain focus on compliance and doing the right thing, and integrity is essential to every aspect of our business, in both policy and practice. Accordingly, we are committed to ensuring compliance with all applicable laws and regulations, and to maintaining the highest standards of ethical conduct in accordance with our code of conduct.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Ensuring the safety of our employees and those around us is integral to who we are, and paramount to our success and sustainability. The journey to achieving and maintaining a zero-incident safety performance requires a strong culture of safety and hands-on leadership, combined with robust training along with comprehensive policies, processes, and systems to plan, perform, report, measure, and review, and to continuously improve our performance. We have incorporated safety as a key performance metric in our incentive compensation plan by measuring our annual Total Recordable Incident Rate (‘‘TRIR’’), which is calculated by multiplying the number of recordable incidents by 200,000 and dividing that number by the total hours worked each year. This metric is also used by others in our industry, which allows for a more objective comparison of our performance. Our TRIR was 0.73, 0.51, and 0.28 during fiscal years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 (DEI)</w:t>
      </w:r>
    </w:p>
    <w:p>
      <w:pPr>
        <w:spacing w:after="0" w:line="16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Foundational to attracting, developing, and retaining a diverse, engaged workforce is our commitment to making sure our employees feel safe, know they are valued, know that their work matters, and are provided opportunities to achieve their maximum potential. We believe when we value each other’s differences and encourage everyone’s voice to be heard, we can break down the barriers that stifle ideas and opportunities.</w:t>
      </w:r>
    </w:p>
    <w:p>
      <w:pPr>
        <w:spacing w:after="0" w:line="10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 fiscal 2023, we continued to advance and strengthen our culture. We launched our first Employee Resource Groups (ERGs), creating employee-led pathways for inclusion. We also continued year-round learning opportunities on unconscious bias and other DEI-specific topics and enhanced our DEI education offering available to all employees through Matrix University, our internal training and development program. We strengthened our accountability by increasing the diversity of our independent Board Members based on gender and ethnicity; establishing our ERG Executive Sponsor Program; advancing development of an employee survey designed to measure effectiveness of our DEI efforts and setting the framework for data analysis to identify opportunities for improvement. We also continued our participation in CEO Action for Diversity &amp; Inclusion and participated in a variety of community events including Advancing Oklahoma, a state-wide conversation on race, where our leadership served on the committee that developed comprehensive programming to engage participants in discussions about race and history, the criminal justice system, everyday conversations, education, business, image and attitudes, advocacy, and the future.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Rewards Package</w:t>
      </w:r>
    </w:p>
    <w:p>
      <w:pPr>
        <w:spacing w:after="0" w:line="16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part of our compensation philosophy and to attract and retain superior talent, we offer and maintain market-competitive total rewards programs for our employees. In addition to base salaries, additional programs include incentive and project bonus opportunities, comprehensive healthcare coverage and insurance benefits, Company matched retirement plans, health savings and flexible spending accounts, an Employee Stock Purchase Plan, paid holidays and other paid time off, family leave, and flexible work schedules where possible. Other offerings include employee assistance programs with 365/24/7 access to resources and support, and Matrix HealthMatters, our robust wellness program that provides resources and education to help employees and their families get and stay healthy, focusing holistically on physical, mental and financial health.</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and Employee Development Programs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Investment in continuous learning is essential to providing industry-leading expertise and service to our clients, continuous improvement across our organization, and meaningful career development opportunities for our people. From in-person to online courses, formalized and other specialized training, our employees benefit from opportunities to strengthen their leadership and management competencies, improve communication and interpersonal skills, and advance their technical proficiency. Through Matrix University, our people have access to resources that include a robust Learning Management System (LMS) that provides enterprise-wide access for employees to a number of online learning modules and support tools.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employees also benefit from the Matrix Performance Development Program, designed for collaborative development of annual performance goals and to promote continuous, transparent feedback between employees and their supervisors.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Engagement</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also empower our employees to donate time, talent, and resources through Company-led initiatives, matching for employee charitable contributions, and paid volunteer time off. Each year, our employees collectively log thousands of hours participating in individual community service projects in addition to hours they invest serving on boards and participating in Company-sponsored charitable events. We also provide direct corporate financial support to nonprofit organizations in the communities where we live and work.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Technology</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subsidiaries have several patents and continue to pursue new ideas and innovations to better serve our customers in several areas of our business. The Flex-A-Span® and Flex-A-Seal® trademarks are utilized to market our unique seals for floating roof tanks. The Flowdome® trademark is used to market our geodesic dome tank roofs. Our SwingMaster® trademark is used to market our central type swing joints. The patent for the Training Tank for Personnel Entry, Exit and Rescue relates to a training device that can be used to train personnel on equipment that is made to simulate confined space scenarios. We hold two separate patents for Pipe Lifting and Orienting Apparatus and Method that is used to raise and lower pipes and to move them around the upper surface of floating roof of tanks. The Batten Joint for an Internal Floating Roof of a Fluid Tank allows us to overcome many of the disadvantages associated with other types of joints used for internal floating roofs for floating tanks.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hold a perpetual license to use various patents and technologies related to LNG storage tanks, liquid nitrogen/liquid oxygen storage tanks, liquid petroleum gas storage tanks and thermal vacuum chambers.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While our intellectual property is not our main business, we believe that the ability to use these patents, trademarks, and technology enables us to expand our presence in the markets we serve and minimizes the development costs typically associated with organic growth.</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 Regulations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operations are subject to regulation by the U.S. Department of Labor Occupational Safety and Health Administration (“OSHA”) and Mine Safety and Health Administration (“MSHA”), the U.S. Department of Transportation, and to regulation under state laws and by the Canadian Workers’ Compensation Board and its Workplace Health, Safety and Compensation Commission. Regulations promulgated by these agencies require employers and independent contractors to implement work practices, medical surveillance systems and personnel protection programs to protect employees from workplace hazards and exposure to hazardous chemicals and materials. In recognition of the potential for accidents within various scopes of work, these agencies have enacted strict and comprehensive safety regulations. We have established and consistently reinforce and monitor compliance with comprehensive programs intended to ensure that we comply with all applicable health and safety regulations to protect the safety of our workers, subcontractors and customers. While we believe that we operate safely and prudently, there can be no assurance that accidents will not occur or that we will not incur substantial liability in connection with the operation of our businesses. In order to minimize the financial exposure resulting from potential accidents associated with our work, we maintain liability insurance to limit losses that could result from our work.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16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believe we have an obligation to better the world in which we live and work – to do today’s work in a manner that advances and protects tomorrow’s world for future generations. Across our organization, from our project sites to our offices, we are committed to environmental stewardship and to continuously seeking better, more sustainable ways to perform our work in existing and new markets, including renewables.</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operations and the operations of our customers are subject to extensive and changing environmental laws and regulations. These laws and regulations relate primarily to air and water pollutants and the management and disposal of hazardous materials. We are exposed to potential liability for personal injury or property damage caused by any release, spill, exposure or other accident involving such pollutants, substances or hazardous materials.</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order to limit costs incurred as a result of environmental exposure, we maintain contractor’s pollution liability insurance that covers liability that may be incurred as a result of accidental releases of hazardous materials.</w:t>
      </w:r>
    </w:p>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we are currently in compliance, in all material aspects, with all applicable environmental laws and regulations. We do not expect any material charges in subsequent periods relating to environmental conditions that currently exist and do not currently foresee any significant future capital spending relating to environmental matters.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The following risk factors should be considered with the other information included in this Annual Report on Form 10-K. As we operate in a continuously changing environment, other risk factors may emerge which could have a material adverse effect on our results of operations, financial condition and cash flow.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Business and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depend upon the award of new contracts and the timing of those awards.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revenue is derived primarily from contracts awarded on a project-by-project basis. Generally, it is difficult to predict whether and when we will be awarded a new contract due to lengthy and complex bidding and selection processes, changes in existing or forecasted market conditions, customers' access to financing, governmental regulations, permitting and environmental matters. Because our revenue is derived from contract awards, our results of operations and cash flows can fluctuate materially from period to period.</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uncertainty associated with the timing of contract awards may reduce our short-term profitability as we balance our current capacity with expectations of future contract awards. If an expected contract award is delayed or not received, we could incur costs to maintain an idle workforce that may have a material adverse effect on our results of operations. Alternatively, we may decide that our long-term interests are best served by reducing our workforce and incurring increased costs associated with severance and termination benefits, which also could have a material adverse effect on our results of operations in the period incurred. Reducing our workforce could also impact our results of operations if we are unable to adequately staff projects that are awarded subsequent to a workforce reduction.</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Demand for our products and services is cyclical and is vulnerable to the level of capital and maintenance spending of our customers and to downturns in the industries and markets we serve, as well as conditions in the general economy.</w:t>
      </w:r>
    </w:p>
    <w:p>
      <w:pPr>
        <w:spacing w:after="0" w:line="1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demand for our products and services depends upon the existence of construction and maintenance projects primarily in the energy markets, including LNG, hydrogen, renewable energy, midstream and downstream petroleum, and other heavy industries in the United States and Canada. Therefore, it is likely that our business will continue to be cyclical in nature and vulnerable to general downturns in the United States, Canadian and world economies and negative changes in commodity and energy prices, which could adversely affect the demand for our products and services.</w:t>
      </w:r>
    </w:p>
    <w:p>
      <w:pPr>
        <w:spacing w:after="0" w:line="11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availability of engineering and construction projects is dependent upon economic conditions and the outlook for renewable energy, hydrogen, natural gas, oil, petrochemical, industrial, and power industries, and specifically, the level of capital expenditures on energy infrastructure. Additionally, we expect our customers to benefit from bills such as the Infrastructure Investment and Jobs Act and the Inflation Reduction Act. While spending and stimulus bills are expected to provide funding in many of the markets in which we operate, we may not be able to obtain the expected benefits from these bills or similar bills in the future. Our failure to obtain projects, the delay of project awards, the cancellation of projects or delays in the execution of contracts has resulted and may continue to result in under-utilization of our resources, which could adversely impact our revenue, margins, operating results and cash flow. There are numerous factors beyond our control that influence the level of maintenance and capital expenditures of our customers, including:</w:t>
      </w:r>
    </w:p>
    <w:p>
      <w:pPr>
        <w:spacing w:after="0" w:line="117" w:lineRule="exact"/>
        <w:rPr>
          <w:sz w:val="20"/>
          <w:szCs w:val="20"/>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demand for alternative and renewable energy products, including hydrogen;</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and demand to export LNG and other hydrocarbon products;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demand for natural gas, oil and electricity;</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or projected commodity prices, including natural gas, oil, power and mineral prices;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refining margins;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energy and industrial companies to generate, access and deploy capital;</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challenges and advances;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incentives, including those for alternative energy projects;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restraints on the rates that power companies may charge their customers; and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national and international political and economic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could be negatively impacted if we are not able to maintain appropriate utilization of our workforce.</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extent to which we utilize our workforce affects our profitability. If we under utilize our workforce, our gross margins and overall profitability suffer in the short-term. If we over utilize our workforce, we may negatively impact safety, employee satisfaction and project execution. The utilization of our workforce is impacted by numerous factors including:</w:t>
      </w:r>
    </w:p>
    <w:p>
      <w:pPr>
        <w:spacing w:after="0" w:line="137" w:lineRule="exact"/>
        <w:rPr>
          <w:sz w:val="20"/>
          <w:szCs w:val="20"/>
          <w:color w:val="auto"/>
        </w:rPr>
      </w:pPr>
    </w:p>
    <w:p>
      <w:pPr>
        <w:ind w:left="640" w:hanging="319"/>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estimate of the headcount requirements for various operating units based upon our forecast of the demand for our products and services;</w:t>
      </w:r>
    </w:p>
    <w:p>
      <w:pPr>
        <w:spacing w:after="0" w:line="184" w:lineRule="exact"/>
        <w:rPr>
          <w:rFonts w:ascii="Arial" w:cs="Arial" w:eastAsia="Arial" w:hAnsi="Arial"/>
          <w:sz w:val="16"/>
          <w:szCs w:val="16"/>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talent base and manage attrition;</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productivity;</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schedule our portfolio of projects to efficiently utilize our employees and minimize downtime between project assignments; and</w:t>
      </w:r>
    </w:p>
    <w:p>
      <w:pPr>
        <w:spacing w:after="0" w:line="184" w:lineRule="exact"/>
        <w:rPr>
          <w:rFonts w:ascii="Arial" w:cs="Arial" w:eastAsia="Arial" w:hAnsi="Arial"/>
          <w:sz w:val="16"/>
          <w:szCs w:val="16"/>
          <w:color w:val="auto"/>
        </w:rPr>
      </w:pPr>
    </w:p>
    <w:p>
      <w:pPr>
        <w:ind w:left="640" w:hanging="319"/>
        <w:spacing w:after="0" w:line="261"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to invest time and resources into functions such as training, business development, employee recruiting, and sales that are not chargeable to customer projects.</w:t>
      </w:r>
    </w:p>
    <w:p>
      <w:pPr>
        <w:spacing w:after="0" w:line="12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An inability to attract and retain qualified personnel, and in particular, engineers, project managers, and skilled craft workers, could impact our ability to perform on our contracts, which could harm our business and impair our future revenue and profitability.</w:t>
      </w:r>
    </w:p>
    <w:p>
      <w:pPr>
        <w:spacing w:after="0" w:line="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ability to attract and retain qualified engineers, project managers, skilled craftsmen and other experienced professionals in accordance with our need is an important factor in our ability to maintain profitability and grow our business. The market for these professionals is competitive, particularly during periods of economic growth when the supply is limited. We cannot provide any assurance that we will be successful in our efforts to retain or attract qualified personnel when needed. Therefore, when we anticipate or experience growing demand for our services, we may incur additional cost to maintain a professional staff in excess of our current contract needs in an effort to have sufficient qualified personnel available to address this anticipated demand. If we do incur additional compensation and benefit costs, our customer contracts may not allow us to pass through these costs.</w:t>
      </w:r>
    </w:p>
    <w:p>
      <w:pPr>
        <w:spacing w:after="0" w:line="11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Competent and experienced engineers, project estimators, project managers, and craft workers are especially critical to the profitable performance of our contracts, particularly on our fixed-price contracts where superior design and execution of the project can result in profits greater than originally estimated or where inferior design and project execution can reduce or eliminate estimated profits or even result in a loss.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Our project managers are involved in most aspects of contracting and contract execution, including:</w:t>
      </w:r>
    </w:p>
    <w:p>
      <w:pPr>
        <w:spacing w:after="0" w:line="161" w:lineRule="exact"/>
        <w:rPr>
          <w:sz w:val="20"/>
          <w:szCs w:val="20"/>
          <w:color w:val="auto"/>
        </w:rPr>
      </w:pPr>
    </w:p>
    <w:p>
      <w:pPr>
        <w:ind w:left="640" w:right="340" w:hanging="319"/>
        <w:spacing w:after="0" w:line="261"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supervising the bidding process, including providing estimates of significant cost components, such as material and equipment needs, and the size, productivity and composition of the workforce;</w:t>
      </w:r>
    </w:p>
    <w:p>
      <w:pPr>
        <w:spacing w:after="0" w:line="128"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negotiating contracts;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supervising project performance, including performance by our employees, subcontractors and other third-party suppliers and vendors;</w:t>
      </w:r>
    </w:p>
    <w:p>
      <w:pPr>
        <w:spacing w:after="0" w:line="184" w:lineRule="exact"/>
        <w:rPr>
          <w:rFonts w:ascii="Arial" w:cs="Arial" w:eastAsia="Arial" w:hAnsi="Arial"/>
          <w:sz w:val="16"/>
          <w:szCs w:val="16"/>
          <w:color w:val="auto"/>
        </w:rPr>
      </w:pPr>
    </w:p>
    <w:p>
      <w:pPr>
        <w:ind w:left="640" w:right="320" w:hanging="319"/>
        <w:spacing w:after="0" w:line="261"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estimating costs for completion of contracts that is used to estimate amounts that can be reported as revenue and earnings on the contract under the percentage-of-completion method of accounting;</w:t>
      </w:r>
    </w:p>
    <w:p>
      <w:pPr>
        <w:spacing w:after="0" w:line="128"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negotiating requests for change orders and the final terms of approved change orders; and</w:t>
      </w:r>
    </w:p>
    <w:p>
      <w:pPr>
        <w:spacing w:after="0" w:line="161" w:lineRule="exact"/>
        <w:rPr>
          <w:rFonts w:ascii="Arial" w:cs="Arial" w:eastAsia="Arial" w:hAnsi="Arial"/>
          <w:sz w:val="18"/>
          <w:szCs w:val="18"/>
          <w:color w:val="auto"/>
        </w:rPr>
      </w:pPr>
    </w:p>
    <w:p>
      <w:pPr>
        <w:ind w:left="640" w:right="160" w:hanging="319"/>
        <w:spacing w:after="0" w:line="261"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determining and documenting claims by us for increased costs incurred due to the failure of customers, subcontractors and other third-party suppliers of equipment and materials to perform on a timely basis and in accordance with contract terms.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of our significant customers could adversely affect us.</w:t>
      </w:r>
    </w:p>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One or more customers have in the past and may in the future contribute a material portion of our revenue in any one year. Because these significant customers generally contract with us for specific projects or for specific periods of time, we may lose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customers from year to year as the projects or maintenance contracts are completed. The loss of business from any one of these customers could have a material adverse effect on our business or results of operations.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backlog is subject to unexpected fluctuations, adjustments and cancellations and does not include the full value of our long-term maintenance contracts, and therefore, may not be a reliable indicator of our future earnings.</w:t>
      </w:r>
    </w:p>
    <w:p>
      <w:pPr>
        <w:spacing w:after="0" w:line="1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Backlog may not be a reliable indicator of our future performance. We cannot guarantee that the revenue projected in our backlog will be realized or profitable. Projects may remain in our backlog for an extended period of time. In addition, project cancellations or scope adjustments may occur from time to time with respect to contracts included in our backlog that could reduce the dollar amount of our backlog and the revenue and profits that we actually earn. Many of our contracts have termination rights. Therefore, project adjustments may occur from time to time to contracts in our backlog.</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terms of our contracts could expose us to unforeseen costs and costs not within our control, which may not be recoverable and could adversely affect our results of operations and financial condition.</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significant amount of our work is performed under fixed-price contracts. Under fixed-price contracts, we agree to perform the contract for a fixed price and, as a result, can improve our expected profit by superior execution, productivity, workplace safety and other factors resulting in cost savings. However, we could incur cost overruns above the approved contract price, which may not be recoverable. Under certain incentive fixed-price contracts, we may agree to share with a customer a portion of any savings we generate while the customer agrees to bear a portion of any increased costs we may incur up to a negotiated ceiling. To the extent costs exceed the negotiated ceiling price, we may be required to absorb some or all of the cost overruns.</w:t>
      </w:r>
    </w:p>
    <w:p>
      <w:pPr>
        <w:spacing w:after="0" w:line="11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Fixed-price contract prices are established based largely upon estimates and assumptions relating to project scope and specifications, personnel and productivity, material needs, and site conditions. These estimates and assumptions may prove inaccurate, or conditions may change due to factors out of our control, resulting in cost overruns, which we may be required to absorb and which could have a material adverse effect on our business, financial condition and results of operations. In addition, our profits from these contracts could decrease or we could experience losses if we incur difficulties in performing the contracts or are unable to secure fixed-pricing commitments from our manufacturers, suppliers and subcontractors at the time we enter into fixed-price contracts with our customers.</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Under cost-plus and time-and-material contracts, we perform our services in return for payment of our agreed upon reimbursable costs plus a profit. The profit component is typically expressed in the contract either as a percentage of the reimbursable costs we actually incur or is factored into the rates we charge for labor or for the cost of equipment and materials, if any, we are required to provide. Our profit could be negatively impacted if our actual costs exceed the estimated costs utilized to establish the billing rates included in the contracts.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in providing services in excess of original project scope without having an approved change order.</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After commencement of a contract, we may perform, without the benefit of an approved change order from the customer, additional services requested by the customer that were not contemplated in our contract price for various reasons, including customer changes or incomplete or inaccurate engineering, changes in project specifications and other similar information provided to us by the customer. Our construction contracts generally require the customer to compensate us for additional work or expenses incurred under these circumstances.</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failure to obtain adequate compensation for these matters could require us to record in the current period an adjustment to revenue and profit recognized in prior periods under the percentage-of-completion accounting method. Any such adjustments, if substantial, could have a material adverse effect on our results of operations and financial condition, particularly for the period in which such adjustments are made. We can provide no assurance that we will be successful in obtaining, through negotiation, arbitration, litigation or otherwise, approved change orders in an amount adequate to compensate us for our additional work or expenses.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difficult work sites and environments, which may adversely affect our overall business.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perform our work under a variety of conditions, including, but not limited to, difficult terrain, difficult site conditions and busy urban centers where delivery of materials and availability of labor may be impacted. Performing work under these conditions can slow our progress, potentially causing us to incur contractual liability to our customers. These difficult conditions may also cause us to incur additional, unanticipated costs that we might not be able to pass on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are susceptible to severe weather conditions, including those caused by climate change or otherwise, which may harm our business and financial results.</w:t>
      </w:r>
    </w:p>
    <w:p>
      <w:pPr>
        <w:spacing w:after="0" w:line="12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business may be adversely affected by severe weather in areas where we have significant operations. Repercussions of severe weather conditions may include:</w:t>
      </w:r>
    </w:p>
    <w:p>
      <w:pPr>
        <w:spacing w:after="0" w:line="128" w:lineRule="exact"/>
        <w:rPr>
          <w:sz w:val="20"/>
          <w:szCs w:val="20"/>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curtailment of services;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suspension of operations;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meet performance schedules in accordance with contracts and potential liability for liquidated damages;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injuries or fatalities;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 related damage to our facilities or work-in-progress on project sites;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 of information systems;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receive machinery, equipment and materials at job sites; and</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productivity.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frequency and severity of severe weather conditions may be enhanced by present and future changes to our climate.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affected by inflation, supply chain disruptions and shortages of materials and labor.</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Following the onset of the pandemic and with the ongoing conflict between Ukraine and Russia in Europe, there has been a high degree of volatility in commodity and energy markets that affect our client's businesses. In addition, inflation in the United States has reached multi-decade highs. In some cases we have had to bid more competitively than before to win work, which has compressed margins somewhat given the higher inflation. It is uncertain how this market environment will impact our business, both positively or negatively.</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Domestic and foreign trade tariffs could raise the price and reduce the availability of raw materials to us, which could negatively impact our operating results and financial condition.</w:t>
      </w:r>
    </w:p>
    <w:p>
      <w:pPr>
        <w:spacing w:after="0" w:line="1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Domestic and foreign trade tariffs could raise the price and reduce the availability of raw materials such as steel plate and steel pipe, which are key materials used by us. Supplies of these materials are available throughout the United States and globally from numerous sources. We anticipate that adequate amounts of these materials will be available in the foreseeable future. However, if trade tariffs should significantly impact the price and availability of these materials, we could experience lower gross margins, operational inefficiencies and project delays.</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Unsatisfactory safety performance may subject us to penalties, affect customer relationships, result in higher operating costs, negatively impact employee morale and result in higher employee turnover.</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projects are conducted at a variety of sites including construction sites and industrial facilities. With each location, hazards are part of the day-to-day exposures that we must manage on a continuous basis to ensure our employees return home from work the same way they arrived. We understand that everyone plays a role with safety and everyone can make a difference with their active participation. With our proactive approach, our strategy is to identify the exposures and correct them before they result in an incident whether that involves an injury, damage or destruction of property, plant and equipment or an environmental impact. We are intensely focused on maintaining a strong safety culture and strive for zero incidents.</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Although we have taken what we believe are appropriate precautions to adequately train and equip our employees, we have experienced serious accidents, including fatalities, in the past and may experience additional accidents in the future. Serious accidents may subject us to penalties, civil litigation or criminal prosecution. Claims for damages to persons, including claims for bodily injury or loss of life, could result in costs and liabilities, which could materially and adversely affect our financial condition, results of operations or cash flows. Poor safety performance could also jeopardize our relationships with our customers and increase our insurance premiums.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exposed to credit risk from customers. If we experience delays and/or defaults in customer payments, we could suffer liquidity problems or we could be unable to recover amounts owed to us.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Under the terms of our contracts, at times we commit resources to customer projects prior to receiving payments from customers in amounts sufficient to cover expenditures on these projects as they are incurred. Many of our fixed-price or cost-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plus contracts require us to satisfy specified progress milestones or performance standards in order to receive a payment. Under these types of arrangements, we may incur significant costs for labor, equipment and supplies prior to receipt of payment. If the customer fails or refuses to pay us for any reason, there is no assurance we will be able to collect amounts due to us for costs previously incurred. In some cases, we may find it necessary to terminate subcontracts with suppliers engaged by us to assist in performing a contract, and we may incur costs or penalties for canceling our commitments to them. Delays in customer payments require an investment in working capital. If we are unable to collect amounts owed to us under our contracts, we may be required to record a charge against previously recognized earnings related to the project, and our liquidity, financial condition and results of operations could be adversely affected.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contribute to multiemployer plans that could result in liabilities to us if those plans are terminated or if we withdraw from those plans.</w:t>
      </w:r>
    </w:p>
    <w:p>
      <w:pPr>
        <w:spacing w:after="0" w:line="18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We contribute to several multiemployer pension plans for employees covered by collective bargaining agreements. These plans are not administered by us and contributions are determined in accordance with provisions of negotiated labor contracts. The Employee Retirement Income Security Act of 1974, as amended by the Multiemployer Pension Plan Amendments Act of 1980, imposes certain liabilities upon employers who are contributors to a multiemployer plan in the event of the employer’s withdrawal from, or upon termination of, such plan. If we terminate, withdraw, or partially withdraw from other multiemployer pension plans, we could be required to make significant cash contributions to fund that plan's unfunded vested benefit, which could materially and adversely affect our financial condition and results of operations; however, we are not currently able to determine the net assets and actuarial present value of the multiemployer pension plans’ unfunded vested benefits allocable to us, if any, and we are not presently aware of the amounts, if any, for which we may be contingently liable if we were to withdraw from any of these plans. In addition, if the funding level of any of these multiemployer plans becomes classified as “critical status” under the Pension Protection Act of 2006, we could be required to make significant additional contributions to those plans.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 failure or outage in our operational systems or cyber security attacks on any of our systems, or those of third parties, may adversely affect our financial results.</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become more reliant on technology to help increase efficiency in our business. We use numerous technologies to help run our operations, and this may subject our business to increased risks. Any cyber security attack that affects our facilities, our systems, our customers and any of our financial data could have a material adverse effect on our business. In addition, a cyber-attack on our customer and employee data may result in a financial loss, including potential fines for failure to safeguard data, and may damage our reputation. Third-party systems on which we rely could also suffer system failure. Any of these occurrences could disrupt our business, result in potential liability or reputational damage or otherwise have an adverse effect on our financial results.</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experienced cybersecurity threats to our information technology infrastructure and have experienced cyber-attacks, attempts to breach our systems and other similar incidents. Such prior events have not had a material impact on our financial condition, results of operations or liquidity. However, future threats could cause harm to our business and our reputation, as well as negatively impact our results of operations materially. Our insurance coverage may not be adequate to cover all the costs related to cyber-attacks or disruptions resulting from such events.</w:t>
      </w:r>
    </w:p>
    <w:p>
      <w:pPr>
        <w:spacing w:after="0" w:line="11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Any security breach resulting in the unauthorized use or disclosure of certain personal information could put individuals at risk of identity theft and financial or other harm and result in costs to us in investigation, remediation, legal defense and in liability to parties who are financially harmed. We may incur significant costs to protect against the threat of information security breaches or to respond to or alleviate problems caused by such breaches. For example, laws may require notification to regulators, clients or employees and enlisting credit monitoring or identity theft protection in the event of a privacy breach. A cybersecurity attack could also be directed at our systems and result in interruptions in our operations or delivery of services to our clients and their customers. Furthermore, a material security breach could cause us to lose revenue, lose clients or cause damage to our reputation.</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 reduce organizational risk from cybersecurity threats, we carry cyber liability insurance and have undertaken several initiatives in recent years. We strengthened our identity and access management capabilities by requiring multi-factor authentication, increased the threat detection efficiencies within our security information and event management capacity, and completed projects designed to reduce our organization's external attack surface. In addition, in the area of security awareness and training, we have updated our foundational curriculum, established mandatory recurring training requirements, and commenced periodic phishing campaign 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b w:val="1"/>
          <w:bCs w:val="1"/>
          <w:i w:val="1"/>
          <w:iCs w:val="1"/>
          <w:color w:val="auto"/>
        </w:rPr>
        <w:t>We rely on internally and externally developed software applications and systems to support critical functions including project management, estimating, scheduling, human resources, accounting, and financial reporting. Any sudden loss, disruption or unexpected costs to maintain these systems could significantly increase our operational expense as well as disrupt the management of our business operations.</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rely on various software systems to conduct our critical operating and administrative functions. We depend on our software vendors to provide long-term software maintenance support for our information systems. Software vendors may decide to discontinue further development, integration or long-term software maintenance support for our information systems, in which case we may need to abandon one or more of our current information systems and migrate some or all of our project management, human resources, estimating, scheduling, accounting and financial information to other systems, thus increasing our operational expense as well as disrupting the management of our business operations.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6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b w:val="1"/>
          <w:bCs w:val="1"/>
          <w:i w:val="1"/>
          <w:iCs w:val="1"/>
          <w:color w:val="auto"/>
        </w:rPr>
        <w:t>Our borrowing capacity under our Credit Agreement is determined by the size of our borrowing base and if the size of our borrowing base does not provide adequate liquidity, then we may need to raise additional capital in the future for working capital, capital expenditures and/or acquisitions, and we may not be able to do so on favorable terms or at all, which would impair our ability to operate our business or achieve our strategic plan.</w:t>
      </w:r>
    </w:p>
    <w:p>
      <w:pPr>
        <w:spacing w:after="0" w:line="10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Management believes it has sufficient cash on hand and will generate sufficient cash from operations to fund the business. However, should we require additional liquidity, there is risk that we will be unable access the amount of additional liquidity needed from our Credit Agreement if the level of assets included in the borrowing base is insufficient. The borrowing base includes restricted cash plus a percentage of the value of certain accounts receivable, inventory and equipment, reduced for certain reserves. Accounts receivable eligible to be included in the borrowing base are generally limited to receivables associated with cost reimbursable work. While receivables associated with fixed price work do not increase the borrowing base, such work often has upfront billings, which help support the liquidity needs of the business. As of June 30, 2023, our borrowing base was $67.0 million. Our borrowing base has ranged from $67.0 million to $83.2 million during fiscal 2023.</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the extent that cash on hand, cash flow from operations, and borrowing availability under the Credit Agreement are insufficient to make future investments, or provide needed working capital, we may require additional financing from other sources. Our ability to obtain such additional financing in the future will depend in part upon prevailing capital market conditions, as well as conditions in our business and our operating results; and those factors may affect our efforts to arrange additional financing on terms that are satisfactory to us. If adequate funds are not available, or are not available on acceptable terms, we may not be able to make future investments or respond to competitive challenges.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imposes restrictions that may limit business alternatives.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Credit Agreement prohibits or limits us from making acquisitions, repurchasing equity, incurring additional debt, acquiring or disposing of assets, or making other distributions, including cash dividends. In addition, our Credit Agreement requires that we comply with a Fixed Charge Coverage Ratio financial covenant under certain conditions. These covenants and restrictions may impact our ability to effectively execute operating and strategic plans and our operating performance may not be sufficient to comply with the required covenants.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failure to comply with one or more of the covenants in our Credit Agreement could result in an event of default. We can provide no assurance that a default could be remedied, or that our creditors would grant a waiver or further amend the terms of the Credit Agreement.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compete for projects if we are not able to obtain surety bonds or letters of credit.</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 portion of our business depends on our ability to provide surety bonds or letters of credit. Current or future market conditions, including losses incurred in the construction industry or as a result of large corporate bankruptcies, as well as changes in our sureties’ assessment of our operating and financial risk, could cause our surety providers and lenders to decline to issue or renew, or substantially reduce the amount of, bid or performance bonds for our work and could increase our costs associated with collateral. These actions could be taken on short notice. If our surety providers or lenders were to limit or eliminate our access to bonding or letters of credit, our alternatives would include seeking capacity from other sureties and lenders or finding more business that does not require bonds or that allows for other forms of collateral for project performance, such as cash. We may be unable to secure these alternatives in a timely manner, on acceptable terms, or at all, which could affect our ability to bid for or work on certain future projects requiring financial assurances.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Under standard terms in the surety market, sureties issue or continue bonds on a project-by-project basis and can decline to issue bonds at any time or require the posting of additional collateral as a condition to issuing or renewing bonds. If we were to experience an interruption or reduction in the availability of bonding capacity as a result of these or other reasons, we may be unable to compete for or work on certain projects that require bonding.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Risks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use of percentage-of-completion accounting for fixed-price contracts and our reporting of profits for cost-plus contracts prior to contract completion could result in a reduction or elimination of previously reported profits.</w:t>
      </w:r>
    </w:p>
    <w:p>
      <w:pPr>
        <w:spacing w:after="0" w:line="1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Revenue for fixed-price contracts is recognized using the percentage-of-completion method of accounting. Under percentage-of-completion accounting, contract revenue and earnings are recognized ratably over the contract term based on the proportion of actual costs incurred to total estimated costs. We review our estimates of contract revenue, costs and profitability on a monthly basis. As a result, we may adjust our estimates on one or more occasions as a result of changes in cost estimates, change orders to the original contract, or claims against the customer for increased costs incurred by us due to customer-induced delays and other factors.</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estimates of costs to complete fixed-price contracts indicate a loss, a provision is made to accrue the total loss anticipated in the period the loss is determined. Contract profit estimates are also adjusted, on a percentage of completion basis, in the fiscal period in which it is determined that an adjustment is required. No restatements are made to prior periods. Further, many of our contracts contain various cost and performance incentives and penalties that impact the earnings we realize from our contracts, and adjustments related to these incentives and penalties are recorded on a percentage of completion basis in the period when estimable and probable.</w:t>
      </w:r>
    </w:p>
    <w:p>
      <w:pPr>
        <w:spacing w:after="0" w:line="14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As a result of the requirements of the percentage-of-completion method of accounting, the possibility exists that we could have estimated and reported a profit on a contract over several prior periods and later determine, as a result of additional information, that all or a portion of such previously estimated and reported profits were overstated. If this occurs, the full aggregate amount of the overstatement will be recognized in the period in which such change in estimate occurs.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results could differ from the estimates and assumptions that we use to prepare our financial statements.</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prepare financial statements in conformity with generally accepted accounting principles, management is required to make estimates and assumptions, as of the date of the financial statements, which affect the reported values of assets, liabilities, revenue and expenses and disclosures of contingent assets and liabilities. Areas requiring significant estimation by our management include:</w:t>
      </w:r>
    </w:p>
    <w:p>
      <w:pPr>
        <w:spacing w:after="0" w:line="215" w:lineRule="exact"/>
        <w:rPr>
          <w:sz w:val="20"/>
          <w:szCs w:val="20"/>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 costs and application of percentage-of-completion accounting;</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for uncollectable receivables from customers for invoiced amounts;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collectability of unpriced change orders and claims against customers;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for income taxes and related valuation allowances;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recoverability of goodwill and intangible assets;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valuation of assets acquired and liabilities assumed in connection with business combinations; and</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accruals for estimated liabilities, including litigation and insurance reserves.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actual results could materially differ from these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for future periods may be affected by impairment charges.</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we have grown in part through acquisitions, goodwill and other acquired intangible assets represent a substantial portion of our assets. We perform annual goodwill impairment reviews in the fourth quarter of every fiscal year. In addition, we perform an impairment review whenever events or changes in circumstances indicate the fair value of a goodwill reporting unit may be less than its carrying value or the carrying value of an intangible or fixed asset may not recoverable. As of June 30, 2023, we had $3.1 million of amortizing intangible assets and $29.1 million of non-amortizing goodwill representing 0.8% and 7.3% of our total assets,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Insurance, Regulatory and Compliance Risks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involved, and are likely to continue to be involved in legal proceedings, which will increase our costs and, if adversely determined, could have a material effect on our financial condition, results of operations, cash flows and liquidity.</w:t>
      </w:r>
    </w:p>
    <w:p>
      <w:pPr>
        <w:spacing w:after="0" w:line="12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currently a defendant in legal proceedings arising from the operation of our business, and it is reasonable to expect that we would be named in future actions. Many of the actions against us arise out of the normal course of performing services on project sites, and include workers’ compensation claims, personal injury claims and contract disputes with our customers. From time to time, we are also named as a defendant for actions involving the violation of federal and state labor laws related to employment practices, wages and benefits. We may also be a plaintiff in legal proceedings against customers seeking to recover payment of contractual amounts due to us as well as claims for increased costs incurred by us resulting from, among other things, services performed by us at the request of a customer that are in excess of original project scope that are later disputed by the customer and customer-caused delays in our contract performance.</w:t>
      </w:r>
    </w:p>
    <w:p>
      <w:pPr>
        <w:spacing w:after="0" w:line="14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maintain insurance against operating hazards in amounts that we believe are customary in our industry. However, our insurance policies include deductibles and certain coverage exclusions, so we cannot provide assurance that we are adequately insured against all of the risks associated with the conduct of our business. A successful claim brought against us in excess of, or outside of, our insurance coverage could have a material adverse effect on our financial condition, results of operations, cash flows and liquidity.</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Litigation, regardless of its outcome, is expensive, typically diverts the efforts of our management away from operations for varying periods of time, and can disrupt or otherwise adversely impact our relationships with current or potential customers, subcontractors and suppliers. Payment and claim disputes with customers may also cause us to incur increased interest costs resulting from incurring indebtedness under our revolving line of credit or receiving less interest income resulting from fewer funds invested due to the failure to receive payment for disputed claims and accounts.</w:t>
      </w:r>
    </w:p>
    <w:p>
      <w:pPr>
        <w:spacing w:after="0" w:line="11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Our projects expose us to potential professional liability, product liability, pollution liability, warranty and other claims, which could be expensive, damage our reputation and harm our business. We may not be able to obtain or maintain adequate insurance to cover these claims.</w:t>
      </w:r>
    </w:p>
    <w:p>
      <w:pPr>
        <w:spacing w:after="0" w:line="8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We perform construction and maintenance services at large industrial facilities where accidents or system failures can be disastrous and costly. Any catastrophic occurrence in excess of our insurance limits at locations engineered or constructed by us or where our products are installed or services performed could result in significant professional liability, product liability, warranty and other claims against us by our customers, including claims for cost overruns and the failure of the project to meet contractually specified milestones or performance standards. Further, the rendering of our services on these projects could expose us to risks and claims by third parties and governmental agencies for personal injuries, property damage and environmental matters, among others. Any claim, regardless of its merit or eventual outcome, could result in substantial costs, divert management’s attention and create negative publicity, particularly for claims relating to environmental matters where the amount of the claim could be extremely large. We may not be able to or may choose not to obtain or maintain insurance coverage for the types of claims described above. If we are unable to obtain insurance at an acceptable cost or otherwise protect against the claims described above, we will be exposed to significant liabilities, which may materially and adversely affect our financial condition and results of operations.</w:t>
      </w:r>
    </w:p>
    <w:p>
      <w:pPr>
        <w:spacing w:after="0" w:line="103"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Employee, subcontractor or partner misconduct or our overall failure to comply with laws or regulations could harm our reputation, damage our relationships with customers, reduce our revenue and profits, and subject us to criminal and civil enforcement actions.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Misconduct, fraud, non-compliance with applicable laws and regulations, or other improper activities by one of our employees, subcontractors or partners could have a significant negative impact on our business and reputation. Such misconduct could include the failure to comply with safety standards, laws and regulations, customer requirements, regulations pertaining to the internal controls over financial reporting, environmental laws and any other applicable laws or regulations. The precautions we take to prevent and detect these activities may not be effective, since our internal controls are subject to inherent limitations, including human error, the possibility that controls could be circumvented or become inadequate because of changed conditions, and fraud.</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failure to comply with applicable laws or regulations or acts of misconduct could subject us to fines and penalties, harm our reputation, damage our relationships with customers, reduce our revenue and profits and subject us to criminal and civil enforcement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factors and changes in laws and regulations could increase our costs and liabilities.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operations are subject to environmental laws and regulations, including those concerning emissions into the air; discharges into waterways; generation, storage, handling, treatment and disposal of hazardous material and wastes; and health and safety.</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projects often involve highly regulated materials, including hazardous wastes. Environmental laws and regulations generally impose limitations and standards for regulated materials and require us to obtain permits and comply with various other requirements. The improper characterization, handling, or disposal of regulated materials or any other failure by us to comply with federal, state and local environmental laws and regulations or associated environmental permits could subject us to the assessment of administrative, civil and criminal penalties, the imposition of investigatory or remedial obligations, or the issuance of injunctions that could restrict or prevent our ability to operate our business and complete contracted projects.</w:t>
      </w:r>
    </w:p>
    <w:p>
      <w:pPr>
        <w:spacing w:after="0" w:line="11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addition, under the Comprehensive Environmental Response, Compensation and Liability Act of 1980 (“CERCLA”), and comparable state and foreign laws, we may be required to investigate and remediate regulated materials. CERCLA and the comparable state laws typically impose liability without regard to whether a company knew of or caused the release, and liability for the entire cost of clean-up can be imposed upon any responsible party.</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subject to numerous other laws and regulations including those related to business registrations and licenses, environment, workplace, employment, health and safety. These laws and regulations are complex, change frequently and could become more stringent in the future. It is impossible to predict the effect on us of any future changes to these laws and regulations. We can provide no absolute assurance that our operations will continue to comply with future laws and regulations or that the costs to comply with these laws and regulations and/or a failure to comply with these laws will not significantly adversely affect our business, financial condition and results of operations.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Climate change legislation or regulations restricting emissions of “greenhouse gases” could result in reduced demand for certain services and products we provide.</w:t>
      </w:r>
    </w:p>
    <w:p>
      <w:pPr>
        <w:spacing w:after="0" w:line="12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There has been an increased focus in the last several years on climate change in response to findings that emissions of carbon dioxide, methane and other greenhouse gases present an endangerment to public health and the environment. As a result, there have been a variety of regulatory developments, proposals or requirements and legislative initiatives as well as pressure from institutional investors to restrict the emission of greenhouse gases. The growing imperative on customers for whom we provide services to limit greenhouse gas emissions could affect demand for certain services and products we provide. Further, scientists have concluded that increasing greenhouse gas concentrations in the atmosphere may produce physical effects, such as increased severity and frequency of storms, droughts, floods and other climate events. Such climate events have the potential to adversely affect certain operations or those of certain customers, which in turn could have a negative effect on us. We believe this risk is partly mitigated by new project opportunities resulting from our customers' investment in cleaner energy 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violations of the U.S. Foreign Corrupt Practices Act and similar worldwide anti-bribery laws.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U.S. Foreign Corrupt Practices Act and similar anti-bribery laws in other jurisdictions generally prohibit companies and their intermediaries from making improper payments to officials or others for the purpose of obtaining or retaining business. Our policies mandate compliance with these anti-bribery laws. We operate in parts of the world that have experienced corruption to some degree and, in certain circumstances, strict compliance with anti-bribery laws may conflict with local customs and practices. We train our personnel concerning anti-bribery laws and issues, and we also inform our customers, vendors, and others who work for us or on our behalf that they must comply with anti-bribery law requirements. We also have procedures and controls in place to monitor compliance. We cannot assure that our internal controls and procedures always will protect us from the possible reckless or criminal acts committed by our employees or agents. If we are found to be liable for anti-bribery law violations (either due to our own acts or our inadvertence, or due to the acts or inadvertence of others including our partners, agents, subcontractors or suppliers), we could suffer from criminal or civil penalties or other sanctions, including contract cancellations or debarment, and loss of reputation, any of which could have a material adverse effect on our business. Litigation or investigations relating to alleged or suspected violations of anti-bribery laws, even if ultimately such litigation or investigations demonstrate that we did not violate anti-bribery laws, could be costly and could divert management's attention away from other aspects of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political and other risks associated with international operations could adversely affect our business.</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small portion of our operations are conducted outside the United States, and accordingly, our business is subject to risks associated with doing business internationally, including changes in foreign currency exchange rates, instability in political or economic conditions, difficulty in repatriating cash proceeds, differing employee relations, differing regulatory environments,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trade protection measures, and difficulty in administering and enforcing corporate policies which may be different than the normal business practices of local cultures.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properties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3340" w:type="dxa"/>
            <w:vAlign w:val="bottom"/>
            <w:gridSpan w:val="2"/>
          </w:tcPr>
          <w:p>
            <w:pPr>
              <w:ind w:left="820"/>
              <w:spacing w:after="0"/>
              <w:rPr>
                <w:sz w:val="20"/>
                <w:szCs w:val="20"/>
                <w:color w:val="auto"/>
              </w:rPr>
            </w:pPr>
            <w:r>
              <w:rPr>
                <w:rFonts w:ascii="Arial" w:cs="Arial" w:eastAsia="Arial" w:hAnsi="Arial"/>
                <w:sz w:val="14"/>
                <w:szCs w:val="14"/>
                <w:b w:val="1"/>
                <w:bCs w:val="1"/>
                <w:color w:val="auto"/>
              </w:rPr>
              <w:t>Description of Facility</w:t>
            </w:r>
          </w:p>
        </w:tc>
        <w:tc>
          <w:tcPr>
            <w:tcW w:w="2620" w:type="dxa"/>
            <w:vAlign w:val="bottom"/>
            <w:gridSpan w:val="2"/>
          </w:tcPr>
          <w:p>
            <w:pPr>
              <w:ind w:left="860"/>
              <w:spacing w:after="0"/>
              <w:rPr>
                <w:sz w:val="20"/>
                <w:szCs w:val="20"/>
                <w:color w:val="auto"/>
              </w:rPr>
            </w:pPr>
            <w:r>
              <w:rPr>
                <w:rFonts w:ascii="Arial" w:cs="Arial" w:eastAsia="Arial" w:hAnsi="Arial"/>
                <w:sz w:val="14"/>
                <w:szCs w:val="14"/>
                <w:b w:val="1"/>
                <w:bCs w:val="1"/>
                <w:color w:val="auto"/>
              </w:rPr>
              <w:t>Segment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r>
      <w:tr>
        <w:trPr>
          <w:trHeight w:val="24"/>
        </w:trPr>
        <w:tc>
          <w:tcPr>
            <w:tcW w:w="31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1"/>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United States:</w:t>
            </w:r>
          </w:p>
        </w:tc>
        <w:tc>
          <w:tcPr>
            <w:tcW w:w="2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3"/>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Tulsa, Oklahoma</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headquarters and regional office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segments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161"/>
        </w:trPr>
        <w:tc>
          <w:tcPr>
            <w:tcW w:w="340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Bellingham, Washington</w:t>
            </w:r>
          </w:p>
        </w:tc>
        <w:tc>
          <w:tcPr>
            <w:tcW w:w="334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Regional office, fabrication facility and</w:t>
            </w:r>
          </w:p>
        </w:tc>
        <w:tc>
          <w:tcPr>
            <w:tcW w:w="26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Process and Industrial Facilities,</w:t>
            </w:r>
          </w:p>
        </w:tc>
        <w:tc>
          <w:tcPr>
            <w:tcW w:w="1140" w:type="dxa"/>
            <w:vAlign w:val="bottom"/>
          </w:tcPr>
          <w:p>
            <w:pPr>
              <w:jc w:val="center"/>
              <w:spacing w:after="0" w:line="161" w:lineRule="exact"/>
              <w:rPr>
                <w:sz w:val="20"/>
                <w:szCs w:val="20"/>
                <w:color w:val="auto"/>
              </w:rPr>
            </w:pPr>
            <w:r>
              <w:rPr>
                <w:rFonts w:ascii="Arial" w:cs="Arial" w:eastAsia="Arial" w:hAnsi="Arial"/>
                <w:sz w:val="16"/>
                <w:szCs w:val="16"/>
                <w:color w:val="auto"/>
                <w:w w:val="90"/>
              </w:rPr>
              <w:t>Owned</w:t>
            </w:r>
          </w:p>
        </w:tc>
      </w:tr>
      <w:tr>
        <w:trPr>
          <w:trHeight w:val="204"/>
        </w:trPr>
        <w:tc>
          <w:tcPr>
            <w:tcW w:w="3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Storage and Terminal Solutions</w:t>
            </w:r>
          </w:p>
        </w:tc>
        <w:tc>
          <w:tcPr>
            <w:tcW w:w="1140" w:type="dxa"/>
            <w:vAlign w:val="bottom"/>
          </w:tcPr>
          <w:p>
            <w:pPr>
              <w:spacing w:after="0"/>
              <w:rPr>
                <w:sz w:val="17"/>
                <w:szCs w:val="17"/>
                <w:color w:val="auto"/>
              </w:rPr>
            </w:pPr>
          </w:p>
        </w:tc>
      </w:tr>
      <w:tr>
        <w:trPr>
          <w:trHeight w:val="214"/>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Broomall, Pennsylvania</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segments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161"/>
        </w:trPr>
        <w:tc>
          <w:tcPr>
            <w:tcW w:w="340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Catoosa, Oklahoma</w:t>
            </w:r>
          </w:p>
        </w:tc>
        <w:tc>
          <w:tcPr>
            <w:tcW w:w="334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Fabrication facility, regional offices and</w:t>
            </w:r>
          </w:p>
        </w:tc>
        <w:tc>
          <w:tcPr>
            <w:tcW w:w="26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All segments</w:t>
            </w:r>
          </w:p>
        </w:tc>
        <w:tc>
          <w:tcPr>
            <w:tcW w:w="1140" w:type="dxa"/>
            <w:vAlign w:val="bottom"/>
          </w:tcPr>
          <w:p>
            <w:pPr>
              <w:ind w:left="340"/>
              <w:spacing w:after="0" w:line="161" w:lineRule="exact"/>
              <w:rPr>
                <w:sz w:val="20"/>
                <w:szCs w:val="20"/>
                <w:color w:val="auto"/>
              </w:rPr>
            </w:pPr>
            <w:r>
              <w:rPr>
                <w:rFonts w:ascii="Arial" w:cs="Arial" w:eastAsia="Arial" w:hAnsi="Arial"/>
                <w:sz w:val="16"/>
                <w:szCs w:val="16"/>
                <w:color w:val="auto"/>
              </w:rPr>
              <w:t>Leased &amp;</w:t>
            </w:r>
          </w:p>
        </w:tc>
      </w:tr>
      <w:tr>
        <w:trPr>
          <w:trHeight w:val="207"/>
        </w:trPr>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40" w:type="dxa"/>
            <w:vAlign w:val="bottom"/>
            <w:gridSpan w:val="2"/>
          </w:tcPr>
          <w:p>
            <w:pPr>
              <w:ind w:left="20"/>
              <w:spacing w:after="0"/>
              <w:rPr>
                <w:sz w:val="20"/>
                <w:szCs w:val="20"/>
                <w:color w:val="auto"/>
              </w:rPr>
            </w:pPr>
            <w:r>
              <w:rPr>
                <w:rFonts w:ascii="Arial" w:cs="Arial" w:eastAsia="Arial" w:hAnsi="Arial"/>
                <w:sz w:val="16"/>
                <w:szCs w:val="16"/>
                <w:color w:val="auto"/>
              </w:rPr>
              <w:t>warehouses</w:t>
            </w: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center"/>
              <w:spacing w:after="0" w:line="207" w:lineRule="exact"/>
              <w:rPr>
                <w:sz w:val="20"/>
                <w:szCs w:val="20"/>
                <w:color w:val="auto"/>
              </w:rPr>
            </w:pPr>
            <w:r>
              <w:rPr>
                <w:rFonts w:ascii="Arial" w:cs="Arial" w:eastAsia="Arial" w:hAnsi="Arial"/>
                <w:sz w:val="16"/>
                <w:szCs w:val="16"/>
                <w:color w:val="auto"/>
                <w:w w:val="86"/>
              </w:rPr>
              <w:t xml:space="preserve">Owned </w:t>
            </w:r>
            <w:r>
              <w:rPr>
                <w:rFonts w:ascii="Arial" w:cs="Arial" w:eastAsia="Arial" w:hAnsi="Arial"/>
                <w:sz w:val="20"/>
                <w:szCs w:val="20"/>
                <w:color w:val="auto"/>
                <w:w w:val="86"/>
                <w:vertAlign w:val="superscript"/>
              </w:rPr>
              <w:t>(1)</w:t>
            </w:r>
          </w:p>
        </w:tc>
      </w:tr>
      <w:tr>
        <w:trPr>
          <w:trHeight w:val="210"/>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Columbus, Ohio</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segments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7"/>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Houston, Texas</w:t>
            </w:r>
          </w:p>
        </w:tc>
        <w:tc>
          <w:tcPr>
            <w:tcW w:w="3340" w:type="dxa"/>
            <w:vAlign w:val="bottom"/>
            <w:gridSpan w:val="2"/>
          </w:tcPr>
          <w:p>
            <w:pPr>
              <w:ind w:left="20"/>
              <w:spacing w:after="0"/>
              <w:rPr>
                <w:sz w:val="20"/>
                <w:szCs w:val="20"/>
                <w:color w:val="auto"/>
              </w:rPr>
            </w:pPr>
            <w:r>
              <w:rPr>
                <w:rFonts w:ascii="Arial" w:cs="Arial" w:eastAsia="Arial" w:hAnsi="Arial"/>
                <w:sz w:val="16"/>
                <w:szCs w:val="16"/>
                <w:color w:val="auto"/>
              </w:rPr>
              <w:t>Regional offices and warehouse</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All segments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Leased &amp; Owned</w:t>
            </w:r>
          </w:p>
        </w:tc>
      </w:tr>
      <w:tr>
        <w:trPr>
          <w:trHeight w:val="164"/>
        </w:trPr>
        <w:tc>
          <w:tcPr>
            <w:tcW w:w="340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Norco, California</w:t>
            </w:r>
          </w:p>
        </w:tc>
        <w:tc>
          <w:tcPr>
            <w:tcW w:w="334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Regional office and warehouse</w:t>
            </w:r>
          </w:p>
        </w:tc>
        <w:tc>
          <w:tcPr>
            <w:tcW w:w="262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Process and Industrial Facilities,</w:t>
            </w:r>
          </w:p>
        </w:tc>
        <w:tc>
          <w:tcPr>
            <w:tcW w:w="1140" w:type="dxa"/>
            <w:vAlign w:val="bottom"/>
            <w:shd w:val="clear" w:color="auto" w:fill="CCEEFF"/>
          </w:tcPr>
          <w:p>
            <w:pPr>
              <w:jc w:val="center"/>
              <w:spacing w:after="0" w:line="165" w:lineRule="exact"/>
              <w:rPr>
                <w:sz w:val="20"/>
                <w:szCs w:val="20"/>
                <w:color w:val="auto"/>
              </w:rPr>
            </w:pPr>
            <w:r>
              <w:rPr>
                <w:rFonts w:ascii="Arial" w:cs="Arial" w:eastAsia="Arial" w:hAnsi="Arial"/>
                <w:sz w:val="16"/>
                <w:szCs w:val="16"/>
                <w:color w:val="auto"/>
                <w:w w:val="87"/>
              </w:rPr>
              <w:t>Leased</w:t>
            </w:r>
          </w:p>
        </w:tc>
      </w:tr>
      <w:tr>
        <w:trPr>
          <w:trHeight w:val="207"/>
        </w:trPr>
        <w:tc>
          <w:tcPr>
            <w:tcW w:w="3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Storage and Terminal Solutions</w:t>
            </w:r>
          </w:p>
        </w:tc>
        <w:tc>
          <w:tcPr>
            <w:tcW w:w="1140" w:type="dxa"/>
            <w:vAlign w:val="bottom"/>
            <w:shd w:val="clear" w:color="auto" w:fill="CCEEFF"/>
          </w:tcPr>
          <w:p>
            <w:pPr>
              <w:spacing w:after="0"/>
              <w:rPr>
                <w:sz w:val="18"/>
                <w:szCs w:val="18"/>
                <w:color w:val="auto"/>
              </w:rPr>
            </w:pPr>
          </w:p>
        </w:tc>
      </w:tr>
      <w:tr>
        <w:trPr>
          <w:trHeight w:val="161"/>
        </w:trPr>
        <w:tc>
          <w:tcPr>
            <w:tcW w:w="340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Orange, California</w:t>
            </w:r>
          </w:p>
        </w:tc>
        <w:tc>
          <w:tcPr>
            <w:tcW w:w="334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Regional office and fabrication and</w:t>
            </w:r>
          </w:p>
        </w:tc>
        <w:tc>
          <w:tcPr>
            <w:tcW w:w="26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Process and Industrial Facilities,</w:t>
            </w:r>
          </w:p>
        </w:tc>
        <w:tc>
          <w:tcPr>
            <w:tcW w:w="1140" w:type="dxa"/>
            <w:vAlign w:val="bottom"/>
          </w:tcPr>
          <w:p>
            <w:pPr>
              <w:jc w:val="center"/>
              <w:spacing w:after="0" w:line="161" w:lineRule="exact"/>
              <w:rPr>
                <w:sz w:val="20"/>
                <w:szCs w:val="20"/>
                <w:color w:val="auto"/>
              </w:rPr>
            </w:pPr>
            <w:r>
              <w:rPr>
                <w:rFonts w:ascii="Arial" w:cs="Arial" w:eastAsia="Arial" w:hAnsi="Arial"/>
                <w:sz w:val="16"/>
                <w:szCs w:val="16"/>
                <w:color w:val="auto"/>
                <w:w w:val="87"/>
              </w:rPr>
              <w:t>Leased</w:t>
            </w:r>
          </w:p>
        </w:tc>
      </w:tr>
      <w:tr>
        <w:trPr>
          <w:trHeight w:val="204"/>
        </w:trPr>
        <w:tc>
          <w:tcPr>
            <w:tcW w:w="3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gridSpan w:val="2"/>
          </w:tcPr>
          <w:p>
            <w:pPr>
              <w:ind w:left="20"/>
              <w:spacing w:after="0"/>
              <w:rPr>
                <w:sz w:val="20"/>
                <w:szCs w:val="20"/>
                <w:color w:val="auto"/>
              </w:rPr>
            </w:pPr>
            <w:r>
              <w:rPr>
                <w:rFonts w:ascii="Arial" w:cs="Arial" w:eastAsia="Arial" w:hAnsi="Arial"/>
                <w:sz w:val="16"/>
                <w:szCs w:val="16"/>
                <w:color w:val="auto"/>
              </w:rPr>
              <w:t>warehouse facility</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Storage and Terminal Solutions</w:t>
            </w:r>
          </w:p>
        </w:tc>
        <w:tc>
          <w:tcPr>
            <w:tcW w:w="1140" w:type="dxa"/>
            <w:vAlign w:val="bottom"/>
          </w:tcPr>
          <w:p>
            <w:pPr>
              <w:spacing w:after="0"/>
              <w:rPr>
                <w:sz w:val="17"/>
                <w:szCs w:val="17"/>
                <w:color w:val="auto"/>
              </w:rPr>
            </w:pPr>
          </w:p>
        </w:tc>
      </w:tr>
      <w:tr>
        <w:trPr>
          <w:trHeight w:val="214"/>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Pittsburgh, Pennsylvania</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segments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161"/>
        </w:trPr>
        <w:tc>
          <w:tcPr>
            <w:tcW w:w="340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Somerset, New Jersey</w:t>
            </w:r>
          </w:p>
        </w:tc>
        <w:tc>
          <w:tcPr>
            <w:tcW w:w="334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Regional office and warehouse</w:t>
            </w:r>
          </w:p>
        </w:tc>
        <w:tc>
          <w:tcPr>
            <w:tcW w:w="26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Utility and Power Infrastructure,</w:t>
            </w:r>
          </w:p>
        </w:tc>
        <w:tc>
          <w:tcPr>
            <w:tcW w:w="1140" w:type="dxa"/>
            <w:vAlign w:val="bottom"/>
          </w:tcPr>
          <w:p>
            <w:pPr>
              <w:jc w:val="center"/>
              <w:spacing w:after="0" w:line="161" w:lineRule="exact"/>
              <w:rPr>
                <w:sz w:val="20"/>
                <w:szCs w:val="20"/>
                <w:color w:val="auto"/>
              </w:rPr>
            </w:pPr>
            <w:r>
              <w:rPr>
                <w:rFonts w:ascii="Arial" w:cs="Arial" w:eastAsia="Arial" w:hAnsi="Arial"/>
                <w:sz w:val="16"/>
                <w:szCs w:val="16"/>
                <w:color w:val="auto"/>
                <w:w w:val="87"/>
              </w:rPr>
              <w:t>Leased</w:t>
            </w:r>
          </w:p>
        </w:tc>
      </w:tr>
      <w:tr>
        <w:trPr>
          <w:trHeight w:val="204"/>
        </w:trPr>
        <w:tc>
          <w:tcPr>
            <w:tcW w:w="3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Process and Industrial Facilities</w:t>
            </w:r>
          </w:p>
        </w:tc>
        <w:tc>
          <w:tcPr>
            <w:tcW w:w="1140" w:type="dxa"/>
            <w:vAlign w:val="bottom"/>
          </w:tcPr>
          <w:p>
            <w:pPr>
              <w:spacing w:after="0"/>
              <w:rPr>
                <w:sz w:val="17"/>
                <w:szCs w:val="17"/>
                <w:color w:val="auto"/>
              </w:rPr>
            </w:pPr>
          </w:p>
        </w:tc>
      </w:tr>
      <w:tr>
        <w:trPr>
          <w:trHeight w:val="214"/>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Temperance, Michigan</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and warehouse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Storage and Terminal Solutions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r>
      <w:tr>
        <w:trPr>
          <w:trHeight w:val="161"/>
        </w:trPr>
        <w:tc>
          <w:tcPr>
            <w:tcW w:w="340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Tucson, Arizona</w:t>
            </w:r>
          </w:p>
        </w:tc>
        <w:tc>
          <w:tcPr>
            <w:tcW w:w="334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Regional office and warehouse</w:t>
            </w:r>
          </w:p>
        </w:tc>
        <w:tc>
          <w:tcPr>
            <w:tcW w:w="26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Process and Industrial Facilities,</w:t>
            </w:r>
          </w:p>
        </w:tc>
        <w:tc>
          <w:tcPr>
            <w:tcW w:w="1140" w:type="dxa"/>
            <w:vAlign w:val="bottom"/>
          </w:tcPr>
          <w:p>
            <w:pPr>
              <w:jc w:val="center"/>
              <w:spacing w:after="0" w:line="161" w:lineRule="exact"/>
              <w:rPr>
                <w:sz w:val="20"/>
                <w:szCs w:val="20"/>
                <w:color w:val="auto"/>
              </w:rPr>
            </w:pPr>
            <w:r>
              <w:rPr>
                <w:rFonts w:ascii="Arial" w:cs="Arial" w:eastAsia="Arial" w:hAnsi="Arial"/>
                <w:sz w:val="16"/>
                <w:szCs w:val="16"/>
                <w:color w:val="auto"/>
                <w:w w:val="87"/>
              </w:rPr>
              <w:t>Leased</w:t>
            </w:r>
          </w:p>
        </w:tc>
      </w:tr>
      <w:tr>
        <w:trPr>
          <w:trHeight w:val="204"/>
        </w:trPr>
        <w:tc>
          <w:tcPr>
            <w:tcW w:w="3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Storage and Terminal Solutions</w:t>
            </w:r>
          </w:p>
        </w:tc>
        <w:tc>
          <w:tcPr>
            <w:tcW w:w="1140" w:type="dxa"/>
            <w:vAlign w:val="bottom"/>
          </w:tcPr>
          <w:p>
            <w:pPr>
              <w:spacing w:after="0"/>
              <w:rPr>
                <w:sz w:val="17"/>
                <w:szCs w:val="17"/>
                <w:color w:val="auto"/>
              </w:rPr>
            </w:pPr>
          </w:p>
        </w:tc>
      </w:tr>
      <w:tr>
        <w:trPr>
          <w:trHeight w:val="214"/>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International:</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7"/>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Leduc, Alberta, Canada</w:t>
            </w:r>
          </w:p>
        </w:tc>
        <w:tc>
          <w:tcPr>
            <w:tcW w:w="334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Storage and Terminal Solutions</w:t>
            </w:r>
          </w:p>
        </w:tc>
        <w:tc>
          <w:tcPr>
            <w:tcW w:w="114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14"/>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Sarnia, Ontario, Canada</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and warehouse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Storage and Terminal Solutions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r>
      <w:tr>
        <w:trPr>
          <w:trHeight w:val="161"/>
        </w:trPr>
        <w:tc>
          <w:tcPr>
            <w:tcW w:w="340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Paju-si, Gyeonggi-do, South Korea</w:t>
            </w:r>
          </w:p>
        </w:tc>
        <w:tc>
          <w:tcPr>
            <w:tcW w:w="334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Fabrication facility, regional office and</w:t>
            </w:r>
          </w:p>
        </w:tc>
        <w:tc>
          <w:tcPr>
            <w:tcW w:w="26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Storage and Terminal Solutions</w:t>
            </w:r>
          </w:p>
        </w:tc>
        <w:tc>
          <w:tcPr>
            <w:tcW w:w="1140" w:type="dxa"/>
            <w:vAlign w:val="bottom"/>
          </w:tcPr>
          <w:p>
            <w:pPr>
              <w:jc w:val="center"/>
              <w:spacing w:after="0" w:line="161" w:lineRule="exact"/>
              <w:rPr>
                <w:sz w:val="20"/>
                <w:szCs w:val="20"/>
                <w:color w:val="auto"/>
              </w:rPr>
            </w:pPr>
            <w:r>
              <w:rPr>
                <w:rFonts w:ascii="Arial" w:cs="Arial" w:eastAsia="Arial" w:hAnsi="Arial"/>
                <w:sz w:val="16"/>
                <w:szCs w:val="16"/>
                <w:color w:val="auto"/>
                <w:w w:val="90"/>
              </w:rPr>
              <w:t>Owned</w:t>
            </w:r>
          </w:p>
        </w:tc>
      </w:tr>
      <w:tr>
        <w:trPr>
          <w:trHeight w:val="204"/>
        </w:trPr>
        <w:tc>
          <w:tcPr>
            <w:tcW w:w="3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4"/>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Sydney, New South Wales, Australia</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Storage and Terminal Solutions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801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303" w:lineRule="exact"/>
        <w:rPr>
          <w:sz w:val="20"/>
          <w:szCs w:val="20"/>
          <w:color w:val="auto"/>
        </w:rPr>
      </w:pPr>
    </w:p>
    <w:p>
      <w:pPr>
        <w:ind w:left="540" w:hanging="298"/>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constructed certain facilities on land acquired through ground leases with renewal options.</w:t>
      </w:r>
    </w:p>
    <w:p>
      <w:pPr>
        <w:spacing w:after="0" w:line="2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to the locations listed above, we have smaller regional locations and temporary office facilities at numerous customer locations throughout the United States and Canada.</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a party to a number of legal proceedings. See Part II., Item 8. Financial Statements and Supplementary Data, Note 7 - Commitments and Contingencies, for a description of our material ongoing litigation.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Section 1503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owner of any mines, but as a result of our performing services or construction at mine sites as an independent contractor, we may be considered an "operator" within the meaning of the Mine Act.</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annual report under Section 1503(a) of the Dodd-Frank Act and Item 104 of Regulation S-K is included in Exhibit 95 to this Annual Report on Form 10-K.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6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Our common stock trades on the NASDAQ Global Select Market under the trading symbol "MTRX". Substantially all of our stockholders maintain their shares in "street name" accounts and are not individually stockholders of record. As of August 31, 2023, there were 19 holders of record of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have never paid cash dividends on our common stock and the terms of our Credit Agreement prohibit us from paying cash dividends (see Item 8. Financial Statements and Supplementary Data, Note 5 - Debt for more information about our Credit Agreement). Any future dividend payments will depend on the terms of our Credit Agreement, our financial condition, capital requirements and earnings as well as other relevant factors.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during fiscal 2023 and have no current plans to repurchase stock. As of June 30, 2023, there were 1,349,037 shares available for repurchase under the Stock Buyback Program. The terms of our ABL Facility limit share repurchases to $2.5 million per fiscal year provided that we meet certain availability thresholds and do not violate our Fixed Charge Coverage Ratio financial covenant.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graph compares, for the period from June 30, 2018 to June 30, 2023, the cumulative stockholder return on our common stock with the cumulative total return of the NASDAQ Composite Index and the Dow Jones U.S. Heavy Construction Index.</w:t>
      </w:r>
    </w:p>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graph below assumes an investment of $100 (with reinvestment of all dividends) in our common stock, the NASDAQ Composite Index, and the Dow Jones U.S. Heavy Construction Index on June 30, 2018 and tracks their relative performance through June 30, 2023. The stock price performance reflected in the following graph is not necessarily indicative of future stock performance.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452120</wp:posOffset>
            </wp:positionV>
            <wp:extent cx="5708650" cy="4740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8650" cy="474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
        </w:trPr>
        <w:tc>
          <w:tcPr>
            <w:tcW w:w="3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3"/>
        </w:trPr>
        <w:tc>
          <w:tcPr>
            <w:tcW w:w="36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r>
      <w:tr>
        <w:trPr>
          <w:trHeight w:val="22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Matrix Service Company</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NASDAQ Composite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107.78</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136.82</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198.71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152.16</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191.93</w:t>
            </w:r>
          </w:p>
        </w:tc>
      </w:tr>
      <w:tr>
        <w:trPr>
          <w:trHeight w:val="224"/>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 Jones US Heavy Construction</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262.47</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Management’s discussion and analysis of our financial condition and results of operations is based on our consolidated financial statements, which have been prepared in accordance with accounting principles generally accepted in the United States (“GAAP”). GAAP represents a comprehensive set of accounting and disclosure rules and requirements, the application of which requires management judgments and estimates including, in certain circumstances, choices between acceptable GAAP alternatives. The preparation of these consolidated financial statements requires management to make estimates and assumptions that affect the reported amounts of assets and liabilities and disclosure of contingent assets and liabilities, if any, at the date of the financial statements, and the reported amounts of revenue and expenses during the reporting period. We base our estimates on historical experience and various other assumptions that are believed to be reasonable under the circumstances. Actual results could differ from these estimates under different assumptions or conditions. Note 1 - Summary of Significant Accounting Policies of the Notes to Consolidated Financial Statements included in Part II, Item 8 - Financial Statements and Supplementary Data in this Annual Report on Form 10-K, contains a comprehensive summary of our significant accounting policies. The following is a discussion of our most critical accounting policies, estimates, judgments and uncertainties that are inherent in our application of GAAP.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three reportable segments:</w:t>
      </w:r>
    </w:p>
    <w:p>
      <w:pPr>
        <w:spacing w:after="0" w:line="168" w:lineRule="exact"/>
        <w:rPr>
          <w:sz w:val="20"/>
          <w:szCs w:val="20"/>
          <w:color w:val="auto"/>
        </w:rPr>
      </w:pPr>
    </w:p>
    <w:p>
      <w:pPr>
        <w:jc w:val="both"/>
        <w:ind w:left="640" w:hanging="319"/>
        <w:spacing w:after="0" w:line="266" w:lineRule="auto"/>
        <w:tabs>
          <w:tab w:leader="none" w:pos="629" w:val="left"/>
        </w:tabs>
        <w:numPr>
          <w:ilvl w:val="0"/>
          <w:numId w:val="14"/>
        </w:numPr>
        <w:rPr>
          <w:rFonts w:ascii="Arial" w:cs="Arial" w:eastAsia="Arial" w:hAnsi="Arial"/>
          <w:sz w:val="18"/>
          <w:szCs w:val="18"/>
          <w:color w:val="auto"/>
        </w:rPr>
      </w:pPr>
      <w:r>
        <w:rPr>
          <w:rFonts w:ascii="Arial" w:cs="Arial" w:eastAsia="Arial" w:hAnsi="Arial"/>
          <w:sz w:val="17"/>
          <w:szCs w:val="17"/>
          <w:b w:val="1"/>
          <w:bCs w:val="1"/>
          <w:u w:val="single" w:color="auto"/>
          <w:color w:val="auto"/>
        </w:rPr>
        <w:t>Storage and Terminal Solutions</w:t>
      </w:r>
      <w:r>
        <w:rPr>
          <w:rFonts w:ascii="Arial" w:cs="Arial" w:eastAsia="Arial" w:hAnsi="Arial"/>
          <w:sz w:val="17"/>
          <w:szCs w:val="17"/>
          <w:color w:val="auto"/>
        </w:rPr>
        <w:t>: primarily consists of engineering, procurement, fabrication, and construction services related to cryogenic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specialty tanks and terminals for LNG, NGLs, hydrogen, ammonia, propane, butane, liquid nitrogen/liquid oxygen, and liquid petroleum. Also includes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spacing w:after="0" w:line="119" w:lineRule="exact"/>
        <w:rPr>
          <w:rFonts w:ascii="Arial" w:cs="Arial" w:eastAsia="Arial" w:hAnsi="Arial"/>
          <w:sz w:val="18"/>
          <w:szCs w:val="18"/>
          <w:color w:val="auto"/>
        </w:rPr>
      </w:pPr>
    </w:p>
    <w:p>
      <w:pPr>
        <w:jc w:val="both"/>
        <w:ind w:left="640" w:hanging="319"/>
        <w:spacing w:after="0" w:line="288" w:lineRule="auto"/>
        <w:tabs>
          <w:tab w:leader="none" w:pos="63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Utility and Power Infrastructure</w:t>
      </w:r>
      <w:r>
        <w:rPr>
          <w:rFonts w:ascii="Arial" w:cs="Arial" w:eastAsia="Arial" w:hAnsi="Arial"/>
          <w:sz w:val="16"/>
          <w:szCs w:val="16"/>
          <w:color w:val="auto"/>
        </w:rPr>
        <w:t>: primarily consists of engineering, procurement, fabrication, and construction services to support growing demand</w:t>
      </w:r>
      <w:r>
        <w:rPr>
          <w:rFonts w:ascii="Arial" w:cs="Arial" w:eastAsia="Arial" w:hAnsi="Arial"/>
          <w:sz w:val="16"/>
          <w:szCs w:val="16"/>
          <w:b w:val="1"/>
          <w:bCs w:val="1"/>
          <w:color w:val="auto"/>
        </w:rPr>
        <w:t xml:space="preserve"> </w:t>
      </w:r>
      <w:r>
        <w:rPr>
          <w:rFonts w:ascii="Arial" w:cs="Arial" w:eastAsia="Arial" w:hAnsi="Arial"/>
          <w:sz w:val="16"/>
          <w:szCs w:val="16"/>
          <w:color w:val="auto"/>
        </w:rPr>
        <w:t>for LNG utility peak shaving facilities. We also perform traditional electrical work for public and private utilities, including construction of new substations, upgrades of existing substations, transmission and distribution line installations, and upgrades and maintenance including live wire work. Work may also include emergency and storm restoration services. We also provide construction services to a variety of power generation facilities, including natural gas fired facilities in simple or combined cycle configurations.</w:t>
      </w:r>
    </w:p>
    <w:p>
      <w:pPr>
        <w:spacing w:after="0" w:line="105" w:lineRule="exact"/>
        <w:rPr>
          <w:rFonts w:ascii="Arial" w:cs="Arial" w:eastAsia="Arial" w:hAnsi="Arial"/>
          <w:sz w:val="16"/>
          <w:szCs w:val="16"/>
          <w:b w:val="1"/>
          <w:bCs w:val="1"/>
          <w:color w:val="auto"/>
        </w:rPr>
      </w:pPr>
    </w:p>
    <w:p>
      <w:pPr>
        <w:jc w:val="both"/>
        <w:ind w:left="640" w:hanging="319"/>
        <w:spacing w:after="0" w:line="288"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Process and Industrial Facilities</w:t>
      </w:r>
      <w:r>
        <w:rPr>
          <w:rFonts w:ascii="Arial" w:cs="Arial" w:eastAsia="Arial" w:hAnsi="Arial"/>
          <w:sz w:val="16"/>
          <w:szCs w:val="16"/>
          <w:color w:val="auto"/>
        </w:rPr>
        <w:t>: primarily consists of plant maintenance, repair, and turnarounds in the downstream and midstream markets for</w:t>
      </w:r>
      <w:r>
        <w:rPr>
          <w:rFonts w:ascii="Arial" w:cs="Arial" w:eastAsia="Arial" w:hAnsi="Arial"/>
          <w:sz w:val="16"/>
          <w:szCs w:val="16"/>
          <w:b w:val="1"/>
          <w:bCs w:val="1"/>
          <w:color w:val="auto"/>
        </w:rPr>
        <w:t xml:space="preserve"> </w:t>
      </w:r>
      <w:r>
        <w:rPr>
          <w:rFonts w:ascii="Arial" w:cs="Arial" w:eastAsia="Arial" w:hAnsi="Arial"/>
          <w:sz w:val="16"/>
          <w:szCs w:val="16"/>
          <w:color w:val="auto"/>
        </w:rPr>
        <w:t>energy clients including refining and processing of crude oil, fractionating, and marketing of natural gas and natural gas liquids. Also includes engineering, procurement, fabrication, and construction for refinery upgrades and retrofits for renewable fuels. We also construct thermal vacuum test chambers for aerospace and defense industries and other infrastructure for industries including petrochemical, sulfur, mining and minerals primarily in the extraction of non-ferrous metals, cement, agriculture, wastewater treatment facilities and other industrial customers.</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majority of the work for all segments is performed in the United States, with 9.4% of revenue generated internationally during fiscal 2023, 9.5% in fiscal 2022 and 10.2% in fiscal 2021. The percentage of revenue generated internationally decreased in fiscal 2023 and fiscal 2022 compared to fiscal 2021 primarily due to higher domestic revenue growth.</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Significant period to period changes in revenue, gross profits and operating results between fiscal 2023 and fiscal 2022 are discussed below on a consolidated basis for each segment. A discussion of results of operations changes between fiscal 2022 and fiscal 2021 is included in Item 7. Management's Discussion and Analysis of Financial Condition and Results of Operations of our Annual Report on Form 10-K for the year ended June 30, 2022, which was filed with the SEC on October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Storage and</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Utility and Power</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Process and</w:t>
            </w:r>
          </w:p>
        </w:tc>
        <w:tc>
          <w:tcPr>
            <w:tcW w:w="220" w:type="dxa"/>
            <w:vAlign w:val="bottom"/>
          </w:tcPr>
          <w:p>
            <w:pPr>
              <w:spacing w:after="0"/>
              <w:rPr>
                <w:sz w:val="14"/>
                <w:szCs w:val="14"/>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Corporate</w:t>
            </w: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Terminal Solutions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Infrastructure</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Industrial Facilities</w:t>
            </w: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 2023</w:t>
            </w: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Consolidated revenue</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255,693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169,504</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369,823</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795,020</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10,470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10,699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10,756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30,820</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Gross profit (loss) %</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20,054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7,045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14,909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68,249</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Goodwill impairment and restructuring costs</w:t>
            </w:r>
          </w:p>
        </w:tc>
        <w:tc>
          <w:tcPr>
            <w:tcW w:w="2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13,288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15,458</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(10,553)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3,617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(28,510)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(52,887)</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Operating profit (loss) %</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 2022</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Consolidated revenue</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232,839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220,093</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254,848</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707,780</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(8,586)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Gross profit (loss) %</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17,284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11,771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67,690</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7,330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6,867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18,958</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(24,352)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(23,103)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(30,296)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(87,854)</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Operating loss %</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b w:val="1"/>
                <w:bCs w:val="1"/>
                <w:color w:val="auto"/>
              </w:rPr>
              <w:t>Variances Fiscal Year 2023 to Fiscal Year 2022</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Increase/(Decrease)</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Consolidated revenue</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22,854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(50,589)</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114,975</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87,240</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10,208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19,285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32,026</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(4,726)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and restructuring costs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(6,361)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2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13,799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26,720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(7,338)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34,967</w:t>
            </w:r>
          </w:p>
        </w:tc>
        <w:tc>
          <w:tcPr>
            <w:tcW w:w="0" w:type="dxa"/>
            <w:vAlign w:val="bottom"/>
          </w:tcPr>
          <w:p>
            <w:pPr>
              <w:spacing w:after="0"/>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Update</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fiscal 2023, strong bidding activity resulted in project awards of $1.3 billion and we ended the fiscal year with $1.1 billion of backlog, the highest level since the end of fiscal 2019. Based on this building momentum, the process of returning revenue volume to pre-pandemic levels is well underway. Accordingly, we are expecting revenue growth to be stronger in fiscal 2024 than it was in fiscal 2023. However, some of the new awards are for significant capital projects that will not commence until the latter half of fiscal 2024 and will be recognized as revenue over a multi-year period.</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Many of the projects booked during fiscal 2023 are large capital projects with gross margins at our pre-pandemic historical gross margin range. In addition, growing revenue volume combined with cost reductions implemented in recent years should allow us to better leverage our cost structure, which will further enhance gross margins in fiscal 2024 and beyond.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6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define backlog as the total dollar amount of revenue that we expect to recognize as a result of performing work that has been awarded to us through a signed contract, limited notice to proceed ("LNTP") or other type of assurance that we consider firm. The following arrangements are considered firm:</w:t>
      </w:r>
    </w:p>
    <w:p>
      <w:pPr>
        <w:spacing w:after="0" w:line="82" w:lineRule="exact"/>
        <w:rPr>
          <w:sz w:val="20"/>
          <w:szCs w:val="20"/>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161" w:lineRule="exact"/>
        <w:rPr>
          <w:rFonts w:ascii="Arial" w:cs="Arial" w:eastAsia="Arial" w:hAnsi="Arial"/>
          <w:sz w:val="18"/>
          <w:szCs w:val="18"/>
          <w:color w:val="auto"/>
        </w:rPr>
      </w:pPr>
    </w:p>
    <w:p>
      <w:pPr>
        <w:ind w:left="640" w:right="200" w:hanging="319"/>
        <w:spacing w:after="0" w:line="261" w:lineRule="auto"/>
        <w:tabs>
          <w:tab w:leader="none" w:pos="6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LNTP, we include the entire scope of work in our backlog if we conclude that the likelihood of the full project proceeding as high. For all other arrangements, we calculate backlog as the estimated contract amount less revenue recognized as of the reporting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in fiscal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Storage and</w:t>
            </w:r>
          </w:p>
        </w:tc>
        <w:tc>
          <w:tcPr>
            <w:tcW w:w="13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Utility and Power</w:t>
            </w:r>
          </w:p>
        </w:tc>
        <w:tc>
          <w:tcPr>
            <w:tcW w:w="200" w:type="dxa"/>
            <w:vAlign w:val="bottom"/>
          </w:tcPr>
          <w:p>
            <w:pPr>
              <w:spacing w:after="0"/>
              <w:rPr>
                <w:sz w:val="14"/>
                <w:szCs w:val="14"/>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Process and</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5"/>
              </w:rPr>
              <w:t>Terminal</w:t>
            </w:r>
          </w:p>
        </w:tc>
        <w:tc>
          <w:tcPr>
            <w:tcW w:w="13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Infrastructure</w:t>
            </w: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Industrial Facilities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 as of June 30,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102,059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292,287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589,460</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Project awards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354,510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526,963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444,148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1,325,621</w:t>
            </w: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Other adjustment</w:t>
            </w:r>
            <w:r>
              <w:rPr>
                <w:rFonts w:ascii="Arial" w:cs="Arial" w:eastAsia="Arial" w:hAnsi="Arial"/>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(29,963)</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(795,020)</w:t>
            </w:r>
          </w:p>
        </w:tc>
        <w:tc>
          <w:tcPr>
            <w:tcW w:w="0" w:type="dxa"/>
            <w:vAlign w:val="bottom"/>
          </w:tcPr>
          <w:p>
            <w:pPr>
              <w:spacing w:after="0"/>
              <w:rPr>
                <w:sz w:val="1"/>
                <w:szCs w:val="1"/>
                <w:color w:val="auto"/>
              </w:rPr>
            </w:pPr>
          </w:p>
        </w:tc>
      </w:tr>
      <w:tr>
        <w:trPr>
          <w:trHeight w:val="242"/>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June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1,090,098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Book-to-bill ratio</w:t>
            </w:r>
            <w:r>
              <w:rPr>
                <w:rFonts w:ascii="Arial" w:cs="Arial" w:eastAsia="Arial" w:hAnsi="Arial"/>
                <w:sz w:val="22"/>
                <w:szCs w:val="22"/>
                <w:color w:val="auto"/>
                <w:vertAlign w:val="superscript"/>
              </w:rPr>
              <w:t>(2)</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257175</wp:posOffset>
            </wp:positionV>
            <wp:extent cx="8013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540" w:hanging="298"/>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Backlog was reduced by $30.0 million to account for a reduction of work available to us in an existing facility upgrade and service program.</w:t>
      </w:r>
    </w:p>
    <w:p>
      <w:pPr>
        <w:spacing w:after="0" w:line="8" w:lineRule="exact"/>
        <w:rPr>
          <w:rFonts w:ascii="Arial" w:cs="Arial" w:eastAsia="Arial" w:hAnsi="Arial"/>
          <w:sz w:val="14"/>
          <w:szCs w:val="14"/>
          <w:color w:val="auto"/>
        </w:rPr>
      </w:pPr>
    </w:p>
    <w:p>
      <w:pPr>
        <w:ind w:left="540" w:hanging="298"/>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w:t>
      </w:r>
    </w:p>
    <w:p>
      <w:pPr>
        <w:spacing w:after="0" w:line="1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Storage and Terminal Solutions segment, backlog increased by 38.7% as we booked $354.5 million of project awards during fiscal 2023. This segment includes significant opportunities for storage infrastructure projects related to natural gas, LNG, ammonia, hydrogen, NGLs and other forms of renewable energy. We believe LNG and hydrogen projects in particular will be key growth drivers for this segment. We were awarded a large-scale specialty vessel project in the second quarter following a similar award in the first quarter. Bidding activity on LNG projects has been strong and we expect that to continue.</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the Utility and Power Infrastructure segment, backlog increased by 350.2% as we booked $527.0 million of project awards in fiscal 2023. Project awards are primarily comprised of a project for the engineering, procurement, and construction of LNG peak shaving facilities and power delivery work. We received a significant LNG peak shaving project award during the fourth quarter of fiscal 2023. Our opportunity pipeline for LNG peak shaving projects continues to be promising, however those awards, while significant, can be less frequent. Project opportunities and bidding activity are strong for both the power delivery portion of the business and LNG peak shaving.</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Process and Industrial Facilities segment, backlog increased by 23.1% as we booked $444.1 million of project awards in fiscal 2023. Included in project awards are a significant capital project awarded in the third quarter to upgrade a natural gas compressor station and contract growth on a capital project at a biodiesel facility. Client spending related to refinery maintenance and turnaround operations has continued to be strong, which also contributed significantly to project awards during the year. We continue to see demand for thermal vacuum chambers in the coming quarters, as well as increasing opportunities in mining and minerals, chemicals, and renewables. In addition, we are continuing to pursue opportunities for midstream gas work, including some larger scale projects.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Awards for significant capital projects may be recognized as revenue over a multi-year period as the projects may take a few years to complete. We expect to recognize approximately 54% of our total backlog reported as of June 30, 2023 as revenue within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2023 Versus Fiscal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Consolidated revenue was $795.0 million for fiscal 2023 compared to $707.8 million in fiscal 2022. On a segment basis, revenue increased in the Process and Industrial Facilities and Storage and Terminal Solutions segments by $115.0 million and $22.8 million, respectively. These increases were partially offset by a decrease in revenue of $50.6 million in the Utility and Power Infrastructure segment.</w:t>
      </w:r>
    </w:p>
    <w:p>
      <w:pPr>
        <w:spacing w:after="0" w:line="13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Consolidated gross profit was $30.8 million in fiscal 2023 compared to a gross loss of $1.2 million in fiscal 2022. Gross margin was 3.9% in fiscal 2023 compared to a negative gross margin of (0.2%) in fiscal 2022. Gross margins in fiscal 2023 were negatively impacted by the under recovery of construction overhead costs, unfavorable changes in the estimated recovery of change orders and increased forecasted costs to complete certain midstream gas processing projects, continued work on previously-booked projects with reduced gross margins awarded in a highly competitive time period. Gross margins in fiscal 2022 were negatively impacted by low revenue volume, which led to the under recovery of construction overhead costs. In addition, the competitive bidding environment and increased forecasts in costs to complete projects negatively impacted gross margins.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Consolidated Selling, General and Administrative ("SG&amp;A") expenses were $68.2 million in fiscal 2023 compared to $67.7 million in fiscal 2022.</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second quarter of fiscal 2023, we recorded $12.3 million of goodwill impairment. In the third quarter of fiscal 2022, we recorded $18.3 million of goodwill impairment. See Part II. Item 8, Financial Statements, Note 4 - Goodwill and Other Intangible Assets - Goodwill, for more information about the impairment.</w:t>
      </w:r>
    </w:p>
    <w:p>
      <w:pPr>
        <w:spacing w:after="0" w:line="13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As a result of actions taken to reduce our cost structure, we recorded $3.1 million of restructuring costs in fiscal 2023 and $0.6 million of restructuring costs in fiscal 2022. See Part II. Item 8, Financial Statements and Supplementary Data, Note 14 - Restructuring Costs, for more information.</w:t>
      </w:r>
    </w:p>
    <w:p>
      <w:pPr>
        <w:spacing w:after="0" w:line="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Interest expense was $2.0 million in fiscal 2023 and $3.0 million in fiscal 2022. Interest expense consists primarily of interest on debt outstanding, unused capacity fees, amortization of deferred debt issuance costs, letter of credit fees and other interest. Interest expense in fiscal 2022 included $1.5 million of accelerated amortization of deferred debt amendment fees in the first quarter.</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Other income included a $2.9 million gain on the sale of our industrial cleaning business in the fourth quarter of fiscal 2023. See Part II. Item 8, Financial Statements, Note 3 - Property, Plant and Equipment - Industrial Cleaning Disposal, for more information. In fiscal 2022, other income included a $32.4 million gain on the sale-leaseback of our regional office and fabrication and warehouse facility located in Orange, California. See Part II. Item 8, Financial Statements, Note 3 - Property, Plant and Equipment - Sale-leaseback Transaction, for more information.</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effective tax rate for fiscal 2023 was 0.8% compared to (9.6)% in fiscal 2022. The effective tax rates for both periods were impacted by valuation allowances of $12.6 million and $17.9 million, respectively, placed on deferred tax assets. We placed a valuation allowance on all of our deferred tax assets in the second quarter of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 or cumulative losses are no longer present and our future projections for growth or tax planning strategies are demonstrated.</w:t>
      </w:r>
    </w:p>
    <w:p>
      <w:pPr>
        <w:spacing w:after="0" w:line="141" w:lineRule="exact"/>
        <w:rPr>
          <w:sz w:val="20"/>
          <w:szCs w:val="20"/>
          <w:color w:val="auto"/>
        </w:rPr>
      </w:pPr>
    </w:p>
    <w:p>
      <w:pPr>
        <w:ind w:right="1480"/>
        <w:spacing w:after="0" w:line="426" w:lineRule="auto"/>
        <w:rPr>
          <w:sz w:val="20"/>
          <w:szCs w:val="20"/>
          <w:color w:val="auto"/>
        </w:rPr>
      </w:pPr>
      <w:r>
        <w:rPr>
          <w:rFonts w:ascii="Arial" w:cs="Arial" w:eastAsia="Arial" w:hAnsi="Arial"/>
          <w:sz w:val="18"/>
          <w:szCs w:val="18"/>
          <w:color w:val="auto"/>
        </w:rPr>
        <w:t xml:space="preserve">In fiscal 2023 and 2022, net loss was $52.4 million and $63.9 million, respectively; or $1.94 and $2.39 per fully diluted share, respectively. </w:t>
      </w:r>
      <w:r>
        <w:rPr>
          <w:rFonts w:ascii="Arial" w:cs="Arial" w:eastAsia="Arial" w:hAnsi="Arial"/>
          <w:sz w:val="18"/>
          <w:szCs w:val="18"/>
          <w:b w:val="1"/>
          <w:bCs w:val="1"/>
          <w:i w:val="1"/>
          <w:iCs w:val="1"/>
          <w:color w:val="auto"/>
        </w:rPr>
        <w:t>Storage and Terminal Solutions</w:t>
      </w:r>
    </w:p>
    <w:p>
      <w:pPr>
        <w:spacing w:after="0" w:line="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Revenue for the Storage and Terminal Solutions segment was $255.7 million in fiscal 2023 compared to $232.8 million in fiscal 2022, an increase of $22.9 million. The increase in segment revenue is primarily a result of higher volumes of specialty vessel capital projects and tank repair and maintenance work.</w:t>
      </w:r>
    </w:p>
    <w:p>
      <w:pPr>
        <w:spacing w:after="0" w:line="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segment gross margin was 4.1% in fiscal 2023 compared to 0.1% in fiscal 2022. The fiscal 2023 segment gross margin improved on good project execution, but was negatively impacted by the under recovery of construction overhead costs due to low revenue volumes. The fiscal 2022 segment gross margin was negatively impacted by low revenue volume, which led to under recovery of construction overhead costs and a lower than previously forecasted margin on a thermal energy storage tank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repair and maintenance project, which had reduced segment gross profit by $6.3 million. In addition, segment gross margin was negatively impacted by smaller competitively priced capital projects in fiscal 2022.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and Power Infrastructure</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Revenue for the Utility and Power Infrastructure segment was $169.5 million in fiscal 2023 compared to $220.1 million in fiscal 2022. The decrease is primarily due to lower volumes of natural gas utility peak shaving work, partially offset by higher volumes of power delivery work. The reduction of peak shaving work is due to the timing of commencement of new projects and the completion of previous awarded projects. We expect peak shaving work to have a significant impact to segment revenue in the second half of fiscal 2024.</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segment gross margin was 6.3% in fiscal 2023 compared to a negative gross margin of (3.9%) in fiscal 2022. The segment gross margin for fiscal year 2023 was negatively impacted by continued work on projects with previously reduced gross margins and projects that were bid competitively. These negative impacts were partially offset by strong execution of cost reimbursable power delivery work. The fiscal 2022 negative segment gross margin was materially impacted by changes in the forecasted costs to complete two large capital projects and an unfavorable settlement of a claim with a customer. The segment gross margin in fiscal 2022 was also negatively impacted by the under recovery of construction overhead costs.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and Industrial Facilities</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for the Process and Industrial Facilities segment was $369.8 million in fiscal 2023 compared to $254.8 million in fiscal 2022. The increase of $115.0 million was primarily due to work on a capital project at a biodiesel facility, higher volumes of refinery maintenance and turnaround activity, midstream gas processing capital work, and work on a capital project at a mining facility.</w:t>
      </w:r>
    </w:p>
    <w:p>
      <w:pPr>
        <w:spacing w:after="0" w:line="13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segment gross margin was 2.9% in fiscal 2023 compared to 3.6% in fiscal 2022. Outside of work on midstream gas processing work, project execution was strong for the remainder of the segment. The segment gross margin in fiscal 2023 was negatively impacted by unfavorable changes in the estimated recovery of change orders and increased forecasted costs to complete certain midstream gas processing capital work, which resulted in a $12.6 million reduction in gross profit for the fiscal year. These charges were primarily the result of the client not approving adequate compensation to us for the impact that excessive scope changes had on our ability to progress the work according to forecast and for the impact of global supply chain issues and inflation. We have accrued the full expected loss for the work, which are now mechanically complete. Finally, segment gross margin was also negatively impacted by the under recovery construction overhead costs.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Despite generally strong project execution and higher volumes, the segment gross margin in fiscal 2022 was negatively impacted by an increase in forecasted costs to complete a midstream gas processing project. The project had reduced gross profit by $8.7 million during fiscal 2022. The increase in forecasted costs was primarily due to performance of a now terminated subcontractor, which required rework, as well as supply chain and escalation issues, in order to meet our client's expectations. Segment gross margin was also negatively impacted by under recovered construction overhead costs in fiscal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Unallocated corporate expenses were $28.5 million during fiscal 2023 compared to $30.3 million in the same period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 order to more clearly depict our core profitability, the following tables present our operating results after certain adjustments: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to Adjusted Net Loss</w:t>
      </w:r>
      <w:r>
        <w:rPr>
          <w:rFonts w:ascii="Arial" w:cs="Arial" w:eastAsia="Arial" w:hAnsi="Arial"/>
          <w:sz w:val="22"/>
          <w:szCs w:val="22"/>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Fiscal Years Ended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7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7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2022</w:t>
            </w:r>
          </w:p>
        </w:tc>
        <w:tc>
          <w:tcPr>
            <w:tcW w:w="180" w:type="dxa"/>
            <w:vAlign w:val="bottom"/>
          </w:tcPr>
          <w:p>
            <w:pPr>
              <w:spacing w:after="0"/>
              <w:rPr>
                <w:sz w:val="15"/>
                <w:szCs w:val="15"/>
                <w:color w:val="auto"/>
              </w:rPr>
            </w:pP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June 30, 2021</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as reported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(31,224)</w:t>
            </w:r>
          </w:p>
        </w:tc>
      </w:tr>
      <w:tr>
        <w:trPr>
          <w:trHeight w:val="223"/>
        </w:trPr>
        <w:tc>
          <w:tcPr>
            <w:tcW w:w="7120" w:type="dxa"/>
            <w:vAlign w:val="bottom"/>
          </w:tcPr>
          <w:p>
            <w:pPr>
              <w:ind w:left="340"/>
              <w:spacing w:after="0"/>
              <w:rPr>
                <w:sz w:val="20"/>
                <w:szCs w:val="20"/>
                <w:color w:val="auto"/>
              </w:rPr>
            </w:pPr>
            <w:r>
              <w:rPr>
                <w:rFonts w:ascii="Arial" w:cs="Arial" w:eastAsia="Arial" w:hAnsi="Arial"/>
                <w:sz w:val="18"/>
                <w:szCs w:val="18"/>
                <w:color w:val="auto"/>
              </w:rPr>
              <w:t>Restructuring costs incurred</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6,756</w:t>
            </w:r>
          </w:p>
        </w:tc>
      </w:tr>
      <w:tr>
        <w:trPr>
          <w:trHeight w:val="224"/>
        </w:trPr>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and intangible asset impairments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Pr>
          <w:p>
            <w:pPr>
              <w:ind w:left="340"/>
              <w:spacing w:after="0" w:line="223" w:lineRule="exact"/>
              <w:rPr>
                <w:sz w:val="20"/>
                <w:szCs w:val="20"/>
                <w:color w:val="auto"/>
              </w:rPr>
            </w:pPr>
            <w:r>
              <w:rPr>
                <w:rFonts w:ascii="Arial" w:cs="Arial" w:eastAsia="Arial" w:hAnsi="Arial"/>
                <w:sz w:val="18"/>
                <w:szCs w:val="18"/>
                <w:color w:val="auto"/>
              </w:rPr>
              <w:t>Gain on sale of assets</w:t>
            </w:r>
            <w:r>
              <w:rPr>
                <w:rFonts w:ascii="Arial" w:cs="Arial" w:eastAsia="Arial" w:hAnsi="Arial"/>
                <w:sz w:val="22"/>
                <w:szCs w:val="22"/>
                <w:color w:val="auto"/>
                <w:vertAlign w:val="superscript"/>
              </w:rPr>
              <w:t>(2)</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shd w:val="clear" w:color="auto" w:fill="CCEEFF"/>
          </w:tcPr>
          <w:p>
            <w:pPr>
              <w:ind w:left="340"/>
              <w:spacing w:after="0" w:line="223" w:lineRule="exact"/>
              <w:rPr>
                <w:sz w:val="20"/>
                <w:szCs w:val="20"/>
                <w:color w:val="auto"/>
              </w:rPr>
            </w:pPr>
            <w:r>
              <w:rPr>
                <w:rFonts w:ascii="Arial" w:cs="Arial" w:eastAsia="Arial" w:hAnsi="Arial"/>
                <w:sz w:val="18"/>
                <w:szCs w:val="18"/>
                <w:color w:val="auto"/>
              </w:rPr>
              <w:t>Accelerated amortization of deferred debt amendment fees</w:t>
            </w:r>
            <w:r>
              <w:rPr>
                <w:rFonts w:ascii="Arial" w:cs="Arial" w:eastAsia="Arial" w:hAnsi="Arial"/>
                <w:sz w:val="22"/>
                <w:szCs w:val="22"/>
                <w:color w:val="auto"/>
                <w:vertAlign w:val="superscript"/>
              </w:rPr>
              <w:t>(3)</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Pr>
          <w:p>
            <w:pPr>
              <w:ind w:left="340"/>
              <w:spacing w:after="0" w:line="223" w:lineRule="exact"/>
              <w:rPr>
                <w:sz w:val="20"/>
                <w:szCs w:val="20"/>
                <w:color w:val="auto"/>
              </w:rPr>
            </w:pPr>
            <w:r>
              <w:rPr>
                <w:rFonts w:ascii="Arial" w:cs="Arial" w:eastAsia="Arial" w:hAnsi="Arial"/>
                <w:sz w:val="18"/>
                <w:szCs w:val="18"/>
                <w:color w:val="auto"/>
              </w:rPr>
              <w:t>Tax impact of adjustments and other net tax items</w:t>
            </w:r>
            <w:r>
              <w:rPr>
                <w:rFonts w:ascii="Arial" w:cs="Arial" w:eastAsia="Arial" w:hAnsi="Arial"/>
                <w:sz w:val="22"/>
                <w:szCs w:val="22"/>
                <w:color w:val="auto"/>
                <w:vertAlign w:val="superscript"/>
              </w:rPr>
              <w:t>(4)</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(1,739)</w:t>
            </w:r>
          </w:p>
        </w:tc>
      </w:tr>
      <w:tr>
        <w:trPr>
          <w:trHeight w:val="223"/>
        </w:trPr>
        <w:tc>
          <w:tcPr>
            <w:tcW w:w="7120" w:type="dxa"/>
            <w:vAlign w:val="bottom"/>
            <w:shd w:val="clear" w:color="auto" w:fill="CCEEFF"/>
          </w:tcPr>
          <w:p>
            <w:pPr>
              <w:ind w:left="340"/>
              <w:spacing w:after="0" w:line="223" w:lineRule="exact"/>
              <w:rPr>
                <w:sz w:val="20"/>
                <w:szCs w:val="20"/>
                <w:color w:val="auto"/>
              </w:rPr>
            </w:pPr>
            <w:r>
              <w:rPr>
                <w:rFonts w:ascii="Arial" w:cs="Arial" w:eastAsia="Arial" w:hAnsi="Arial"/>
                <w:sz w:val="18"/>
                <w:szCs w:val="18"/>
                <w:color w:val="auto"/>
              </w:rPr>
              <w:t>Deferred tax valuation allowance</w:t>
            </w:r>
            <w:r>
              <w:rPr>
                <w:rFonts w:ascii="Arial" w:cs="Arial" w:eastAsia="Arial" w:hAnsi="Arial"/>
                <w:sz w:val="22"/>
                <w:szCs w:val="22"/>
                <w:color w:val="auto"/>
                <w:vertAlign w:val="superscript"/>
              </w:rPr>
              <w:t>(5)</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120" w:type="dxa"/>
            <w:vAlign w:val="bottom"/>
          </w:tcPr>
          <w:p>
            <w:pPr>
              <w:ind w:left="20"/>
              <w:spacing w:after="0"/>
              <w:rPr>
                <w:sz w:val="20"/>
                <w:szCs w:val="20"/>
                <w:color w:val="auto"/>
              </w:rPr>
            </w:pPr>
            <w:r>
              <w:rPr>
                <w:rFonts w:ascii="Arial" w:cs="Arial" w:eastAsia="Arial" w:hAnsi="Arial"/>
                <w:sz w:val="18"/>
                <w:szCs w:val="18"/>
                <w:color w:val="auto"/>
              </w:rPr>
              <w:t>Adjusted 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(26,207)</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9"/>
        </w:trPr>
        <w:tc>
          <w:tcPr>
            <w:tcW w:w="7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color w:val="auto"/>
              </w:rPr>
              <w:t>Loss per fully diluted share, as reported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1"/>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earnings (loss) per fully diluted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108585</wp:posOffset>
            </wp:positionV>
            <wp:extent cx="8013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224" w:lineRule="exact"/>
        <w:rPr>
          <w:sz w:val="20"/>
          <w:szCs w:val="20"/>
          <w:color w:val="auto"/>
        </w:rPr>
      </w:pPr>
    </w:p>
    <w:p>
      <w:pPr>
        <w:jc w:val="both"/>
        <w:ind w:left="560" w:hanging="318"/>
        <w:spacing w:after="0" w:line="273" w:lineRule="auto"/>
        <w:tabs>
          <w:tab w:leader="none" w:pos="552"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This table presents non-GAAP financial measures of our adjusted net loss and adjusted loss per fully diluted share for fiscal 2023, 2022 and 2021. The most directly comparable financial measures are net loss and loss per fully diluted share, respectively, presented in the Consolidated Statements of Income. We have presented these non-GAAP financial measures because we believe they more clearly depict our core operating results during the periods presented and provide a more comparable measure of our operating results to other companies considered to be in similar businesses. Since adjusted net loss and adjusted loss per fully diluted share are not measures of performance calculated in accordance with GAAP, they should be considered in addition to, rather than as a substitute for, the most directly comparable GAAP financial measures.</w:t>
      </w:r>
    </w:p>
    <w:p>
      <w:pPr>
        <w:spacing w:after="0" w:line="2" w:lineRule="exact"/>
        <w:rPr>
          <w:rFonts w:ascii="Arial" w:cs="Arial" w:eastAsia="Arial" w:hAnsi="Arial"/>
          <w:sz w:val="13"/>
          <w:szCs w:val="13"/>
          <w:color w:val="auto"/>
        </w:rPr>
      </w:pPr>
    </w:p>
    <w:p>
      <w:pPr>
        <w:jc w:val="both"/>
        <w:ind w:left="560" w:hanging="318"/>
        <w:spacing w:after="0" w:line="249" w:lineRule="auto"/>
        <w:tabs>
          <w:tab w:leader="none" w:pos="5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fiscal 2023, we booked a $2.9 million gain on the sale of our industrial cleaning business in the fourth quarter of fiscal 2023. See Part II. Item 8, Financial Statements, Note 3 - Property, Plant and Equipment - Industrial Cleaning Disposal, for more information. In fiscal 2022, we booked a $32.4 million gain on the sale-leaseback of our regional office and fabrication and warehouse facility located in Orange, California (see Part II. Item 8-Financial Statements and Supplementary Data, Note 3 - Property, Plant and Equipment - Sale-leaseback Transaction, for more information.)</w:t>
      </w:r>
    </w:p>
    <w:p>
      <w:pPr>
        <w:spacing w:after="0" w:line="2" w:lineRule="exact"/>
        <w:rPr>
          <w:rFonts w:ascii="Arial" w:cs="Arial" w:eastAsia="Arial" w:hAnsi="Arial"/>
          <w:sz w:val="14"/>
          <w:szCs w:val="14"/>
          <w:color w:val="auto"/>
        </w:rPr>
      </w:pPr>
    </w:p>
    <w:p>
      <w:pPr>
        <w:ind w:left="560" w:hanging="318"/>
        <w:spacing w:after="0" w:line="251" w:lineRule="auto"/>
        <w:tabs>
          <w:tab w:leader="none" w:pos="5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Interest expense in fiscal 2022 included $1.5 million of accelerated amortization of deferred debt amendment fees in connection with terminating the Senior Secured Revolving Credit facility.</w:t>
      </w:r>
    </w:p>
    <w:p>
      <w:pPr>
        <w:ind w:left="560" w:hanging="318"/>
        <w:spacing w:after="0" w:line="254" w:lineRule="auto"/>
        <w:tabs>
          <w:tab w:leader="none" w:pos="5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Calculated by applying a blended state and federal tax rate of approximately 26% to the adjustments, after giving consideration to the portion of impaired goodwill that was not tax deductible.</w:t>
      </w:r>
    </w:p>
    <w:p>
      <w:pPr>
        <w:ind w:left="540" w:hanging="298"/>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Part II, Item 8-Financial Statements and Supplementary Data, Note 6 - Income Taxes, for more information about the deferred tax asset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to Adjusted EBITDA</w:t>
      </w:r>
    </w:p>
    <w:p>
      <w:pPr>
        <w:spacing w:after="0" w:line="24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We have presented Adjusted EBITDA, which we define as net loss before goodwill impairments, gain on sale of facilities, restructuring costs, stock-based compensation, interest expense, income taxes, and depreciation and amortization, because it is used by the financial community as a method of measuring our performance and of evaluating the market value of companies considered to be in similar businesses. We believe that the line item on our Consolidated Statements of Income entitled “Net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loss,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197" w:lineRule="exact"/>
        <w:rPr>
          <w:sz w:val="20"/>
          <w:szCs w:val="20"/>
          <w:color w:val="auto"/>
        </w:rPr>
      </w:pPr>
    </w:p>
    <w:p>
      <w:pPr>
        <w:jc w:val="both"/>
        <w:ind w:left="640" w:right="380" w:hanging="319"/>
        <w:spacing w:after="0" w:line="327" w:lineRule="auto"/>
        <w:tabs>
          <w:tab w:leader="none" w:pos="636" w:val="left"/>
        </w:tabs>
        <w:numPr>
          <w:ilvl w:val="0"/>
          <w:numId w:val="18"/>
        </w:numPr>
        <w:rPr>
          <w:rFonts w:ascii="Arial" w:cs="Arial" w:eastAsia="Arial" w:hAnsi="Arial"/>
          <w:sz w:val="15"/>
          <w:szCs w:val="15"/>
          <w:color w:val="auto"/>
        </w:rPr>
      </w:pPr>
      <w:r>
        <w:rPr>
          <w:rFonts w:ascii="Arial" w:cs="Arial" w:eastAsia="Arial" w:hAnsi="Arial"/>
          <w:sz w:val="15"/>
          <w:szCs w:val="15"/>
          <w:color w:val="auto"/>
        </w:rPr>
        <w:t>It does not include impairments to goodwill. While impairments to intangible assets are non-cash expenses in the period recognized, cash or other consideration was still transferred in exchange for the intangible assets in the period of the acquisition. Any measure that excludes impairments to intangible assets has material limitations since these expenses represent the loss of an asset that was acquired in exchange for cash or other assets.</w:t>
      </w:r>
    </w:p>
    <w:p>
      <w:pPr>
        <w:spacing w:after="0" w:line="162" w:lineRule="exact"/>
        <w:rPr>
          <w:rFonts w:ascii="Arial" w:cs="Arial" w:eastAsia="Arial" w:hAnsi="Arial"/>
          <w:sz w:val="15"/>
          <w:szCs w:val="15"/>
          <w:color w:val="auto"/>
        </w:rPr>
      </w:pPr>
    </w:p>
    <w:p>
      <w:pPr>
        <w:ind w:left="640" w:right="440" w:hanging="319"/>
        <w:spacing w:after="0" w:line="261"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does not include gain on asset sales. While these sales occurred outside the normal course of business and are not expected to be recurring, any measure that excludes this gain has inherent limitations since the sale resulted in a material inflow of cash.</w:t>
      </w:r>
    </w:p>
    <w:p>
      <w:pPr>
        <w:spacing w:after="0" w:line="206" w:lineRule="exact"/>
        <w:rPr>
          <w:rFonts w:ascii="Arial" w:cs="Arial" w:eastAsia="Arial" w:hAnsi="Arial"/>
          <w:sz w:val="18"/>
          <w:szCs w:val="18"/>
          <w:color w:val="auto"/>
        </w:rPr>
      </w:pPr>
    </w:p>
    <w:p>
      <w:pPr>
        <w:ind w:left="640" w:right="180" w:hanging="319"/>
        <w:spacing w:after="0" w:line="261"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does not include restructuring costs. Restructuring costs represent material costs that we incurred and are oftentimes cash expenses. Therefore, any measure that excludes restructuring costs has material limitations.</w:t>
      </w:r>
    </w:p>
    <w:p>
      <w:pPr>
        <w:spacing w:after="0" w:line="206" w:lineRule="exact"/>
        <w:rPr>
          <w:rFonts w:ascii="Arial" w:cs="Arial" w:eastAsia="Arial" w:hAnsi="Arial"/>
          <w:sz w:val="18"/>
          <w:szCs w:val="18"/>
          <w:color w:val="auto"/>
        </w:rPr>
      </w:pPr>
    </w:p>
    <w:p>
      <w:pPr>
        <w:ind w:left="640" w:right="40" w:hanging="319"/>
        <w:spacing w:after="0" w:line="249"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does not include stock-based compensation. Stock-based compensation represents material amounts of equity that are awarded to our employees and directors for services rendered. While the expense is non-cash, we release vested shares out of our treasury stock, which has historically been replenished by using cash to periodically repurchase our stock. Therefore, any measure that excludes stock-based compensation has material limitations.</w:t>
      </w:r>
    </w:p>
    <w:p>
      <w:pPr>
        <w:spacing w:after="0" w:line="218" w:lineRule="exact"/>
        <w:rPr>
          <w:rFonts w:ascii="Arial" w:cs="Arial" w:eastAsia="Arial" w:hAnsi="Arial"/>
          <w:sz w:val="18"/>
          <w:szCs w:val="18"/>
          <w:color w:val="auto"/>
        </w:rPr>
      </w:pPr>
    </w:p>
    <w:p>
      <w:pPr>
        <w:jc w:val="both"/>
        <w:ind w:left="640" w:right="140" w:hanging="319"/>
        <w:spacing w:after="0" w:line="249"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does not include interest expense. Because we have borrowed money to finance our operations and to acquire businesses, pay commitment fees to maintain our senior secured revolving credit facility, and incur fees to issue letters of credit under the senior secured revolving credit facility, interest expense is a necessary and ongoing part of our costs and has assisted us in generating revenue. Therefore, any measure that excludes interest expense has material limitations.</w:t>
      </w:r>
    </w:p>
    <w:p>
      <w:pPr>
        <w:spacing w:after="0" w:line="218" w:lineRule="exact"/>
        <w:rPr>
          <w:rFonts w:ascii="Arial" w:cs="Arial" w:eastAsia="Arial" w:hAnsi="Arial"/>
          <w:sz w:val="18"/>
          <w:szCs w:val="18"/>
          <w:color w:val="auto"/>
        </w:rPr>
      </w:pPr>
    </w:p>
    <w:p>
      <w:pPr>
        <w:ind w:left="640" w:right="200" w:hanging="319"/>
        <w:spacing w:after="0" w:line="261"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206" w:lineRule="exact"/>
        <w:rPr>
          <w:rFonts w:ascii="Arial" w:cs="Arial" w:eastAsia="Arial" w:hAnsi="Arial"/>
          <w:sz w:val="18"/>
          <w:szCs w:val="18"/>
          <w:color w:val="auto"/>
        </w:rPr>
      </w:pPr>
    </w:p>
    <w:p>
      <w:pPr>
        <w:ind w:left="640" w:right="440" w:hanging="319"/>
        <w:spacing w:after="0" w:line="252"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6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Fiscal Years Ended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8"/>
        </w:trPr>
        <w:tc>
          <w:tcPr>
            <w:tcW w:w="6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1"/>
                <w:szCs w:val="11"/>
                <w:color w:val="auto"/>
              </w:rPr>
            </w:pPr>
          </w:p>
        </w:tc>
        <w:tc>
          <w:tcPr>
            <w:tcW w:w="1060" w:type="dxa"/>
            <w:vAlign w:val="bottom"/>
          </w:tcPr>
          <w:p>
            <w:pPr>
              <w:jc w:val="right"/>
              <w:ind w:right="336"/>
              <w:spacing w:after="0" w:line="129" w:lineRule="exact"/>
              <w:rPr>
                <w:sz w:val="20"/>
                <w:szCs w:val="20"/>
                <w:color w:val="auto"/>
              </w:rPr>
            </w:pPr>
            <w:r>
              <w:rPr>
                <w:rFonts w:ascii="Arial" w:cs="Arial" w:eastAsia="Arial" w:hAnsi="Arial"/>
                <w:sz w:val="14"/>
                <w:szCs w:val="14"/>
                <w:b w:val="1"/>
                <w:bCs w:val="1"/>
                <w:color w:val="auto"/>
              </w:rPr>
              <w:t>June 30,</w:t>
            </w:r>
          </w:p>
        </w:tc>
      </w:tr>
      <w:tr>
        <w:trPr>
          <w:trHeight w:val="188"/>
        </w:trPr>
        <w:tc>
          <w:tcPr>
            <w:tcW w:w="6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r>
      <w:tr>
        <w:trPr>
          <w:trHeight w:val="188"/>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1"/>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(31,224)</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Goodwill and other intangible asset impairment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8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Gain on sale of assets</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6,756</w:t>
            </w:r>
          </w:p>
        </w:tc>
      </w:tr>
      <w:tr>
        <w:trPr>
          <w:trHeight w:val="22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1,559</w:t>
            </w:r>
          </w:p>
        </w:tc>
      </w:tr>
      <w:tr>
        <w:trPr>
          <w:trHeight w:val="22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federal, state and foreign income taxes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(12,039)</w:t>
            </w:r>
          </w:p>
        </w:tc>
      </w:tr>
      <w:tr>
        <w:trPr>
          <w:trHeight w:val="22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17,858</w:t>
            </w:r>
          </w:p>
        </w:tc>
      </w:tr>
      <w:tr>
        <w:trPr>
          <w:trHeight w:val="242"/>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175260</wp:posOffset>
            </wp:positionV>
            <wp:extent cx="801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356" w:lineRule="exact"/>
        <w:rPr>
          <w:sz w:val="20"/>
          <w:szCs w:val="20"/>
          <w:color w:val="auto"/>
        </w:rPr>
      </w:pPr>
    </w:p>
    <w:p>
      <w:pPr>
        <w:jc w:val="both"/>
        <w:ind w:left="560" w:hanging="318"/>
        <w:spacing w:after="0" w:line="257" w:lineRule="auto"/>
        <w:tabs>
          <w:tab w:leader="none" w:pos="552"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fiscal 2023, we booked a $2.9 million gain on the sale of our industrial cleaning business in the fourth quarter of fiscal 2023. See Part II. Item 8, Financial Statements, Note 3 - Property, Plant and Equipment - Industrial Cleaning Disposal, for more information. In fiscal 2022, we booked a $32.4 million gain on the sale-leaseback of our regional office and fabrication and warehouse facility located in Orange, California (see Part II. Item 8-Financial Statements and Supplementary Data, Note 3 - Property, Plant and Equipment - Sale-leaseback Transaction, for more information.)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define liquidity as the ongoing ability to pay our liabilities as they become due, fund business operations and meet all monetary contractual obligations. Our primary sources of liquidity at June 30, 2023 were unrestricted cash and cash equivalents on hand, capacity under our ABL Facility (see "ABL Credit Facility" in this Liquidity and Capital Resources section and Item 8. Financial Statements and Supplementary Data, Note 5 - Debt, for more information), and cash generated from operations. Unrestricted cash and cash equivalents at June 30, 2023 totaled $54.8 million and availability under the ABL Facility totaled $37.7 million, resulting in total liquidity of $92.5 million.</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following table provides a reconciliation of cash, cash equivalents and restricted cash in the Consolidated Balance Sheets to the total cash, cash equivalents and restricted cash shown in the Consolidated Statements of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24"/>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25,000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shown in the Consolidated Statements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79,812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77,371</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w w:val="92"/>
              </w:rPr>
              <w:t>The following table provides a summary of changes in our liquidity for the year ended June 30, 2023 (in thousands):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85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Liquidity at June 30, 2022</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gridSpan w:val="3"/>
          </w:tcPr>
          <w:p>
            <w:pPr>
              <w:ind w:left="20"/>
              <w:spacing w:after="0"/>
              <w:rPr>
                <w:sz w:val="20"/>
                <w:szCs w:val="20"/>
                <w:color w:val="auto"/>
              </w:rPr>
            </w:pPr>
            <w:r>
              <w:rPr>
                <w:rFonts w:ascii="Arial" w:cs="Arial" w:eastAsia="Arial" w:hAnsi="Arial"/>
                <w:sz w:val="18"/>
                <w:szCs w:val="18"/>
                <w:color w:val="auto"/>
              </w:rPr>
              <w:t>Cash provided by operating activities</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gridSpan w:val="3"/>
          </w:tcPr>
          <w:p>
            <w:pPr>
              <w:ind w:left="20"/>
              <w:spacing w:after="0" w:line="223" w:lineRule="exact"/>
              <w:rPr>
                <w:sz w:val="20"/>
                <w:szCs w:val="20"/>
                <w:color w:val="auto"/>
              </w:rPr>
            </w:pPr>
            <w:r>
              <w:rPr>
                <w:rFonts w:ascii="Arial" w:cs="Arial" w:eastAsia="Arial" w:hAnsi="Arial"/>
                <w:sz w:val="18"/>
                <w:szCs w:val="18"/>
                <w:color w:val="auto"/>
              </w:rPr>
              <w:t>Proceeds from asset sales</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repayments under ABL Facility</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gridSpan w:val="3"/>
          </w:tcPr>
          <w:p>
            <w:pPr>
              <w:ind w:left="20"/>
              <w:spacing w:after="0"/>
              <w:rPr>
                <w:sz w:val="20"/>
                <w:szCs w:val="20"/>
                <w:color w:val="auto"/>
              </w:rPr>
            </w:pPr>
            <w:r>
              <w:rPr>
                <w:rFonts w:ascii="Arial" w:cs="Arial" w:eastAsia="Arial" w:hAnsi="Arial"/>
                <w:sz w:val="18"/>
                <w:szCs w:val="18"/>
                <w:color w:val="auto"/>
              </w:rPr>
              <w:t>Decrease in availability under ABL Facility</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used by other financing activities</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2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Liquidity at June 30, 2023</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7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560" w:hanging="318"/>
        <w:spacing w:after="0" w:line="321" w:lineRule="auto"/>
        <w:tabs>
          <w:tab w:leader="none" w:pos="552"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$6.3 million of net proceeds from the sale of our industrial cleaning business during the fourth quarter of fiscal 2023. See Part II. Item 8, Financial Statements, Note 3 - Property, Plant and Equipment - Industrial Cleaning Disposal, for more information. The remaining asset sales comprised of equipment sold in the normal course of business.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240" w:lineRule="exact"/>
        <w:rPr>
          <w:sz w:val="20"/>
          <w:szCs w:val="20"/>
          <w:color w:val="auto"/>
        </w:rPr>
      </w:pPr>
    </w:p>
    <w:p>
      <w:pPr>
        <w:ind w:left="640" w:right="80" w:hanging="319"/>
        <w:spacing w:after="0" w:line="261"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206" w:lineRule="exact"/>
        <w:rPr>
          <w:rFonts w:ascii="Arial" w:cs="Arial" w:eastAsia="Arial" w:hAnsi="Arial"/>
          <w:sz w:val="18"/>
          <w:szCs w:val="18"/>
          <w:color w:val="auto"/>
        </w:rPr>
      </w:pPr>
    </w:p>
    <w:p>
      <w:pPr>
        <w:ind w:left="1260" w:right="480" w:hanging="309"/>
        <w:spacing w:after="0" w:line="261" w:lineRule="auto"/>
        <w:tabs>
          <w:tab w:leader="none" w:pos="1256"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temporarily prior to collections from our customers;</w:t>
      </w:r>
    </w:p>
    <w:p>
      <w:pPr>
        <w:spacing w:after="0" w:line="206" w:lineRule="exact"/>
        <w:rPr>
          <w:rFonts w:ascii="Arial" w:cs="Arial" w:eastAsia="Arial" w:hAnsi="Arial"/>
          <w:sz w:val="18"/>
          <w:szCs w:val="18"/>
          <w:color w:val="auto"/>
        </w:rPr>
      </w:pPr>
    </w:p>
    <w:p>
      <w:pPr>
        <w:ind w:left="1260" w:right="140" w:hanging="309"/>
        <w:spacing w:after="0" w:line="261" w:lineRule="auto"/>
        <w:tabs>
          <w:tab w:leader="none" w:pos="1256"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some fixed price customer contracts allow for significant upfront billings at the beginning of a project, which temporarily increases liquidity near term;</w:t>
      </w:r>
    </w:p>
    <w:p>
      <w:pPr>
        <w:spacing w:after="0" w:line="206" w:lineRule="exact"/>
        <w:rPr>
          <w:rFonts w:ascii="Arial" w:cs="Arial" w:eastAsia="Arial" w:hAnsi="Arial"/>
          <w:sz w:val="18"/>
          <w:szCs w:val="18"/>
          <w:color w:val="auto"/>
        </w:rPr>
      </w:pPr>
    </w:p>
    <w:p>
      <w:pPr>
        <w:ind w:left="1260" w:right="40" w:hanging="309"/>
        <w:spacing w:after="0" w:line="261" w:lineRule="auto"/>
        <w:tabs>
          <w:tab w:leader="none" w:pos="1256" w:val="left"/>
        </w:tabs>
        <w:numPr>
          <w:ilvl w:val="1"/>
          <w:numId w:val="21"/>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 and</w:t>
      </w:r>
    </w:p>
    <w:p>
      <w:pPr>
        <w:spacing w:after="0" w:line="206" w:lineRule="exact"/>
        <w:rPr>
          <w:rFonts w:ascii="Arial" w:cs="Arial" w:eastAsia="Arial" w:hAnsi="Arial"/>
          <w:sz w:val="18"/>
          <w:szCs w:val="18"/>
          <w:color w:val="auto"/>
        </w:rPr>
      </w:pPr>
    </w:p>
    <w:p>
      <w:pPr>
        <w:ind w:left="1260" w:right="160" w:hanging="309"/>
        <w:spacing w:after="0" w:line="261" w:lineRule="auto"/>
        <w:tabs>
          <w:tab w:leader="none" w:pos="1256"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Retentions are normally held until certain contractual milestones are achieved;</w:t>
      </w:r>
    </w:p>
    <w:p>
      <w:pPr>
        <w:spacing w:after="0" w:line="206"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changes in working capital, including the timing of tax payments and refunds; and</w:t>
      </w:r>
    </w:p>
    <w:p>
      <w:pPr>
        <w:spacing w:after="0" w:line="239"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40" w:lineRule="exact"/>
        <w:rPr>
          <w:sz w:val="20"/>
          <w:szCs w:val="20"/>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 disputes;</w:t>
      </w:r>
    </w:p>
    <w:p>
      <w:pPr>
        <w:spacing w:after="0" w:line="239" w:lineRule="exact"/>
        <w:rPr>
          <w:rFonts w:ascii="Arial" w:cs="Arial" w:eastAsia="Arial" w:hAnsi="Arial"/>
          <w:sz w:val="18"/>
          <w:szCs w:val="18"/>
          <w:color w:val="auto"/>
        </w:rPr>
      </w:pPr>
    </w:p>
    <w:p>
      <w:pPr>
        <w:ind w:left="640" w:right="280" w:hanging="319"/>
        <w:spacing w:after="0" w:line="261"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collection issues, including those caused by weak commodity prices, economic slowdowns or other factors which can lead to credit deterioration of our customers; and</w:t>
      </w:r>
    </w:p>
    <w:p>
      <w:pPr>
        <w:spacing w:after="0" w:line="206" w:lineRule="exact"/>
        <w:rPr>
          <w:rFonts w:ascii="Arial" w:cs="Arial" w:eastAsia="Arial" w:hAnsi="Arial"/>
          <w:sz w:val="18"/>
          <w:szCs w:val="18"/>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long-term liquidity include:</w:t>
      </w:r>
    </w:p>
    <w:p>
      <w:pPr>
        <w:spacing w:after="0" w:line="240" w:lineRule="exact"/>
        <w:rPr>
          <w:sz w:val="20"/>
          <w:szCs w:val="20"/>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borrowing constraints under our ABL Facility and maintaining compliance with all covenants contained in the ABL Facility;</w:t>
      </w:r>
    </w:p>
    <w:p>
      <w:pPr>
        <w:spacing w:after="0" w:line="239"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acquisitions and disposals of businesses or assets; and</w:t>
      </w:r>
    </w:p>
    <w:p>
      <w:pPr>
        <w:spacing w:after="0" w:line="239"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Credit Facility</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September 9, 2021, the Company and our primary U.S. and Canada operating subsidiaries entered into an asset-based credit agreement, which was amended on October 5, 2022 (as amended, the "ABL Facility"), with Bank of Montreal, as Administrative Agent, Swing Line Lender and a Letter of Credit Issuer, and the lenders named therein.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and the assets of our co-borrowers and guarantors under the ABL Facility.</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ABL Facility matures, and any outstanding amounts become due and payable, on September 9, 2026. At June 30, 2023, our borrowing base was $67.0 million, we had $10.0 million of outstanding borrowings, and we had $19.3 million in letters of credit outstanding, which resulted in availability of $37.7 million under the ABL Facility. Our borrowing base has ranged from $67.0 million to $83.2 million during fiscal 2023.</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Borrowings under the ABL Facility bear interest through maturity at a variable rate based upon, at our option, an annual rate of either a base rate (“Base Rate”), an Adjusted Term Secured Overnight Financing Rate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The interest rate in effect for borrowings outstanding at June 30, 2023, including applicable margin, was approximately 7.47%.</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were in compliance with all covenants of the ABL Facility as of June 30, 2023.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flows provided by operating activities for the fiscal year ended June 30, 2023 totaled $10.2 million. Major components of cash flows provided by operating activities for the year ended June 30, 2023 are as follows: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400" w:type="dxa"/>
            <w:vAlign w:val="bottom"/>
            <w:gridSpan w:val="2"/>
          </w:tcPr>
          <w:p>
            <w:pPr>
              <w:jc w:val="right"/>
              <w:ind w:right="2160"/>
              <w:spacing w:after="0"/>
              <w:rPr>
                <w:sz w:val="20"/>
                <w:szCs w:val="20"/>
                <w:color w:val="auto"/>
              </w:rPr>
            </w:pPr>
            <w:r>
              <w:rPr>
                <w:rFonts w:ascii="Arial" w:cs="Arial" w:eastAsia="Arial" w:hAnsi="Arial"/>
                <w:sz w:val="18"/>
                <w:szCs w:val="18"/>
                <w:b w:val="1"/>
                <w:bCs w:val="1"/>
                <w:color w:val="auto"/>
                <w:w w:val="89"/>
              </w:rPr>
              <w:t>Net Cash Provided by Operating Activities</w:t>
            </w:r>
          </w:p>
        </w:tc>
        <w:tc>
          <w:tcPr>
            <w:tcW w:w="1860" w:type="dxa"/>
            <w:vAlign w:val="bottom"/>
          </w:tcPr>
          <w:p>
            <w:pPr>
              <w:spacing w:after="0"/>
              <w:rPr>
                <w:sz w:val="19"/>
                <w:szCs w:val="19"/>
                <w:color w:val="auto"/>
              </w:rPr>
            </w:pPr>
          </w:p>
        </w:tc>
      </w:tr>
      <w:tr>
        <w:trPr>
          <w:trHeight w:val="183"/>
        </w:trPr>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400" w:type="dxa"/>
            <w:vAlign w:val="bottom"/>
            <w:gridSpan w:val="2"/>
          </w:tcPr>
          <w:p>
            <w:pPr>
              <w:jc w:val="right"/>
              <w:ind w:right="3320"/>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tcPr>
          <w:p>
            <w:pPr>
              <w:spacing w:after="0"/>
              <w:rPr>
                <w:sz w:val="15"/>
                <w:szCs w:val="15"/>
                <w:color w:val="auto"/>
              </w:rPr>
            </w:pPr>
          </w:p>
        </w:tc>
      </w:tr>
      <w:tr>
        <w:trPr>
          <w:trHeight w:val="159"/>
        </w:trPr>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tcPr>
          <w:p>
            <w:pPr>
              <w:jc w:val="right"/>
              <w:ind w:right="456"/>
              <w:spacing w:after="0" w:line="159" w:lineRule="exact"/>
              <w:rPr>
                <w:sz w:val="20"/>
                <w:szCs w:val="20"/>
                <w:color w:val="auto"/>
              </w:rPr>
            </w:pPr>
            <w:r>
              <w:rPr>
                <w:rFonts w:ascii="Arial" w:cs="Arial" w:eastAsia="Arial" w:hAnsi="Arial"/>
                <w:sz w:val="14"/>
                <w:szCs w:val="14"/>
                <w:b w:val="1"/>
                <w:bCs w:val="1"/>
                <w:color w:val="auto"/>
              </w:rPr>
              <w:t>Fiscal Year Ended</w:t>
            </w:r>
          </w:p>
        </w:tc>
      </w:tr>
      <w:tr>
        <w:trPr>
          <w:trHeight w:val="188"/>
        </w:trPr>
        <w:tc>
          <w:tcPr>
            <w:tcW w:w="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50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June 30, 2023</w:t>
            </w:r>
          </w:p>
        </w:tc>
      </w:tr>
      <w:tr>
        <w:trPr>
          <w:trHeight w:val="222"/>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(52,361)</w:t>
            </w:r>
          </w:p>
        </w:tc>
      </w:tr>
      <w:tr>
        <w:trPr>
          <w:trHeight w:val="223"/>
        </w:trPr>
        <w:tc>
          <w:tcPr>
            <w:tcW w:w="3980" w:type="dxa"/>
            <w:vAlign w:val="bottom"/>
            <w:gridSpan w:val="3"/>
          </w:tcPr>
          <w:p>
            <w:pPr>
              <w:ind w:left="20"/>
              <w:spacing w:after="0" w:line="223" w:lineRule="exact"/>
              <w:rPr>
                <w:sz w:val="20"/>
                <w:szCs w:val="20"/>
                <w:color w:val="auto"/>
              </w:rPr>
            </w:pPr>
            <w:r>
              <w:rPr>
                <w:rFonts w:ascii="Arial" w:cs="Arial" w:eastAsia="Arial" w:hAnsi="Arial"/>
                <w:sz w:val="18"/>
                <w:szCs w:val="18"/>
                <w:color w:val="auto"/>
              </w:rPr>
              <w:t xml:space="preserve">Gain on sale of property, plant and equipment </w:t>
            </w:r>
            <w:r>
              <w:rPr>
                <w:rFonts w:ascii="Arial" w:cs="Arial" w:eastAsia="Arial" w:hAnsi="Arial"/>
                <w:sz w:val="22"/>
                <w:szCs w:val="22"/>
                <w:color w:val="auto"/>
                <w:vertAlign w:val="superscript"/>
              </w:rPr>
              <w:t>(1)</w:t>
            </w:r>
          </w:p>
        </w:tc>
        <w:tc>
          <w:tcPr>
            <w:tcW w:w="5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(2,841)</w:t>
            </w:r>
          </w:p>
        </w:tc>
      </w:tr>
      <w:tr>
        <w:trPr>
          <w:trHeight w:val="223"/>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5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w:t>
            </w:r>
          </w:p>
        </w:tc>
      </w:tr>
      <w:tr>
        <w:trPr>
          <w:trHeight w:val="223"/>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Depreciation and amortization</w:t>
            </w:r>
          </w:p>
        </w:tc>
        <w:tc>
          <w:tcPr>
            <w:tcW w:w="5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13,694</w:t>
            </w:r>
          </w:p>
        </w:tc>
      </w:tr>
      <w:tr>
        <w:trPr>
          <w:trHeight w:val="224"/>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5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r>
      <w:tr>
        <w:trPr>
          <w:trHeight w:val="223"/>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Other non-cash expenses</w:t>
            </w:r>
          </w:p>
        </w:tc>
        <w:tc>
          <w:tcPr>
            <w:tcW w:w="5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87"/>
              </w:rPr>
              <w:t>Cash effect of changes in operating assets and liabilities</w:t>
            </w:r>
          </w:p>
        </w:tc>
        <w:tc>
          <w:tcPr>
            <w:tcW w:w="50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32,501</w:t>
            </w:r>
          </w:p>
        </w:tc>
      </w:tr>
      <w:tr>
        <w:trPr>
          <w:trHeight w:val="217"/>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5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10,247</w:t>
            </w: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6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tcPr>
          <w:p>
            <w:pPr>
              <w:spacing w:after="0"/>
              <w:rPr>
                <w:sz w:val="14"/>
                <w:szCs w:val="14"/>
                <w:color w:val="auto"/>
              </w:rPr>
            </w:pPr>
          </w:p>
        </w:tc>
      </w:tr>
    </w:tbl>
    <w:p>
      <w:pPr>
        <w:spacing w:after="0" w:line="152" w:lineRule="exact"/>
        <w:rPr>
          <w:sz w:val="20"/>
          <w:szCs w:val="20"/>
          <w:color w:val="auto"/>
        </w:rPr>
      </w:pPr>
    </w:p>
    <w:p>
      <w:pPr>
        <w:jc w:val="both"/>
        <w:ind w:left="560" w:hanging="318"/>
        <w:spacing w:after="0" w:line="268" w:lineRule="auto"/>
        <w:tabs>
          <w:tab w:leader="none" w:pos="552" w:val="left"/>
        </w:tabs>
        <w:numPr>
          <w:ilvl w:val="0"/>
          <w:numId w:val="24"/>
        </w:numPr>
        <w:rPr>
          <w:rFonts w:ascii="Arial" w:cs="Arial" w:eastAsia="Arial" w:hAnsi="Arial"/>
          <w:sz w:val="14"/>
          <w:szCs w:val="14"/>
          <w:color w:val="auto"/>
        </w:rPr>
      </w:pPr>
      <w:r>
        <w:rPr>
          <w:rFonts w:ascii="Arial" w:cs="Arial" w:eastAsia="Arial" w:hAnsi="Arial"/>
          <w:sz w:val="14"/>
          <w:szCs w:val="14"/>
          <w:color w:val="auto"/>
        </w:rPr>
        <w:t>Gain on sale of property, plant and equipment includes a $2.9 million gain on the sale of our industrial cleaning business (see Part II. Item 8-Financial Statements and Supplementary Data, Note 3 - Property, Plant and Equipment - Industrial Cleaning Disposal, for more information.) The remaining loss on the sale of property, plant and equipment comprised of equipment sold in the normal course of business.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Cash effect of changes in operating assets and liabilities at June 30, 2023 in comparison to June 30, 2022 include the following:</w:t>
      </w:r>
    </w:p>
    <w:p>
      <w:pPr>
        <w:spacing w:after="0" w:line="161" w:lineRule="exact"/>
        <w:rPr>
          <w:sz w:val="20"/>
          <w:szCs w:val="20"/>
          <w:color w:val="auto"/>
        </w:rPr>
      </w:pPr>
    </w:p>
    <w:p>
      <w:pPr>
        <w:ind w:left="640" w:hanging="319"/>
        <w:spacing w:after="0" w:line="261"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Accounts receivable, excluding credit losses recognized during the period, decreased $8.7 million during fiscal 2023, which increased cash flows from operating activities. The variance is primarily attributable to the timing of billing and collections.</w:t>
      </w:r>
    </w:p>
    <w:p>
      <w:pPr>
        <w:spacing w:after="0" w:line="206" w:lineRule="exact"/>
        <w:rPr>
          <w:rFonts w:ascii="Arial" w:cs="Arial" w:eastAsia="Arial" w:hAnsi="Arial"/>
          <w:sz w:val="18"/>
          <w:szCs w:val="18"/>
          <w:color w:val="auto"/>
        </w:rPr>
      </w:pPr>
    </w:p>
    <w:p>
      <w:pPr>
        <w:jc w:val="both"/>
        <w:ind w:left="640" w:hanging="319"/>
        <w:spacing w:after="0" w:line="249"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and estimated earnings in excess of billings on uncompleted contracts ("CIE") increased $0.1 million, which decreased cash flows from operating activities. Billings on uncompleted contracts in excess of costs and estimated earnings ("BIE") increased $20.3 million, which increased cash flows from operating activities. CIE and BIE balances can experience significant fluctuations based on business volume and the timing of when job costs are incurred and the timing of customer billings and payments.</w:t>
      </w:r>
    </w:p>
    <w:p>
      <w:pPr>
        <w:spacing w:after="0" w:line="218" w:lineRule="exact"/>
        <w:rPr>
          <w:rFonts w:ascii="Arial" w:cs="Arial" w:eastAsia="Arial" w:hAnsi="Arial"/>
          <w:sz w:val="18"/>
          <w:szCs w:val="18"/>
          <w:color w:val="auto"/>
        </w:rPr>
      </w:pPr>
    </w:p>
    <w:p>
      <w:pPr>
        <w:jc w:val="both"/>
        <w:ind w:left="640" w:hanging="319"/>
        <w:spacing w:after="0" w:line="252"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Inventories, income taxes receivable, prepaid expenses, other current assets, operating right-of-use lease assets and other non-current assets decreased $13.7 million during fiscal 2023, which increased cash flows from operating activities. Most of this decrease was due to the receipt of $13.3 million of income tax refunds during the fiscal year.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ind w:left="640"/>
        <w:spacing w:after="0" w:line="261" w:lineRule="auto"/>
        <w:rPr>
          <w:sz w:val="20"/>
          <w:szCs w:val="20"/>
          <w:color w:val="auto"/>
        </w:rPr>
      </w:pPr>
      <w:r>
        <w:rPr>
          <w:rFonts w:ascii="Arial" w:cs="Arial" w:eastAsia="Arial" w:hAnsi="Arial"/>
          <w:sz w:val="18"/>
          <w:szCs w:val="18"/>
          <w:color w:val="auto"/>
        </w:rPr>
        <w:t>These operating assets can fluctuate based on the timing of inventory builds and draw-downs, accrual and receipt of income taxes receivable, prepayments of certain expenses, leasing activity, business volume, and other timing differences.</w:t>
      </w:r>
    </w:p>
    <w:p>
      <w:pPr>
        <w:spacing w:after="0" w:line="207" w:lineRule="exact"/>
        <w:rPr>
          <w:sz w:val="20"/>
          <w:szCs w:val="20"/>
          <w:color w:val="auto"/>
        </w:rPr>
      </w:pPr>
    </w:p>
    <w:p>
      <w:pPr>
        <w:jc w:val="both"/>
        <w:ind w:left="640" w:hanging="319"/>
        <w:spacing w:after="0" w:line="299" w:lineRule="auto"/>
        <w:tabs>
          <w:tab w:leader="none" w:pos="6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Accounts payable, accrued wages and benefits, accrued insurance, operating lease liabilities and other accrued expenses, and other liabilities, non-current decreased by $9.4 million during fiscal 2023, which decreased cash flows from operating activities. These operating liabilities can fluctuate based on the timing of vendor payments, accruals, leasing activities, business volume, and other timing differences.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by Investing Activities</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Investing activities used $2.5 million of cash in the fiscal year ended June 30, 2023 primarily due to capital expenditures of $9.0 million, partially offset by $6.5 million of proceeds from the sale of assets. The capital expenditures were comprised of $4.4 million for construction and transportation equipment, $2.3 million for office equipment, and $2.3 million for buildings and leasehold improvements. The sale of assets included $6.3 million of net proceeds from the sale of our industrial cleaning business (see Part II. Item 8 - Financial Statements and Supplementary Data, Note 3 - Property, Plant and Equipment - Industrial Cleaning Disposal, for more information).</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Investing activities provided $35.7 million of cash in the fiscal year ended June 30, 2022 primarily due to $39.0 million of asset sales, including $37.4 million in proceeds from the sale-leaseback of our regional office and fabrication and warehouse facilities located in Orange, California during the fourth quarter of fiscal 2022 (see Part II. Item 8, Financial Statements, Note 3 - Property, Plant and Equipment - Sale-leaseback Transaction, for more information.) The asset sale proceeds were partially offset by $3.3 million of capital expenditures. Capital expenditures consisted of $1.5 million for facilities, office equipment and software, and $1.8 million for construction, fabrication, and transportation equipment.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by Financing Activities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used $5.1 million of cash in the fiscal year ended June 30, 2023 primarily due to net repayments of $5.0 million on the ABL Facility.</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Financing activities provided $12.7 million of cash in the fiscal year ended June 30, 2022 primarily due to the net borrowings of $15.0 million under our ABL Facility, partially offset by $1.3 million paid in fees to enter into the ABL Facility, and $0.9 million paid to repurchase our stock for payment of withholding taxes due on equity-based compensation.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6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have never paid cash dividends on our common stock and the terms of our Credit Agreement prohibit us from paying cash dividends. Any future dividend payments will depend on the terms of our ABL Facility, our financial condition, capital requirements and earnings as well as other relevant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during fiscal 2023 and have no current plans to repurchase stock. As of June 30, 2023, there were 1,349,037 shares available for repurchase under the Stock Buyback Program. The terms of our ABL Facility limit share repurchases to $2.5 million per fiscal year provided that we meet certain availability thresholds and do not violate our Fixed Charge Coverage Ratio financial covenant.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Shares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had 840,899 treasury shares as of June 30, 2023 and intend to utilize these treasury shares in connection with equity awards under the our stock incentive plans and for sales to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 from Contractual and Other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our short-term and long-term material cash requirements for known contractual and other obligations were as follows:</w:t>
      </w:r>
    </w:p>
    <w:p>
      <w:pPr>
        <w:spacing w:after="0" w:line="161" w:lineRule="exact"/>
        <w:rPr>
          <w:sz w:val="20"/>
          <w:szCs w:val="20"/>
          <w:color w:val="auto"/>
        </w:rPr>
      </w:pPr>
    </w:p>
    <w:p>
      <w:pPr>
        <w:jc w:val="both"/>
        <w:ind w:left="640" w:hanging="319"/>
        <w:spacing w:after="0" w:line="249" w:lineRule="auto"/>
        <w:tabs>
          <w:tab w:leader="none" w:pos="63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Operating Leases</w:t>
      </w:r>
      <w:r>
        <w:rPr>
          <w:rFonts w:ascii="Arial" w:cs="Arial" w:eastAsia="Arial" w:hAnsi="Arial"/>
          <w:sz w:val="18"/>
          <w:szCs w:val="18"/>
          <w:color w:val="auto"/>
        </w:rPr>
        <w:t>: In the normal course of business, we lease real estate and equipment under various arrangements which are classified as operating leases. Future payments for such leases, excluding leases with initial terms of one year or less, were $31.2 million at June 30, 2023, with $5.7 million payable within the next 12 months. Refer to Part II. Item 8, Financial Statements, Note 8 - Leases, for more information about our lease obligations and the timing of expected future payments.</w:t>
      </w:r>
    </w:p>
    <w:p>
      <w:pPr>
        <w:spacing w:after="0" w:line="218" w:lineRule="exact"/>
        <w:rPr>
          <w:rFonts w:ascii="Arial" w:cs="Arial" w:eastAsia="Arial" w:hAnsi="Arial"/>
          <w:sz w:val="18"/>
          <w:szCs w:val="18"/>
          <w:color w:val="auto"/>
        </w:rPr>
      </w:pPr>
    </w:p>
    <w:p>
      <w:pPr>
        <w:jc w:val="both"/>
        <w:ind w:left="640" w:hanging="319"/>
        <w:spacing w:after="0" w:line="286" w:lineRule="auto"/>
        <w:tabs>
          <w:tab w:leader="none" w:pos="636"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Outstanding Debt and Interest Payments</w:t>
      </w:r>
      <w:r>
        <w:rPr>
          <w:rFonts w:ascii="Arial" w:cs="Arial" w:eastAsia="Arial" w:hAnsi="Arial"/>
          <w:sz w:val="16"/>
          <w:szCs w:val="16"/>
          <w:color w:val="auto"/>
        </w:rPr>
        <w:t>: As of June 30, 2023, the amount outstanding under our ABL Facility was $10.0 million. Based on the outstanding balance and interest rates applicable as of June 30, 2023, if we carried the borrowings to the maturity of the facility, we would make total payments of interest and fees on the outstanding debt of $4.4 million, with $1.4 million payable within the next 12 months. The outstanding borrowings are due on September 9, 2026 when the ABL Facility matures. Future interest payments will be determined based on prevailing interest rates during that time. Refer to Part II. Item 8, Financial Statements, Note 5 - Debt, for more information about the terms of our ABL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 and Other Commitments</w:t>
      </w:r>
    </w:p>
    <w:p>
      <w:pPr>
        <w:spacing w:after="0" w:line="16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terms of our construction contracts frequently require that we obtain from surety companies, and provide to our customers, surety bonds as a condition to the award of such contracts. These surety bonds are issued in return for premiums, which vary depending on the size and type of the bond, and secure our payment and performance obligations under such contracts. We have agreed to indemnify the surety companies for amounts, if any, paid by them in respect of surety bonds issued on our behalf. Surety bonds expire at various times ranging from final completion of a project to a period extending beyond contract completion in certain circumstances. Such amounts can also fluctuate from period to period based upon the mix and level of our bonded operating activity. As of June 30, 2023, there were $127.6 million of surety bonds in force, of which we expect $126.6 million to expire within the next 12 months. Of the bonds in force, $99.6 million related to performance bonds for ongoing projects and the remainder related to contractor licensing, liens, and other bonds. We are not aware of any losses in connection with surety bonds that have been posted on our behalf, and we do not expect to incur significant losses in the foreseeable future.</w:t>
      </w:r>
    </w:p>
    <w:p>
      <w:pPr>
        <w:spacing w:after="0" w:line="1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issue letters of credit under our ABL Facility in the normal course of business to support workers' compensation insurance programs or certain construction contracts. As of June 30, 2023, we had $19.3 million of letters of credit outstanding, nearly all of which expire within the next 12 months. The letters of credit that support our workers’ compensation programs are expected to renew annually through the term of our credit facility. The letters of credit that support construction contracts carry expiration dates throughout fiscal 2026.</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revenue comes from contracts to provide engineering, procurement, fabrication and construction, repair and maintenance and other services. Our engineering, procurement and fabrication and construction services are usually provided in association with capital projects, which are commonly fixed-price contracts that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exceed one year for capital projects.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collectability is probable. We also evaluate whether a contract should be combined with other contracts and accounted for as a single contract. This evaluation requires judgment and could change the timing of the amount of revenue and profit recorded for a given period.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fixed-price contracts for engineering, procurement, fabrication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We do not sell separate warranties.</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6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2 - Revenue of the Notes to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Part II. Item 8-Financial Statements and Supplementary Data, Note 2 - Revenue.</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Costs and estimated earnings in excess of billings on uncompleted contracts included revenue for unpriced change orders and claims of $9.7 million at June 30, 2023 and $8.9 million at June 30, 2022. The amounts ultimately realized may be significantly different than the recorded amounts resulting in a material adjustment to future earnings. Generally we expect collection of amounts related to unpriced change orders and claims within twelve months. However, customers may not pay these amounts until final resolution of related claims, which may extend beyond one year.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 which is a level below our reportable segments.</w:t>
      </w:r>
    </w:p>
    <w:p>
      <w:pPr>
        <w:spacing w:after="0" w:line="13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perform our annual impairment test in the fourth quarter of each fiscal year, or in between annual tests whenever events or changes in circumstances indicate the carrying value of goodwill may not be recoverable,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1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fair values of our reporting units to our market capitalization.</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performed our annual goodwill impairment test as of May 31, 2023, which resulted in no impairment. The fiscal 2023 test indicated that three reporting units with a combined total of $20.9 million of goodwill as of June 30, 2023 were at higher risk of future impairment. If our view of project opportunities or gross margins deteriorates, particularly for the higher risk reporting units, then we may be required to record an impairment of goodwill. Subsequent to the completion of the May 31, 2023 annual impairment test, additional information regarding new project awards became available which would significantly improve the cash flows and fair values of certain reporting units including reporting units 1 and 4 (see table below) that were considered at a higher risk of impairment.</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considered the amount of headroom for each reporting unit when determining whether an impairment existed. The amount of headroom varies by reporting unit. Our significant assumptions, including revenue growth rates, gross margins, discount rate and other factors may change in the future based on the changing economic and competitive environment in which we operate. Assuming that all other components of our fair value estimate remain unchanged, a change in the following assumptions would have the following effect on headroom:</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Headroom Sensitivity Analysis</w:t>
            </w: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restart"/>
          </w:tcPr>
          <w:p>
            <w:pPr>
              <w:jc w:val="center"/>
              <w:ind w:right="116"/>
              <w:spacing w:after="0"/>
              <w:rPr>
                <w:sz w:val="20"/>
                <w:szCs w:val="20"/>
                <w:color w:val="auto"/>
              </w:rPr>
            </w:pPr>
            <w:r>
              <w:rPr>
                <w:rFonts w:ascii="Arial" w:cs="Arial" w:eastAsia="Arial" w:hAnsi="Arial"/>
                <w:sz w:val="16"/>
                <w:szCs w:val="16"/>
                <w:b w:val="1"/>
                <w:bCs w:val="1"/>
                <w:color w:val="auto"/>
                <w:w w:val="87"/>
              </w:rPr>
              <w:t>Goodwill as of June</w:t>
            </w:r>
          </w:p>
        </w:tc>
        <w:tc>
          <w:tcPr>
            <w:tcW w:w="1580" w:type="dxa"/>
            <w:vAlign w:val="bottom"/>
          </w:tcPr>
          <w:p>
            <w:pPr>
              <w:spacing w:after="0"/>
              <w:rPr>
                <w:sz w:val="13"/>
                <w:szCs w:val="13"/>
                <w:color w:val="auto"/>
              </w:rPr>
            </w:pPr>
          </w:p>
        </w:tc>
        <w:tc>
          <w:tcPr>
            <w:tcW w:w="172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Headroom if Revenue</w:t>
            </w:r>
          </w:p>
        </w:tc>
        <w:tc>
          <w:tcPr>
            <w:tcW w:w="162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Headroom if Gross</w:t>
            </w: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Headroom if Discount</w:t>
            </w: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7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2"/>
              </w:rPr>
              <w:t>Growth Rate</w:t>
            </w:r>
          </w:p>
        </w:tc>
        <w:tc>
          <w:tcPr>
            <w:tcW w:w="16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5"/>
              </w:rPr>
              <w:t>Margin</w:t>
            </w: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116"/>
              <w:spacing w:after="0" w:line="158" w:lineRule="exact"/>
              <w:rPr>
                <w:sz w:val="20"/>
                <w:szCs w:val="20"/>
                <w:color w:val="auto"/>
              </w:rPr>
            </w:pPr>
            <w:r>
              <w:rPr>
                <w:rFonts w:ascii="Arial" w:cs="Arial" w:eastAsia="Arial" w:hAnsi="Arial"/>
                <w:sz w:val="16"/>
                <w:szCs w:val="16"/>
                <w:b w:val="1"/>
                <w:bCs w:val="1"/>
                <w:color w:val="auto"/>
                <w:w w:val="89"/>
              </w:rPr>
              <w:t>30, 2023</w:t>
            </w:r>
          </w:p>
        </w:tc>
        <w:tc>
          <w:tcPr>
            <w:tcW w:w="1580" w:type="dxa"/>
            <w:vAlign w:val="bottom"/>
            <w:vMerge w:val="restart"/>
          </w:tcPr>
          <w:p>
            <w:pPr>
              <w:ind w:left="140"/>
              <w:spacing w:after="0"/>
              <w:rPr>
                <w:sz w:val="20"/>
                <w:szCs w:val="20"/>
                <w:color w:val="auto"/>
              </w:rPr>
            </w:pPr>
            <w:r>
              <w:rPr>
                <w:rFonts w:ascii="Arial" w:cs="Arial" w:eastAsia="Arial" w:hAnsi="Arial"/>
                <w:sz w:val="16"/>
                <w:szCs w:val="16"/>
                <w:b w:val="1"/>
                <w:bCs w:val="1"/>
                <w:color w:val="auto"/>
                <w:w w:val="95"/>
              </w:rPr>
              <w:t>Baseline Headroom</w:t>
            </w:r>
          </w:p>
        </w:tc>
        <w:tc>
          <w:tcPr>
            <w:tcW w:w="17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6"/>
              </w:rPr>
              <w:t>Declines by 100 Basis</w:t>
            </w:r>
          </w:p>
        </w:tc>
        <w:tc>
          <w:tcPr>
            <w:tcW w:w="16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4"/>
              </w:rPr>
              <w:t>Declines by 100 Basis</w:t>
            </w:r>
          </w:p>
        </w:tc>
        <w:tc>
          <w:tcPr>
            <w:tcW w:w="16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7"/>
              </w:rPr>
              <w:t>Rate Increases by 100</w:t>
            </w:r>
          </w:p>
        </w:tc>
        <w:tc>
          <w:tcPr>
            <w:tcW w:w="0" w:type="dxa"/>
            <w:vAlign w:val="bottom"/>
          </w:tcPr>
          <w:p>
            <w:pPr>
              <w:spacing w:after="0"/>
              <w:rPr>
                <w:sz w:val="1"/>
                <w:szCs w:val="1"/>
                <w:color w:val="auto"/>
              </w:rPr>
            </w:pPr>
          </w:p>
        </w:tc>
      </w:tr>
      <w:tr>
        <w:trPr>
          <w:trHeight w:val="207"/>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116"/>
              <w:spacing w:after="0"/>
              <w:rPr>
                <w:sz w:val="20"/>
                <w:szCs w:val="20"/>
                <w:color w:val="auto"/>
              </w:rPr>
            </w:pPr>
            <w:r>
              <w:rPr>
                <w:rFonts w:ascii="Arial" w:cs="Arial" w:eastAsia="Arial" w:hAnsi="Arial"/>
                <w:sz w:val="16"/>
                <w:szCs w:val="16"/>
                <w:b w:val="1"/>
                <w:bCs w:val="1"/>
                <w:color w:val="auto"/>
                <w:w w:val="87"/>
              </w:rPr>
              <w:t>(in thousands)</w:t>
            </w:r>
          </w:p>
        </w:tc>
        <w:tc>
          <w:tcPr>
            <w:tcW w:w="1580" w:type="dxa"/>
            <w:vAlign w:val="bottom"/>
            <w:vMerge w:val="continue"/>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5"/>
              </w:rPr>
              <w:t>Points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5"/>
              </w:rPr>
              <w:t>Points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5"/>
              </w:rPr>
              <w:t>Basis Points</w:t>
            </w:r>
          </w:p>
        </w:tc>
        <w:tc>
          <w:tcPr>
            <w:tcW w:w="0" w:type="dxa"/>
            <w:vAlign w:val="bottom"/>
          </w:tcPr>
          <w:p>
            <w:pPr>
              <w:spacing w:after="0"/>
              <w:rPr>
                <w:sz w:val="1"/>
                <w:szCs w:val="1"/>
                <w:color w:val="auto"/>
              </w:rPr>
            </w:pPr>
          </w:p>
        </w:tc>
      </w:tr>
      <w:tr>
        <w:trPr>
          <w:trHeight w:val="22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Reporting Unit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11,158</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Arial" w:cs="Arial" w:eastAsia="Arial" w:hAnsi="Arial"/>
                <w:sz w:val="18"/>
                <w:szCs w:val="18"/>
                <w:color w:val="auto"/>
              </w:rPr>
              <w:t>Reporting Unit 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6"/>
              <w:spacing w:after="0"/>
              <w:rPr>
                <w:sz w:val="20"/>
                <w:szCs w:val="20"/>
                <w:color w:val="auto"/>
              </w:rPr>
            </w:pPr>
            <w:r>
              <w:rPr>
                <w:rFonts w:ascii="Arial" w:cs="Arial" w:eastAsia="Arial" w:hAnsi="Arial"/>
                <w:sz w:val="18"/>
                <w:szCs w:val="18"/>
                <w:color w:val="auto"/>
              </w:rPr>
              <w:t>8,240</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3,583%</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3,252%</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2,151%</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3,180%</w:t>
            </w:r>
          </w:p>
        </w:tc>
        <w:tc>
          <w:tcPr>
            <w:tcW w:w="0" w:type="dxa"/>
            <w:vAlign w:val="bottom"/>
          </w:tcPr>
          <w:p>
            <w:pPr>
              <w:spacing w:after="0"/>
              <w:rPr>
                <w:sz w:val="1"/>
                <w:szCs w:val="1"/>
                <w:color w:val="auto"/>
              </w:rPr>
            </w:pPr>
          </w:p>
        </w:tc>
      </w:tr>
      <w:tr>
        <w:trPr>
          <w:trHeight w:val="224"/>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Reporting Unit 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5,484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0%</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Arial" w:cs="Arial" w:eastAsia="Arial" w:hAnsi="Arial"/>
                <w:sz w:val="18"/>
                <w:szCs w:val="18"/>
                <w:color w:val="auto"/>
              </w:rPr>
              <w:t>Reporting Unit 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6"/>
              <w:spacing w:after="0"/>
              <w:rPr>
                <w:sz w:val="20"/>
                <w:szCs w:val="20"/>
                <w:color w:val="auto"/>
              </w:rPr>
            </w:pPr>
            <w:r>
              <w:rPr>
                <w:rFonts w:ascii="Arial" w:cs="Arial" w:eastAsia="Arial" w:hAnsi="Arial"/>
                <w:sz w:val="18"/>
                <w:szCs w:val="18"/>
                <w:color w:val="auto"/>
              </w:rPr>
              <w:t>4,238</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28%</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the second quarter of fiscal 2023, we concluded that a goodwill impairment existed in the Process and Industrial Facilities segment based on a material adverse change in gross profit on a project. Based on the indicated outcome of this project and our near-term outlook for the reporting unit, we performed an interim impairment test for the unit and concluded that its $12.3 million of goodwill was fully impaired. The impairment was recognized in operating income during the three and six months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We believe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6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interest rate risk results primarily from our variable rate indebtedness under our ABL Facility, which is influenced by movements in short-term rates. Borrowings under the ABL Facility bear interest through maturity at a variable rate based upon, at our option, an annual rate of either a base rate (“Base Rate”), an Adjusted Term SOFR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The interest rate in effect for borrowings outstanding at June 30, 2023, including applicable margin, was 7.47%.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interest rate risk at June 30, 2023 were as follows:</w:t>
      </w:r>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Maturity by Fiscal Year</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44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441"/>
              <w:spacing w:after="0"/>
              <w:rPr>
                <w:sz w:val="20"/>
                <w:szCs w:val="20"/>
                <w:color w:val="auto"/>
              </w:rPr>
            </w:pPr>
            <w:r>
              <w:rPr>
                <w:rFonts w:ascii="Arial" w:cs="Arial" w:eastAsia="Arial" w:hAnsi="Arial"/>
                <w:sz w:val="14"/>
                <w:szCs w:val="14"/>
                <w:b w:val="1"/>
                <w:bCs w:val="1"/>
                <w:color w:val="auto"/>
              </w:rPr>
              <w:t>2027</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441"/>
              <w:spacing w:after="0"/>
              <w:rPr>
                <w:sz w:val="20"/>
                <w:szCs w:val="20"/>
                <w:color w:val="auto"/>
              </w:rPr>
            </w:pPr>
            <w:r>
              <w:rPr>
                <w:rFonts w:ascii="Arial" w:cs="Arial" w:eastAsia="Arial" w:hAnsi="Arial"/>
                <w:sz w:val="14"/>
                <w:szCs w:val="14"/>
                <w:b w:val="1"/>
                <w:bCs w:val="1"/>
                <w:color w:val="auto"/>
              </w:rPr>
              <w:t>2028</w:t>
            </w: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Fair Value as of June</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30, 2023</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3"/>
          </w:tcPr>
          <w:p>
            <w:pPr>
              <w:jc w:val="right"/>
              <w:ind w:right="501"/>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Arial" w:cs="Arial" w:eastAsia="Arial" w:hAnsi="Arial"/>
                <w:sz w:val="18"/>
                <w:szCs w:val="18"/>
                <w:color w:val="auto"/>
              </w:rPr>
              <w:t>Variable rate debt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74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1"/>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ind w:left="140"/>
              <w:spacing w:after="0"/>
              <w:rPr>
                <w:sz w:val="20"/>
                <w:szCs w:val="20"/>
                <w:color w:val="auto"/>
              </w:rPr>
            </w:pPr>
            <w:r>
              <w:rPr>
                <w:rFonts w:ascii="Arial" w:cs="Arial" w:eastAsia="Arial" w:hAnsi="Arial"/>
                <w:sz w:val="18"/>
                <w:szCs w:val="18"/>
                <w:color w:val="auto"/>
              </w:rPr>
              <w:t>—  $</w:t>
            </w:r>
          </w:p>
        </w:tc>
        <w:tc>
          <w:tcPr>
            <w:tcW w:w="1000" w:type="dxa"/>
            <w:vAlign w:val="bottom"/>
          </w:tcPr>
          <w:p>
            <w:pPr>
              <w:jc w:val="right"/>
              <w:ind w:right="1"/>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the interest in effect for borrowings outstanding at June 30, 2023, including applicable margin, increases 1.00%, then our annual interest expense would only increase $0.1 million, which would not have a material impact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subsidiaries with operations in Canada and South Korea, which use the Canadian Dollar and South Korean Won, respectively, as their functional currencies. We also have a subsidiary with operations in Australia, but its functional currency is the U.S. Dollar since its sales are primarily denominated in U.S. Dollars.</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Historically, movements in the Canadian Dollar to U.S. Dollar exchange rate have not significantly impacted our results. Also, we do not expect exchange rate fluctuations in our South Korean and Australian operations to materially impact our financial results since these operations represent an insignificant portion of our consolidated revenue and expenses. However, further growth in our Canadian, South Korean and/or Australian operations and/or significant fluctuations in the Canadian Dollar, South Korean Won and/or Australian Dollar to U.S. Dollar exchange rates could impact our financial results in the future.</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Management has not entered into derivative instruments to hedge foreign currency risk, but periodically evaluates the materiality of our foreign currency exposure. To mitigate our risk, on occasion we convert Canadian Dollar balances into U.S. Dollars to settle U.S. Dollar amounts owed by our Canadian operations. A 10% unfavorable change in the Canadian Dollar against the U.S. Dollar would not have had a material impact on our financial results for the fiscal year ended June 30,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no direct commodity exposure, but we do have exposure to materials derived from certain commodities including steel plate, steel pipe, and copper, which are key materials we use. Disruptions to global supply chains in recent years have led to higher prices for some of the materials we need to run our business. We mitigate these risks primarily by procuring materials upon contract execution to ensure that our purchase price approximates the costs included in the project estimate, and also by negotiating contract escalation clauses to cover unexpected costs due to fluctuations in materials costs. We have been proactive with managing our procurement processes to help reduce the impacts of rising materials prices on our business and to help ensure we continue to have the materials we need available. However, rising prices and the potential for materials shortages have created additional risk in bidding and executing work profitably.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20" w:type="dxa"/>
            <w:vAlign w:val="bottom"/>
            <w:gridSpan w:val="1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9600" w:type="dxa"/>
            <w:vAlign w:val="bottom"/>
            <w:gridSpan w:val="16"/>
          </w:tcPr>
          <w:p>
            <w:pPr>
              <w:spacing w:after="0"/>
              <w:rPr>
                <w:sz w:val="20"/>
                <w:szCs w:val="20"/>
                <w:color w:val="auto"/>
              </w:rPr>
            </w:pPr>
            <w:r>
              <w:rPr>
                <w:rFonts w:ascii="Arial" w:cs="Arial" w:eastAsia="Arial" w:hAnsi="Arial"/>
                <w:sz w:val="18"/>
                <w:szCs w:val="18"/>
                <w:color w:val="auto"/>
              </w:rPr>
              <w:t>Financial Statements of the Company</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Management’s Report on Internal Control Over Financial Reporting</w:t>
            </w:r>
          </w:p>
        </w:tc>
        <w:tc>
          <w:tcPr>
            <w:tcW w:w="4500" w:type="dxa"/>
            <w:vAlign w:val="bottom"/>
            <w:gridSpan w:val="6"/>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80" w:type="dxa"/>
            <w:vAlign w:val="bottom"/>
            <w:gridSpan w:val="15"/>
          </w:tcPr>
          <w:p>
            <w:pPr>
              <w:spacing w:after="0"/>
              <w:rPr>
                <w:sz w:val="20"/>
                <w:szCs w:val="20"/>
                <w:color w:val="auto"/>
              </w:rPr>
            </w:pPr>
            <w:r>
              <w:rPr>
                <w:rFonts w:ascii="Arial" w:cs="Arial" w:eastAsia="Arial" w:hAnsi="Arial"/>
                <w:sz w:val="18"/>
                <w:szCs w:val="18"/>
                <w:color w:val="0000FF"/>
              </w:rPr>
              <w:t xml:space="preserve">Reports of Independent Registered Public Accounting Firm </w:t>
            </w:r>
            <w:r>
              <w:rPr>
                <w:rFonts w:ascii="Arial" w:cs="Arial" w:eastAsia="Arial" w:hAnsi="Arial"/>
                <w:sz w:val="18"/>
                <w:szCs w:val="18"/>
                <w:color w:val="000000"/>
              </w:rPr>
              <w:t>(PCAOB ID 34)</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960" w:type="dxa"/>
            <w:vAlign w:val="bottom"/>
            <w:gridSpan w:val="14"/>
          </w:tcPr>
          <w:p>
            <w:pPr>
              <w:spacing w:after="0"/>
              <w:rPr>
                <w:sz w:val="20"/>
                <w:szCs w:val="20"/>
                <w:color w:val="auto"/>
              </w:rPr>
            </w:pPr>
            <w:r>
              <w:rPr>
                <w:rFonts w:ascii="Arial" w:cs="Arial" w:eastAsia="Arial" w:hAnsi="Arial"/>
                <w:sz w:val="18"/>
                <w:szCs w:val="18"/>
                <w:color w:val="0000FF"/>
              </w:rPr>
              <w:t>Consolidated Statements of Income for the Fiscal Years Ended June 30, 2023, June 30, 2022, and June 30,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0000FF"/>
                <w:w w:val="79"/>
              </w:rPr>
              <w:t>44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340" w:type="dxa"/>
            <w:vAlign w:val="bottom"/>
            <w:tcBorders>
              <w:top w:val="single" w:sz="8" w:color="0000FF"/>
              <w:bottom w:val="single" w:sz="8" w:color="0000FF"/>
            </w:tcBorders>
          </w:tcPr>
          <w:p>
            <w:pPr>
              <w:spacing w:after="0" w:line="164" w:lineRule="exact"/>
              <w:rPr>
                <w:sz w:val="20"/>
                <w:szCs w:val="20"/>
                <w:color w:val="auto"/>
              </w:rPr>
            </w:pPr>
            <w:r>
              <w:rPr>
                <w:rFonts w:ascii="Arial" w:cs="Arial" w:eastAsia="Arial" w:hAnsi="Arial"/>
                <w:sz w:val="18"/>
                <w:szCs w:val="18"/>
                <w:color w:val="0000FF"/>
                <w:w w:val="79"/>
              </w:rPr>
              <w:t>2021</w:t>
            </w:r>
          </w:p>
        </w:tc>
        <w:tc>
          <w:tcPr>
            <w:tcW w:w="6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960" w:type="dxa"/>
            <w:vAlign w:val="bottom"/>
            <w:gridSpan w:val="14"/>
          </w:tcPr>
          <w:p>
            <w:pPr>
              <w:spacing w:after="0"/>
              <w:rPr>
                <w:sz w:val="20"/>
                <w:szCs w:val="20"/>
                <w:color w:val="auto"/>
              </w:rPr>
            </w:pPr>
            <w:r>
              <w:rPr>
                <w:rFonts w:ascii="Arial" w:cs="Arial" w:eastAsia="Arial" w:hAnsi="Arial"/>
                <w:sz w:val="18"/>
                <w:szCs w:val="18"/>
                <w:color w:val="0000FF"/>
              </w:rPr>
              <w:t>Consolidated Statements of Comprehensive Income for the Fiscal Years Ended June 30, 2023, June 30,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0000FF"/>
                <w:w w:val="79"/>
              </w:rPr>
              <w:t>45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20" w:type="dxa"/>
            <w:vAlign w:val="bottom"/>
            <w:tcBorders>
              <w:top w:val="single" w:sz="8" w:color="0000FF"/>
            </w:tcBorders>
            <w:gridSpan w:val="12"/>
          </w:tcPr>
          <w:p>
            <w:pPr>
              <w:spacing w:after="0" w:line="164" w:lineRule="exact"/>
              <w:rPr>
                <w:sz w:val="20"/>
                <w:szCs w:val="20"/>
                <w:color w:val="auto"/>
              </w:rPr>
            </w:pPr>
            <w:r>
              <w:rPr>
                <w:rFonts w:ascii="Arial" w:cs="Arial" w:eastAsia="Arial" w:hAnsi="Arial"/>
                <w:sz w:val="18"/>
                <w:szCs w:val="18"/>
                <w:color w:val="0000FF"/>
              </w:rPr>
              <w:t>2022, and June 30, 2021</w:t>
            </w:r>
          </w:p>
        </w:tc>
        <w:tc>
          <w:tcPr>
            <w:tcW w:w="1740" w:type="dxa"/>
            <w:vAlign w:val="bottom"/>
            <w:gridSpan w:val="2"/>
          </w:tcPr>
          <w:p>
            <w:pPr>
              <w:spacing w:after="0"/>
              <w:rPr>
                <w:sz w:val="14"/>
                <w:szCs w:val="14"/>
                <w:color w:val="auto"/>
              </w:rPr>
            </w:pP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960" w:type="dxa"/>
            <w:vAlign w:val="bottom"/>
            <w:gridSpan w:val="14"/>
          </w:tcPr>
          <w:p>
            <w:pPr>
              <w:spacing w:after="0"/>
              <w:rPr>
                <w:sz w:val="20"/>
                <w:szCs w:val="20"/>
                <w:color w:val="auto"/>
              </w:rPr>
            </w:pPr>
            <w:r>
              <w:rPr>
                <w:rFonts w:ascii="Arial" w:cs="Arial" w:eastAsia="Arial" w:hAnsi="Arial"/>
                <w:sz w:val="18"/>
                <w:szCs w:val="18"/>
                <w:color w:val="0000FF"/>
              </w:rPr>
              <w:t>Consolidated Balance Sheets as of June 30, 2023 and June 30, 2022</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960" w:type="dxa"/>
            <w:vAlign w:val="bottom"/>
            <w:gridSpan w:val="14"/>
          </w:tcPr>
          <w:p>
            <w:pPr>
              <w:spacing w:after="0"/>
              <w:rPr>
                <w:sz w:val="20"/>
                <w:szCs w:val="20"/>
                <w:color w:val="auto"/>
              </w:rPr>
            </w:pPr>
            <w:r>
              <w:rPr>
                <w:rFonts w:ascii="Arial" w:cs="Arial" w:eastAsia="Arial" w:hAnsi="Arial"/>
                <w:sz w:val="18"/>
                <w:szCs w:val="18"/>
                <w:color w:val="0000FF"/>
              </w:rPr>
              <w:t>Consolidated Statements of Cash Flows for the Fiscal Years Ended June 30, 2023, June 30, 2022, and</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0000FF"/>
                <w:w w:val="79"/>
              </w:rPr>
              <w:t>48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top w:val="single" w:sz="8" w:color="0000FF"/>
              <w:bottom w:val="single" w:sz="8" w:color="0000FF"/>
            </w:tcBorders>
            <w:gridSpan w:val="2"/>
          </w:tcPr>
          <w:p>
            <w:pPr>
              <w:spacing w:after="0" w:line="164" w:lineRule="exact"/>
              <w:rPr>
                <w:sz w:val="20"/>
                <w:szCs w:val="20"/>
                <w:color w:val="auto"/>
              </w:rPr>
            </w:pPr>
            <w:r>
              <w:rPr>
                <w:rFonts w:ascii="Arial" w:cs="Arial" w:eastAsia="Arial" w:hAnsi="Arial"/>
                <w:sz w:val="18"/>
                <w:szCs w:val="18"/>
                <w:color w:val="0000FF"/>
                <w:w w:val="84"/>
              </w:rPr>
              <w:t>June 30, 2021</w:t>
            </w:r>
          </w:p>
        </w:tc>
        <w:tc>
          <w:tcPr>
            <w:tcW w:w="6120" w:type="dxa"/>
            <w:vAlign w:val="bottom"/>
            <w:tcBorders>
              <w:top w:val="single" w:sz="8" w:color="0000FF"/>
            </w:tcBorders>
            <w:gridSpan w:val="9"/>
          </w:tcPr>
          <w:p>
            <w:pPr>
              <w:spacing w:after="0"/>
              <w:rPr>
                <w:sz w:val="14"/>
                <w:szCs w:val="14"/>
                <w:color w:val="auto"/>
              </w:rPr>
            </w:pPr>
          </w:p>
        </w:tc>
        <w:tc>
          <w:tcPr>
            <w:tcW w:w="1860" w:type="dxa"/>
            <w:vAlign w:val="bottom"/>
            <w:gridSpan w:val="3"/>
          </w:tcPr>
          <w:p>
            <w:pPr>
              <w:spacing w:after="0"/>
              <w:rPr>
                <w:sz w:val="14"/>
                <w:szCs w:val="14"/>
                <w:color w:val="auto"/>
              </w:rPr>
            </w:pPr>
          </w:p>
        </w:tc>
        <w:tc>
          <w:tcPr>
            <w:tcW w:w="18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960" w:type="dxa"/>
            <w:vAlign w:val="bottom"/>
            <w:gridSpan w:val="14"/>
          </w:tcPr>
          <w:p>
            <w:pPr>
              <w:spacing w:after="0"/>
              <w:rPr>
                <w:sz w:val="20"/>
                <w:szCs w:val="20"/>
                <w:color w:val="auto"/>
              </w:rPr>
            </w:pPr>
            <w:r>
              <w:rPr>
                <w:rFonts w:ascii="Arial" w:cs="Arial" w:eastAsia="Arial" w:hAnsi="Arial"/>
                <w:sz w:val="18"/>
                <w:szCs w:val="18"/>
                <w:color w:val="0000FF"/>
              </w:rPr>
              <w:t>Consolidated Statements of Changes in Stockholders’ Equity for the Fiscal Years Ended June 30,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0000FF"/>
                <w:w w:val="79"/>
              </w:rPr>
              <w:t>50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4"/>
          </w:tcPr>
          <w:p>
            <w:pPr>
              <w:spacing w:after="0" w:line="164" w:lineRule="exact"/>
              <w:rPr>
                <w:sz w:val="20"/>
                <w:szCs w:val="20"/>
                <w:color w:val="auto"/>
              </w:rPr>
            </w:pPr>
            <w:r>
              <w:rPr>
                <w:rFonts w:ascii="Arial" w:cs="Arial" w:eastAsia="Arial" w:hAnsi="Arial"/>
                <w:sz w:val="18"/>
                <w:szCs w:val="18"/>
                <w:color w:val="0000FF"/>
                <w:w w:val="85"/>
              </w:rPr>
              <w:t>2023, June 30, 2022, and June 30, 2021</w:t>
            </w:r>
          </w:p>
        </w:tc>
        <w:tc>
          <w:tcPr>
            <w:tcW w:w="4020" w:type="dxa"/>
            <w:vAlign w:val="bottom"/>
            <w:tcBorders>
              <w:top w:val="single" w:sz="8" w:color="0000FF"/>
            </w:tcBorders>
            <w:gridSpan w:val="6"/>
          </w:tcPr>
          <w:p>
            <w:pPr>
              <w:spacing w:after="0"/>
              <w:rPr>
                <w:sz w:val="14"/>
                <w:szCs w:val="14"/>
                <w:color w:val="auto"/>
              </w:rPr>
            </w:pPr>
          </w:p>
        </w:tc>
        <w:tc>
          <w:tcPr>
            <w:tcW w:w="2160" w:type="dxa"/>
            <w:vAlign w:val="bottom"/>
            <w:gridSpan w:val="4"/>
          </w:tcPr>
          <w:p>
            <w:pPr>
              <w:spacing w:after="0"/>
              <w:rPr>
                <w:sz w:val="14"/>
                <w:szCs w:val="14"/>
                <w:color w:val="auto"/>
              </w:rPr>
            </w:pPr>
          </w:p>
        </w:tc>
        <w:tc>
          <w:tcPr>
            <w:tcW w:w="18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6"/>
              </w:rPr>
              <w:t>Notes to Consolidated Financial Statements</w:t>
            </w:r>
          </w:p>
        </w:tc>
        <w:tc>
          <w:tcPr>
            <w:tcW w:w="5900" w:type="dxa"/>
            <w:vAlign w:val="bottom"/>
            <w:gridSpan w:val="8"/>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Schedule II—Valuation and Qualifying Accounts</w:t>
            </w:r>
          </w:p>
        </w:tc>
        <w:tc>
          <w:tcPr>
            <w:tcW w:w="6140" w:type="dxa"/>
            <w:vAlign w:val="bottom"/>
            <w:gridSpan w:val="9"/>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6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financial statement schedule is filed as a part of this report under Schedule II – Valuation and Qualifying Accounts for the three fiscal years ended June 30, 2023, June 30, 2022 and June 30, 2021 immediately following Notes to Consolidated Financial Statements.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management of Matrix Service Company and its wholly-owned subsidiaries (the “Company”) are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All internal control systems, no matter how well designed, have inherent limitations and cannot provide absolute assurance that all objectives will be met. Internal control over financial reporting is a process that involves diligence and is subject to lapses in judgment and human error. Internal control over financial reporting can also be circumvented by collusion or management override of controls. Because of these limitations, there is a risk that material misstatements may not be prevented or detected on a timely basis.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June 30, 2023. In making this assessment, the Company’s management used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set forth by the Committee of Sponsoring Organizations of the Treadway Commission (“COSO”) in Internal Control-Integrated Framework.</w:t>
      </w:r>
    </w:p>
    <w:p>
      <w:pPr>
        <w:spacing w:after="0" w:line="13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Management’s assessment included an evaluation of such elements as the design and operating effectiveness of key financial reporting controls, process documentation, accounting policies, overall control environment and information systems control environment. Based on this assessment, the Company’s management has concluded that the Company’s internal control over financial reporting as of June 30, 2023 was effective.</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Deloitte &amp; Touche LLP, an independent registered public accounting firm, has issued an attestation report on the effectiveness of the Company’s internal control over financial reporting as of June 30, 2023. Deloitte &amp; Touche LLP’s report on the Company’s internal control over financial reporting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0" w:type="dxa"/>
            <w:vAlign w:val="bottom"/>
            <w:gridSpan w:val="2"/>
          </w:tcPr>
          <w:p>
            <w:pPr>
              <w:jc w:val="center"/>
              <w:ind w:right="2480"/>
              <w:spacing w:after="0"/>
              <w:rPr>
                <w:sz w:val="20"/>
                <w:szCs w:val="20"/>
                <w:color w:val="auto"/>
              </w:rPr>
            </w:pPr>
            <w:r>
              <w:rPr>
                <w:rFonts w:ascii="Arial" w:cs="Arial" w:eastAsia="Arial" w:hAnsi="Arial"/>
                <w:sz w:val="18"/>
                <w:szCs w:val="18"/>
                <w:color w:val="auto"/>
                <w:w w:val="90"/>
              </w:rPr>
              <w:t>/s/ John R. Hewitt</w:t>
            </w:r>
          </w:p>
        </w:tc>
        <w:tc>
          <w:tcPr>
            <w:tcW w:w="4620" w:type="dxa"/>
            <w:vAlign w:val="bottom"/>
          </w:tcPr>
          <w:p>
            <w:pPr>
              <w:jc w:val="center"/>
              <w:ind w:left="264"/>
              <w:spacing w:after="0"/>
              <w:rPr>
                <w:sz w:val="20"/>
                <w:szCs w:val="20"/>
                <w:color w:val="auto"/>
              </w:rPr>
            </w:pPr>
            <w:r>
              <w:rPr>
                <w:rFonts w:ascii="Arial" w:cs="Arial" w:eastAsia="Arial" w:hAnsi="Arial"/>
                <w:sz w:val="18"/>
                <w:szCs w:val="18"/>
                <w:color w:val="auto"/>
                <w:w w:val="88"/>
              </w:rPr>
              <w:t>/s/ Kevin S. Cavanah</w:t>
            </w:r>
          </w:p>
        </w:tc>
      </w:tr>
      <w:tr>
        <w:trPr>
          <w:trHeight w:val="176"/>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John R. Hewitt</w:t>
            </w:r>
          </w:p>
        </w:tc>
        <w:tc>
          <w:tcPr>
            <w:tcW w:w="2480" w:type="dxa"/>
            <w:vAlign w:val="bottom"/>
          </w:tcPr>
          <w:p>
            <w:pPr>
              <w:spacing w:after="0"/>
              <w:rPr>
                <w:sz w:val="15"/>
                <w:szCs w:val="15"/>
                <w:color w:val="auto"/>
              </w:rPr>
            </w:pPr>
          </w:p>
        </w:tc>
        <w:tc>
          <w:tcPr>
            <w:tcW w:w="4620" w:type="dxa"/>
            <w:vAlign w:val="bottom"/>
            <w:tcBorders>
              <w:top w:val="single" w:sz="8" w:color="auto"/>
            </w:tcBorders>
          </w:tcPr>
          <w:p>
            <w:pPr>
              <w:jc w:val="center"/>
              <w:ind w:left="264"/>
              <w:spacing w:after="0"/>
              <w:rPr>
                <w:sz w:val="20"/>
                <w:szCs w:val="20"/>
                <w:color w:val="auto"/>
              </w:rPr>
            </w:pPr>
            <w:r>
              <w:rPr>
                <w:rFonts w:ascii="Arial" w:cs="Arial" w:eastAsia="Arial" w:hAnsi="Arial"/>
                <w:sz w:val="14"/>
                <w:szCs w:val="14"/>
                <w:b w:val="1"/>
                <w:bCs w:val="1"/>
                <w:color w:val="auto"/>
                <w:w w:val="91"/>
              </w:rPr>
              <w:t>Kevin S. Cavanah</w:t>
            </w:r>
          </w:p>
        </w:tc>
      </w:tr>
      <w:tr>
        <w:trPr>
          <w:trHeight w:val="188"/>
        </w:trPr>
        <w:tc>
          <w:tcPr>
            <w:tcW w:w="6600" w:type="dxa"/>
            <w:vAlign w:val="bottom"/>
            <w:gridSpan w:val="2"/>
          </w:tcPr>
          <w:p>
            <w:pPr>
              <w:jc w:val="center"/>
              <w:ind w:right="2480"/>
              <w:spacing w:after="0"/>
              <w:rPr>
                <w:sz w:val="20"/>
                <w:szCs w:val="20"/>
                <w:color w:val="auto"/>
              </w:rPr>
            </w:pPr>
            <w:r>
              <w:rPr>
                <w:rFonts w:ascii="Arial" w:cs="Arial" w:eastAsia="Arial" w:hAnsi="Arial"/>
                <w:sz w:val="14"/>
                <w:szCs w:val="14"/>
                <w:b w:val="1"/>
                <w:bCs w:val="1"/>
                <w:color w:val="auto"/>
                <w:w w:val="91"/>
              </w:rPr>
              <w:t>President and Chief Executive Officer</w:t>
            </w:r>
          </w:p>
        </w:tc>
        <w:tc>
          <w:tcPr>
            <w:tcW w:w="4620" w:type="dxa"/>
            <w:vAlign w:val="bottom"/>
          </w:tcPr>
          <w:p>
            <w:pPr>
              <w:jc w:val="center"/>
              <w:ind w:left="284"/>
              <w:spacing w:after="0"/>
              <w:rPr>
                <w:sz w:val="20"/>
                <w:szCs w:val="20"/>
                <w:color w:val="auto"/>
              </w:rPr>
            </w:pPr>
            <w:r>
              <w:rPr>
                <w:rFonts w:ascii="Arial" w:cs="Arial" w:eastAsia="Arial" w:hAnsi="Arial"/>
                <w:sz w:val="14"/>
                <w:szCs w:val="14"/>
                <w:b w:val="1"/>
                <w:bCs w:val="1"/>
                <w:color w:val="auto"/>
                <w:w w:val="91"/>
              </w:rPr>
              <w:t>Vice President and Chief Financial Officer</w:t>
            </w: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2023</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audited the internal control over financial reporting of Matrix Service Company and subsidiaries (the “Company”) as of June 30,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June 30, 2023 based on criteria established in Internal Control - Integrated Framework (2013) issued by COSO.</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June 30, 2023, of the Company and our report dated September 12, 2023, expressed an unqualified opinion on those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2023</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Matrix Service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We have audited the accompanying consolidated balance sheets of Matrix Service Company and subsidiaries (the "Company") as of June 30, 2023 and 2022, the related consolidated statements of income, comprehensive income, cash flows, and changes in stockholders' equity for each of the three years in the period ended June 30, 2023 and the related notes and the schedule listed in the Index at Item 8 (collectively referred to as the "financial statements"). In our opinion, the financial statements present fairly, in all material respects, the financial position of the Company as of June 30, 2023 and 2022, and the results of its operations and its cash flows for each of the three years in the period ended June 30, 2023, in conformity with accounting principles generally accepted in the United States of America.</w:t>
      </w:r>
    </w:p>
    <w:p>
      <w:pPr>
        <w:spacing w:after="0" w:line="21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June 30, 2023, based on criteria established in Internal Control — Integrated Framework (2013) issued by the Committee of Sponsoring Organizations of the Treadway Commission and our report dated September 12, 2023 expressed an unqualified opinion on the Company's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34" w:lineRule="exact"/>
        <w:rPr>
          <w:sz w:val="20"/>
          <w:szCs w:val="20"/>
          <w:color w:val="auto"/>
        </w:rPr>
      </w:pPr>
    </w:p>
    <w:p>
      <w:pPr>
        <w:ind w:right="4940"/>
        <w:spacing w:after="0" w:line="430" w:lineRule="auto"/>
        <w:rPr>
          <w:sz w:val="20"/>
          <w:szCs w:val="20"/>
          <w:color w:val="auto"/>
        </w:rPr>
      </w:pPr>
      <w:r>
        <w:rPr>
          <w:rFonts w:ascii="Arial" w:cs="Arial" w:eastAsia="Arial" w:hAnsi="Arial"/>
          <w:sz w:val="18"/>
          <w:szCs w:val="18"/>
          <w:b w:val="1"/>
          <w:bCs w:val="1"/>
          <w:color w:val="auto"/>
        </w:rPr>
        <w:t xml:space="preserve">Revenue – Fixed Price Contracts – Refer to Notes 1 and 2 to the financial statements </w:t>
      </w:r>
      <w:r>
        <w:rPr>
          <w:rFonts w:ascii="Arial" w:cs="Arial" w:eastAsia="Arial" w:hAnsi="Arial"/>
          <w:sz w:val="18"/>
          <w:szCs w:val="18"/>
          <w:i w:val="1"/>
          <w:iCs w:val="1"/>
          <w:color w:val="auto"/>
        </w:rPr>
        <w:t>Critical Audit Matter Description</w:t>
      </w:r>
    </w:p>
    <w:p>
      <w:pPr>
        <w:jc w:val="both"/>
        <w:spacing w:after="0" w:line="282" w:lineRule="auto"/>
        <w:rPr>
          <w:sz w:val="20"/>
          <w:szCs w:val="20"/>
          <w:color w:val="auto"/>
        </w:rPr>
      </w:pPr>
      <w:r>
        <w:rPr>
          <w:rFonts w:ascii="Arial" w:cs="Arial" w:eastAsia="Arial" w:hAnsi="Arial"/>
          <w:sz w:val="16"/>
          <w:szCs w:val="16"/>
          <w:color w:val="auto"/>
        </w:rPr>
        <w:t>The Company enters into contracts with customers to provide engineering, procurement, and fabrication and construction services, usually provided in association with capital projects, which commonly are fixed price contracts and are billed based on project milestones. Revenue on performance obligations associated with fixed-price contracts is recognized over time since these services create or enhance assets the customer controls as they are being created or enhanced. The Company measures progress of satisfying these performance obligations by using the percentage-of-completion method, which is based on costs incurred to date compared to the total estimated costs at completion. Due to the nature of work left to be performed on many of the Company’s contracts, the estimation of total cost at completion for fixed price contracts is complex, subject to many variables and requires significant judgment. For the fiscal year ended June 30, 2023, revenue totaled $795.0 million, of which $419.4 million related to fixed-price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Given the significant judgment necessary to estimate total costs at completion for fixed price contracts, auditing these estimates required extensive audit effort due to the volume and complexity of the fixed price contracts and a high degree of auditor judgment when evaluating the results of audit procedures, including the involvement of our capital projects specialists for certain fixed price contracts.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estimated total costs at completion for fixed price contracts included the following, among others:</w:t>
      </w:r>
    </w:p>
    <w:p>
      <w:pPr>
        <w:spacing w:after="0" w:line="161" w:lineRule="exact"/>
        <w:rPr>
          <w:sz w:val="20"/>
          <w:szCs w:val="20"/>
          <w:color w:val="auto"/>
        </w:rPr>
      </w:pPr>
    </w:p>
    <w:p>
      <w:pPr>
        <w:ind w:left="640" w:hanging="319"/>
        <w:spacing w:after="0" w:line="261"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tested the effectiveness of controls over the recognition of revenue for fixed price contracts, including management’s controls over estimates of total costs at completion.</w:t>
      </w:r>
    </w:p>
    <w:p>
      <w:pPr>
        <w:spacing w:after="0" w:line="128"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evaluated the appropriateness and consistency of the methods and assumptions used by management to estimate total costs on fixed price contracts.</w:t>
      </w:r>
    </w:p>
    <w:p>
      <w:pPr>
        <w:spacing w:after="0" w:line="128"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evaluated management’s ability to accurately estimate contract costs by comparing current gross margin to historical gross margin for certain fixed price contracts open and completed during each quarter.</w:t>
      </w:r>
    </w:p>
    <w:p>
      <w:pPr>
        <w:spacing w:after="0" w:line="128"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selected a sample of fixed price contracts and performed the following:</w:t>
      </w:r>
    </w:p>
    <w:p>
      <w:pPr>
        <w:spacing w:after="0" w:line="161" w:lineRule="exact"/>
        <w:rPr>
          <w:rFonts w:ascii="Arial" w:cs="Arial" w:eastAsia="Arial" w:hAnsi="Arial"/>
          <w:sz w:val="18"/>
          <w:szCs w:val="18"/>
          <w:color w:val="auto"/>
        </w:rPr>
      </w:pPr>
    </w:p>
    <w:p>
      <w:pPr>
        <w:ind w:left="1260" w:hanging="309"/>
        <w:spacing w:after="0" w:line="261" w:lineRule="auto"/>
        <w:tabs>
          <w:tab w:leader="none" w:pos="1256"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gross margin changes over time for each selected contract from bid date to the testing date to evaluate management’s historical and current estimates of total costs at completion.</w:t>
      </w:r>
    </w:p>
    <w:p>
      <w:pPr>
        <w:spacing w:after="0" w:line="128" w:lineRule="exact"/>
        <w:rPr>
          <w:rFonts w:ascii="Arial" w:cs="Arial" w:eastAsia="Arial" w:hAnsi="Arial"/>
          <w:sz w:val="18"/>
          <w:szCs w:val="18"/>
          <w:color w:val="auto"/>
        </w:rPr>
      </w:pPr>
    </w:p>
    <w:p>
      <w:pPr>
        <w:jc w:val="both"/>
        <w:ind w:left="1260" w:hanging="309"/>
        <w:spacing w:after="0" w:line="252" w:lineRule="auto"/>
        <w:tabs>
          <w:tab w:leader="none" w:pos="1256"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management’s ability to estimate total costs at completion for each selected contract by performing corroborating inquiries with the Company’s project managers and personnel involved with the selected contracts, including inquiries related to the timeline to completion and estimates of future costs to complete the contract.</w:t>
      </w:r>
    </w:p>
    <w:p>
      <w:pPr>
        <w:spacing w:after="0" w:line="136" w:lineRule="exact"/>
        <w:rPr>
          <w:rFonts w:ascii="Arial" w:cs="Arial" w:eastAsia="Arial" w:hAnsi="Arial"/>
          <w:sz w:val="18"/>
          <w:szCs w:val="18"/>
          <w:color w:val="auto"/>
        </w:rPr>
      </w:pPr>
    </w:p>
    <w:p>
      <w:pPr>
        <w:ind w:left="1260" w:hanging="309"/>
        <w:spacing w:after="0" w:line="261" w:lineRule="auto"/>
        <w:tabs>
          <w:tab w:leader="none" w:pos="1256" w:val="left"/>
        </w:tabs>
        <w:numPr>
          <w:ilvl w:val="1"/>
          <w:numId w:val="28"/>
        </w:numPr>
        <w:rPr>
          <w:rFonts w:ascii="Arial" w:cs="Arial" w:eastAsia="Arial" w:hAnsi="Arial"/>
          <w:sz w:val="18"/>
          <w:szCs w:val="18"/>
          <w:color w:val="auto"/>
        </w:rPr>
      </w:pPr>
      <w:r>
        <w:rPr>
          <w:rFonts w:ascii="Arial" w:cs="Arial" w:eastAsia="Arial" w:hAnsi="Arial"/>
          <w:sz w:val="18"/>
          <w:szCs w:val="18"/>
          <w:color w:val="auto"/>
        </w:rPr>
        <w:t>Selected a sample of estimates of future costs to complete for certain selected fixed price contracts and evaluated management’s estimates of total costs at completion by performing one of the following:</w:t>
      </w:r>
    </w:p>
    <w:p>
      <w:pPr>
        <w:spacing w:after="0" w:line="128" w:lineRule="exact"/>
        <w:rPr>
          <w:rFonts w:ascii="Arial" w:cs="Arial" w:eastAsia="Arial" w:hAnsi="Arial"/>
          <w:sz w:val="18"/>
          <w:szCs w:val="18"/>
          <w:color w:val="auto"/>
        </w:rPr>
      </w:pPr>
    </w:p>
    <w:p>
      <w:pPr>
        <w:ind w:left="1900" w:hanging="318"/>
        <w:spacing w:after="0" w:line="261" w:lineRule="auto"/>
        <w:tabs>
          <w:tab w:leader="none" w:pos="1896" w:val="left"/>
        </w:tabs>
        <w:numPr>
          <w:ilvl w:val="2"/>
          <w:numId w:val="28"/>
        </w:numPr>
        <w:rPr>
          <w:rFonts w:ascii="Arial" w:cs="Arial" w:eastAsia="Arial" w:hAnsi="Arial"/>
          <w:sz w:val="18"/>
          <w:szCs w:val="18"/>
          <w:color w:val="auto"/>
        </w:rPr>
      </w:pPr>
      <w:r>
        <w:rPr>
          <w:rFonts w:ascii="Arial" w:cs="Arial" w:eastAsia="Arial" w:hAnsi="Arial"/>
          <w:sz w:val="18"/>
          <w:szCs w:val="18"/>
          <w:color w:val="auto"/>
        </w:rPr>
        <w:t>Comparing management’s estimates to documents such as management’s work plans, customer purchase orders, third-party invoices from suppliers, and subcontractor agreements.</w:t>
      </w:r>
    </w:p>
    <w:p>
      <w:pPr>
        <w:spacing w:after="0" w:line="128" w:lineRule="exact"/>
        <w:rPr>
          <w:rFonts w:ascii="Arial" w:cs="Arial" w:eastAsia="Arial" w:hAnsi="Arial"/>
          <w:sz w:val="18"/>
          <w:szCs w:val="18"/>
          <w:color w:val="auto"/>
        </w:rPr>
      </w:pPr>
    </w:p>
    <w:p>
      <w:pPr>
        <w:jc w:val="both"/>
        <w:ind w:left="1900" w:hanging="318"/>
        <w:spacing w:after="0" w:line="299" w:lineRule="auto"/>
        <w:tabs>
          <w:tab w:leader="none" w:pos="1936" w:val="left"/>
        </w:tabs>
        <w:numPr>
          <w:ilvl w:val="2"/>
          <w:numId w:val="28"/>
        </w:numPr>
        <w:rPr>
          <w:rFonts w:ascii="Arial" w:cs="Arial" w:eastAsia="Arial" w:hAnsi="Arial"/>
          <w:sz w:val="16"/>
          <w:szCs w:val="16"/>
          <w:color w:val="auto"/>
        </w:rPr>
      </w:pPr>
      <w:r>
        <w:rPr>
          <w:rFonts w:ascii="Arial" w:cs="Arial" w:eastAsia="Arial" w:hAnsi="Arial"/>
          <w:sz w:val="16"/>
          <w:szCs w:val="16"/>
          <w:color w:val="auto"/>
        </w:rPr>
        <w:t>Developing independent estimates of total costs at completion and compared our estimates to management’s estimates. Our independent estimates were based on information such as management’s work plans, customer purchase orders, third-party invoices from suppliers, subcontractor agreements, and similar historical project experience.</w:t>
      </w:r>
    </w:p>
    <w:p>
      <w:pPr>
        <w:spacing w:after="0" w:line="100" w:lineRule="exact"/>
        <w:rPr>
          <w:rFonts w:ascii="Arial" w:cs="Arial" w:eastAsia="Arial" w:hAnsi="Arial"/>
          <w:sz w:val="16"/>
          <w:szCs w:val="16"/>
          <w:color w:val="auto"/>
        </w:rPr>
      </w:pPr>
    </w:p>
    <w:p>
      <w:pPr>
        <w:ind w:left="1260" w:hanging="309"/>
        <w:spacing w:after="0" w:line="261" w:lineRule="auto"/>
        <w:tabs>
          <w:tab w:leader="none" w:pos="1269" w:val="left"/>
        </w:tabs>
        <w:numPr>
          <w:ilvl w:val="1"/>
          <w:numId w:val="28"/>
        </w:numPr>
        <w:rPr>
          <w:rFonts w:ascii="Arial" w:cs="Arial" w:eastAsia="Arial" w:hAnsi="Arial"/>
          <w:sz w:val="18"/>
          <w:szCs w:val="18"/>
          <w:color w:val="auto"/>
        </w:rPr>
      </w:pPr>
      <w:r>
        <w:rPr>
          <w:rFonts w:ascii="Arial" w:cs="Arial" w:eastAsia="Arial" w:hAnsi="Arial"/>
          <w:sz w:val="18"/>
          <w:szCs w:val="18"/>
          <w:color w:val="auto"/>
        </w:rPr>
        <w:t>For certain fixed price contract, we used our capital projects specialists to assist us in evaluating (1) management’s ability to estimate total costs at completion and (2) management’s estimates of total costs at completion.</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 Certain Reporting Units– Refer to Notes 1 and 4 to the financial statements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evaluation of goodwill for impairment involves the comparison of management’s estimate of the fair value of each reporting unit to its carrying value. The estimated fair value of each reporting unit was derived primarily by utilizing a discounted cash flow analysis based on the Company’s operating and capital budgets and strategic plan. Significant judgments and assumptions including the revenue growth rate, forecasted gross margins, and discount rate are inherent in the fair value estimates. The use of alternate judgments and/or assumptions could result in a fair value that differs from management’s estimate and could result in the recognition of impairment charges in the financial statements.</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performed an interim goodwill impairment test as of December 31, 2022, which resulted in $12.3 million of total impairment to goodwill in the second quarter of fiscal year 2023, and an annual goodwill impairment test as of May 31, 2023, which resulted in no impairment of goodwill in the fourth quarter of fiscal year 2023. Three reporting units with a combined total of $20.9 million of goodwill as of June 30, 2023 were at higher risk of future impairment than others and their estimated fair values exceed their carrying values by 11% to 28%. The Company’s total goodwill was $29.1 million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identified goodwill for three identified reporting units with a combined total of $20.9 million of goodwill as a critical audit matter because of the significant judgments made by management to estimate the fair values of these reporting units. This required a high degree of auditor judgment and an increased extent of effort, including the need to involve our fair value specialists, when performing audit procedures to evaluate the reasonableness of management’s estimates and assumptions related to the revenue growth rate, forecasted gross margins, and discount rate.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audit procedures related to the revenue growth rate, forecasted gross margins, and the discount rate used by management to estimate the fair value of the three identified reporting units included the following, among others:</w:t>
      </w:r>
    </w:p>
    <w:p>
      <w:pPr>
        <w:spacing w:after="0" w:line="128" w:lineRule="exact"/>
        <w:rPr>
          <w:sz w:val="20"/>
          <w:szCs w:val="20"/>
          <w:color w:val="auto"/>
        </w:rPr>
      </w:pPr>
    </w:p>
    <w:p>
      <w:pPr>
        <w:jc w:val="both"/>
        <w:ind w:left="640" w:hanging="319"/>
        <w:spacing w:after="0" w:line="252"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goodwill impairment evaluation, including those over the determination of the fair value of the four identified reporting units, such as controls related to management’s selection of the revenue growth rate and discount rate and forecasts of gross margins.</w:t>
      </w:r>
    </w:p>
    <w:p>
      <w:pPr>
        <w:spacing w:after="0" w:line="136"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the revenue growth rate and future gross margins by comparing actual results to management’s historical forecasts.</w:t>
      </w:r>
    </w:p>
    <w:p>
      <w:pPr>
        <w:spacing w:after="0" w:line="128" w:lineRule="exact"/>
        <w:rPr>
          <w:rFonts w:ascii="Arial" w:cs="Arial" w:eastAsia="Arial" w:hAnsi="Arial"/>
          <w:sz w:val="18"/>
          <w:szCs w:val="18"/>
          <w:color w:val="auto"/>
        </w:rPr>
      </w:pPr>
    </w:p>
    <w:p>
      <w:pPr>
        <w:ind w:left="640" w:hanging="319"/>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evaluated the reasonableness of management’s revenue growth rate and forecasted gross margins by comparing the forecasts to:</w:t>
      </w:r>
    </w:p>
    <w:p>
      <w:pPr>
        <w:spacing w:after="0" w:line="184" w:lineRule="exact"/>
        <w:rPr>
          <w:rFonts w:ascii="Arial" w:cs="Arial" w:eastAsia="Arial" w:hAnsi="Arial"/>
          <w:sz w:val="16"/>
          <w:szCs w:val="16"/>
          <w:color w:val="auto"/>
        </w:rPr>
      </w:pPr>
    </w:p>
    <w:p>
      <w:pPr>
        <w:ind w:left="1260" w:hanging="309"/>
        <w:spacing w:after="0"/>
        <w:tabs>
          <w:tab w:leader="none" w:pos="12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Historical revenue growth and gross margins.</w:t>
      </w:r>
    </w:p>
    <w:p>
      <w:pPr>
        <w:spacing w:after="0" w:line="161" w:lineRule="exact"/>
        <w:rPr>
          <w:rFonts w:ascii="Arial" w:cs="Arial" w:eastAsia="Arial" w:hAnsi="Arial"/>
          <w:sz w:val="18"/>
          <w:szCs w:val="18"/>
          <w:color w:val="auto"/>
        </w:rPr>
      </w:pPr>
    </w:p>
    <w:p>
      <w:pPr>
        <w:ind w:left="1260" w:hanging="309"/>
        <w:spacing w:after="0" w:line="261" w:lineRule="auto"/>
        <w:tabs>
          <w:tab w:leader="none" w:pos="1256"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Internal communications to management and the Board of Directors, including other forward estimates prepared or used by management for other accounting estimates.</w:t>
      </w:r>
    </w:p>
    <w:p>
      <w:pPr>
        <w:spacing w:after="0" w:line="128" w:lineRule="exact"/>
        <w:rPr>
          <w:rFonts w:ascii="Arial" w:cs="Arial" w:eastAsia="Arial" w:hAnsi="Arial"/>
          <w:sz w:val="18"/>
          <w:szCs w:val="18"/>
          <w:color w:val="auto"/>
        </w:rPr>
      </w:pPr>
    </w:p>
    <w:p>
      <w:pPr>
        <w:ind w:left="1260" w:hanging="309"/>
        <w:spacing w:after="0"/>
        <w:tabs>
          <w:tab w:leader="none" w:pos="12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Remaining performance obligations.</w:t>
      </w:r>
    </w:p>
    <w:p>
      <w:pPr>
        <w:spacing w:after="0" w:line="161" w:lineRule="exact"/>
        <w:rPr>
          <w:rFonts w:ascii="Arial" w:cs="Arial" w:eastAsia="Arial" w:hAnsi="Arial"/>
          <w:sz w:val="18"/>
          <w:szCs w:val="18"/>
          <w:color w:val="auto"/>
        </w:rPr>
      </w:pPr>
    </w:p>
    <w:p>
      <w:pPr>
        <w:ind w:left="1260" w:hanging="309"/>
        <w:spacing w:after="0" w:line="261" w:lineRule="auto"/>
        <w:tabs>
          <w:tab w:leader="none" w:pos="1256"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Information included in Company press releases as well as in analyst and industry reports for the Company and certain of its peer companies and in industry outlooks.</w:t>
      </w:r>
    </w:p>
    <w:p>
      <w:pPr>
        <w:spacing w:after="0" w:line="128" w:lineRule="exact"/>
        <w:rPr>
          <w:rFonts w:ascii="Arial" w:cs="Arial" w:eastAsia="Arial" w:hAnsi="Arial"/>
          <w:sz w:val="18"/>
          <w:szCs w:val="18"/>
          <w:color w:val="auto"/>
        </w:rPr>
      </w:pPr>
    </w:p>
    <w:p>
      <w:pPr>
        <w:jc w:val="both"/>
        <w:ind w:left="640" w:hanging="319"/>
        <w:spacing w:after="0" w:line="299" w:lineRule="auto"/>
        <w:tabs>
          <w:tab w:leader="none" w:pos="6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 the assistance of our fair value specialists, we evaluated the reasonableness of the (1) valuation methodology and (2) the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2023</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Fiscal Years Ended</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1"/>
                <w:szCs w:val="11"/>
                <w:color w:val="auto"/>
              </w:rPr>
            </w:pPr>
          </w:p>
        </w:tc>
        <w:tc>
          <w:tcPr>
            <w:tcW w:w="1260" w:type="dxa"/>
            <w:vAlign w:val="bottom"/>
          </w:tcPr>
          <w:p>
            <w:pPr>
              <w:jc w:val="right"/>
              <w:ind w:right="454"/>
              <w:spacing w:after="0" w:line="12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8"/>
        </w:trPr>
        <w:tc>
          <w:tcPr>
            <w:tcW w:w="6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673,398</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708,986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640,633</w:t>
            </w:r>
          </w:p>
        </w:tc>
        <w:tc>
          <w:tcPr>
            <w:tcW w:w="0" w:type="dxa"/>
            <w:vAlign w:val="bottom"/>
          </w:tcPr>
          <w:p>
            <w:pPr>
              <w:spacing w:after="0"/>
              <w:rPr>
                <w:sz w:val="1"/>
                <w:szCs w:val="1"/>
                <w:color w:val="auto"/>
              </w:rPr>
            </w:pPr>
          </w:p>
        </w:tc>
      </w:tr>
      <w:tr>
        <w:trPr>
          <w:trHeight w:val="217"/>
        </w:trPr>
        <w:tc>
          <w:tcPr>
            <w:tcW w:w="63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Gross profit (loss)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32,765</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67,690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69,756</w:t>
            </w:r>
          </w:p>
        </w:tc>
        <w:tc>
          <w:tcPr>
            <w:tcW w:w="0" w:type="dxa"/>
            <w:vAlign w:val="bottom"/>
          </w:tcPr>
          <w:p>
            <w:pPr>
              <w:spacing w:after="0"/>
              <w:rPr>
                <w:sz w:val="1"/>
                <w:szCs w:val="1"/>
                <w:color w:val="auto"/>
              </w:rPr>
            </w:pP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(Note 4)</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costs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w:t>
            </w:r>
          </w:p>
        </w:tc>
        <w:tc>
          <w:tcPr>
            <w:tcW w:w="0" w:type="dxa"/>
            <w:vAlign w:val="bottom"/>
          </w:tcPr>
          <w:p>
            <w:pPr>
              <w:spacing w:after="0"/>
              <w:rPr>
                <w:sz w:val="1"/>
                <w:szCs w:val="1"/>
                <w:color w:val="auto"/>
              </w:rPr>
            </w:pPr>
          </w:p>
        </w:tc>
      </w:tr>
      <w:tr>
        <w:trPr>
          <w:trHeight w:val="217"/>
        </w:trPr>
        <w:tc>
          <w:tcPr>
            <w:tcW w:w="63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(43,747)</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23"/>
        </w:trPr>
        <w:tc>
          <w:tcPr>
            <w:tcW w:w="63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4"/>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(Note 3)</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6300" w:type="dxa"/>
            <w:vAlign w:val="bottom"/>
          </w:tcPr>
          <w:p>
            <w:pPr>
              <w:ind w:left="20"/>
              <w:spacing w:after="0" w:line="203" w:lineRule="exact"/>
              <w:rPr>
                <w:sz w:val="20"/>
                <w:szCs w:val="20"/>
                <w:color w:val="auto"/>
              </w:rPr>
            </w:pPr>
            <w:r>
              <w:rPr>
                <w:rFonts w:ascii="Arial" w:cs="Arial" w:eastAsia="Arial" w:hAnsi="Arial"/>
                <w:sz w:val="18"/>
                <w:szCs w:val="18"/>
                <w:color w:val="auto"/>
              </w:rPr>
              <w:t>Loss before income tax expense (benefit)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(52,761)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(58,283)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(43,263)</w:t>
            </w:r>
          </w:p>
        </w:tc>
        <w:tc>
          <w:tcPr>
            <w:tcW w:w="0" w:type="dxa"/>
            <w:vAlign w:val="bottom"/>
          </w:tcPr>
          <w:p>
            <w:pPr>
              <w:spacing w:after="0"/>
              <w:rPr>
                <w:sz w:val="1"/>
                <w:szCs w:val="1"/>
                <w:color w:val="auto"/>
              </w:rPr>
            </w:pP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federal, state and foreign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(12,039)</w:t>
            </w:r>
          </w:p>
        </w:tc>
        <w:tc>
          <w:tcPr>
            <w:tcW w:w="0" w:type="dxa"/>
            <w:vAlign w:val="bottom"/>
          </w:tcPr>
          <w:p>
            <w:pPr>
              <w:spacing w:after="0"/>
              <w:rPr>
                <w:sz w:val="1"/>
                <w:szCs w:val="1"/>
                <w:color w:val="auto"/>
              </w:rPr>
            </w:pPr>
          </w:p>
        </w:tc>
      </w:tr>
      <w:tr>
        <w:trPr>
          <w:trHeight w:val="216"/>
        </w:trPr>
        <w:tc>
          <w:tcPr>
            <w:tcW w:w="6300" w:type="dxa"/>
            <w:vAlign w:val="bottom"/>
          </w:tcPr>
          <w:p>
            <w:pPr>
              <w:ind w:left="20"/>
              <w:spacing w:after="0" w:line="203" w:lineRule="exact"/>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(52,361)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(31,224)</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3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Basic loss per common share</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loss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26,451</w:t>
            </w:r>
          </w:p>
        </w:tc>
        <w:tc>
          <w:tcPr>
            <w:tcW w:w="0" w:type="dxa"/>
            <w:vAlign w:val="bottom"/>
          </w:tcPr>
          <w:p>
            <w:pPr>
              <w:spacing w:after="0"/>
              <w:rPr>
                <w:sz w:val="1"/>
                <w:szCs w:val="1"/>
                <w:color w:val="auto"/>
              </w:rPr>
            </w:pPr>
          </w:p>
        </w:tc>
      </w:tr>
      <w:tr>
        <w:trPr>
          <w:trHeight w:val="224"/>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26,451</w:t>
            </w:r>
          </w:p>
        </w:tc>
        <w:tc>
          <w:tcPr>
            <w:tcW w:w="0" w:type="dxa"/>
            <w:vAlign w:val="bottom"/>
          </w:tcPr>
          <w:p>
            <w:pPr>
              <w:spacing w:after="0"/>
              <w:rPr>
                <w:sz w:val="1"/>
                <w:szCs w:val="1"/>
                <w:color w:val="auto"/>
              </w:rPr>
            </w:pPr>
          </w:p>
        </w:tc>
      </w:tr>
    </w:tbl>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Fiscal Years Ended</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
        </w:trPr>
        <w:tc>
          <w:tcPr>
            <w:tcW w:w="6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28"/>
        </w:trPr>
        <w:tc>
          <w:tcPr>
            <w:tcW w:w="6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1"/>
                <w:szCs w:val="11"/>
                <w:color w:val="auto"/>
              </w:rPr>
            </w:pPr>
          </w:p>
        </w:tc>
        <w:tc>
          <w:tcPr>
            <w:tcW w:w="1260" w:type="dxa"/>
            <w:vAlign w:val="bottom"/>
          </w:tcPr>
          <w:p>
            <w:pPr>
              <w:jc w:val="right"/>
              <w:ind w:right="459"/>
              <w:spacing w:after="0" w:line="129" w:lineRule="exact"/>
              <w:rPr>
                <w:sz w:val="20"/>
                <w:szCs w:val="20"/>
                <w:color w:val="auto"/>
              </w:rPr>
            </w:pPr>
            <w:r>
              <w:rPr>
                <w:rFonts w:ascii="Arial" w:cs="Arial" w:eastAsia="Arial" w:hAnsi="Arial"/>
                <w:sz w:val="14"/>
                <w:szCs w:val="14"/>
                <w:b w:val="1"/>
                <w:bCs w:val="1"/>
                <w:color w:val="auto"/>
              </w:rPr>
              <w:t>June 30,</w:t>
            </w:r>
          </w:p>
        </w:tc>
      </w:tr>
      <w:tr>
        <w:trPr>
          <w:trHeight w:val="188"/>
        </w:trPr>
        <w:tc>
          <w:tcPr>
            <w:tcW w:w="6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(31,224)</w:t>
            </w: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85"/>
        </w:trPr>
        <w:tc>
          <w:tcPr>
            <w:tcW w:w="6300" w:type="dxa"/>
            <w:vAlign w:val="bottom"/>
            <w:shd w:val="clear" w:color="auto" w:fill="CCEEFF"/>
          </w:tcPr>
          <w:p>
            <w:pPr>
              <w:ind w:left="340"/>
              <w:spacing w:after="0" w:line="185" w:lineRule="exact"/>
              <w:rPr>
                <w:sz w:val="20"/>
                <w:szCs w:val="20"/>
                <w:color w:val="auto"/>
              </w:rPr>
            </w:pPr>
            <w:r>
              <w:rPr>
                <w:rFonts w:ascii="Arial" w:cs="Arial" w:eastAsia="Arial" w:hAnsi="Arial"/>
                <w:sz w:val="18"/>
                <w:szCs w:val="18"/>
                <w:color w:val="auto"/>
                <w:w w:val="89"/>
              </w:rPr>
              <w:t>Foreign currency translation gain (loss) (net of tax expense of $0, $71 and $223 for</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23"/>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fiscal years ended June 30, 2023, 2022 and 2021, respectively)</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r>
      <w:tr>
        <w:trPr>
          <w:trHeight w:val="216"/>
        </w:trPr>
        <w:tc>
          <w:tcPr>
            <w:tcW w:w="6300" w:type="dxa"/>
            <w:vAlign w:val="bottom"/>
          </w:tcPr>
          <w:p>
            <w:pPr>
              <w:ind w:left="20"/>
              <w:spacing w:after="0" w:line="203" w:lineRule="exact"/>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(65,326)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(29,600)</w:t>
            </w:r>
          </w:p>
        </w:tc>
      </w:tr>
      <w:tr>
        <w:trPr>
          <w:trHeight w:val="20"/>
        </w:trPr>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Consolidated Balance Sheets</w:t>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260" w:type="dxa"/>
            <w:vAlign w:val="bottom"/>
          </w:tcPr>
          <w:p>
            <w:pPr>
              <w:jc w:val="right"/>
              <w:ind w:right="454"/>
              <w:spacing w:after="0"/>
              <w:rPr>
                <w:sz w:val="20"/>
                <w:szCs w:val="20"/>
                <w:color w:val="auto"/>
              </w:rPr>
            </w:pPr>
            <w:r>
              <w:rPr>
                <w:rFonts w:ascii="Arial" w:cs="Arial" w:eastAsia="Arial" w:hAnsi="Arial"/>
                <w:sz w:val="14"/>
                <w:szCs w:val="14"/>
                <w:b w:val="1"/>
                <w:bCs w:val="1"/>
                <w:color w:val="auto"/>
              </w:rPr>
              <w:t>June 30,</w:t>
            </w:r>
          </w:p>
        </w:tc>
      </w:tr>
      <w:tr>
        <w:trPr>
          <w:trHeight w:val="187"/>
        </w:trPr>
        <w:tc>
          <w:tcPr>
            <w:tcW w:w="7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r>
      <w:tr>
        <w:trPr>
          <w:trHeight w:val="210"/>
        </w:trPr>
        <w:tc>
          <w:tcPr>
            <w:tcW w:w="7980" w:type="dxa"/>
            <w:vAlign w:val="bottom"/>
          </w:tcPr>
          <w:p>
            <w:pPr>
              <w:ind w:left="370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79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54,812</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52,371</w:t>
            </w:r>
          </w:p>
        </w:tc>
      </w:tr>
      <w:tr>
        <w:trPr>
          <w:trHeight w:val="224"/>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less allowances (2023 - $1,061; 2022 - $1,320)</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153,879</w:t>
            </w:r>
          </w:p>
        </w:tc>
      </w:tr>
      <w:tr>
        <w:trPr>
          <w:trHeight w:val="223"/>
        </w:trPr>
        <w:tc>
          <w:tcPr>
            <w:tcW w:w="7980" w:type="dxa"/>
            <w:vAlign w:val="bottom"/>
          </w:tcPr>
          <w:p>
            <w:pPr>
              <w:ind w:left="3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44,752</w:t>
            </w:r>
          </w:p>
        </w:tc>
      </w:tr>
      <w:tr>
        <w:trPr>
          <w:trHeight w:val="224"/>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w:t>
            </w:r>
          </w:p>
        </w:tc>
      </w:tr>
      <w:tr>
        <w:trPr>
          <w:trHeight w:val="223"/>
        </w:trPr>
        <w:tc>
          <w:tcPr>
            <w:tcW w:w="798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13,547</w:t>
            </w:r>
          </w:p>
        </w:tc>
      </w:tr>
      <w:tr>
        <w:trPr>
          <w:trHeight w:val="224"/>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r>
      <w:tr>
        <w:trPr>
          <w:trHeight w:val="22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8,865</w:t>
            </w:r>
          </w:p>
        </w:tc>
      </w:tr>
      <w:tr>
        <w:trPr>
          <w:trHeight w:val="217"/>
        </w:trPr>
        <w:tc>
          <w:tcPr>
            <w:tcW w:w="79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287,412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 net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53,869</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22,067</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42,135</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Other intangible assets, net of accumulated amortization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4,796</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non-current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r>
      <w:tr>
        <w:trPr>
          <w:trHeight w:val="216"/>
        </w:trPr>
        <w:tc>
          <w:tcPr>
            <w:tcW w:w="7980" w:type="dxa"/>
            <w:vAlign w:val="bottom"/>
          </w:tcPr>
          <w:p>
            <w:pPr>
              <w:ind w:left="20"/>
              <w:spacing w:after="0" w:line="203" w:lineRule="exact"/>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400,504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440,793</w:t>
            </w: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260" w:type="dxa"/>
            <w:vAlign w:val="bottom"/>
          </w:tcPr>
          <w:p>
            <w:pPr>
              <w:jc w:val="right"/>
              <w:ind w:right="454"/>
              <w:spacing w:after="0"/>
              <w:rPr>
                <w:sz w:val="20"/>
                <w:szCs w:val="20"/>
                <w:color w:val="auto"/>
              </w:rPr>
            </w:pPr>
            <w:r>
              <w:rPr>
                <w:rFonts w:ascii="Arial" w:cs="Arial" w:eastAsia="Arial" w:hAnsi="Arial"/>
                <w:sz w:val="14"/>
                <w:szCs w:val="14"/>
                <w:b w:val="1"/>
                <w:bCs w:val="1"/>
                <w:color w:val="auto"/>
              </w:rPr>
              <w:t>June 30,</w:t>
            </w:r>
          </w:p>
        </w:tc>
      </w:tr>
      <w:tr>
        <w:trPr>
          <w:trHeight w:val="187"/>
        </w:trPr>
        <w:tc>
          <w:tcPr>
            <w:tcW w:w="7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r>
      <w:tr>
        <w:trPr>
          <w:trHeight w:val="210"/>
        </w:trPr>
        <w:tc>
          <w:tcPr>
            <w:tcW w:w="7980" w:type="dxa"/>
            <w:vAlign w:val="bottom"/>
          </w:tcPr>
          <w:p>
            <w:pPr>
              <w:ind w:left="26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79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76,365</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74,886</w:t>
            </w:r>
          </w:p>
        </w:tc>
      </w:tr>
      <w:tr>
        <w:trPr>
          <w:trHeight w:val="224"/>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65,106</w:t>
            </w:r>
          </w:p>
        </w:tc>
      </w:tr>
      <w:tr>
        <w:trPr>
          <w:trHeight w:val="223"/>
        </w:trPr>
        <w:tc>
          <w:tcPr>
            <w:tcW w:w="7980" w:type="dxa"/>
            <w:vAlign w:val="bottom"/>
          </w:tcPr>
          <w:p>
            <w:pPr>
              <w:ind w:left="340"/>
              <w:spacing w:after="0"/>
              <w:rPr>
                <w:sz w:val="20"/>
                <w:szCs w:val="20"/>
                <w:color w:val="auto"/>
              </w:rPr>
            </w:pPr>
            <w:r>
              <w:rPr>
                <w:rFonts w:ascii="Arial" w:cs="Arial" w:eastAsia="Arial" w:hAnsi="Arial"/>
                <w:sz w:val="18"/>
                <w:szCs w:val="18"/>
                <w:color w:val="auto"/>
              </w:rPr>
              <w:t>Accrued wages and benefits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21,526</w:t>
            </w:r>
          </w:p>
        </w:tc>
      </w:tr>
      <w:tr>
        <w:trPr>
          <w:trHeight w:val="224"/>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insurance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w:t>
            </w:r>
          </w:p>
        </w:tc>
      </w:tr>
      <w:tr>
        <w:trPr>
          <w:trHeight w:val="223"/>
        </w:trPr>
        <w:tc>
          <w:tcPr>
            <w:tcW w:w="798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5,715</w:t>
            </w:r>
          </w:p>
        </w:tc>
      </w:tr>
      <w:tr>
        <w:trPr>
          <w:trHeight w:val="224"/>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accrued expenses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w:t>
            </w:r>
          </w:p>
        </w:tc>
      </w:tr>
      <w:tr>
        <w:trPr>
          <w:trHeight w:val="216"/>
        </w:trPr>
        <w:tc>
          <w:tcPr>
            <w:tcW w:w="7980" w:type="dxa"/>
            <w:vAlign w:val="bottom"/>
          </w:tcPr>
          <w:p>
            <w:pPr>
              <w:ind w:left="20"/>
              <w:spacing w:after="0" w:line="203" w:lineRule="exact"/>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187,535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177,785</w:t>
            </w:r>
          </w:p>
        </w:tc>
      </w:tr>
      <w:tr>
        <w:trPr>
          <w:trHeight w:val="224"/>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798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19,904</w:t>
            </w:r>
          </w:p>
        </w:tc>
      </w:tr>
      <w:tr>
        <w:trPr>
          <w:trHeight w:val="224"/>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under asset-backed credit facility</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liabilities, non-current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r>
      <w:tr>
        <w:trPr>
          <w:trHeight w:val="217"/>
        </w:trPr>
        <w:tc>
          <w:tcPr>
            <w:tcW w:w="79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213,087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172"/>
        </w:trPr>
        <w:tc>
          <w:tcPr>
            <w:tcW w:w="7980" w:type="dxa"/>
            <w:vAlign w:val="bottom"/>
          </w:tcPr>
          <w:p>
            <w:pPr>
              <w:ind w:left="340"/>
              <w:spacing w:after="0" w:line="172" w:lineRule="exact"/>
              <w:rPr>
                <w:sz w:val="20"/>
                <w:szCs w:val="20"/>
                <w:color w:val="auto"/>
              </w:rPr>
            </w:pPr>
            <w:r>
              <w:rPr>
                <w:rFonts w:ascii="Arial" w:cs="Arial" w:eastAsia="Arial" w:hAnsi="Arial"/>
                <w:sz w:val="18"/>
                <w:szCs w:val="18"/>
                <w:color w:val="auto"/>
                <w:w w:val="91"/>
              </w:rPr>
              <w:t>Common stock—$.01 par value; 60,000,000 shares authorized; 27,888,217 shares issued as of June 30,</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4"/>
        </w:trPr>
        <w:tc>
          <w:tcPr>
            <w:tcW w:w="7980" w:type="dxa"/>
            <w:vAlign w:val="bottom"/>
          </w:tcPr>
          <w:p>
            <w:pPr>
              <w:ind w:left="340"/>
              <w:spacing w:after="0" w:line="184" w:lineRule="exact"/>
              <w:rPr>
                <w:sz w:val="20"/>
                <w:szCs w:val="20"/>
                <w:color w:val="auto"/>
              </w:rPr>
            </w:pPr>
            <w:r>
              <w:rPr>
                <w:rFonts w:ascii="Arial" w:cs="Arial" w:eastAsia="Arial" w:hAnsi="Arial"/>
                <w:sz w:val="18"/>
                <w:szCs w:val="18"/>
                <w:color w:val="auto"/>
                <w:w w:val="89"/>
              </w:rPr>
              <w:t>2023 and June 30, 2022; 27,047,318 and 26,790,514 shares outstanding as of June 30, 2023 and June 30,</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2"/>
        </w:trPr>
        <w:tc>
          <w:tcPr>
            <w:tcW w:w="7980" w:type="dxa"/>
            <w:vAlign w:val="bottom"/>
          </w:tcPr>
          <w:p>
            <w:pPr>
              <w:ind w:left="340"/>
              <w:spacing w:after="0"/>
              <w:rPr>
                <w:sz w:val="20"/>
                <w:szCs w:val="20"/>
                <w:color w:val="auto"/>
              </w:rPr>
            </w:pPr>
            <w:r>
              <w:rPr>
                <w:rFonts w:ascii="Arial" w:cs="Arial" w:eastAsia="Arial" w:hAnsi="Arial"/>
                <w:sz w:val="18"/>
                <w:szCs w:val="18"/>
                <w:color w:val="auto"/>
              </w:rPr>
              <w:t>2022, respectively</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24"/>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139,854</w:t>
            </w:r>
          </w:p>
        </w:tc>
      </w:tr>
      <w:tr>
        <w:trPr>
          <w:trHeight w:val="223"/>
        </w:trPr>
        <w:tc>
          <w:tcPr>
            <w:tcW w:w="79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58,917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111,278</w:t>
            </w:r>
          </w:p>
        </w:tc>
      </w:tr>
      <w:tr>
        <w:trPr>
          <w:trHeight w:val="223"/>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w:t>
            </w:r>
          </w:p>
        </w:tc>
      </w:tr>
      <w:tr>
        <w:trPr>
          <w:trHeight w:val="217"/>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191,237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243,236</w:t>
            </w:r>
          </w:p>
        </w:tc>
      </w:tr>
      <w:tr>
        <w:trPr>
          <w:trHeight w:val="172"/>
        </w:trPr>
        <w:tc>
          <w:tcPr>
            <w:tcW w:w="798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w w:val="98"/>
              </w:rPr>
              <w:t>Treasury stock, at cost — 840,899 and 1,097,703 shares as of June 30, 2023 and June 30, 2022,</w:t>
            </w: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(9,753)</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(15,530)</w:t>
            </w:r>
          </w:p>
        </w:tc>
      </w:tr>
      <w:tr>
        <w:trPr>
          <w:trHeight w:val="216"/>
        </w:trPr>
        <w:tc>
          <w:tcPr>
            <w:tcW w:w="798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181,484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227,706</w:t>
            </w:r>
          </w:p>
        </w:tc>
      </w:tr>
      <w:tr>
        <w:trPr>
          <w:trHeight w:val="242"/>
        </w:trPr>
        <w:tc>
          <w:tcPr>
            <w:tcW w:w="79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440,793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Fiscal Years Ended</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
        </w:trPr>
        <w:tc>
          <w:tcPr>
            <w:tcW w:w="6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28"/>
        </w:trPr>
        <w:tc>
          <w:tcPr>
            <w:tcW w:w="6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1"/>
                <w:szCs w:val="11"/>
                <w:color w:val="auto"/>
              </w:rPr>
            </w:pPr>
          </w:p>
        </w:tc>
        <w:tc>
          <w:tcPr>
            <w:tcW w:w="1260" w:type="dxa"/>
            <w:vAlign w:val="bottom"/>
          </w:tcPr>
          <w:p>
            <w:pPr>
              <w:jc w:val="right"/>
              <w:ind w:right="454"/>
              <w:spacing w:after="0" w:line="129" w:lineRule="exact"/>
              <w:rPr>
                <w:sz w:val="20"/>
                <w:szCs w:val="20"/>
                <w:color w:val="auto"/>
              </w:rPr>
            </w:pPr>
            <w:r>
              <w:rPr>
                <w:rFonts w:ascii="Arial" w:cs="Arial" w:eastAsia="Arial" w:hAnsi="Arial"/>
                <w:sz w:val="14"/>
                <w:szCs w:val="14"/>
                <w:b w:val="1"/>
                <w:bCs w:val="1"/>
                <w:color w:val="auto"/>
              </w:rPr>
              <w:t>June 30,</w:t>
            </w:r>
          </w:p>
        </w:tc>
      </w:tr>
      <w:tr>
        <w:trPr>
          <w:trHeight w:val="187"/>
        </w:trPr>
        <w:tc>
          <w:tcPr>
            <w:tcW w:w="6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10"/>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(31,224)</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w w:val="94"/>
              </w:rPr>
              <w:t>Adjustments to reconcile net loss to net cash provided (used) by operating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4"/>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17,858</w:t>
            </w:r>
          </w:p>
        </w:tc>
      </w:tr>
      <w:tr>
        <w:trPr>
          <w:trHeight w:val="223"/>
        </w:trPr>
        <w:tc>
          <w:tcPr>
            <w:tcW w:w="6320" w:type="dxa"/>
            <w:vAlign w:val="bottom"/>
          </w:tcPr>
          <w:p>
            <w:pPr>
              <w:ind w:left="460"/>
              <w:spacing w:after="0"/>
              <w:rPr>
                <w:sz w:val="20"/>
                <w:szCs w:val="20"/>
                <w:color w:val="auto"/>
              </w:rPr>
            </w:pPr>
            <w:r>
              <w:rPr>
                <w:rFonts w:ascii="Arial" w:cs="Arial" w:eastAsia="Arial" w:hAnsi="Arial"/>
                <w:sz w:val="18"/>
                <w:szCs w:val="18"/>
                <w:color w:val="auto"/>
              </w:rPr>
              <w:t>Goodwill impairment (Note 4)</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18,312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r>
      <w:tr>
        <w:trPr>
          <w:trHeight w:val="172"/>
        </w:trPr>
        <w:tc>
          <w:tcPr>
            <w:tcW w:w="6320" w:type="dxa"/>
            <w:vAlign w:val="bottom"/>
          </w:tcPr>
          <w:p>
            <w:pPr>
              <w:ind w:left="460"/>
              <w:spacing w:after="0" w:line="172" w:lineRule="exact"/>
              <w:rPr>
                <w:sz w:val="20"/>
                <w:szCs w:val="20"/>
                <w:color w:val="auto"/>
              </w:rPr>
            </w:pPr>
            <w:r>
              <w:rPr>
                <w:rFonts w:ascii="Arial" w:cs="Arial" w:eastAsia="Arial" w:hAnsi="Arial"/>
                <w:sz w:val="18"/>
                <w:szCs w:val="18"/>
                <w:color w:val="auto"/>
                <w:w w:val="97"/>
              </w:rPr>
              <w:t>Operating lease, fixed asset, and other intangible asset impairments due to</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6"/>
        </w:trPr>
        <w:tc>
          <w:tcPr>
            <w:tcW w:w="6320" w:type="dxa"/>
            <w:vAlign w:val="bottom"/>
          </w:tcPr>
          <w:p>
            <w:pPr>
              <w:ind w:left="46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24"/>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23"/>
        </w:trPr>
        <w:tc>
          <w:tcPr>
            <w:tcW w:w="6320" w:type="dxa"/>
            <w:vAlign w:val="bottom"/>
          </w:tcPr>
          <w:p>
            <w:pPr>
              <w:ind w:left="460"/>
              <w:spacing w:after="0"/>
              <w:rPr>
                <w:sz w:val="20"/>
                <w:szCs w:val="20"/>
                <w:color w:val="auto"/>
              </w:rPr>
            </w:pPr>
            <w:r>
              <w:rPr>
                <w:rFonts w:ascii="Arial" w:cs="Arial" w:eastAsia="Arial" w:hAnsi="Arial"/>
                <w:sz w:val="18"/>
                <w:szCs w:val="18"/>
                <w:color w:val="auto"/>
              </w:rPr>
              <w:t>Gain on sale of property, plant and equipment (Note 3)</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(1,201)</w:t>
            </w:r>
          </w:p>
        </w:tc>
      </w:tr>
      <w:tr>
        <w:trPr>
          <w:trHeight w:val="224"/>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Provision for uncollectable accounts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6320" w:type="dxa"/>
            <w:vAlign w:val="bottom"/>
          </w:tcPr>
          <w:p>
            <w:pPr>
              <w:ind w:left="460"/>
              <w:spacing w:after="0"/>
              <w:rPr>
                <w:sz w:val="20"/>
                <w:szCs w:val="20"/>
                <w:color w:val="auto"/>
              </w:rPr>
            </w:pPr>
            <w:r>
              <w:rPr>
                <w:rFonts w:ascii="Arial" w:cs="Arial" w:eastAsia="Arial" w:hAnsi="Arial"/>
                <w:sz w:val="18"/>
                <w:szCs w:val="18"/>
                <w:color w:val="auto"/>
              </w:rPr>
              <w:t>Accelerated amortization of deferred debt amendment fees (Note 5)</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4"/>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w:t>
            </w:r>
          </w:p>
        </w:tc>
      </w:tr>
      <w:tr>
        <w:trPr>
          <w:trHeight w:val="223"/>
        </w:trPr>
        <w:tc>
          <w:tcPr>
            <w:tcW w:w="6320" w:type="dxa"/>
            <w:vAlign w:val="bottom"/>
          </w:tcPr>
          <w:p>
            <w:pPr>
              <w:ind w:left="460"/>
              <w:spacing w:after="0"/>
              <w:rPr>
                <w:sz w:val="20"/>
                <w:szCs w:val="20"/>
                <w:color w:val="auto"/>
              </w:rPr>
            </w:pPr>
            <w:r>
              <w:rPr>
                <w:rFonts w:ascii="Arial" w:cs="Arial" w:eastAsia="Arial" w:hAnsi="Arial"/>
                <w:sz w:val="18"/>
                <w:szCs w:val="18"/>
                <w:color w:val="auto"/>
                <w:w w:val="95"/>
              </w:rPr>
              <w:t>Costs and estimated earnings in excess of billings on uncompleted contracts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28,774</w:t>
            </w:r>
          </w:p>
        </w:tc>
      </w:tr>
      <w:tr>
        <w:trPr>
          <w:trHeight w:val="224"/>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r>
      <w:tr>
        <w:trPr>
          <w:trHeight w:val="223"/>
        </w:trPr>
        <w:tc>
          <w:tcPr>
            <w:tcW w:w="6320" w:type="dxa"/>
            <w:vAlign w:val="bottom"/>
          </w:tcPr>
          <w:p>
            <w:pPr>
              <w:ind w:left="460"/>
              <w:spacing w:after="0"/>
              <w:rPr>
                <w:sz w:val="20"/>
                <w:szCs w:val="20"/>
                <w:color w:val="auto"/>
              </w:rPr>
            </w:pPr>
            <w:r>
              <w:rPr>
                <w:rFonts w:ascii="Arial" w:cs="Arial" w:eastAsia="Arial" w:hAnsi="Arial"/>
                <w:sz w:val="18"/>
                <w:szCs w:val="18"/>
                <w:color w:val="auto"/>
              </w:rPr>
              <w:t>Other assets and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(21,916)</w:t>
            </w:r>
          </w:p>
        </w:tc>
      </w:tr>
      <w:tr>
        <w:trPr>
          <w:trHeight w:val="224"/>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(12,387)</w:t>
            </w:r>
          </w:p>
        </w:tc>
      </w:tr>
      <w:tr>
        <w:trPr>
          <w:trHeight w:val="223"/>
        </w:trPr>
        <w:tc>
          <w:tcPr>
            <w:tcW w:w="6320" w:type="dxa"/>
            <w:vAlign w:val="bottom"/>
          </w:tcPr>
          <w:p>
            <w:pPr>
              <w:ind w:left="460"/>
              <w:spacing w:after="0"/>
              <w:rPr>
                <w:sz w:val="20"/>
                <w:szCs w:val="20"/>
                <w:color w:val="auto"/>
              </w:rPr>
            </w:pPr>
            <w:r>
              <w:rPr>
                <w:rFonts w:ascii="Arial" w:cs="Arial" w:eastAsia="Arial" w:hAnsi="Arial"/>
                <w:sz w:val="18"/>
                <w:szCs w:val="18"/>
                <w:color w:val="auto"/>
                <w:w w:val="96"/>
              </w:rPr>
              <w:t>Billings on uncompleted contracts in excess of costs and estimated earnings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(8,610)</w:t>
            </w:r>
          </w:p>
        </w:tc>
      </w:tr>
      <w:tr>
        <w:trPr>
          <w:trHeight w:val="224"/>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r>
      <w:tr>
        <w:trPr>
          <w:trHeight w:val="216"/>
        </w:trPr>
        <w:tc>
          <w:tcPr>
            <w:tcW w:w="6320" w:type="dxa"/>
            <w:vAlign w:val="bottom"/>
          </w:tcPr>
          <w:p>
            <w:pPr>
              <w:ind w:left="20"/>
              <w:spacing w:after="0" w:line="203" w:lineRule="exact"/>
              <w:rPr>
                <w:sz w:val="20"/>
                <w:szCs w:val="20"/>
                <w:color w:val="auto"/>
              </w:rPr>
            </w:pPr>
            <w:r>
              <w:rPr>
                <w:rFonts w:ascii="Arial" w:cs="Arial" w:eastAsia="Arial" w:hAnsi="Arial"/>
                <w:sz w:val="18"/>
                <w:szCs w:val="18"/>
                <w:color w:val="auto"/>
              </w:rPr>
              <w:t>Net cash provided (used) by operating activities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(54,196)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(2,971)</w:t>
            </w:r>
          </w:p>
        </w:tc>
      </w:tr>
      <w:tr>
        <w:trPr>
          <w:trHeight w:val="22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(4,354)</w:t>
            </w:r>
          </w:p>
        </w:tc>
      </w:tr>
      <w:tr>
        <w:trPr>
          <w:trHeight w:val="22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asset sales (Note 3)</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r>
      <w:tr>
        <w:trPr>
          <w:trHeight w:val="216"/>
        </w:trPr>
        <w:tc>
          <w:tcPr>
            <w:tcW w:w="6320" w:type="dxa"/>
            <w:vAlign w:val="bottom"/>
          </w:tcPr>
          <w:p>
            <w:pPr>
              <w:ind w:left="20"/>
              <w:spacing w:after="0" w:line="203" w:lineRule="exact"/>
              <w:rPr>
                <w:sz w:val="20"/>
                <w:szCs w:val="20"/>
                <w:color w:val="auto"/>
              </w:rPr>
            </w:pPr>
            <w:r>
              <w:rPr>
                <w:rFonts w:ascii="Arial" w:cs="Arial" w:eastAsia="Arial" w:hAnsi="Arial"/>
                <w:sz w:val="18"/>
                <w:szCs w:val="18"/>
                <w:color w:val="auto"/>
              </w:rPr>
              <w:t>Net cash provided (used) by investing activities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35,673</w:t>
            </w:r>
          </w:p>
        </w:tc>
        <w:tc>
          <w:tcPr>
            <w:tcW w:w="10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(2,264)</w:t>
            </w: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Fiscal Years Ended</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1"/>
                <w:szCs w:val="11"/>
                <w:color w:val="auto"/>
              </w:rPr>
            </w:pPr>
          </w:p>
        </w:tc>
        <w:tc>
          <w:tcPr>
            <w:tcW w:w="1160" w:type="dxa"/>
            <w:vAlign w:val="bottom"/>
          </w:tcPr>
          <w:p>
            <w:pPr>
              <w:jc w:val="right"/>
              <w:ind w:right="394"/>
              <w:spacing w:after="0" w:line="12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7"/>
        </w:trPr>
        <w:tc>
          <w:tcPr>
            <w:tcW w:w="6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Advances under senior secured revolving credit facility</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Repayments of advances under senior secured revolving credit facility</w:t>
            </w: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(10,913)</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Advances under asset-backed credit facility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Repayments of advances under asset-backed credit facility</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debt amendment fees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Issuances of common stock</w:t>
            </w: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172"/>
        </w:trPr>
        <w:tc>
          <w:tcPr>
            <w:tcW w:w="6700" w:type="dxa"/>
            <w:vAlign w:val="bottom"/>
          </w:tcPr>
          <w:p>
            <w:pPr>
              <w:ind w:left="20"/>
              <w:spacing w:after="0" w:line="172" w:lineRule="exact"/>
              <w:rPr>
                <w:sz w:val="20"/>
                <w:szCs w:val="20"/>
                <w:color w:val="auto"/>
              </w:rPr>
            </w:pPr>
            <w:r>
              <w:rPr>
                <w:rFonts w:ascii="Arial" w:cs="Arial" w:eastAsia="Arial" w:hAnsi="Arial"/>
                <w:sz w:val="18"/>
                <w:szCs w:val="18"/>
                <w:color w:val="auto"/>
              </w:rPr>
              <w:t>Repurchase of common stock for payment of statutory taxes due on equity-based</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70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line="203" w:lineRule="exact"/>
              <w:rPr>
                <w:sz w:val="20"/>
                <w:szCs w:val="20"/>
                <w:color w:val="auto"/>
              </w:rPr>
            </w:pPr>
            <w:r>
              <w:rPr>
                <w:rFonts w:ascii="Arial" w:cs="Arial" w:eastAsia="Arial" w:hAnsi="Arial"/>
                <w:sz w:val="18"/>
                <w:szCs w:val="18"/>
                <w:color w:val="auto"/>
              </w:rPr>
              <w:t>Net cash provided (used) by financing activities</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(12,324)</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line="203" w:lineRule="exact"/>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(16,158)</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 (Note 1)</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100,036</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line="203" w:lineRule="exact"/>
              <w:rPr>
                <w:sz w:val="20"/>
                <w:szCs w:val="20"/>
                <w:color w:val="auto"/>
              </w:rPr>
            </w:pPr>
            <w:r>
              <w:rPr>
                <w:rFonts w:ascii="Arial" w:cs="Arial" w:eastAsia="Arial" w:hAnsi="Arial"/>
                <w:sz w:val="18"/>
                <w:szCs w:val="18"/>
                <w:color w:val="auto"/>
              </w:rPr>
              <w:t>Cash, cash equivalents, and restricted cash, end of period (Note 1)</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79,812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77,371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83,878</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Cash paid (received) during the period for: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rPr>
              <w:t>Interest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2,773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Non-cash investing and financing activities: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460"/>
              <w:spacing w:after="0"/>
              <w:rPr>
                <w:sz w:val="20"/>
                <w:szCs w:val="20"/>
                <w:color w:val="auto"/>
              </w:rPr>
            </w:pPr>
            <w:r>
              <w:rPr>
                <w:rFonts w:ascii="Arial" w:cs="Arial" w:eastAsia="Arial" w:hAnsi="Arial"/>
                <w:sz w:val="18"/>
                <w:szCs w:val="18"/>
                <w:color w:val="auto"/>
              </w:rPr>
              <w:t>Purchases of property, plant and equipment on account</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110"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0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760" w:type="dxa"/>
            <w:vAlign w:val="bottom"/>
            <w:vMerge w:val="restart"/>
          </w:tcPr>
          <w:p>
            <w:pPr>
              <w:jc w:val="center"/>
              <w:ind w:right="130"/>
              <w:spacing w:after="0" w:line="141" w:lineRule="exact"/>
              <w:rPr>
                <w:sz w:val="20"/>
                <w:szCs w:val="20"/>
                <w:color w:val="auto"/>
              </w:rPr>
            </w:pPr>
            <w:r>
              <w:rPr>
                <w:rFonts w:ascii="Arial" w:cs="Arial" w:eastAsia="Arial" w:hAnsi="Arial"/>
                <w:sz w:val="14"/>
                <w:szCs w:val="14"/>
                <w:b w:val="1"/>
                <w:bCs w:val="1"/>
                <w:color w:val="auto"/>
                <w:w w:val="92"/>
              </w:rPr>
              <w:t>Common</w:t>
            </w:r>
          </w:p>
        </w:tc>
        <w:tc>
          <w:tcPr>
            <w:tcW w:w="1080" w:type="dxa"/>
            <w:vAlign w:val="bottom"/>
            <w:vMerge w:val="continue"/>
          </w:tcPr>
          <w:p>
            <w:pPr>
              <w:spacing w:after="0"/>
              <w:rPr>
                <w:sz w:val="5"/>
                <w:szCs w:val="5"/>
                <w:color w:val="auto"/>
              </w:rPr>
            </w:pPr>
          </w:p>
        </w:tc>
        <w:tc>
          <w:tcPr>
            <w:tcW w:w="1000" w:type="dxa"/>
            <w:vAlign w:val="bottom"/>
            <w:vMerge w:val="restart"/>
          </w:tcPr>
          <w:p>
            <w:pPr>
              <w:ind w:left="220"/>
              <w:spacing w:after="0" w:line="141" w:lineRule="exact"/>
              <w:rPr>
                <w:sz w:val="20"/>
                <w:szCs w:val="20"/>
                <w:color w:val="auto"/>
              </w:rPr>
            </w:pPr>
            <w:r>
              <w:rPr>
                <w:rFonts w:ascii="Arial" w:cs="Arial" w:eastAsia="Arial" w:hAnsi="Arial"/>
                <w:sz w:val="14"/>
                <w:szCs w:val="14"/>
                <w:b w:val="1"/>
                <w:bCs w:val="1"/>
                <w:color w:val="auto"/>
              </w:rPr>
              <w:t>Retained</w:t>
            </w:r>
          </w:p>
        </w:tc>
        <w:tc>
          <w:tcPr>
            <w:tcW w:w="140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91"/>
              </w:rPr>
              <w:t>Treasury</w:t>
            </w: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760" w:type="dxa"/>
            <w:vAlign w:val="bottom"/>
            <w:vMerge w:val="continue"/>
          </w:tcPr>
          <w:p>
            <w:pPr>
              <w:spacing w:after="0"/>
              <w:rPr>
                <w:sz w:val="6"/>
                <w:szCs w:val="6"/>
                <w:color w:val="auto"/>
              </w:rPr>
            </w:pPr>
          </w:p>
        </w:tc>
        <w:tc>
          <w:tcPr>
            <w:tcW w:w="108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94"/>
              </w:rPr>
              <w:t>Paid-In</w:t>
            </w:r>
          </w:p>
        </w:tc>
        <w:tc>
          <w:tcPr>
            <w:tcW w:w="100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600" w:type="dxa"/>
            <w:vAlign w:val="bottom"/>
            <w:vMerge w:val="restart"/>
          </w:tcPr>
          <w:p>
            <w:pPr>
              <w:ind w:left="300"/>
              <w:spacing w:after="0" w:line="141"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66"/>
        </w:trPr>
        <w:tc>
          <w:tcPr>
            <w:tcW w:w="760" w:type="dxa"/>
            <w:vAlign w:val="bottom"/>
            <w:vMerge w:val="restart"/>
          </w:tcPr>
          <w:p>
            <w:pPr>
              <w:jc w:val="center"/>
              <w:ind w:right="150"/>
              <w:spacing w:after="0" w:line="145" w:lineRule="exact"/>
              <w:rPr>
                <w:sz w:val="20"/>
                <w:szCs w:val="20"/>
                <w:color w:val="auto"/>
              </w:rPr>
            </w:pPr>
            <w:r>
              <w:rPr>
                <w:rFonts w:ascii="Arial" w:cs="Arial" w:eastAsia="Arial" w:hAnsi="Arial"/>
                <w:sz w:val="14"/>
                <w:szCs w:val="14"/>
                <w:b w:val="1"/>
                <w:bCs w:val="1"/>
                <w:color w:val="auto"/>
                <w:w w:val="89"/>
              </w:rPr>
              <w:t>Stock</w:t>
            </w:r>
          </w:p>
        </w:tc>
        <w:tc>
          <w:tcPr>
            <w:tcW w:w="1080" w:type="dxa"/>
            <w:vAlign w:val="bottom"/>
            <w:vMerge w:val="continue"/>
          </w:tcPr>
          <w:p>
            <w:pPr>
              <w:spacing w:after="0"/>
              <w:rPr>
                <w:sz w:val="5"/>
                <w:szCs w:val="5"/>
                <w:color w:val="auto"/>
              </w:rPr>
            </w:pPr>
          </w:p>
        </w:tc>
        <w:tc>
          <w:tcPr>
            <w:tcW w:w="1000" w:type="dxa"/>
            <w:vAlign w:val="bottom"/>
            <w:vMerge w:val="restart"/>
          </w:tcPr>
          <w:p>
            <w:pPr>
              <w:ind w:left="220"/>
              <w:spacing w:after="0" w:line="145" w:lineRule="exact"/>
              <w:rPr>
                <w:sz w:val="20"/>
                <w:szCs w:val="20"/>
                <w:color w:val="auto"/>
              </w:rPr>
            </w:pPr>
            <w:r>
              <w:rPr>
                <w:rFonts w:ascii="Arial" w:cs="Arial" w:eastAsia="Arial" w:hAnsi="Arial"/>
                <w:sz w:val="14"/>
                <w:szCs w:val="14"/>
                <w:b w:val="1"/>
                <w:bCs w:val="1"/>
                <w:color w:val="auto"/>
              </w:rPr>
              <w:t>Earnings</w:t>
            </w:r>
          </w:p>
        </w:tc>
        <w:tc>
          <w:tcPr>
            <w:tcW w:w="140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87"/>
              </w:rPr>
              <w:t>Comprehensive</w:t>
            </w:r>
          </w:p>
        </w:tc>
        <w:tc>
          <w:tcPr>
            <w:tcW w:w="108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89"/>
              </w:rPr>
              <w:t>Stock</w:t>
            </w: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60" w:type="dxa"/>
            <w:vAlign w:val="bottom"/>
            <w:vMerge w:val="continue"/>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0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7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Loss</w:t>
            </w: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8890</wp:posOffset>
            </wp:positionV>
            <wp:extent cx="7118985" cy="133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8985" cy="13335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tbl>
      <w:tblPr>
        <w:tblLayout w:type="fixed"/>
        <w:tblInd w:w="40" w:type="dxa"/>
        <w:tblCellMar>
          <w:top w:w="0" w:type="dxa"/>
          <w:left w:w="0" w:type="dxa"/>
          <w:bottom w:w="0" w:type="dxa"/>
          <w:right w:w="0" w:type="dxa"/>
        </w:tblCellMar>
      </w:tblPr>
      <w:tr>
        <w:trPr>
          <w:trHeight w:val="199"/>
        </w:trPr>
        <w:tc>
          <w:tcPr>
            <w:tcW w:w="4780" w:type="dxa"/>
            <w:vAlign w:val="bottom"/>
          </w:tcPr>
          <w:p>
            <w:pPr>
              <w:spacing w:after="0"/>
              <w:rPr>
                <w:sz w:val="20"/>
                <w:szCs w:val="20"/>
                <w:color w:val="auto"/>
              </w:rPr>
            </w:pPr>
            <w:r>
              <w:rPr>
                <w:rFonts w:ascii="Arial" w:cs="Arial" w:eastAsia="Arial" w:hAnsi="Arial"/>
                <w:sz w:val="14"/>
                <w:szCs w:val="14"/>
                <w:color w:val="auto"/>
              </w:rPr>
              <w:t>Balances, June 30, 2020</w:t>
            </w:r>
          </w:p>
        </w:tc>
        <w:tc>
          <w:tcPr>
            <w:tcW w:w="36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80" w:type="dxa"/>
            <w:vAlign w:val="bottom"/>
          </w:tcPr>
          <w:p>
            <w:pPr>
              <w:ind w:left="320"/>
              <w:spacing w:after="0"/>
              <w:rPr>
                <w:sz w:val="20"/>
                <w:szCs w:val="20"/>
                <w:color w:val="auto"/>
              </w:rPr>
            </w:pPr>
            <w:r>
              <w:rPr>
                <w:rFonts w:ascii="Arial" w:cs="Arial" w:eastAsia="Arial" w:hAnsi="Arial"/>
                <w:sz w:val="14"/>
                <w:szCs w:val="14"/>
                <w:color w:val="auto"/>
              </w:rPr>
              <w:t>Net loss</w:t>
            </w:r>
          </w:p>
        </w:tc>
        <w:tc>
          <w:tcPr>
            <w:tcW w:w="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80" w:type="dxa"/>
            <w:vAlign w:val="bottom"/>
          </w:tcPr>
          <w:p>
            <w:pPr>
              <w:ind w:left="320"/>
              <w:spacing w:after="0"/>
              <w:rPr>
                <w:sz w:val="20"/>
                <w:szCs w:val="20"/>
                <w:color w:val="auto"/>
              </w:rPr>
            </w:pPr>
            <w:r>
              <w:rPr>
                <w:rFonts w:ascii="Arial" w:cs="Arial" w:eastAsia="Arial" w:hAnsi="Arial"/>
                <w:sz w:val="14"/>
                <w:szCs w:val="14"/>
                <w:color w:val="auto"/>
              </w:rPr>
              <w:t>Other comprehensive income</w:t>
            </w: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80" w:type="dxa"/>
            <w:vAlign w:val="bottom"/>
          </w:tcPr>
          <w:p>
            <w:pPr>
              <w:ind w:left="320"/>
              <w:spacing w:after="0"/>
              <w:rPr>
                <w:sz w:val="20"/>
                <w:szCs w:val="20"/>
                <w:color w:val="auto"/>
              </w:rPr>
            </w:pPr>
            <w:r>
              <w:rPr>
                <w:rFonts w:ascii="Arial" w:cs="Arial" w:eastAsia="Arial" w:hAnsi="Arial"/>
                <w:sz w:val="14"/>
                <w:szCs w:val="14"/>
                <w:color w:val="auto"/>
                <w:w w:val="98"/>
              </w:rPr>
              <w:t>Treasury Shares sold to Employee Stock Purchase Plan (29,171 shares)</w:t>
            </w: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80" w:type="dxa"/>
            <w:vAlign w:val="bottom"/>
          </w:tcPr>
          <w:p>
            <w:pPr>
              <w:ind w:left="320"/>
              <w:spacing w:after="0"/>
              <w:rPr>
                <w:sz w:val="20"/>
                <w:szCs w:val="20"/>
                <w:color w:val="auto"/>
              </w:rPr>
            </w:pPr>
            <w:r>
              <w:rPr>
                <w:rFonts w:ascii="Arial" w:cs="Arial" w:eastAsia="Arial" w:hAnsi="Arial"/>
                <w:sz w:val="14"/>
                <w:szCs w:val="14"/>
                <w:color w:val="auto"/>
              </w:rPr>
              <w:t>Exercise of stock options (34,150 shares)</w:t>
            </w: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80" w:type="dxa"/>
            <w:vAlign w:val="bottom"/>
          </w:tcPr>
          <w:p>
            <w:pPr>
              <w:ind w:left="320"/>
              <w:spacing w:after="0"/>
              <w:rPr>
                <w:sz w:val="20"/>
                <w:szCs w:val="20"/>
                <w:color w:val="auto"/>
              </w:rPr>
            </w:pPr>
            <w:r>
              <w:rPr>
                <w:rFonts w:ascii="Arial" w:cs="Arial" w:eastAsia="Arial" w:hAnsi="Arial"/>
                <w:sz w:val="14"/>
                <w:szCs w:val="14"/>
                <w:color w:val="auto"/>
              </w:rPr>
              <w:t>Issuance of restricted stock (515,218 shares)</w:t>
            </w: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780" w:type="dxa"/>
            <w:vAlign w:val="bottom"/>
          </w:tcPr>
          <w:p>
            <w:pPr>
              <w:ind w:left="320"/>
              <w:spacing w:after="0"/>
              <w:rPr>
                <w:sz w:val="20"/>
                <w:szCs w:val="20"/>
                <w:color w:val="auto"/>
              </w:rPr>
            </w:pPr>
            <w:r>
              <w:rPr>
                <w:rFonts w:ascii="Arial" w:cs="Arial" w:eastAsia="Arial" w:hAnsi="Arial"/>
                <w:sz w:val="14"/>
                <w:szCs w:val="14"/>
                <w:color w:val="auto"/>
                <w:w w:val="94"/>
              </w:rPr>
              <w:t>Treasury shares repurchased to satisfy tax withholding obligations (170,629</w:t>
            </w:r>
          </w:p>
        </w:tc>
        <w:tc>
          <w:tcPr>
            <w:tcW w:w="3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4780" w:type="dxa"/>
            <w:vAlign w:val="bottom"/>
            <w:vMerge w:val="restart"/>
          </w:tcPr>
          <w:p>
            <w:pPr>
              <w:ind w:left="32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7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80" w:type="dxa"/>
            <w:vAlign w:val="bottom"/>
          </w:tcPr>
          <w:p>
            <w:pPr>
              <w:ind w:left="3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vMerge w:val="restart"/>
          </w:tcPr>
          <w:p>
            <w:pPr>
              <w:spacing w:after="0"/>
              <w:rPr>
                <w:sz w:val="20"/>
                <w:szCs w:val="20"/>
                <w:color w:val="auto"/>
              </w:rPr>
            </w:pPr>
            <w:r>
              <w:rPr>
                <w:rFonts w:ascii="Arial" w:cs="Arial" w:eastAsia="Arial" w:hAnsi="Arial"/>
                <w:sz w:val="14"/>
                <w:szCs w:val="14"/>
                <w:color w:val="auto"/>
              </w:rPr>
              <w:t>Balances, June 30, 2021</w:t>
            </w: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80" w:type="dxa"/>
            <w:vAlign w:val="bottom"/>
          </w:tcPr>
          <w:p>
            <w:pPr>
              <w:ind w:left="320"/>
              <w:spacing w:after="0"/>
              <w:rPr>
                <w:sz w:val="20"/>
                <w:szCs w:val="20"/>
                <w:color w:val="auto"/>
              </w:rPr>
            </w:pPr>
            <w:r>
              <w:rPr>
                <w:rFonts w:ascii="Arial" w:cs="Arial" w:eastAsia="Arial" w:hAnsi="Arial"/>
                <w:sz w:val="14"/>
                <w:szCs w:val="14"/>
                <w:color w:val="auto"/>
              </w:rPr>
              <w:t>Net loss</w:t>
            </w:r>
          </w:p>
        </w:tc>
        <w:tc>
          <w:tcPr>
            <w:tcW w:w="3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tcPr>
          <w:p>
            <w:pPr>
              <w:ind w:left="320"/>
              <w:spacing w:after="0"/>
              <w:rPr>
                <w:sz w:val="20"/>
                <w:szCs w:val="20"/>
                <w:color w:val="auto"/>
              </w:rPr>
            </w:pPr>
            <w:r>
              <w:rPr>
                <w:rFonts w:ascii="Arial" w:cs="Arial" w:eastAsia="Arial" w:hAnsi="Arial"/>
                <w:sz w:val="14"/>
                <w:szCs w:val="14"/>
                <w:color w:val="auto"/>
              </w:rPr>
              <w:t>Other comprehensive loss</w:t>
            </w: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80" w:type="dxa"/>
            <w:vAlign w:val="bottom"/>
          </w:tcPr>
          <w:p>
            <w:pPr>
              <w:ind w:left="320"/>
              <w:spacing w:after="0"/>
              <w:rPr>
                <w:sz w:val="20"/>
                <w:szCs w:val="20"/>
                <w:color w:val="auto"/>
              </w:rPr>
            </w:pPr>
            <w:r>
              <w:rPr>
                <w:rFonts w:ascii="Arial" w:cs="Arial" w:eastAsia="Arial" w:hAnsi="Arial"/>
                <w:sz w:val="14"/>
                <w:szCs w:val="14"/>
                <w:color w:val="auto"/>
                <w:w w:val="98"/>
              </w:rPr>
              <w:t>Treasury Shares sold to Employee Stock Purchase Plan (29,826 shares)</w:t>
            </w: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80" w:type="dxa"/>
            <w:vAlign w:val="bottom"/>
          </w:tcPr>
          <w:p>
            <w:pPr>
              <w:ind w:left="320"/>
              <w:spacing w:after="0"/>
              <w:rPr>
                <w:sz w:val="20"/>
                <w:szCs w:val="20"/>
                <w:color w:val="auto"/>
              </w:rPr>
            </w:pPr>
            <w:r>
              <w:rPr>
                <w:rFonts w:ascii="Arial" w:cs="Arial" w:eastAsia="Arial" w:hAnsi="Arial"/>
                <w:sz w:val="14"/>
                <w:szCs w:val="14"/>
                <w:color w:val="auto"/>
              </w:rPr>
              <w:t>Exercise of stock options (19,550 shares)</w:t>
            </w: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80" w:type="dxa"/>
            <w:vAlign w:val="bottom"/>
          </w:tcPr>
          <w:p>
            <w:pPr>
              <w:ind w:left="320"/>
              <w:spacing w:after="0"/>
              <w:rPr>
                <w:sz w:val="20"/>
                <w:szCs w:val="20"/>
                <w:color w:val="auto"/>
              </w:rPr>
            </w:pPr>
            <w:r>
              <w:rPr>
                <w:rFonts w:ascii="Arial" w:cs="Arial" w:eastAsia="Arial" w:hAnsi="Arial"/>
                <w:sz w:val="14"/>
                <w:szCs w:val="14"/>
                <w:color w:val="auto"/>
              </w:rPr>
              <w:t>Issuance of restricted stock (268,403 shares)</w:t>
            </w: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780" w:type="dxa"/>
            <w:vAlign w:val="bottom"/>
          </w:tcPr>
          <w:p>
            <w:pPr>
              <w:ind w:left="320"/>
              <w:spacing w:after="0"/>
              <w:rPr>
                <w:sz w:val="20"/>
                <w:szCs w:val="20"/>
                <w:color w:val="auto"/>
              </w:rPr>
            </w:pPr>
            <w:r>
              <w:rPr>
                <w:rFonts w:ascii="Arial" w:cs="Arial" w:eastAsia="Arial" w:hAnsi="Arial"/>
                <w:sz w:val="14"/>
                <w:szCs w:val="14"/>
                <w:color w:val="auto"/>
                <w:w w:val="96"/>
              </w:rPr>
              <w:t>Treasury shares repurchased to satisfy tax withholding obligations (76,703</w:t>
            </w:r>
          </w:p>
        </w:tc>
        <w:tc>
          <w:tcPr>
            <w:tcW w:w="3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4780" w:type="dxa"/>
            <w:vAlign w:val="bottom"/>
            <w:vMerge w:val="restart"/>
          </w:tcPr>
          <w:p>
            <w:pPr>
              <w:ind w:left="32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7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80" w:type="dxa"/>
            <w:vAlign w:val="bottom"/>
          </w:tcPr>
          <w:p>
            <w:pPr>
              <w:ind w:left="3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vMerge w:val="restart"/>
          </w:tcPr>
          <w:p>
            <w:pPr>
              <w:spacing w:after="0"/>
              <w:rPr>
                <w:sz w:val="20"/>
                <w:szCs w:val="20"/>
                <w:color w:val="auto"/>
              </w:rPr>
            </w:pPr>
            <w:r>
              <w:rPr>
                <w:rFonts w:ascii="Arial" w:cs="Arial" w:eastAsia="Arial" w:hAnsi="Arial"/>
                <w:sz w:val="14"/>
                <w:szCs w:val="14"/>
                <w:color w:val="auto"/>
              </w:rPr>
              <w:t>Balances, June 30, 2022</w:t>
            </w: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80" w:type="dxa"/>
            <w:vAlign w:val="bottom"/>
          </w:tcPr>
          <w:p>
            <w:pPr>
              <w:ind w:left="320"/>
              <w:spacing w:after="0"/>
              <w:rPr>
                <w:sz w:val="20"/>
                <w:szCs w:val="20"/>
                <w:color w:val="auto"/>
              </w:rPr>
            </w:pPr>
            <w:r>
              <w:rPr>
                <w:rFonts w:ascii="Arial" w:cs="Arial" w:eastAsia="Arial" w:hAnsi="Arial"/>
                <w:sz w:val="14"/>
                <w:szCs w:val="14"/>
                <w:color w:val="auto"/>
              </w:rPr>
              <w:t>Net loss</w:t>
            </w:r>
          </w:p>
        </w:tc>
        <w:tc>
          <w:tcPr>
            <w:tcW w:w="3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tcPr>
          <w:p>
            <w:pPr>
              <w:ind w:left="320"/>
              <w:spacing w:after="0"/>
              <w:rPr>
                <w:sz w:val="20"/>
                <w:szCs w:val="20"/>
                <w:color w:val="auto"/>
              </w:rPr>
            </w:pPr>
            <w:r>
              <w:rPr>
                <w:rFonts w:ascii="Arial" w:cs="Arial" w:eastAsia="Arial" w:hAnsi="Arial"/>
                <w:sz w:val="14"/>
                <w:szCs w:val="14"/>
                <w:color w:val="auto"/>
              </w:rPr>
              <w:t>Other comprehensive loss</w:t>
            </w: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80" w:type="dxa"/>
            <w:vAlign w:val="bottom"/>
          </w:tcPr>
          <w:p>
            <w:pPr>
              <w:ind w:left="320"/>
              <w:spacing w:after="0"/>
              <w:rPr>
                <w:sz w:val="20"/>
                <w:szCs w:val="20"/>
                <w:color w:val="auto"/>
              </w:rPr>
            </w:pPr>
            <w:r>
              <w:rPr>
                <w:rFonts w:ascii="Arial" w:cs="Arial" w:eastAsia="Arial" w:hAnsi="Arial"/>
                <w:sz w:val="14"/>
                <w:szCs w:val="14"/>
                <w:color w:val="auto"/>
                <w:w w:val="98"/>
              </w:rPr>
              <w:t>Treasury Shares Sold to Employee Stock Purchase Plan (50,139 shares)</w:t>
            </w: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80" w:type="dxa"/>
            <w:vAlign w:val="bottom"/>
          </w:tcPr>
          <w:p>
            <w:pPr>
              <w:ind w:left="320"/>
              <w:spacing w:after="0"/>
              <w:rPr>
                <w:sz w:val="20"/>
                <w:szCs w:val="20"/>
                <w:color w:val="auto"/>
              </w:rPr>
            </w:pPr>
            <w:r>
              <w:rPr>
                <w:rFonts w:ascii="Arial" w:cs="Arial" w:eastAsia="Arial" w:hAnsi="Arial"/>
                <w:sz w:val="14"/>
                <w:szCs w:val="14"/>
                <w:color w:val="auto"/>
              </w:rPr>
              <w:t>Issuance of restricted stock (259,529 shares)</w:t>
            </w: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780" w:type="dxa"/>
            <w:vAlign w:val="bottom"/>
          </w:tcPr>
          <w:p>
            <w:pPr>
              <w:ind w:left="320"/>
              <w:spacing w:after="0"/>
              <w:rPr>
                <w:sz w:val="20"/>
                <w:szCs w:val="20"/>
                <w:color w:val="auto"/>
              </w:rPr>
            </w:pPr>
            <w:r>
              <w:rPr>
                <w:rFonts w:ascii="Arial" w:cs="Arial" w:eastAsia="Arial" w:hAnsi="Arial"/>
                <w:sz w:val="14"/>
                <w:szCs w:val="14"/>
                <w:color w:val="auto"/>
                <w:w w:val="99"/>
              </w:rPr>
              <w:t>Treasury shares purchased to satisfy tax withholding obligations (52,864</w:t>
            </w:r>
          </w:p>
        </w:tc>
        <w:tc>
          <w:tcPr>
            <w:tcW w:w="3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4780" w:type="dxa"/>
            <w:vAlign w:val="bottom"/>
            <w:vMerge w:val="restart"/>
          </w:tcPr>
          <w:p>
            <w:pPr>
              <w:ind w:left="32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7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80" w:type="dxa"/>
            <w:vAlign w:val="bottom"/>
          </w:tcPr>
          <w:p>
            <w:pPr>
              <w:ind w:left="3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vMerge w:val="restart"/>
          </w:tcPr>
          <w:p>
            <w:pPr>
              <w:spacing w:after="0"/>
              <w:rPr>
                <w:sz w:val="20"/>
                <w:szCs w:val="20"/>
                <w:color w:val="auto"/>
              </w:rPr>
            </w:pPr>
            <w:r>
              <w:rPr>
                <w:rFonts w:ascii="Arial" w:cs="Arial" w:eastAsia="Arial" w:hAnsi="Arial"/>
                <w:sz w:val="14"/>
                <w:szCs w:val="14"/>
                <w:color w:val="auto"/>
              </w:rPr>
              <w:t>Balances, June 30, 2023</w:t>
            </w: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780" w:type="dxa"/>
            <w:vAlign w:val="bottom"/>
            <w:vMerge w:val="continue"/>
          </w:tcPr>
          <w:p>
            <w:pPr>
              <w:spacing w:after="0"/>
              <w:rPr>
                <w:sz w:val="15"/>
                <w:szCs w:val="15"/>
                <w:color w:val="auto"/>
              </w:rPr>
            </w:pPr>
          </w:p>
        </w:tc>
        <w:tc>
          <w:tcPr>
            <w:tcW w:w="3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-3062605</wp:posOffset>
            </wp:positionV>
            <wp:extent cx="7118985" cy="1250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8985" cy="1250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-2811780</wp:posOffset>
            </wp:positionV>
            <wp:extent cx="7118985" cy="1250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8985" cy="1250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-2561590</wp:posOffset>
            </wp:positionV>
            <wp:extent cx="7118985" cy="2089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8985" cy="20891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-1969135</wp:posOffset>
            </wp:positionV>
            <wp:extent cx="7118985" cy="1250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8985" cy="1250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-1718945</wp:posOffset>
            </wp:positionV>
            <wp:extent cx="7118985" cy="1250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8985" cy="1250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-1468120</wp:posOffset>
            </wp:positionV>
            <wp:extent cx="7118985" cy="2089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8985" cy="20891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-875665</wp:posOffset>
            </wp:positionV>
            <wp:extent cx="7118985" cy="1250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8985" cy="1250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-625475</wp:posOffset>
            </wp:positionV>
            <wp:extent cx="7118985" cy="1250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8985" cy="1250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-291465</wp:posOffset>
            </wp:positionV>
            <wp:extent cx="7118985" cy="1250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8985" cy="1250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-1134745</wp:posOffset>
            </wp:positionV>
            <wp:extent cx="7118985" cy="133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8985" cy="1333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-2227580</wp:posOffset>
            </wp:positionV>
            <wp:extent cx="7118985" cy="133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8985"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jc w:val="right"/>
              <w:ind w:right="90"/>
              <w:spacing w:after="0"/>
              <w:rPr>
                <w:sz w:val="20"/>
                <w:szCs w:val="20"/>
                <w:color w:val="auto"/>
              </w:rPr>
            </w:pPr>
            <w:r>
              <w:rPr>
                <w:rFonts w:ascii="Arial" w:cs="Arial" w:eastAsia="Arial" w:hAnsi="Arial"/>
                <w:sz w:val="14"/>
                <w:szCs w:val="14"/>
                <w:color w:val="auto"/>
                <w:w w:val="86"/>
              </w:rPr>
              <w:t>138,966</w:t>
            </w:r>
          </w:p>
        </w:tc>
        <w:tc>
          <w:tcPr>
            <w:tcW w:w="26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206,402</w:t>
            </w:r>
          </w:p>
        </w:tc>
        <w:tc>
          <w:tcPr>
            <w:tcW w:w="120" w:type="dxa"/>
            <w:vAlign w:val="bottom"/>
          </w:tcPr>
          <w:p>
            <w:pPr>
              <w:spacing w:after="0"/>
              <w:rPr>
                <w:sz w:val="16"/>
                <w:szCs w:val="16"/>
                <w:color w:val="auto"/>
              </w:rPr>
            </w:pPr>
          </w:p>
        </w:tc>
        <w:tc>
          <w:tcPr>
            <w:tcW w:w="460" w:type="dxa"/>
            <w:vAlign w:val="bottom"/>
            <w:tcBorders>
              <w:top w:val="single" w:sz="8" w:color="auto"/>
            </w:tcBorders>
          </w:tcPr>
          <w:p>
            <w:pPr>
              <w:jc w:val="right"/>
              <w:ind w:right="31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(8,373)</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(29,385)</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307,889</w:t>
            </w:r>
          </w:p>
        </w:tc>
        <w:tc>
          <w:tcPr>
            <w:tcW w:w="0" w:type="dxa"/>
            <w:vAlign w:val="bottom"/>
          </w:tcPr>
          <w:p>
            <w:pPr>
              <w:spacing w:after="0"/>
              <w:rPr>
                <w:sz w:val="1"/>
                <w:szCs w:val="1"/>
                <w:color w:val="auto"/>
              </w:rPr>
            </w:pPr>
          </w:p>
        </w:tc>
      </w:tr>
      <w:tr>
        <w:trPr>
          <w:trHeight w:val="192"/>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(31,224)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(31,224)</w:t>
            </w:r>
          </w:p>
        </w:tc>
        <w:tc>
          <w:tcPr>
            <w:tcW w:w="0" w:type="dxa"/>
            <w:vAlign w:val="bottom"/>
          </w:tcPr>
          <w:p>
            <w:pPr>
              <w:spacing w:after="0"/>
              <w:rPr>
                <w:sz w:val="1"/>
                <w:szCs w:val="1"/>
                <w:color w:val="auto"/>
              </w:rPr>
            </w:pPr>
          </w:p>
        </w:tc>
      </w:tr>
      <w:tr>
        <w:trPr>
          <w:trHeight w:val="197"/>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197"/>
        </w:trPr>
        <w:tc>
          <w:tcPr>
            <w:tcW w:w="620" w:type="dxa"/>
            <w:vAlign w:val="bottom"/>
          </w:tcPr>
          <w:p>
            <w:pPr>
              <w:jc w:val="right"/>
              <w:ind w:right="50"/>
              <w:spacing w:after="0"/>
              <w:rPr>
                <w:sz w:val="20"/>
                <w:szCs w:val="20"/>
                <w:color w:val="auto"/>
              </w:rPr>
            </w:pPr>
            <w:r>
              <w:rPr>
                <w:rFonts w:ascii="Arial" w:cs="Arial" w:eastAsia="Arial" w:hAnsi="Arial"/>
                <w:sz w:val="14"/>
                <w:szCs w:val="14"/>
                <w:color w:val="auto"/>
              </w:rPr>
              <w:t>(207)</w:t>
            </w: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97"/>
        </w:trPr>
        <w:tc>
          <w:tcPr>
            <w:tcW w:w="620" w:type="dxa"/>
            <w:vAlign w:val="bottom"/>
          </w:tcPr>
          <w:p>
            <w:pPr>
              <w:jc w:val="right"/>
              <w:ind w:right="50"/>
              <w:spacing w:after="0"/>
              <w:rPr>
                <w:sz w:val="20"/>
                <w:szCs w:val="20"/>
                <w:color w:val="auto"/>
              </w:rPr>
            </w:pPr>
            <w:r>
              <w:rPr>
                <w:rFonts w:ascii="Arial" w:cs="Arial" w:eastAsia="Arial" w:hAnsi="Arial"/>
                <w:sz w:val="14"/>
                <w:szCs w:val="14"/>
                <w:color w:val="auto"/>
              </w:rPr>
              <w:t>(257)</w:t>
            </w: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97"/>
        </w:trPr>
        <w:tc>
          <w:tcPr>
            <w:tcW w:w="620" w:type="dxa"/>
            <w:vAlign w:val="bottom"/>
          </w:tcPr>
          <w:p>
            <w:pPr>
              <w:jc w:val="right"/>
              <w:ind w:right="50"/>
              <w:spacing w:after="0"/>
              <w:rPr>
                <w:sz w:val="20"/>
                <w:szCs w:val="20"/>
                <w:color w:val="auto"/>
              </w:rPr>
            </w:pPr>
            <w:r>
              <w:rPr>
                <w:rFonts w:ascii="Arial" w:cs="Arial" w:eastAsia="Arial" w:hAnsi="Arial"/>
                <w:sz w:val="14"/>
                <w:szCs w:val="14"/>
                <w:color w:val="auto"/>
              </w:rPr>
              <w:t>(9,083)</w:t>
            </w: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(1,554)</w:t>
            </w:r>
          </w:p>
        </w:tc>
        <w:tc>
          <w:tcPr>
            <w:tcW w:w="0" w:type="dxa"/>
            <w:vAlign w:val="bottom"/>
          </w:tcPr>
          <w:p>
            <w:pPr>
              <w:spacing w:after="0"/>
              <w:rPr>
                <w:sz w:val="1"/>
                <w:szCs w:val="1"/>
                <w:color w:val="auto"/>
              </w:rPr>
            </w:pPr>
          </w:p>
        </w:tc>
      </w:tr>
      <w:tr>
        <w:trPr>
          <w:trHeight w:val="263"/>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8,156</w:t>
            </w:r>
          </w:p>
        </w:tc>
        <w:tc>
          <w:tcPr>
            <w:tcW w:w="26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8,156</w:t>
            </w:r>
          </w:p>
        </w:tc>
        <w:tc>
          <w:tcPr>
            <w:tcW w:w="0" w:type="dxa"/>
            <w:vAlign w:val="bottom"/>
          </w:tcPr>
          <w:p>
            <w:pPr>
              <w:spacing w:after="0"/>
              <w:rPr>
                <w:sz w:val="1"/>
                <w:szCs w:val="1"/>
                <w:color w:val="auto"/>
              </w:rPr>
            </w:pPr>
          </w:p>
        </w:tc>
      </w:tr>
      <w:tr>
        <w:trPr>
          <w:trHeight w:val="24"/>
        </w:trPr>
        <w:tc>
          <w:tcPr>
            <w:tcW w:w="620" w:type="dxa"/>
            <w:vAlign w:val="bottom"/>
            <w:vMerge w:val="restart"/>
          </w:tcPr>
          <w:p>
            <w:pPr>
              <w:jc w:val="right"/>
              <w:ind w:right="90"/>
              <w:spacing w:after="0"/>
              <w:rPr>
                <w:sz w:val="20"/>
                <w:szCs w:val="20"/>
                <w:color w:val="auto"/>
              </w:rPr>
            </w:pPr>
            <w:r>
              <w:rPr>
                <w:rFonts w:ascii="Arial" w:cs="Arial" w:eastAsia="Arial" w:hAnsi="Arial"/>
                <w:sz w:val="14"/>
                <w:szCs w:val="14"/>
                <w:color w:val="auto"/>
                <w:w w:val="86"/>
              </w:rPr>
              <w:t>137,575</w:t>
            </w: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175,178</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(6,749)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(20,744)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285,539</w:t>
            </w:r>
          </w:p>
        </w:tc>
        <w:tc>
          <w:tcPr>
            <w:tcW w:w="0" w:type="dxa"/>
            <w:vAlign w:val="bottom"/>
          </w:tcPr>
          <w:p>
            <w:pPr>
              <w:spacing w:after="0"/>
              <w:rPr>
                <w:sz w:val="1"/>
                <w:szCs w:val="1"/>
                <w:color w:val="auto"/>
              </w:rPr>
            </w:pPr>
          </w:p>
        </w:tc>
      </w:tr>
      <w:tr>
        <w:trPr>
          <w:trHeight w:val="192"/>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(63,900)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(63,900)</w:t>
            </w:r>
          </w:p>
        </w:tc>
        <w:tc>
          <w:tcPr>
            <w:tcW w:w="0" w:type="dxa"/>
            <w:vAlign w:val="bottom"/>
          </w:tcPr>
          <w:p>
            <w:pPr>
              <w:spacing w:after="0"/>
              <w:rPr>
                <w:sz w:val="1"/>
                <w:szCs w:val="1"/>
                <w:color w:val="auto"/>
              </w:rPr>
            </w:pPr>
          </w:p>
        </w:tc>
      </w:tr>
      <w:tr>
        <w:trPr>
          <w:trHeight w:val="197"/>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(1,426)</w:t>
            </w:r>
          </w:p>
        </w:tc>
        <w:tc>
          <w:tcPr>
            <w:tcW w:w="0" w:type="dxa"/>
            <w:vAlign w:val="bottom"/>
          </w:tcPr>
          <w:p>
            <w:pPr>
              <w:spacing w:after="0"/>
              <w:rPr>
                <w:sz w:val="1"/>
                <w:szCs w:val="1"/>
                <w:color w:val="auto"/>
              </w:rPr>
            </w:pPr>
          </w:p>
        </w:tc>
      </w:tr>
      <w:tr>
        <w:trPr>
          <w:trHeight w:val="197"/>
        </w:trPr>
        <w:tc>
          <w:tcPr>
            <w:tcW w:w="620" w:type="dxa"/>
            <w:vAlign w:val="bottom"/>
          </w:tcPr>
          <w:p>
            <w:pPr>
              <w:jc w:val="right"/>
              <w:ind w:right="50"/>
              <w:spacing w:after="0"/>
              <w:rPr>
                <w:sz w:val="20"/>
                <w:szCs w:val="20"/>
                <w:color w:val="auto"/>
              </w:rPr>
            </w:pPr>
            <w:r>
              <w:rPr>
                <w:rFonts w:ascii="Arial" w:cs="Arial" w:eastAsia="Arial" w:hAnsi="Arial"/>
                <w:sz w:val="14"/>
                <w:szCs w:val="14"/>
                <w:color w:val="auto"/>
              </w:rPr>
              <w:t>(307)</w:t>
            </w: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97"/>
        </w:trPr>
        <w:tc>
          <w:tcPr>
            <w:tcW w:w="620" w:type="dxa"/>
            <w:vAlign w:val="bottom"/>
          </w:tcPr>
          <w:p>
            <w:pPr>
              <w:jc w:val="right"/>
              <w:ind w:right="50"/>
              <w:spacing w:after="0"/>
              <w:rPr>
                <w:sz w:val="20"/>
                <w:szCs w:val="20"/>
                <w:color w:val="auto"/>
              </w:rPr>
            </w:pPr>
            <w:r>
              <w:rPr>
                <w:rFonts w:ascii="Arial" w:cs="Arial" w:eastAsia="Arial" w:hAnsi="Arial"/>
                <w:sz w:val="14"/>
                <w:szCs w:val="14"/>
                <w:color w:val="auto"/>
              </w:rPr>
              <w:t>(189)</w:t>
            </w: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97"/>
        </w:trPr>
        <w:tc>
          <w:tcPr>
            <w:tcW w:w="620" w:type="dxa"/>
            <w:vAlign w:val="bottom"/>
          </w:tcPr>
          <w:p>
            <w:pPr>
              <w:jc w:val="right"/>
              <w:ind w:right="50"/>
              <w:spacing w:after="0"/>
              <w:rPr>
                <w:sz w:val="20"/>
                <w:szCs w:val="20"/>
                <w:color w:val="auto"/>
              </w:rPr>
            </w:pPr>
            <w:r>
              <w:rPr>
                <w:rFonts w:ascii="Arial" w:cs="Arial" w:eastAsia="Arial" w:hAnsi="Arial"/>
                <w:sz w:val="14"/>
                <w:szCs w:val="14"/>
                <w:color w:val="auto"/>
              </w:rPr>
              <w:t>(5,102)</w:t>
            </w: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63"/>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7,877</w:t>
            </w:r>
          </w:p>
        </w:tc>
        <w:tc>
          <w:tcPr>
            <w:tcW w:w="26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7,877</w:t>
            </w:r>
          </w:p>
        </w:tc>
        <w:tc>
          <w:tcPr>
            <w:tcW w:w="0" w:type="dxa"/>
            <w:vAlign w:val="bottom"/>
          </w:tcPr>
          <w:p>
            <w:pPr>
              <w:spacing w:after="0"/>
              <w:rPr>
                <w:sz w:val="1"/>
                <w:szCs w:val="1"/>
                <w:color w:val="auto"/>
              </w:rPr>
            </w:pPr>
          </w:p>
        </w:tc>
      </w:tr>
      <w:tr>
        <w:trPr>
          <w:trHeight w:val="24"/>
        </w:trPr>
        <w:tc>
          <w:tcPr>
            <w:tcW w:w="620" w:type="dxa"/>
            <w:vAlign w:val="bottom"/>
            <w:vMerge w:val="restart"/>
          </w:tcPr>
          <w:p>
            <w:pPr>
              <w:jc w:val="right"/>
              <w:ind w:right="90"/>
              <w:spacing w:after="0"/>
              <w:rPr>
                <w:sz w:val="20"/>
                <w:szCs w:val="20"/>
                <w:color w:val="auto"/>
              </w:rPr>
            </w:pPr>
            <w:r>
              <w:rPr>
                <w:rFonts w:ascii="Arial" w:cs="Arial" w:eastAsia="Arial" w:hAnsi="Arial"/>
                <w:sz w:val="14"/>
                <w:szCs w:val="14"/>
                <w:color w:val="auto"/>
                <w:w w:val="86"/>
              </w:rPr>
              <w:t>139,854</w:t>
            </w: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111,278</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(8,175)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(15,530)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227,706</w:t>
            </w:r>
          </w:p>
        </w:tc>
        <w:tc>
          <w:tcPr>
            <w:tcW w:w="0" w:type="dxa"/>
            <w:vAlign w:val="bottom"/>
          </w:tcPr>
          <w:p>
            <w:pPr>
              <w:spacing w:after="0"/>
              <w:rPr>
                <w:sz w:val="1"/>
                <w:szCs w:val="1"/>
                <w:color w:val="auto"/>
              </w:rPr>
            </w:pPr>
          </w:p>
        </w:tc>
      </w:tr>
      <w:tr>
        <w:trPr>
          <w:trHeight w:val="192"/>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(52,361)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(52,361)</w:t>
            </w:r>
          </w:p>
        </w:tc>
        <w:tc>
          <w:tcPr>
            <w:tcW w:w="0" w:type="dxa"/>
            <w:vAlign w:val="bottom"/>
          </w:tcPr>
          <w:p>
            <w:pPr>
              <w:spacing w:after="0"/>
              <w:rPr>
                <w:sz w:val="1"/>
                <w:szCs w:val="1"/>
                <w:color w:val="auto"/>
              </w:rPr>
            </w:pPr>
          </w:p>
        </w:tc>
      </w:tr>
      <w:tr>
        <w:trPr>
          <w:trHeight w:val="197"/>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97"/>
        </w:trPr>
        <w:tc>
          <w:tcPr>
            <w:tcW w:w="620" w:type="dxa"/>
            <w:vAlign w:val="bottom"/>
          </w:tcPr>
          <w:p>
            <w:pPr>
              <w:jc w:val="right"/>
              <w:ind w:right="50"/>
              <w:spacing w:after="0"/>
              <w:rPr>
                <w:sz w:val="20"/>
                <w:szCs w:val="20"/>
                <w:color w:val="auto"/>
              </w:rPr>
            </w:pPr>
            <w:r>
              <w:rPr>
                <w:rFonts w:ascii="Arial" w:cs="Arial" w:eastAsia="Arial" w:hAnsi="Arial"/>
                <w:sz w:val="14"/>
                <w:szCs w:val="14"/>
                <w:color w:val="auto"/>
              </w:rPr>
              <w:t>(685)</w:t>
            </w: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97"/>
        </w:trPr>
        <w:tc>
          <w:tcPr>
            <w:tcW w:w="620" w:type="dxa"/>
            <w:vAlign w:val="bottom"/>
          </w:tcPr>
          <w:p>
            <w:pPr>
              <w:jc w:val="right"/>
              <w:ind w:right="50"/>
              <w:spacing w:after="0"/>
              <w:rPr>
                <w:sz w:val="20"/>
                <w:szCs w:val="20"/>
                <w:color w:val="auto"/>
              </w:rPr>
            </w:pPr>
            <w:r>
              <w:rPr>
                <w:rFonts w:ascii="Arial" w:cs="Arial" w:eastAsia="Arial" w:hAnsi="Arial"/>
                <w:sz w:val="14"/>
                <w:szCs w:val="14"/>
                <w:color w:val="auto"/>
              </w:rPr>
              <w:t>(5,150)</w:t>
            </w: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63"/>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6,791</w:t>
            </w:r>
          </w:p>
        </w:tc>
        <w:tc>
          <w:tcPr>
            <w:tcW w:w="26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6,791</w:t>
            </w:r>
          </w:p>
        </w:tc>
        <w:tc>
          <w:tcPr>
            <w:tcW w:w="0" w:type="dxa"/>
            <w:vAlign w:val="bottom"/>
          </w:tcPr>
          <w:p>
            <w:pPr>
              <w:spacing w:after="0"/>
              <w:rPr>
                <w:sz w:val="1"/>
                <w:szCs w:val="1"/>
                <w:color w:val="auto"/>
              </w:rPr>
            </w:pPr>
          </w:p>
        </w:tc>
      </w:tr>
      <w:tr>
        <w:trPr>
          <w:trHeight w:val="24"/>
        </w:trPr>
        <w:tc>
          <w:tcPr>
            <w:tcW w:w="620" w:type="dxa"/>
            <w:vAlign w:val="bottom"/>
            <w:vMerge w:val="restart"/>
          </w:tcPr>
          <w:p>
            <w:pPr>
              <w:jc w:val="right"/>
              <w:ind w:right="90"/>
              <w:spacing w:after="0"/>
              <w:rPr>
                <w:sz w:val="20"/>
                <w:szCs w:val="20"/>
                <w:color w:val="auto"/>
              </w:rPr>
            </w:pPr>
            <w:r>
              <w:rPr>
                <w:rFonts w:ascii="Arial" w:cs="Arial" w:eastAsia="Arial" w:hAnsi="Arial"/>
                <w:sz w:val="14"/>
                <w:szCs w:val="14"/>
                <w:color w:val="auto"/>
                <w:w w:val="86"/>
              </w:rPr>
              <w:t>140,810</w:t>
            </w: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58,917</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(8,769)</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181,484</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-33020</wp:posOffset>
            </wp:positionV>
            <wp:extent cx="5842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200" cy="825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-7620</wp:posOffset>
            </wp:positionV>
            <wp:extent cx="5842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200" cy="825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-166370</wp:posOffset>
            </wp:positionV>
            <wp:extent cx="5842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320"/>
            <w:col w:w="4980"/>
          </w:cols>
          <w:pgMar w:left="320" w:top="127" w:right="359" w:bottom="1440" w:gutter="0" w:footer="0" w:header="0"/>
          <w:type w:val="continuous"/>
        </w:sectPr>
      </w:pP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See accompanying notes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1—Summary of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Basis of Presentation</w:t>
      </w:r>
    </w:p>
    <w:p>
      <w:pPr>
        <w:spacing w:after="0" w:line="16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and include the accounts of Matrix Service Company and its subsidiaries (“Matrix”, the “Company” or “we”, “our”, and “us” are to Matrix Service Company and its subsidiaries), all of which are wholly owned. Intercompany transactions and balances have been eliminated in consolidation.</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operate in the United States, Canada, South Korea and Australia. Our reportable segments are Utility and Power Infrastructure, Process and Industrial Facilities, and Storage and Terminal Solutions.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financial statements requires management to make estimates and assumptions that affect the amounts reported in the financial statements and accompanying notes. We believe the most significant estimates and judgments are associated with revenue recognition, the recoverability tests that must be periodically performed with respect to our goodwill and other intangible assets, deferred tax assets, and the estimation of loss contingencies, including liabilities associated with litigation and with the self-insured retentions on our insurance programs. Actual results could materially differ from those estimates.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revenue comes from contracts to provide engineering, procurement, fabrication and construction, repair and maintenance and other services. Our engineering, procurement and fabrication and construction services are usually provided in association with capital projects, which are commonly fixed-price contracts that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exceed one year for capital projects.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collectability is probable. We also evaluate whether a contract should be combined with other contracts and accounted for as a single contract. This evaluation requires judgment and could change the timing of the amount of revenue and profit recorded for a given period.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fixed-price contracts for engineering, procurement, fabrication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We do not sell separate warranties.</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6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2 - Revenue.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2 - Revenue.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include as cash equivalents all investments with original maturities of three months or less which are readily convertible into cash. We have cash on deposit at June 30, 2023 with banks in the United States, Canada, South Korea and Australia in excess of Federal Deposit Insurance Corporation ("FDIC"), Canada Deposit Insurance Corporation ("CDIC"), Korea Deposit Insurance Corporation ("KDIC") and Financial Claims Scheme ("FCS") protection limits, respectively. The United States Dollar equivalent of Canadian, South Korean and Australian deposits totaled $10.4 million as of June 30, 2023.</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ABL Facility requires us to maintain a minimum of $25.0 million of restricted cash at all times. Since this cash must be restricted through the maturity date of the ABL Facility, which is beyond one year, we have classified this restricted cash as non-current in our Consolidated Balance Sheets. The following table provides a reconciliation of cash, cash equivalents and restricted cash in the Consolidated Balance Sheets to the total cash, cash equivalents and restricted cash shown in the Consolidated Statements of Cash Flows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Pr>
          <w:p>
            <w:pPr>
              <w:spacing w:after="0"/>
              <w:rPr>
                <w:sz w:val="15"/>
                <w:szCs w:val="15"/>
                <w:color w:val="auto"/>
              </w:rPr>
            </w:pPr>
          </w:p>
        </w:tc>
        <w:tc>
          <w:tcPr>
            <w:tcW w:w="114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June 30, 2022</w:t>
            </w:r>
          </w:p>
        </w:tc>
      </w:tr>
      <w:tr>
        <w:trPr>
          <w:trHeight w:val="24"/>
        </w:trPr>
        <w:tc>
          <w:tcPr>
            <w:tcW w:w="8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52,371</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r>
      <w:tr>
        <w:trPr>
          <w:trHeight w:val="242"/>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shown in the Consolidated Statements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79,812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77,371</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Accounts receivable are carried on a gross basis, less the allowance for credit losses. We estimate the allowance for credit losses based on relevant information about past events, including historical experience, current conditions, and reasonable and supportable forecasts that affect the collectability of the reported amount. Our customers consist primarily of major integrated oil companies, independent refiners and marketers, power companies, petrochemical companies, pipeline companies, mining companies, contractors and engineering firms. We are exposed to the risk of individual customer defaults or depressed cycles in our customers’ industries. To mitigate this risk, many of our contracts require payment as projects progress or advance payment in some circumstances. In addition, in most cases we can place liens against the property, plant or equipment constructed or terminate the contract if a material contract default occurs. Accounts are written off against the allowance for credit losses only after all reasonable collection attempts have been exhausted.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Contract retentions collectable beyond one year are included in Other assets, non-current in the Consolidated Balance Sheets.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6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consist primarily of steel plate and pipe and aluminum coil and extrusions. Cost is determined primarily using the average cost method and inventories are stated at the lower of cost or net realizable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Depreciation is computed using the straight-line method over the estimated useful lives of the depreciable assets. Depreciable lives are as follows: buildings— 40 years, construction equipment—3 to 15 years, transportation equipment—3 to 5 years, and office equipment and software—3 to 10 years. Leasehold improvements are amortized over the shorter of the useful life of the asset or the lease term.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enter into lease arrangements for real estate, construction equipment and information technology equipment in the normal course of business. We determine if an arrangement is or contains a lease at inception of the arrangement. An arrangement is determined to be a lease if it conveys the right to control the use of identified property and equipment for a period of time in exchange for consideration. Operating lease right-of-use assets are recognized as the present value of future lease payments over the lease term as of the commencement date, plus any lease payments made prior to commencement, and less any lease incentives received. Operating lease liabilities are recognized as the present value of the future lease payments over the lease term as of the commencement date. Operating lease expense is recognized based on the undiscounted future lease payments over the remaining lease term on a straight-line basis. Lease expense related to short-term leases is recognized on a straight-line basis over the lease term.</w:t>
      </w:r>
    </w:p>
    <w:p>
      <w:pPr>
        <w:spacing w:after="0" w:line="11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Determinations with respect to lease term (including any renewals and terminations), incremental borrowing rate used to discount lease payments, variable lease expense and future lease payments require the use of judgment based on the facts and circumstances related to each lease. We consider various factors, including economic incentives, intent, past history and business need, to determine the likelihood that a renewal option will be exercised.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are evaluated for impairment in accordance with our policy for impairment of long-lived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evaluate long-lived assets for impairment when events or changes in circumstances indicate, in management’s judgment, that the carrying value of such assets used in operations may not be recoverable. The determination of whether an impairment has occurred is based on management’s estimate of undiscounted future cash flows attributable to the assets as compared to the carrying value of the assets. If an impairment has occurred, the amount of the impairment recognized is determined by estimating the fair value of the assets and, to the extent the carrying value exceeds the fair value of the assets, recording a loss provision.</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assets identified to be disposed of in the future, the carrying value of the assets are compared to the estimated fair value less the cost of disposal to determine if an impairment has occurred. Until the assets are disposed of, an estimate of the fair value is redetermined when related events or circumstances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 which is a level below our reportable segments.</w:t>
      </w:r>
    </w:p>
    <w:p>
      <w:pPr>
        <w:spacing w:after="0" w:line="13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perform our annual impairment test in the fourth quarter of each fiscal year, or in between annual tests whenever events or changes in circumstances indicate the carrying value of goodwill may not be recoverable,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1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fair values of our reporting units to our market capitalization.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Intangible assets that have finite useful lives are amortized by the straight-line method over their useful lives ranging from 6 years to 15 years. A finite intangible asset is considered impaired when its carrying amount is not recoverable and exceeds the asset's fair value. The carrying amount is deemed unrecoverable if it is greater than the sum of undiscounted cash flows expected to result from use and eventual disposition of the asset. An impairment loss is equal to the excess of the carrying amount over the fair value of the asset. If quoted market prices are not available, the fair values of the intangible assets are based on present values of expected future cash flows or royalties avoided using discount rates commensurate with the risks involved.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case-by-case evaluations of the underlying claim data and update our evaluations as further information becomes known. Judgments and assumptions are inherent in our reserve accruals; as a result, changes in assumptions or claims experience could result in changes to these estimates in the future. If actual results of claim settlements are different than the amounts estimated, we may be exposed to future gains and losses that could be material.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issued time-based and market-based restricted stock unit awards under our long-term incentive compensation plans. We have issued time-based awards that are equity-settled and time-based awards that are cash-settled. The fair value of time-based awards is based on the value of our common stock at the grant date. The fair value of market-based awards is based on several factors, including the probability that the market condition specified in the grant will be achieved, which is calculated using a Monte Carlo model. Cash-settled time-based awards must be settled in cash and are accounted for as liability-type awards and are remeasured at the end of each reporting period at fair value until settlement. For all awards, expense is recognized over the requisite service period with forfeitures recorded as they occur.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6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functional currencies of our operations in Canada, South Korea and Australia are the Canadian Dollar, South Korean Won and U.S. Dollar, respectively. The functional currency of our Australian operations is the U.S. Dollar since its sales are primarily denominated in that currency. For subsidiaries with operations using a foreign functional currency, assets and liabilities are translated at the year-end exchange rates and the income statement accounts are translated at average exchange rates throughout the year. Translation gains and losses are reported in Accumulated Other Comprehensive Loss, net of tax, in the Consolidated Statements of Changes in Stockholders’ Equity and in Other Comprehensive Income (Loss) in the Consolidated Statements of Comprehensive Income. Translation gains and losses are reversed from Accumulated Other Comprehensive Income (Loss) and are recognized in current period income in the event we dispose of an entity with accumulated translation gains or losses. Transaction gains and losses are reported as a component of Other income (expense) in the Consolidated Statements of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had $459.7 million of remaining performance obligations yet to be satisfied as of June 30, 2023. We expect to recognize approximately $381.0 million of our remaining performance obligations as revenue within the next twelve months.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6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Contract terms with customers include the timing of billing and payment,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4"/>
                <w:szCs w:val="14"/>
                <w:color w:val="auto"/>
              </w:rPr>
            </w:pPr>
          </w:p>
        </w:tc>
        <w:tc>
          <w:tcPr>
            <w:tcW w:w="10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379"/>
              <w:spacing w:after="0"/>
              <w:rPr>
                <w:sz w:val="20"/>
                <w:szCs w:val="20"/>
                <w:color w:val="auto"/>
              </w:rPr>
            </w:pPr>
            <w:r>
              <w:rPr>
                <w:rFonts w:ascii="Arial" w:cs="Arial" w:eastAsia="Arial" w:hAnsi="Arial"/>
                <w:sz w:val="18"/>
                <w:szCs w:val="18"/>
                <w:color w:val="auto"/>
                <w:w w:val="87"/>
              </w:rPr>
              <w:t>44,888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461"/>
              <w:spacing w:after="0"/>
              <w:rPr>
                <w:sz w:val="20"/>
                <w:szCs w:val="20"/>
                <w:color w:val="auto"/>
              </w:rPr>
            </w:pPr>
            <w:r>
              <w:rPr>
                <w:rFonts w:ascii="Arial" w:cs="Arial" w:eastAsia="Arial" w:hAnsi="Arial"/>
                <w:sz w:val="18"/>
                <w:szCs w:val="18"/>
                <w:color w:val="auto"/>
                <w:w w:val="87"/>
              </w:rPr>
              <w:t>44,752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39"/>
              <w:spacing w:after="0"/>
              <w:rPr>
                <w:sz w:val="20"/>
                <w:szCs w:val="20"/>
                <w:color w:val="auto"/>
              </w:rPr>
            </w:pPr>
            <w:r>
              <w:rPr>
                <w:rFonts w:ascii="Arial" w:cs="Arial" w:eastAsia="Arial" w:hAnsi="Arial"/>
                <w:sz w:val="18"/>
                <w:szCs w:val="18"/>
                <w:color w:val="auto"/>
                <w:w w:val="89"/>
              </w:rPr>
              <w:t>(85,436)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421"/>
              <w:spacing w:after="0"/>
              <w:rPr>
                <w:sz w:val="20"/>
                <w:szCs w:val="20"/>
                <w:color w:val="auto"/>
              </w:rPr>
            </w:pPr>
            <w:r>
              <w:rPr>
                <w:rFonts w:ascii="Arial" w:cs="Arial" w:eastAsia="Arial" w:hAnsi="Arial"/>
                <w:sz w:val="18"/>
                <w:szCs w:val="18"/>
                <w:color w:val="auto"/>
                <w:w w:val="89"/>
              </w:rPr>
              <w:t>(65,106)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(20,330)</w:t>
            </w:r>
          </w:p>
        </w:tc>
        <w:tc>
          <w:tcPr>
            <w:tcW w:w="0" w:type="dxa"/>
            <w:vAlign w:val="bottom"/>
          </w:tcPr>
          <w:p>
            <w:pPr>
              <w:spacing w:after="0"/>
              <w:rPr>
                <w:sz w:val="1"/>
                <w:szCs w:val="1"/>
                <w:color w:val="auto"/>
              </w:rPr>
            </w:pPr>
          </w:p>
        </w:tc>
      </w:tr>
      <w:tr>
        <w:trPr>
          <w:trHeight w:val="242"/>
        </w:trPr>
        <w:tc>
          <w:tcPr>
            <w:tcW w:w="70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contract liabilities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339"/>
              <w:spacing w:after="0"/>
              <w:rPr>
                <w:sz w:val="20"/>
                <w:szCs w:val="20"/>
                <w:color w:val="auto"/>
              </w:rPr>
            </w:pPr>
            <w:r>
              <w:rPr>
                <w:rFonts w:ascii="Arial" w:cs="Arial" w:eastAsia="Arial" w:hAnsi="Arial"/>
                <w:sz w:val="18"/>
                <w:szCs w:val="18"/>
                <w:color w:val="auto"/>
                <w:w w:val="89"/>
              </w:rPr>
              <w:t>(40,548)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center"/>
              <w:ind w:left="421"/>
              <w:spacing w:after="0"/>
              <w:rPr>
                <w:sz w:val="20"/>
                <w:szCs w:val="20"/>
                <w:color w:val="auto"/>
              </w:rPr>
            </w:pPr>
            <w:r>
              <w:rPr>
                <w:rFonts w:ascii="Arial" w:cs="Arial" w:eastAsia="Arial" w:hAnsi="Arial"/>
                <w:sz w:val="18"/>
                <w:szCs w:val="18"/>
                <w:color w:val="auto"/>
                <w:w w:val="89"/>
              </w:rPr>
              <w:t>(20,354)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difference between the beginning and ending balances of our CIE and BIE primarily results from the timing of revenue recognized relative to its billings. The amount of revenue recognized during the fiscal year ended June 30, 2023 that was included in the prior period BIE balance was $57.9 million. This revenue consists primarily of work performed during the period on contracts with customers that had advance billings.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Progress billings in accounts receivable at June 30, 2023 and June 30, 2022 included retentions to be collected within one year of $16.3 million and $16.1 million, respectively. Contract retentions collectable beyond one year are included in Other assets, non-current in the Consolidated Balance Sheets and totaled $10.0 million as of June 30, 2023 and $4.0 million as of June 30, 2022.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Unpriced Change Orders and Claims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June 30, 2023 and June 30, 2022, costs and estimated earnings in excess of billings on uncompleted contracts included revenue for unpriced change orders and claims of $9.7 million and $8.9 million, respectively. The amounts ultimately realized may be different than the recorded amounts resulting in adjustments to future earnings. Generally we expect collection of amounts related to unpriced change orders and claims within twelve months. However, customers may not pay these amounts until final resolution of related claims, which may extend beyond one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 disaggregated by reportable segment is presented in Note 13 - Segment Information. The following series of tables presents revenue disaggregated by geographic area where the work was performed and by contract type: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Geographic Disaggregation:</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Fiscal Years Ended</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1"/>
                <w:szCs w:val="11"/>
                <w:color w:val="auto"/>
              </w:rPr>
            </w:pPr>
          </w:p>
        </w:tc>
        <w:tc>
          <w:tcPr>
            <w:tcW w:w="1260" w:type="dxa"/>
            <w:vAlign w:val="bottom"/>
          </w:tcPr>
          <w:p>
            <w:pPr>
              <w:jc w:val="center"/>
              <w:ind w:right="239"/>
              <w:spacing w:after="0" w:line="12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8"/>
        </w:trPr>
        <w:tc>
          <w:tcPr>
            <w:tcW w:w="6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8"/>
        </w:trPr>
        <w:tc>
          <w:tcPr>
            <w:tcW w:w="6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640,512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604,739</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61,691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63,045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61,703</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0" w:type="dxa"/>
            <w:vAlign w:val="bottom"/>
          </w:tcPr>
          <w:p>
            <w:pPr>
              <w:spacing w:after="0"/>
              <w:rPr>
                <w:sz w:val="1"/>
                <w:szCs w:val="1"/>
                <w:color w:val="auto"/>
              </w:rPr>
            </w:pPr>
          </w:p>
        </w:tc>
      </w:tr>
      <w:tr>
        <w:trPr>
          <w:trHeight w:val="217"/>
        </w:trPr>
        <w:tc>
          <w:tcPr>
            <w:tcW w:w="62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795,020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707,780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673,398</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Contract Type Disaggregation:</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7"/>
        </w:trPr>
        <w:tc>
          <w:tcPr>
            <w:tcW w:w="6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Fiscal Years Ended</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60" w:type="dxa"/>
            <w:vAlign w:val="bottom"/>
            <w:gridSpan w:val="2"/>
          </w:tcPr>
          <w:p>
            <w:pPr>
              <w:jc w:val="center"/>
              <w:ind w:right="420"/>
              <w:spacing w:after="0" w:line="125"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0"/>
                <w:szCs w:val="10"/>
                <w:color w:val="auto"/>
              </w:rPr>
            </w:pPr>
          </w:p>
        </w:tc>
        <w:tc>
          <w:tcPr>
            <w:tcW w:w="152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0"/>
                <w:szCs w:val="10"/>
                <w:color w:val="auto"/>
              </w:rPr>
            </w:pPr>
          </w:p>
        </w:tc>
        <w:tc>
          <w:tcPr>
            <w:tcW w:w="1260" w:type="dxa"/>
            <w:vAlign w:val="bottom"/>
          </w:tcPr>
          <w:p>
            <w:pPr>
              <w:jc w:val="center"/>
              <w:ind w:right="239"/>
              <w:spacing w:after="0" w:line="125"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contracts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444,042</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Time and materials and other cost reimbursable contracts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229,356</w:t>
            </w:r>
          </w:p>
        </w:tc>
        <w:tc>
          <w:tcPr>
            <w:tcW w:w="0" w:type="dxa"/>
            <w:vAlign w:val="bottom"/>
          </w:tcPr>
          <w:p>
            <w:pPr>
              <w:spacing w:after="0"/>
              <w:rPr>
                <w:sz w:val="1"/>
                <w:szCs w:val="1"/>
                <w:color w:val="auto"/>
              </w:rPr>
            </w:pPr>
          </w:p>
        </w:tc>
      </w:tr>
      <w:tr>
        <w:trPr>
          <w:trHeight w:val="242"/>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673,398</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Revisions in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2023</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fiscal 2023, unfavorable changes in the estimated recovery of change orders and increased forecasted costs to complete and closeout certain midstream gas processing capital work in the Process and Industrial Facilities segment resulted in a $12.6 million reduction of gross profit during the fiscal year. These charges were primarily the result of the client not approving adequate compensation to us for the impact that excessive scope changes had on our ability to progress the work according to forecast and for the impacts of global supply chain issues and inflation. We have accrued the full expected loss for the work, which is now mechanically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2022</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results of operations were materially impacted by an increase in the forecasted costs to complete a midstream gas processing project in the Process and Industrial Facilities segment. The project reduced gross profit by $8.7 million during fiscal 2022. The increase in forecasted costs was primarily due to poor performance of a now terminated subcontractor, which required rework, as well as supply chain and cost escalation issues. This project has since reached mechanical completion.</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fiscal 2022, our results of operations were materially impacted by an increase in the costs required to complete a thermal energy storage tank repair and maintenance project in the Storage and Terminal Solutions segment, which resulted in a decrease in gross profit of $6.3 million during the fiscal year. We achieved substantial completion on this project in fiscal 2022.</w:t>
      </w:r>
    </w:p>
    <w:p>
      <w:pPr>
        <w:spacing w:after="0" w:line="13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During fiscal 2022, our results of operations were materially impacted by changes in the forecasted costs to complete two large capital projects in the Utility and Power Infrastructure segment and an unfavorable settlement of a claim with a customer in the same segment. Increases in the forecasted costs to complete the first project resulted in the project reducing gross profit by $3.6 million during fiscal 2022. Increased forecasted costs to the complete the second capital project resulted in the project reducing gross profit by $2.2 million during the fourth quarter of fiscal 2022 and $0.1 million during fiscal 2022. We recognized $78.1 million of revenue on this project during fiscal 2022 at a near break-even margin as a result of the change in estimate. Both projects reached substantial completion in fiscal 2023. The unfavorable settlement of a claim with a customer reduced gross profit by $2.1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2021</w:t>
      </w:r>
    </w:p>
    <w:p>
      <w:pPr>
        <w:spacing w:after="0" w:line="16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Our results of operations in fiscal 2021 were materially impacted by increases in the forecasted costs to complete a large capital project in the Utility and Power Infrastructure segment. The project reduced gross profit by $5.8 million in fiscal 2021. This project reached substantial completion in fiscal 2023.</w:t>
      </w:r>
    </w:p>
    <w:p>
      <w:pPr>
        <w:spacing w:after="0" w:line="16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During the fourth quarter of fiscal 2021, we reached a settlement on a contract dispute over the construction of a crude oil terminal. The project's financial impact for the fiscal year ended June 30, 2021 was a $2.9 million reduction to gross profit in the Storage and Terminal Solutions segment. The settlement resulted in a cash receipt of $8.9 million in the first quarter of fiscal 2022, which enabled us to avoid future legal costs and litigation risk.</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third quarter of fiscal 2021, we achieved mechanical completion of a large crude oil terminal project, demobilized from the project site and completed its assessment of additional recovery of unpriced change orders. The project's financial impact for the fiscal year ended June 30, 2021 was a $3.8 million reduction to gross profit in the Storage and Terminal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3—Property, Plant and Equipment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property, plant and equipment - net at June 30, 2023 and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4"/>
                <w:szCs w:val="14"/>
                <w:color w:val="auto"/>
              </w:rPr>
            </w:pPr>
          </w:p>
        </w:tc>
        <w:tc>
          <w:tcPr>
            <w:tcW w:w="1120" w:type="dxa"/>
            <w:vAlign w:val="bottom"/>
          </w:tcPr>
          <w:p>
            <w:pPr>
              <w:jc w:val="center"/>
              <w:ind w:right="377"/>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8"/>
        </w:trPr>
        <w:tc>
          <w:tcPr>
            <w:tcW w:w="6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81"/>
        </w:trPr>
        <w:tc>
          <w:tcPr>
            <w:tcW w:w="6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Property, plant and equipment - at cost:</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 and buildings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34,788</w:t>
            </w:r>
          </w:p>
        </w:tc>
        <w:tc>
          <w:tcPr>
            <w:tcW w:w="0" w:type="dxa"/>
            <w:vAlign w:val="bottom"/>
          </w:tcPr>
          <w:p>
            <w:pPr>
              <w:spacing w:after="0"/>
              <w:rPr>
                <w:sz w:val="1"/>
                <w:szCs w:val="1"/>
                <w:color w:val="auto"/>
              </w:rPr>
            </w:pPr>
          </w:p>
        </w:tc>
      </w:tr>
      <w:tr>
        <w:trPr>
          <w:trHeight w:val="223"/>
        </w:trPr>
        <w:tc>
          <w:tcPr>
            <w:tcW w:w="6280" w:type="dxa"/>
            <w:vAlign w:val="bottom"/>
          </w:tcPr>
          <w:p>
            <w:pPr>
              <w:ind w:left="340"/>
              <w:spacing w:after="0"/>
              <w:rPr>
                <w:sz w:val="20"/>
                <w:szCs w:val="20"/>
                <w:color w:val="auto"/>
              </w:rPr>
            </w:pPr>
            <w:r>
              <w:rPr>
                <w:rFonts w:ascii="Arial" w:cs="Arial" w:eastAsia="Arial" w:hAnsi="Arial"/>
                <w:sz w:val="18"/>
                <w:szCs w:val="18"/>
                <w:color w:val="auto"/>
              </w:rPr>
              <w:t>Construction equipment</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84,258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93,036</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Transportation equipment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48,999</w:t>
            </w:r>
          </w:p>
        </w:tc>
        <w:tc>
          <w:tcPr>
            <w:tcW w:w="0" w:type="dxa"/>
            <w:vAlign w:val="bottom"/>
          </w:tcPr>
          <w:p>
            <w:pPr>
              <w:spacing w:after="0"/>
              <w:rPr>
                <w:sz w:val="1"/>
                <w:szCs w:val="1"/>
                <w:color w:val="auto"/>
              </w:rPr>
            </w:pPr>
          </w:p>
        </w:tc>
      </w:tr>
      <w:tr>
        <w:trPr>
          <w:trHeight w:val="223"/>
        </w:trPr>
        <w:tc>
          <w:tcPr>
            <w:tcW w:w="6280" w:type="dxa"/>
            <w:vAlign w:val="bottom"/>
          </w:tcPr>
          <w:p>
            <w:pPr>
              <w:ind w:left="340"/>
              <w:spacing w:after="0"/>
              <w:rPr>
                <w:sz w:val="20"/>
                <w:szCs w:val="20"/>
                <w:color w:val="auto"/>
              </w:rPr>
            </w:pPr>
            <w:r>
              <w:rPr>
                <w:rFonts w:ascii="Arial" w:cs="Arial" w:eastAsia="Arial" w:hAnsi="Arial"/>
                <w:sz w:val="18"/>
                <w:szCs w:val="18"/>
                <w:color w:val="auto"/>
              </w:rPr>
              <w:t>Office equipment and software</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38,178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43,823</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Construction in progress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6280" w:type="dxa"/>
            <w:vAlign w:val="bottom"/>
          </w:tcPr>
          <w:p>
            <w:pPr>
              <w:ind w:left="140"/>
              <w:spacing w:after="0" w:line="203" w:lineRule="exact"/>
              <w:rPr>
                <w:sz w:val="20"/>
                <w:szCs w:val="20"/>
                <w:color w:val="auto"/>
              </w:rPr>
            </w:pPr>
            <w:r>
              <w:rPr>
                <w:rFonts w:ascii="Arial" w:cs="Arial" w:eastAsia="Arial" w:hAnsi="Arial"/>
                <w:sz w:val="18"/>
                <w:szCs w:val="18"/>
                <w:color w:val="auto"/>
              </w:rPr>
              <w:t>Total property, plant and equipment - at cost</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200,389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222,292</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depreciation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(152,844)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(168,423)</w:t>
            </w:r>
          </w:p>
        </w:tc>
        <w:tc>
          <w:tcPr>
            <w:tcW w:w="0" w:type="dxa"/>
            <w:vAlign w:val="bottom"/>
          </w:tcPr>
          <w:p>
            <w:pPr>
              <w:spacing w:after="0"/>
              <w:rPr>
                <w:sz w:val="1"/>
                <w:szCs w:val="1"/>
                <w:color w:val="auto"/>
              </w:rPr>
            </w:pPr>
          </w:p>
        </w:tc>
      </w:tr>
      <w:tr>
        <w:trPr>
          <w:trHeight w:val="216"/>
        </w:trPr>
        <w:tc>
          <w:tcPr>
            <w:tcW w:w="6280" w:type="dxa"/>
            <w:vAlign w:val="bottom"/>
          </w:tcPr>
          <w:p>
            <w:pPr>
              <w:ind w:left="140"/>
              <w:spacing w:after="0" w:line="203" w:lineRule="exact"/>
              <w:rPr>
                <w:sz w:val="20"/>
                <w:szCs w:val="20"/>
                <w:color w:val="auto"/>
              </w:rPr>
            </w:pPr>
            <w:r>
              <w:rPr>
                <w:rFonts w:ascii="Arial" w:cs="Arial" w:eastAsia="Arial" w:hAnsi="Arial"/>
                <w:sz w:val="18"/>
                <w:szCs w:val="18"/>
                <w:color w:val="auto"/>
              </w:rPr>
              <w:t>Property, plant and equipment - net</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53,869</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i w:val="1"/>
                <w:iCs w:val="1"/>
                <w:color w:val="auto"/>
              </w:rPr>
              <w:t>Geographical Disaggregation of Long-Lived Assets</w:t>
            </w: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7"/>
        </w:trPr>
        <w:tc>
          <w:tcPr>
            <w:tcW w:w="6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Long-Lived Assets</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gridSpan w:val="2"/>
          </w:tcPr>
          <w:p>
            <w:pPr>
              <w:ind w:left="200"/>
              <w:spacing w:after="0" w:line="125"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0"/>
                <w:szCs w:val="10"/>
                <w:color w:val="auto"/>
              </w:rPr>
            </w:pPr>
          </w:p>
        </w:tc>
        <w:tc>
          <w:tcPr>
            <w:tcW w:w="1520" w:type="dxa"/>
            <w:vAlign w:val="bottom"/>
            <w:gridSpan w:val="3"/>
          </w:tcPr>
          <w:p>
            <w:pPr>
              <w:jc w:val="center"/>
              <w:ind w:right="300"/>
              <w:spacing w:after="0" w:line="125" w:lineRule="exact"/>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0"/>
                <w:szCs w:val="10"/>
                <w:color w:val="auto"/>
              </w:rPr>
            </w:pPr>
          </w:p>
        </w:tc>
        <w:tc>
          <w:tcPr>
            <w:tcW w:w="1120" w:type="dxa"/>
            <w:vAlign w:val="bottom"/>
          </w:tcPr>
          <w:p>
            <w:pPr>
              <w:jc w:val="center"/>
              <w:ind w:right="377"/>
              <w:spacing w:after="0" w:line="125"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9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137,682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157,442</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0" w:type="dxa"/>
            <w:vAlign w:val="bottom"/>
          </w:tcPr>
          <w:p>
            <w:pPr>
              <w:spacing w:after="0"/>
              <w:rPr>
                <w:sz w:val="1"/>
                <w:szCs w:val="1"/>
                <w:color w:val="auto"/>
              </w:rPr>
            </w:pPr>
          </w:p>
        </w:tc>
      </w:tr>
      <w:tr>
        <w:trPr>
          <w:trHeight w:val="217"/>
        </w:trPr>
        <w:tc>
          <w:tcPr>
            <w:tcW w:w="628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138,248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176,337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Cleaning Disposal</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sold our industrial cleaning business during the fourth quarter of fiscal 2023 for net proceeds of $6.3 million in cash and a $0.4 million receivable for amounts to be paid upon satisfactory transfer of title of certain vehicles and equipment sold. The sale resulted in a $2.9 million gain, which was included in Other in the Consolidated Statements of Income. The industrial cleaning business was included in our Process and Industrial Facilities segment and was disposed of because its operations were no longer core to our growth strategy.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Sale-leaseback Transaction</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Even though we are fully committed to our operations in southern California, we took advantage of elevated real estate prices and sold our regional office and fabrication and warehouse facilities located in Orange, California during fiscal 2022 for net proceeds of $37.4 million in cash and recorded a gain of $32.4 million on the sale. In connection with the sale, we also entered into a leaseback agreement for a period up to 24 months while we locate replacement facilities.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Burlington Office Disposal - Subsequent Event</w:t>
      </w:r>
    </w:p>
    <w:p>
      <w:pPr>
        <w:spacing w:after="0" w:line="16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During the first quarter of fiscal 2024, we sold a regional office facility in Burlington, Ontario for $2.9 million in cash, which resulted in a gain of approximately $2.7 million. During the second quarter of fiscal 2023, we closed this underperforming office and ceased its associated operations.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Other Intangible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Storage and</w:t>
            </w:r>
          </w:p>
        </w:tc>
        <w:tc>
          <w:tcPr>
            <w:tcW w:w="120" w:type="dxa"/>
            <w:vAlign w:val="bottom"/>
          </w:tcPr>
          <w:p>
            <w:pPr>
              <w:spacing w:after="0"/>
              <w:rPr>
                <w:sz w:val="14"/>
                <w:szCs w:val="14"/>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Utility and Power</w:t>
            </w:r>
          </w:p>
        </w:tc>
        <w:tc>
          <w:tcPr>
            <w:tcW w:w="220" w:type="dxa"/>
            <w:vAlign w:val="bottom"/>
          </w:tcPr>
          <w:p>
            <w:pPr>
              <w:spacing w:after="0"/>
              <w:rPr>
                <w:sz w:val="14"/>
                <w:szCs w:val="14"/>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4"/>
              </w:rPr>
              <w:t>Process and</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2"/>
              </w:rPr>
              <w:t>Terminal</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4"/>
              </w:rPr>
              <w:t>Solutions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Infrastructure</w:t>
            </w:r>
          </w:p>
        </w:tc>
        <w:tc>
          <w:tcPr>
            <w:tcW w:w="14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Industrial Facilities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balance at June 30, 2020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60,369</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gridSpan w:val="2"/>
          </w:tcPr>
          <w:p>
            <w:pPr>
              <w:ind w:left="20"/>
              <w:spacing w:after="0" w:line="223" w:lineRule="exact"/>
              <w:rPr>
                <w:sz w:val="20"/>
                <w:szCs w:val="20"/>
                <w:color w:val="auto"/>
              </w:rPr>
            </w:pPr>
            <w:r>
              <w:rPr>
                <w:rFonts w:ascii="Arial" w:cs="Arial" w:eastAsia="Arial" w:hAnsi="Arial"/>
                <w:sz w:val="18"/>
                <w:szCs w:val="18"/>
                <w:color w:val="auto"/>
              </w:rPr>
              <w:t xml:space="preserve">Translation adjustment </w:t>
            </w:r>
            <w:r>
              <w:rPr>
                <w:rFonts w:ascii="Arial" w:cs="Arial" w:eastAsia="Arial" w:hAnsi="Arial"/>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7"/>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balance at June 30, 2021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60,636</w:t>
            </w:r>
          </w:p>
        </w:tc>
        <w:tc>
          <w:tcPr>
            <w:tcW w:w="0" w:type="dxa"/>
            <w:vAlign w:val="bottom"/>
          </w:tcPr>
          <w:p>
            <w:pPr>
              <w:spacing w:after="0"/>
              <w:rPr>
                <w:sz w:val="1"/>
                <w:szCs w:val="1"/>
                <w:color w:val="auto"/>
              </w:rPr>
            </w:pPr>
          </w:p>
        </w:tc>
      </w:tr>
      <w:tr>
        <w:trPr>
          <w:trHeight w:val="223"/>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Goodwill impairment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(18,312)</w:t>
            </w:r>
          </w:p>
        </w:tc>
        <w:tc>
          <w:tcPr>
            <w:tcW w:w="0" w:type="dxa"/>
            <w:vAlign w:val="bottom"/>
          </w:tcPr>
          <w:p>
            <w:pPr>
              <w:spacing w:after="0"/>
              <w:rPr>
                <w:sz w:val="1"/>
                <w:szCs w:val="1"/>
                <w:color w:val="auto"/>
              </w:rPr>
            </w:pPr>
          </w:p>
        </w:tc>
      </w:tr>
      <w:tr>
        <w:trPr>
          <w:trHeight w:val="224"/>
        </w:trPr>
        <w:tc>
          <w:tcPr>
            <w:tcW w:w="568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Translation adjustment </w:t>
            </w:r>
            <w:r>
              <w:rPr>
                <w:rFonts w:ascii="Arial" w:cs="Arial" w:eastAsia="Arial" w:hAnsi="Arial"/>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Net balance at June 30, 2022</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42,135</w:t>
            </w:r>
          </w:p>
        </w:tc>
        <w:tc>
          <w:tcPr>
            <w:tcW w:w="0" w:type="dxa"/>
            <w:vAlign w:val="bottom"/>
          </w:tcPr>
          <w:p>
            <w:pPr>
              <w:spacing w:after="0"/>
              <w:rPr>
                <w:sz w:val="1"/>
                <w:szCs w:val="1"/>
                <w:color w:val="auto"/>
              </w:rPr>
            </w:pPr>
          </w:p>
        </w:tc>
      </w:tr>
      <w:tr>
        <w:trPr>
          <w:trHeight w:val="224"/>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0" w:type="dxa"/>
            <w:vAlign w:val="bottom"/>
          </w:tcPr>
          <w:p>
            <w:pPr>
              <w:spacing w:after="0"/>
              <w:rPr>
                <w:sz w:val="1"/>
                <w:szCs w:val="1"/>
                <w:color w:val="auto"/>
              </w:rPr>
            </w:pPr>
          </w:p>
        </w:tc>
      </w:tr>
      <w:tr>
        <w:trPr>
          <w:trHeight w:val="223"/>
        </w:trPr>
        <w:tc>
          <w:tcPr>
            <w:tcW w:w="568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Disposal of business</w:t>
            </w:r>
            <w:r>
              <w:rPr>
                <w:rFonts w:ascii="Arial" w:cs="Arial" w:eastAsia="Arial" w:hAnsi="Arial"/>
                <w:sz w:val="22"/>
                <w:szCs w:val="22"/>
                <w:color w:val="auto"/>
                <w:vertAlign w:val="superscript"/>
              </w:rPr>
              <w:t>(2)</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3"/>
        </w:trPr>
        <w:tc>
          <w:tcPr>
            <w:tcW w:w="56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Translation adjustment</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7"/>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Net balance at June 30, 2023</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29,120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60" w:type="dxa"/>
            <w:vAlign w:val="bottom"/>
            <w:tcBorders>
              <w:bottom w:val="single" w:sz="8" w:color="auto"/>
            </w:tcBorders>
          </w:tcPr>
          <w:p>
            <w:pPr>
              <w:spacing w:after="0"/>
              <w:rPr>
                <w:sz w:val="14"/>
                <w:szCs w:val="14"/>
                <w:color w:val="auto"/>
              </w:rPr>
            </w:pPr>
          </w:p>
        </w:tc>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560" w:hanging="318"/>
        <w:spacing w:after="0" w:line="250" w:lineRule="auto"/>
        <w:tabs>
          <w:tab w:leader="none" w:pos="552"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1" w:lineRule="exact"/>
        <w:rPr>
          <w:rFonts w:ascii="Arial" w:cs="Arial" w:eastAsia="Arial" w:hAnsi="Arial"/>
          <w:sz w:val="14"/>
          <w:szCs w:val="14"/>
          <w:color w:val="auto"/>
        </w:rPr>
      </w:pPr>
    </w:p>
    <w:p>
      <w:pPr>
        <w:ind w:left="560" w:hanging="318"/>
        <w:spacing w:after="0" w:line="269" w:lineRule="auto"/>
        <w:tabs>
          <w:tab w:leader="none" w:pos="552"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sold our industrial cleaning business during the fourth quarter of fiscal 2023, which resulted in the allocation $0.6 million of goodwill to net assets sold in the transaction. See Note 3 - Property, Plant and Equipment, Industrial Cleaning Disposal, for more information.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2023</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performed our annual goodwill impairment test as of May 31, 2023, which resulted in no impairment. The fiscal 2023 test indicated that three reporting units with a combined total of $20.9 million of goodwill as of June 30, 2023 were at higher risk of future impairment. If our view of project opportunities or gross margins deteriorates, particularly for the higher risk reporting units, then we may be required to record an impairment of goodwill. Subsequent to the completion of the May 31, 2023 annual impairment test, additional information regarding new project awards became available which would significantly improve the cash flows and fair values of two of the higher risk reporting units, which comprised $15.4 million of our total goodwill as of June 30, 2023.</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estimated fair value of each segment was derived by utilizing a discounted cash flow analysis and market multiples of projected EBITDA. The key assumptions used are described in Note 1 - Summary of Significant Accounting Policies, and Item 7. Management’s Discussion and Analysis of Financial Condition and Results of Operations, Critical Accounting Policies, Goodwill.</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the second quarter of fiscal 2023, we concluded that a goodwill impairment indicator existed in the Process and Industrial Facilities segment based on a material adverse change in gross profit on a project. Based on the indicated outcome of this project and our near-term outlook for the reporting unit, we performed an interim impairment test for the unit and concluded that its $12.3 million of goodwill was fully impaired. The impairment was recognized in operating income during the three and six months ended December 31,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2022</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the third quarter of fiscal 2022, we concluded that goodwill impairment indicators existed based on the decline in the price of our stock and operating results that have underperformed our forecasts during the year. Accordingly, we performed an interim impairment test as of March 31, 2022 and concluded that there was $18.3 million of total impairment to goodwill, which was recognized in operating income during the three and nine months ended March 31, 2022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6" w:lineRule="exact"/>
        <w:rPr>
          <w:sz w:val="20"/>
          <w:szCs w:val="20"/>
          <w:color w:val="auto"/>
        </w:rPr>
      </w:pPr>
    </w:p>
    <w:p>
      <w:pPr>
        <w:ind w:left="640" w:hanging="31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$8.4 million in the Process and Industrial Facilities segment;</w:t>
      </w:r>
    </w:p>
    <w:p>
      <w:pPr>
        <w:spacing w:after="0" w:line="15" w:lineRule="exact"/>
        <w:rPr>
          <w:rFonts w:ascii="Arial" w:cs="Arial" w:eastAsia="Arial" w:hAnsi="Arial"/>
          <w:sz w:val="18"/>
          <w:szCs w:val="18"/>
          <w:color w:val="auto"/>
        </w:rPr>
      </w:pPr>
    </w:p>
    <w:p>
      <w:pPr>
        <w:ind w:left="640" w:hanging="31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$7.2 million in the Storage and Terminal Solutions segment; and</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$2.7 million in the Utility and Power Infrastructure segment.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At June 30, 2023</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2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1"/>
                <w:szCs w:val="11"/>
                <w:color w:val="auto"/>
              </w:rPr>
            </w:pPr>
          </w:p>
        </w:tc>
        <w:tc>
          <w:tcPr>
            <w:tcW w:w="12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Useful Life</w:t>
            </w: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93"/>
              </w:rPr>
              <w:t>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6"/>
                <w:szCs w:val="16"/>
                <w:color w:val="auto"/>
              </w:rPr>
            </w:pPr>
          </w:p>
        </w:tc>
        <w:tc>
          <w:tcPr>
            <w:tcW w:w="1280" w:type="dxa"/>
            <w:vAlign w:val="bottom"/>
          </w:tcPr>
          <w:p>
            <w:pPr>
              <w:jc w:val="right"/>
              <w:ind w:right="439"/>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12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to 15</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gridSpan w:val="2"/>
          </w:tcPr>
          <w:p>
            <w:pPr>
              <w:ind w:left="20"/>
              <w:spacing w:after="0" w:line="223" w:lineRule="exact"/>
              <w:rPr>
                <w:sz w:val="20"/>
                <w:szCs w:val="20"/>
                <w:color w:val="auto"/>
              </w:rPr>
            </w:pPr>
            <w:r>
              <w:rPr>
                <w:rFonts w:ascii="Arial" w:cs="Arial" w:eastAsia="Arial" w:hAnsi="Arial"/>
                <w:sz w:val="18"/>
                <w:szCs w:val="18"/>
                <w:color w:val="auto"/>
              </w:rPr>
              <w:t>Customer based</w:t>
            </w:r>
            <w:r>
              <w:rPr>
                <w:rFonts w:ascii="Arial" w:cs="Arial" w:eastAsia="Arial" w:hAnsi="Arial"/>
                <w:sz w:val="22"/>
                <w:szCs w:val="22"/>
                <w:color w:val="auto"/>
                <w:vertAlign w:val="superscript"/>
              </w:rPr>
              <w:t>(1)</w:t>
            </w:r>
          </w:p>
        </w:tc>
        <w:tc>
          <w:tcPr>
            <w:tcW w:w="15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7"/>
              </w:rPr>
              <w:t>6 to 15</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41"/>
        </w:trPr>
        <w:tc>
          <w:tcPr>
            <w:tcW w:w="4980" w:type="dxa"/>
            <w:vAlign w:val="bottom"/>
            <w:tcBorders>
              <w:bottom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Total other intangible assets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260" w:type="dxa"/>
            <w:vAlign w:val="bottom"/>
            <w:tcBorders>
              <w:bottom w:val="single" w:sz="8" w:color="auto"/>
            </w:tcBorders>
          </w:tcPr>
          <w:p>
            <w:pPr>
              <w:spacing w:after="0"/>
              <w:rPr>
                <w:sz w:val="12"/>
                <w:szCs w:val="12"/>
                <w:color w:val="auto"/>
              </w:rPr>
            </w:pPr>
          </w:p>
        </w:tc>
        <w:tc>
          <w:tcPr>
            <w:tcW w:w="3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40" w:hanging="298"/>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Customer-based intangible assets have been adjusted in fiscal 2023 to remove $4.2 million of customer relationships that have been fully amortized.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color w:val="auto"/>
                <w:w w:val="89"/>
              </w:rPr>
              <w:t>At June 30, 2022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126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5"/>
        </w:trPr>
        <w:tc>
          <w:tcPr>
            <w:tcW w:w="5020" w:type="dxa"/>
            <w:vAlign w:val="bottom"/>
          </w:tcPr>
          <w:p>
            <w:pPr>
              <w:spacing w:after="0"/>
              <w:rPr>
                <w:sz w:val="12"/>
                <w:szCs w:val="12"/>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c>
          <w:tcPr>
            <w:tcW w:w="300" w:type="dxa"/>
            <w:vAlign w:val="bottom"/>
          </w:tcPr>
          <w:p>
            <w:pPr>
              <w:spacing w:after="0"/>
              <w:rPr>
                <w:sz w:val="12"/>
                <w:szCs w:val="12"/>
                <w:color w:val="auto"/>
              </w:rPr>
            </w:pPr>
          </w:p>
        </w:tc>
        <w:tc>
          <w:tcPr>
            <w:tcW w:w="126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10 to 15</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3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based</w:t>
            </w:r>
          </w:p>
        </w:tc>
        <w:tc>
          <w:tcPr>
            <w:tcW w:w="15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0"/>
              </w:rPr>
              <w:t>6 to 15</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17,331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 other intangible assets</w:t>
            </w: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19,889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(15,093)</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8340" w:type="dxa"/>
            <w:vAlign w:val="bottom"/>
            <w:gridSpan w:val="7"/>
          </w:tcPr>
          <w:p>
            <w:pPr>
              <w:spacing w:after="0"/>
              <w:rPr>
                <w:sz w:val="20"/>
                <w:szCs w:val="20"/>
                <w:color w:val="auto"/>
              </w:rPr>
            </w:pPr>
            <w:r>
              <w:rPr>
                <w:rFonts w:ascii="Arial" w:cs="Arial" w:eastAsia="Arial" w:hAnsi="Arial"/>
                <w:sz w:val="18"/>
                <w:szCs w:val="18"/>
                <w:color w:val="auto"/>
                <w:w w:val="90"/>
              </w:rPr>
              <w:t>Amortization expense totaled $1.7 million, $1.8 million, and $2.3 million in fiscal 2023, 2022, and 2021, respectively.</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880" w:type="dxa"/>
            <w:vAlign w:val="bottom"/>
            <w:gridSpan w:val="4"/>
          </w:tcPr>
          <w:p>
            <w:pPr>
              <w:spacing w:after="0"/>
              <w:rPr>
                <w:sz w:val="20"/>
                <w:szCs w:val="20"/>
                <w:color w:val="auto"/>
              </w:rPr>
            </w:pPr>
            <w:r>
              <w:rPr>
                <w:rFonts w:ascii="Arial" w:cs="Arial" w:eastAsia="Arial" w:hAnsi="Arial"/>
                <w:sz w:val="18"/>
                <w:szCs w:val="18"/>
                <w:color w:val="auto"/>
                <w:w w:val="90"/>
              </w:rPr>
              <w:t>We estimate that future amortization of other intangible assets will be as follows (in thousands):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For year ending:</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2024</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3"/>
        </w:trPr>
        <w:tc>
          <w:tcPr>
            <w:tcW w:w="5020" w:type="dxa"/>
            <w:vAlign w:val="bottom"/>
          </w:tcPr>
          <w:p>
            <w:pPr>
              <w:ind w:left="40"/>
              <w:spacing w:after="0"/>
              <w:rPr>
                <w:sz w:val="20"/>
                <w:szCs w:val="20"/>
                <w:color w:val="auto"/>
              </w:rPr>
            </w:pPr>
            <w:r>
              <w:rPr>
                <w:rFonts w:ascii="Arial" w:cs="Arial" w:eastAsia="Arial" w:hAnsi="Arial"/>
                <w:sz w:val="18"/>
                <w:szCs w:val="18"/>
                <w:color w:val="auto"/>
              </w:rPr>
              <w:t>June 30, 2025</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2026</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7"/>
        </w:trPr>
        <w:tc>
          <w:tcPr>
            <w:tcW w:w="5020" w:type="dxa"/>
            <w:vAlign w:val="bottom"/>
          </w:tcPr>
          <w:p>
            <w:pPr>
              <w:ind w:left="140"/>
              <w:spacing w:after="0"/>
              <w:rPr>
                <w:sz w:val="20"/>
                <w:szCs w:val="20"/>
                <w:color w:val="auto"/>
              </w:rPr>
            </w:pPr>
            <w:r>
              <w:rPr>
                <w:rFonts w:ascii="Arial" w:cs="Arial" w:eastAsia="Arial" w:hAnsi="Arial"/>
                <w:sz w:val="18"/>
                <w:szCs w:val="18"/>
                <w:color w:val="auto"/>
              </w:rPr>
              <w:t>Total estimated amortization expense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September 9, 2021, the Company and our primary U.S. and Canada operating subsidiaries entered into an asset-based credit agreement, which was amended on October 5, 2022 (as amended, the "ABL Facility"), with Bank of Montreal, as Administrative Agent, Swing Line Lender and a Letter of Credit Issuer, and the lenders named therein.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and the assets of our co-borrowers and guarantors under the ABL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ABL Facility matures, and any outstanding amounts become due and payable, on September 9, 2026. At June 30, 2023, our borrowing base was $67.0 million, we had $10.0 million of outstanding borrowings, and we had $19.3 million in letters of credit outstanding, which resulted in availability of $37.7 million under the ABL Facility. Our borrowing base has ranged from $67.0 million to $83.2 million during fiscal 2023.</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Borrowings under the ABL Facility bear interest through maturity at a variable rate based upon, at our option, an annual rate of either a base rate (“Base Rate”), an Adjusted Term Secured Overnight Financing Rate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The interest rate in effect for borrowings outstanding at June 30, 2023, including applicable margin, was approximately 7.47%.</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were in compliance with all covenants of the ABL Facility as of June 30,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6—Income Taxes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Pretax Income (Loss)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Fiscal Years Ended</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
        </w:trPr>
        <w:tc>
          <w:tcPr>
            <w:tcW w:w="6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28"/>
        </w:trPr>
        <w:tc>
          <w:tcPr>
            <w:tcW w:w="6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460" w:type="dxa"/>
            <w:vAlign w:val="bottom"/>
            <w:gridSpan w:val="2"/>
          </w:tcPr>
          <w:p>
            <w:pPr>
              <w:ind w:left="340"/>
              <w:spacing w:after="0" w:line="129"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1"/>
                <w:szCs w:val="11"/>
                <w:color w:val="auto"/>
              </w:rPr>
            </w:pPr>
          </w:p>
        </w:tc>
        <w:tc>
          <w:tcPr>
            <w:tcW w:w="1260" w:type="dxa"/>
            <w:vAlign w:val="bottom"/>
          </w:tcPr>
          <w:p>
            <w:pPr>
              <w:jc w:val="right"/>
              <w:ind w:right="459"/>
              <w:spacing w:after="0" w:line="129" w:lineRule="exact"/>
              <w:rPr>
                <w:sz w:val="20"/>
                <w:szCs w:val="20"/>
                <w:color w:val="auto"/>
              </w:rPr>
            </w:pPr>
            <w:r>
              <w:rPr>
                <w:rFonts w:ascii="Arial" w:cs="Arial" w:eastAsia="Arial" w:hAnsi="Arial"/>
                <w:sz w:val="14"/>
                <w:szCs w:val="14"/>
                <w:b w:val="1"/>
                <w:bCs w:val="1"/>
                <w:color w:val="auto"/>
              </w:rPr>
              <w:t>June 30,</w:t>
            </w:r>
          </w:p>
        </w:tc>
      </w:tr>
      <w:tr>
        <w:trPr>
          <w:trHeight w:val="188"/>
        </w:trPr>
        <w:tc>
          <w:tcPr>
            <w:tcW w:w="6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r>
      <w:tr>
        <w:trPr>
          <w:trHeight w:val="188"/>
        </w:trPr>
        <w:tc>
          <w:tcPr>
            <w:tcW w:w="6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(38,867)</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w:t>
            </w:r>
          </w:p>
        </w:tc>
      </w:tr>
      <w:tr>
        <w:trPr>
          <w:trHeight w:val="242"/>
        </w:trPr>
        <w:tc>
          <w:tcPr>
            <w:tcW w:w="63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the Provision for Income Tax Expense (Benefit)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90"/>
              </w:rPr>
              <w:t>Fiscal Years Ended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128"/>
        </w:trPr>
        <w:tc>
          <w:tcPr>
            <w:tcW w:w="63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ind w:left="81"/>
              <w:spacing w:after="0" w:line="129" w:lineRule="exact"/>
              <w:rPr>
                <w:sz w:val="20"/>
                <w:szCs w:val="20"/>
                <w:color w:val="auto"/>
              </w:rPr>
            </w:pPr>
            <w:r>
              <w:rPr>
                <w:rFonts w:ascii="Arial" w:cs="Arial" w:eastAsia="Arial" w:hAnsi="Arial"/>
                <w:sz w:val="14"/>
                <w:szCs w:val="14"/>
                <w:b w:val="1"/>
                <w:bCs w:val="1"/>
                <w:color w:val="auto"/>
                <w:w w:val="89"/>
              </w:rPr>
              <w:t>June 30,</w:t>
            </w: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56"/>
              <w:spacing w:after="0" w:line="129" w:lineRule="exact"/>
              <w:rPr>
                <w:sz w:val="20"/>
                <w:szCs w:val="20"/>
                <w:color w:val="auto"/>
              </w:rPr>
            </w:pPr>
            <w:r>
              <w:rPr>
                <w:rFonts w:ascii="Arial" w:cs="Arial" w:eastAsia="Arial" w:hAnsi="Arial"/>
                <w:sz w:val="14"/>
                <w:szCs w:val="14"/>
                <w:b w:val="1"/>
                <w:bCs w:val="1"/>
                <w:color w:val="auto"/>
                <w:w w:val="89"/>
              </w:rPr>
              <w:t>June 30,</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55"/>
              <w:spacing w:after="0" w:line="129" w:lineRule="exact"/>
              <w:rPr>
                <w:sz w:val="20"/>
                <w:szCs w:val="20"/>
                <w:color w:val="auto"/>
              </w:rPr>
            </w:pPr>
            <w:r>
              <w:rPr>
                <w:rFonts w:ascii="Arial" w:cs="Arial" w:eastAsia="Arial" w:hAnsi="Arial"/>
                <w:sz w:val="14"/>
                <w:szCs w:val="14"/>
                <w:b w:val="1"/>
                <w:bCs w:val="1"/>
                <w:color w:val="auto"/>
                <w:w w:val="99"/>
              </w:rPr>
              <w:t>June 30,</w:t>
            </w:r>
          </w:p>
        </w:tc>
        <w:tc>
          <w:tcPr>
            <w:tcW w:w="20" w:type="dxa"/>
            <w:vAlign w:val="bottom"/>
          </w:tcPr>
          <w:p>
            <w:pPr>
              <w:spacing w:after="0"/>
              <w:rPr>
                <w:sz w:val="11"/>
                <w:szCs w:val="11"/>
                <w:color w:val="auto"/>
              </w:rPr>
            </w:pPr>
          </w:p>
        </w:tc>
      </w:tr>
      <w:tr>
        <w:trPr>
          <w:trHeight w:val="188"/>
        </w:trPr>
        <w:tc>
          <w:tcPr>
            <w:tcW w:w="6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left="61"/>
              <w:spacing w:after="0"/>
              <w:rPr>
                <w:sz w:val="20"/>
                <w:szCs w:val="20"/>
                <w:color w:val="auto"/>
              </w:rPr>
            </w:pPr>
            <w:r>
              <w:rPr>
                <w:rFonts w:ascii="Arial" w:cs="Arial" w:eastAsia="Arial" w:hAnsi="Arial"/>
                <w:sz w:val="14"/>
                <w:szCs w:val="14"/>
                <w:b w:val="1"/>
                <w:bCs w:val="1"/>
                <w:color w:val="auto"/>
                <w:w w:val="89"/>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56"/>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r>
      <w:tr>
        <w:trPr>
          <w:trHeight w:val="188"/>
        </w:trPr>
        <w:tc>
          <w:tcPr>
            <w:tcW w:w="6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360" w:type="dxa"/>
            <w:vAlign w:val="bottom"/>
          </w:tcPr>
          <w:p>
            <w:pPr>
              <w:ind w:left="34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(369)</w:t>
            </w:r>
          </w:p>
        </w:tc>
        <w:tc>
          <w:tcPr>
            <w:tcW w:w="48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(13,154)</w:t>
            </w:r>
          </w:p>
        </w:tc>
        <w:tc>
          <w:tcPr>
            <w:tcW w:w="20" w:type="dxa"/>
            <w:vAlign w:val="bottom"/>
          </w:tcPr>
          <w:p>
            <w:pPr>
              <w:spacing w:after="0"/>
              <w:rPr>
                <w:sz w:val="19"/>
                <w:szCs w:val="19"/>
                <w:color w:val="auto"/>
              </w:rPr>
            </w:pPr>
          </w:p>
        </w:tc>
      </w:tr>
      <w:tr>
        <w:trPr>
          <w:trHeight w:val="224"/>
        </w:trPr>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9"/>
                <w:szCs w:val="19"/>
                <w:color w:val="auto"/>
              </w:rPr>
            </w:pPr>
          </w:p>
        </w:tc>
      </w:tr>
      <w:tr>
        <w:trPr>
          <w:trHeight w:val="217"/>
        </w:trPr>
        <w:tc>
          <w:tcPr>
            <w:tcW w:w="6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20" w:type="dxa"/>
            <w:vAlign w:val="bottom"/>
          </w:tcPr>
          <w:p>
            <w:pPr>
              <w:spacing w:after="0"/>
              <w:rPr>
                <w:sz w:val="18"/>
                <w:szCs w:val="18"/>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 w:type="dxa"/>
            <w:vAlign w:val="bottom"/>
          </w:tcPr>
          <w:p>
            <w:pPr>
              <w:spacing w:after="0"/>
              <w:rPr>
                <w:sz w:val="19"/>
                <w:szCs w:val="19"/>
                <w:color w:val="auto"/>
              </w:rPr>
            </w:pPr>
          </w:p>
        </w:tc>
      </w:tr>
      <w:tr>
        <w:trPr>
          <w:trHeight w:val="223"/>
        </w:trPr>
        <w:tc>
          <w:tcPr>
            <w:tcW w:w="6360" w:type="dxa"/>
            <w:vAlign w:val="bottom"/>
          </w:tcPr>
          <w:p>
            <w:pPr>
              <w:ind w:left="3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9"/>
                <w:szCs w:val="19"/>
                <w:color w:val="auto"/>
              </w:rPr>
            </w:pPr>
          </w:p>
        </w:tc>
      </w:tr>
      <w:tr>
        <w:trPr>
          <w:trHeight w:val="223"/>
        </w:trPr>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9"/>
                <w:szCs w:val="19"/>
                <w:color w:val="auto"/>
              </w:rPr>
            </w:pPr>
          </w:p>
        </w:tc>
      </w:tr>
      <w:tr>
        <w:trPr>
          <w:trHeight w:val="217"/>
        </w:trPr>
        <w:tc>
          <w:tcPr>
            <w:tcW w:w="6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0" w:type="dxa"/>
            <w:vAlign w:val="bottom"/>
          </w:tcPr>
          <w:p>
            <w:pPr>
              <w:spacing w:after="0"/>
              <w:rPr>
                <w:sz w:val="18"/>
                <w:szCs w:val="18"/>
                <w:color w:val="auto"/>
              </w:rPr>
            </w:pPr>
          </w:p>
        </w:tc>
      </w:tr>
      <w:tr>
        <w:trPr>
          <w:trHeight w:val="237"/>
        </w:trPr>
        <w:tc>
          <w:tcPr>
            <w:tcW w:w="6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(12,039)</w:t>
            </w:r>
          </w:p>
        </w:tc>
        <w:tc>
          <w:tcPr>
            <w:tcW w:w="20" w:type="dxa"/>
            <w:vAlign w:val="bottom"/>
          </w:tcPr>
          <w:p>
            <w:pPr>
              <w:spacing w:after="0"/>
              <w:rPr>
                <w:sz w:val="20"/>
                <w:szCs w:val="20"/>
                <w:color w:val="auto"/>
              </w:rPr>
            </w:pPr>
          </w:p>
        </w:tc>
      </w:tr>
      <w:tr>
        <w:trPr>
          <w:trHeight w:val="20"/>
        </w:trPr>
        <w:tc>
          <w:tcPr>
            <w:tcW w:w="63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3"/>
        </w:trPr>
        <w:tc>
          <w:tcPr>
            <w:tcW w:w="11220" w:type="dxa"/>
            <w:vAlign w:val="bottom"/>
            <w:gridSpan w:val="17"/>
          </w:tcPr>
          <w:p>
            <w:pPr>
              <w:spacing w:after="0"/>
              <w:rPr>
                <w:sz w:val="20"/>
                <w:szCs w:val="20"/>
                <w:color w:val="auto"/>
              </w:rPr>
            </w:pPr>
            <w:r>
              <w:rPr>
                <w:rFonts w:ascii="Arial" w:cs="Arial" w:eastAsia="Arial" w:hAnsi="Arial"/>
                <w:sz w:val="18"/>
                <w:szCs w:val="18"/>
                <w:i w:val="1"/>
                <w:iCs w:val="1"/>
                <w:color w:val="auto"/>
                <w:w w:val="93"/>
              </w:rPr>
              <w:t>Reconciliation Between the Expected Income Tax Provision Applying the Domestic Federal Statutory Tax Rate and the Reported Income Tax Provision</w:t>
            </w:r>
          </w:p>
        </w:tc>
      </w:tr>
      <w:tr>
        <w:trPr>
          <w:trHeight w:val="358"/>
        </w:trPr>
        <w:tc>
          <w:tcPr>
            <w:tcW w:w="6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0"/>
              </w:rPr>
              <w:t>Fiscal Years Ended</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128"/>
        </w:trPr>
        <w:tc>
          <w:tcPr>
            <w:tcW w:w="6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4"/>
          </w:tcPr>
          <w:p>
            <w:pPr>
              <w:ind w:left="60"/>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860" w:type="dxa"/>
            <w:vAlign w:val="bottom"/>
          </w:tcPr>
          <w:p>
            <w:pPr>
              <w:jc w:val="center"/>
              <w:ind w:left="136"/>
              <w:spacing w:after="0" w:line="12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ind w:left="240"/>
              <w:spacing w:after="0" w:line="129" w:lineRule="exact"/>
              <w:rPr>
                <w:sz w:val="20"/>
                <w:szCs w:val="20"/>
                <w:color w:val="auto"/>
              </w:rPr>
            </w:pPr>
            <w:r>
              <w:rPr>
                <w:rFonts w:ascii="Arial" w:cs="Arial" w:eastAsia="Arial" w:hAnsi="Arial"/>
                <w:sz w:val="14"/>
                <w:szCs w:val="14"/>
                <w:b w:val="1"/>
                <w:bCs w:val="1"/>
                <w:color w:val="auto"/>
              </w:rPr>
              <w:t>June 30,</w:t>
            </w:r>
          </w:p>
        </w:tc>
      </w:tr>
      <w:tr>
        <w:trPr>
          <w:trHeight w:val="188"/>
        </w:trPr>
        <w:tc>
          <w:tcPr>
            <w:tcW w:w="6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136"/>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r>
      <w:tr>
        <w:trPr>
          <w:trHeight w:val="188"/>
        </w:trPr>
        <w:tc>
          <w:tcPr>
            <w:tcW w:w="6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benefit for federal income taxes at the statutory rate</w:t>
            </w:r>
          </w:p>
        </w:tc>
        <w:tc>
          <w:tcPr>
            <w:tcW w:w="3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left="61"/>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(9,085)</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(1,240)</w:t>
            </w:r>
          </w:p>
        </w:tc>
      </w:tr>
      <w:tr>
        <w:trPr>
          <w:trHeight w:val="224"/>
        </w:trPr>
        <w:tc>
          <w:tcPr>
            <w:tcW w:w="63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Impairment of non-deductible goodwill</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Charges without tax benefit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79"/>
              </w:rPr>
              <w:t>265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9"/>
                <w:szCs w:val="19"/>
                <w:color w:val="auto"/>
              </w:rPr>
            </w:pPr>
          </w:p>
        </w:tc>
      </w:tr>
      <w:tr>
        <w:trPr>
          <w:trHeight w:val="224"/>
        </w:trPr>
        <w:tc>
          <w:tcPr>
            <w:tcW w:w="63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Change in valuation allowance</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20" w:type="dxa"/>
            <w:vAlign w:val="bottom"/>
            <w:shd w:val="clear" w:color="auto" w:fill="CCEEFF"/>
          </w:tcPr>
          <w:p>
            <w:pPr>
              <w:spacing w:after="0"/>
              <w:rPr>
                <w:sz w:val="19"/>
                <w:szCs w:val="19"/>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Excess tax expense (benefit) on stock-based compensation</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4"/>
              </w:rPr>
              <w:t>1,216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1,826</w:t>
            </w:r>
          </w:p>
        </w:tc>
        <w:tc>
          <w:tcPr>
            <w:tcW w:w="20" w:type="dxa"/>
            <w:vAlign w:val="bottom"/>
          </w:tcPr>
          <w:p>
            <w:pPr>
              <w:spacing w:after="0"/>
              <w:rPr>
                <w:sz w:val="19"/>
                <w:szCs w:val="19"/>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and other tax credits</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(1,707)</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Foreign tax differential</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r>
      <w:tr>
        <w:trPr>
          <w:trHeight w:val="224"/>
        </w:trPr>
        <w:tc>
          <w:tcPr>
            <w:tcW w:w="63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Federal rate differential net operating loss carryback</w:t>
            </w:r>
            <w:r>
              <w:rPr>
                <w:rFonts w:ascii="Arial" w:cs="Arial" w:eastAsia="Arial" w:hAnsi="Arial"/>
                <w:sz w:val="22"/>
                <w:szCs w:val="22"/>
                <w:color w:val="auto"/>
                <w:vertAlign w:val="superscript"/>
              </w:rPr>
              <w:t>(3)</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(5,223)</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Change in uncertain tax positions</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292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r>
      <w:tr>
        <w:trPr>
          <w:trHeight w:val="217"/>
        </w:trPr>
        <w:tc>
          <w:tcPr>
            <w:tcW w:w="6360" w:type="dxa"/>
            <w:vAlign w:val="bottom"/>
          </w:tcPr>
          <w:p>
            <w:pPr>
              <w:ind w:left="20"/>
              <w:spacing w:after="0"/>
              <w:rPr>
                <w:sz w:val="20"/>
                <w:szCs w:val="20"/>
                <w:color w:val="auto"/>
              </w:rPr>
            </w:pPr>
            <w:r>
              <w:rPr>
                <w:rFonts w:ascii="Arial" w:cs="Arial" w:eastAsia="Arial" w:hAnsi="Arial"/>
                <w:sz w:val="18"/>
                <w:szCs w:val="18"/>
                <w:color w:val="auto"/>
              </w:rPr>
              <w:t>Provision (benefit) for federal, state and foreign income taxes</w:t>
            </w:r>
          </w:p>
        </w:tc>
        <w:tc>
          <w:tcPr>
            <w:tcW w:w="320" w:type="dxa"/>
            <w:vAlign w:val="bottom"/>
          </w:tcPr>
          <w:p>
            <w:pPr>
              <w:spacing w:after="0"/>
              <w:rPr>
                <w:sz w:val="18"/>
                <w:szCs w:val="18"/>
                <w:color w:val="auto"/>
              </w:rPr>
            </w:pPr>
          </w:p>
        </w:tc>
        <w:tc>
          <w:tcPr>
            <w:tcW w:w="740" w:type="dxa"/>
            <w:vAlign w:val="bottom"/>
            <w:gridSpan w:val="2"/>
          </w:tcPr>
          <w:p>
            <w:pPr>
              <w:jc w:val="center"/>
              <w:ind w:left="61"/>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5,617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(12,039)</w:t>
            </w:r>
          </w:p>
        </w:tc>
      </w:tr>
      <w:tr>
        <w:trPr>
          <w:trHeight w:val="20"/>
        </w:trPr>
        <w:tc>
          <w:tcPr>
            <w:tcW w:w="6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292100</wp:posOffset>
            </wp:positionV>
            <wp:extent cx="8013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60" w:hanging="318"/>
        <w:spacing w:after="0" w:line="250" w:lineRule="auto"/>
        <w:tabs>
          <w:tab w:leader="none" w:pos="5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fiscal 2022, we impaired $18.3 million of goodwill, which included $5.4 million of non-deductible goodwill. See Note 4 - Goodwill and Other Intangible Assets for more information about the impairments.</w:t>
      </w:r>
    </w:p>
    <w:p>
      <w:pPr>
        <w:spacing w:after="0" w:line="1" w:lineRule="exact"/>
        <w:rPr>
          <w:rFonts w:ascii="Arial" w:cs="Arial" w:eastAsia="Arial" w:hAnsi="Arial"/>
          <w:sz w:val="14"/>
          <w:szCs w:val="14"/>
          <w:color w:val="auto"/>
        </w:rPr>
      </w:pPr>
    </w:p>
    <w:p>
      <w:pPr>
        <w:jc w:val="both"/>
        <w:ind w:left="560" w:hanging="318"/>
        <w:spacing w:after="0" w:line="270" w:lineRule="auto"/>
        <w:tabs>
          <w:tab w:leader="none" w:pos="552" w:val="left"/>
        </w:tabs>
        <w:numPr>
          <w:ilvl w:val="0"/>
          <w:numId w:val="33"/>
        </w:numPr>
        <w:rPr>
          <w:rFonts w:ascii="Arial" w:cs="Arial" w:eastAsia="Arial" w:hAnsi="Arial"/>
          <w:sz w:val="13"/>
          <w:szCs w:val="13"/>
          <w:color w:val="auto"/>
        </w:rPr>
      </w:pPr>
      <w:r>
        <w:rPr>
          <w:rFonts w:ascii="Arial" w:cs="Arial" w:eastAsia="Arial" w:hAnsi="Arial"/>
          <w:sz w:val="13"/>
          <w:szCs w:val="13"/>
          <w:color w:val="auto"/>
        </w:rPr>
        <w:t>Due to the existence of a cumulative loss over a three-year period, we recorded a full valuation allowance against our deferred tax assets in fiscal 2022 and recorded additional valuation allowances against newly generated deferred tax assets in fiscal 2023. These assets are primarily comprised of federal net operating losses, which have an indefinite carryforward, federal tax credits and state net operating losses. To the extent we generate taxable income in the future, or cumulative losses are no longer present and our future projections for growth or tax planning strategies are demonstrated, we will realize the benefit associated with the net operating losses for which the valuation allowance has been provided. In fiscal 2021, we placed $2.8 million of valuation allowances, including $1.5 million on certain state net operating loss carryforwards due to a history of cumulative losses for a subsidiary.</w:t>
      </w:r>
    </w:p>
    <w:p>
      <w:pPr>
        <w:ind w:left="540" w:hanging="298"/>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Relates to fiscal 2021 net operating losses carried back under provisions of the CARES Act to fiscal years 2016 and 2017 which had a 35% federal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Components of our Deferred Tax Assets and Liabilities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jc w:val="center"/>
              <w:ind w:right="435"/>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8"/>
        </w:trPr>
        <w:tc>
          <w:tcPr>
            <w:tcW w:w="76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5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88"/>
        </w:trPr>
        <w:tc>
          <w:tcPr>
            <w:tcW w:w="7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40" w:type="dxa"/>
            <w:vAlign w:val="bottom"/>
          </w:tcPr>
          <w:p>
            <w:pPr>
              <w:ind w:left="340"/>
              <w:spacing w:after="0"/>
              <w:rPr>
                <w:sz w:val="20"/>
                <w:szCs w:val="20"/>
                <w:color w:val="auto"/>
              </w:rPr>
            </w:pPr>
            <w:r>
              <w:rPr>
                <w:rFonts w:ascii="Arial" w:cs="Arial" w:eastAsia="Arial" w:hAnsi="Arial"/>
                <w:sz w:val="18"/>
                <w:szCs w:val="18"/>
                <w:color w:val="auto"/>
              </w:rPr>
              <w:t>Accruals and reserves</w:t>
            </w: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Bad debt reserve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3"/>
        </w:trPr>
        <w:tc>
          <w:tcPr>
            <w:tcW w:w="7640" w:type="dxa"/>
            <w:vAlign w:val="bottom"/>
          </w:tcPr>
          <w:p>
            <w:pPr>
              <w:ind w:left="340"/>
              <w:spacing w:after="0"/>
              <w:rPr>
                <w:sz w:val="20"/>
                <w:szCs w:val="20"/>
                <w:color w:val="auto"/>
              </w:rPr>
            </w:pPr>
            <w:r>
              <w:rPr>
                <w:rFonts w:ascii="Arial" w:cs="Arial" w:eastAsia="Arial" w:hAnsi="Arial"/>
                <w:sz w:val="18"/>
                <w:szCs w:val="18"/>
                <w:color w:val="auto"/>
              </w:rPr>
              <w:t>Insurance reserve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benefit and credit carryforwards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23,717</w:t>
            </w:r>
          </w:p>
        </w:tc>
        <w:tc>
          <w:tcPr>
            <w:tcW w:w="0" w:type="dxa"/>
            <w:vAlign w:val="bottom"/>
          </w:tcPr>
          <w:p>
            <w:pPr>
              <w:spacing w:after="0"/>
              <w:rPr>
                <w:sz w:val="1"/>
                <w:szCs w:val="1"/>
                <w:color w:val="auto"/>
              </w:rPr>
            </w:pPr>
          </w:p>
        </w:tc>
      </w:tr>
      <w:tr>
        <w:trPr>
          <w:trHeight w:val="223"/>
        </w:trPr>
        <w:tc>
          <w:tcPr>
            <w:tcW w:w="7640" w:type="dxa"/>
            <w:vAlign w:val="bottom"/>
          </w:tcPr>
          <w:p>
            <w:pPr>
              <w:ind w:left="340"/>
              <w:spacing w:after="0"/>
              <w:rPr>
                <w:sz w:val="20"/>
                <w:szCs w:val="20"/>
                <w:color w:val="auto"/>
              </w:rPr>
            </w:pPr>
            <w:r>
              <w:rPr>
                <w:rFonts w:ascii="Arial" w:cs="Arial" w:eastAsia="Arial" w:hAnsi="Arial"/>
                <w:sz w:val="18"/>
                <w:szCs w:val="18"/>
                <w:color w:val="auto"/>
              </w:rPr>
              <w:t>Accrued compensation and pension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compensation expense on nonvested restricted stock units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3"/>
        </w:trPr>
        <w:tc>
          <w:tcPr>
            <w:tcW w:w="7640" w:type="dxa"/>
            <w:vAlign w:val="bottom"/>
          </w:tcPr>
          <w:p>
            <w:pPr>
              <w:ind w:left="340"/>
              <w:spacing w:after="0"/>
              <w:rPr>
                <w:sz w:val="20"/>
                <w:szCs w:val="20"/>
                <w:color w:val="auto"/>
              </w:rPr>
            </w:pPr>
            <w:r>
              <w:rPr>
                <w:rFonts w:ascii="Arial" w:cs="Arial" w:eastAsia="Arial" w:hAnsi="Arial"/>
                <w:sz w:val="18"/>
                <w:szCs w:val="18"/>
                <w:color w:val="auto"/>
              </w:rPr>
              <w:t>Book over tax amortization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FICA</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23"/>
        </w:trPr>
        <w:tc>
          <w:tcPr>
            <w:tcW w:w="7640" w:type="dxa"/>
            <w:vAlign w:val="bottom"/>
          </w:tcPr>
          <w:p>
            <w:pPr>
              <w:ind w:left="340"/>
              <w:spacing w:after="0"/>
              <w:rPr>
                <w:sz w:val="20"/>
                <w:szCs w:val="20"/>
                <w:color w:val="auto"/>
              </w:rPr>
            </w:pPr>
            <w:r>
              <w:rPr>
                <w:rFonts w:ascii="Arial" w:cs="Arial" w:eastAsia="Arial" w:hAnsi="Arial"/>
                <w:sz w:val="18"/>
                <w:szCs w:val="18"/>
                <w:color w:val="auto"/>
              </w:rPr>
              <w:t>Research and development capitalization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and other</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Valuation allowance</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(28,615)</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over book depreciation</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7"/>
        </w:trPr>
        <w:tc>
          <w:tcPr>
            <w:tcW w:w="76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deferred tax liabilities</w:t>
            </w: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line="203" w:lineRule="exact"/>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As reported in the Consolidated Balance Sheets:</w:t>
            </w: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1"/>
        </w:trPr>
        <w:tc>
          <w:tcPr>
            <w:tcW w:w="7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jc w:val="center"/>
              <w:ind w:right="395"/>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1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liabilities</w:t>
            </w: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76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Net deferred tax liability</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placed a valuation allowance on our deferred tax assets in the second quarter of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 or cumulative losses are no longer present and our future projections for growth or tax planning strategies are demonstrated.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and Tax Credit Carryforwards</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net operating loss carryforwards and tax credit carryforwards in federal, state and foreign jurisdictions. The valuation allowance at June 30, 2023 and June 30, 2022 reduces the recognized tax benefit of these carryforwards to an amount that is more likely than not to be realized. The gross carryforwards will generally expire as shown below for each jurisdiction: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Operating Loss and Tax Credit Carryforwards</w:t>
            </w:r>
          </w:p>
        </w:tc>
        <w:tc>
          <w:tcPr>
            <w:tcW w:w="4160" w:type="dxa"/>
            <w:vAlign w:val="bottom"/>
          </w:tcPr>
          <w:p>
            <w:pPr>
              <w:ind w:left="1480"/>
              <w:spacing w:after="0"/>
              <w:rPr>
                <w:sz w:val="20"/>
                <w:szCs w:val="20"/>
                <w:color w:val="auto"/>
              </w:rPr>
            </w:pPr>
            <w:r>
              <w:rPr>
                <w:rFonts w:ascii="Arial" w:cs="Arial" w:eastAsia="Arial" w:hAnsi="Arial"/>
                <w:sz w:val="14"/>
                <w:szCs w:val="14"/>
                <w:b w:val="1"/>
                <w:bCs w:val="1"/>
                <w:color w:val="auto"/>
              </w:rPr>
              <w:t>Expiration Period</w:t>
            </w:r>
          </w:p>
        </w:tc>
        <w:tc>
          <w:tcPr>
            <w:tcW w:w="1180" w:type="dxa"/>
            <w:vAlign w:val="bottom"/>
          </w:tcPr>
          <w:p>
            <w:pPr>
              <w:spacing w:after="0"/>
              <w:rPr>
                <w:sz w:val="15"/>
                <w:szCs w:val="15"/>
                <w:color w:val="auto"/>
              </w:rPr>
            </w:pPr>
          </w:p>
        </w:tc>
        <w:tc>
          <w:tcPr>
            <w:tcW w:w="1600" w:type="dxa"/>
            <w:vAlign w:val="bottom"/>
          </w:tcPr>
          <w:p>
            <w:pPr>
              <w:jc w:val="right"/>
              <w:ind w:right="95"/>
              <w:spacing w:after="0"/>
              <w:rPr>
                <w:sz w:val="20"/>
                <w:szCs w:val="20"/>
                <w:color w:val="auto"/>
              </w:rPr>
            </w:pPr>
            <w:r>
              <w:rPr>
                <w:rFonts w:ascii="Arial" w:cs="Arial" w:eastAsia="Arial" w:hAnsi="Arial"/>
                <w:sz w:val="14"/>
                <w:szCs w:val="14"/>
                <w:b w:val="1"/>
                <w:bCs w:val="1"/>
                <w:color w:val="auto"/>
                <w:w w:val="91"/>
              </w:rPr>
              <w:t>Amount (in thousands)</w:t>
            </w:r>
          </w:p>
        </w:tc>
      </w:tr>
      <w:tr>
        <w:trPr>
          <w:trHeight w:val="24"/>
        </w:trPr>
        <w:tc>
          <w:tcPr>
            <w:tcW w:w="43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net operating loss</w:t>
            </w:r>
          </w:p>
        </w:tc>
        <w:tc>
          <w:tcPr>
            <w:tcW w:w="41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Indefinite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38,606</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4160" w:type="dxa"/>
            <w:vAlign w:val="bottom"/>
          </w:tcPr>
          <w:p>
            <w:pPr>
              <w:ind w:left="1480"/>
              <w:spacing w:after="0"/>
              <w:rPr>
                <w:sz w:val="20"/>
                <w:szCs w:val="20"/>
                <w:color w:val="auto"/>
              </w:rPr>
            </w:pPr>
            <w:r>
              <w:rPr>
                <w:rFonts w:ascii="Arial" w:cs="Arial" w:eastAsia="Arial" w:hAnsi="Arial"/>
                <w:sz w:val="18"/>
                <w:szCs w:val="18"/>
                <w:color w:val="auto"/>
              </w:rPr>
              <w:t>June 2041 to June 2043</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3,270</w:t>
            </w: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foreign tax credits</w:t>
            </w:r>
          </w:p>
        </w:tc>
        <w:tc>
          <w:tcPr>
            <w:tcW w:w="41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June 2024 to June 2025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State net operating losses</w:t>
            </w:r>
          </w:p>
        </w:tc>
        <w:tc>
          <w:tcPr>
            <w:tcW w:w="4160" w:type="dxa"/>
            <w:vAlign w:val="bottom"/>
          </w:tcPr>
          <w:p>
            <w:pPr>
              <w:ind w:left="1480"/>
              <w:spacing w:after="0"/>
              <w:rPr>
                <w:sz w:val="20"/>
                <w:szCs w:val="20"/>
                <w:color w:val="auto"/>
              </w:rPr>
            </w:pPr>
            <w:r>
              <w:rPr>
                <w:rFonts w:ascii="Arial" w:cs="Arial" w:eastAsia="Arial" w:hAnsi="Arial"/>
                <w:sz w:val="18"/>
                <w:szCs w:val="18"/>
                <w:color w:val="auto"/>
              </w:rPr>
              <w:t>June 2025 to indefinite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95,480</w:t>
            </w: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credits</w:t>
            </w:r>
          </w:p>
        </w:tc>
        <w:tc>
          <w:tcPr>
            <w:tcW w:w="41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June 2033 to indefinite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Foreign net operating losses</w:t>
            </w:r>
          </w:p>
        </w:tc>
        <w:tc>
          <w:tcPr>
            <w:tcW w:w="4160" w:type="dxa"/>
            <w:vAlign w:val="bottom"/>
          </w:tcPr>
          <w:p>
            <w:pPr>
              <w:ind w:left="1480"/>
              <w:spacing w:after="0"/>
              <w:rPr>
                <w:sz w:val="20"/>
                <w:szCs w:val="20"/>
                <w:color w:val="auto"/>
              </w:rPr>
            </w:pPr>
            <w:r>
              <w:rPr>
                <w:rFonts w:ascii="Arial" w:cs="Arial" w:eastAsia="Arial" w:hAnsi="Arial"/>
                <w:sz w:val="18"/>
                <w:szCs w:val="18"/>
                <w:color w:val="auto"/>
              </w:rPr>
              <w:t>June 2033 to June 2043</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31,453</w:t>
            </w: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credits</w:t>
            </w:r>
          </w:p>
        </w:tc>
        <w:tc>
          <w:tcPr>
            <w:tcW w:w="41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June 2035 to June 2043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Operating Loss Carryback Refund</w:t>
      </w:r>
    </w:p>
    <w:p>
      <w:pPr>
        <w:spacing w:after="0" w:line="16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Through provisions in the Coronavirus Aid, Relief, and Economic Security (CARES) Act (the "CARES Act"), we had an income tax benefit from the ability to carryback the fiscal 2021 federal net operating loss to a period with a higher statutory federal income tax rate. We received a $13.3 million tax refund in connection with this carryback during fiscal 2023, which was included in income taxes receivable in the Consolidated Balance Sheets as of June 30, 2022.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Payroll Taxes</w:t>
      </w:r>
    </w:p>
    <w:p>
      <w:pPr>
        <w:spacing w:after="0" w:line="16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During the second quarter of fiscal 2023, we repaid the remaining $5.6 million of U.S. payroll taxes we deferred through the provisions of the CARES Act. The balance of deferred payroll taxes was included within accrued wages and benefits in the Consolidated Balance Sheets as of June 30, 2022.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general, it is our practice and intention to reinvest the earnings of our foreign subsidiaries in our foreign operations. We do not provide for outside basis differences under the indefinite reinvestment assertion of ASC 740-30.</w:t>
      </w:r>
    </w:p>
    <w:p>
      <w:pPr>
        <w:spacing w:after="0" w:line="1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file tax returns in multiple domestic and foreign taxing jurisdictions. With a few exceptions, we are no longer subject to examination by taxing authorities through fiscal 2018. At June 30, 2023, we updated our evaluation of our open tax years in all known jurisdictions. As of June 30, 2023, we have a $0.2 million liability for unrecognized tax positions and the payment of related interest and penalties. We treat the related interest and penalties as income tax expense. Due to the uncertainties related to these tax matters, we are unable to make a reasonably reliable estimate as to when cash settlement with a taxing authority will occur.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maintain insurance coverage for various aspects of our operations. However, exposure to potential losses is retained through the use of deductibles, self-insured retentions and coverage limits.</w:t>
      </w:r>
    </w:p>
    <w:p>
      <w:pPr>
        <w:spacing w:after="0" w:line="12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fiscal 2023, we completed cost reimbursable construction services for a customer at a mining and minerals facility. In late fiscal 2023, after numerous attempts to collect outstanding receivables, we filed a notice of default for lack of payment of outstanding balances, and in early fiscal 2024, we filed a lien on the facility. The customer responded by commencing litigation against us, alleging breach of contract and breach of express warranty. We deny all claims and filed a countersuit against the customer for failure to pay outstanding amounts of accounts receivable and CIE, which total $5.6 million. Litigation is unpredictable, however, based on the terms of the contract with this customer, we believe we are entitled to collect the full amount owed under the contract.</w:t>
      </w:r>
    </w:p>
    <w:p>
      <w:pPr>
        <w:spacing w:after="0" w:line="11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During fiscal 2022, we filed an arbitration demand in an effort to collect outstanding balances of $32.7 million from a customer for which we completed a crude oil storage terminal project. The customer has filed counterclaims for liquidated damages and miscellaneous warranty items. We deny all claims and believe we are entitled to collect the full amount owed under the contract. Our hearing for this matter is currently scheduled for October 2024.</w:t>
      </w:r>
    </w:p>
    <w:p>
      <w:pPr>
        <w:spacing w:after="0" w:line="10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fiscal 2020, we commenced litigation in an effort to collect an account receivable from an iron and steel customer on a reimbursable contract following the deterioration of the relationship. The unpaid receivable balance at June 30, 2023 was $17.0 million. In connection with our suit, the customer filed certain counterclaims against us. We deny all claims and believe we are entitled to collect the full amount owed under the contract. Our trial regarding this matter is scheduled for September 2023.</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we have set appropriate reserves for the matters described above based on our evaluation of the possible outcomes of the litigation. We and our subsidiaries are participants in various other legal actions. It is the opinion of management that none of the other known legal actions will have a material impact on our financial position, results of operations or liquidity.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enter into lease arrangements for real estate, construction equipment and information technology equipment in the normal course of business. Real estate leases accounted for most of our right-of-use assets as of June 30, 2023. Most real estate and information technology equipment leases generally have fixed payments that follow an agreed upon payment schedule and have remaining lease terms ranging from less than a year to 13 years. Construction equipment leases generally have "month-to-month" lease terms that automatically renew as long as the equipment remains in use.</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fiscal 2021 we recorded $0.5 million of impairments to right-of-use assets related to leased office space that was closed in connection with our restructuring activities, see Note 14 – Restructuring Costs for additional information.</w:t>
      </w:r>
    </w:p>
    <w:p>
      <w:pPr>
        <w:sectPr>
          <w:pgSz w:w="11900" w:h="16838" w:orient="portrait"/>
          <w:cols w:equalWidth="0" w:num="1">
            <w:col w:w="11240"/>
          </w:cols>
          <w:pgMar w:left="320" w:top="358" w:right="339"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expense in the Consolidated Statements of Income are as follows: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3140" w:val="left"/>
        </w:tabs>
        <w:rPr>
          <w:sz w:val="20"/>
          <w:szCs w:val="20"/>
          <w:color w:val="auto"/>
        </w:rPr>
      </w:pPr>
      <w:r>
        <w:rPr>
          <w:rFonts w:ascii="Arial" w:cs="Arial" w:eastAsia="Arial" w:hAnsi="Arial"/>
          <w:sz w:val="14"/>
          <w:szCs w:val="14"/>
          <w:b w:val="1"/>
          <w:bCs w:val="1"/>
          <w:color w:val="auto"/>
        </w:rPr>
        <w:t>Lease expense</w:t>
      </w:r>
      <w:r>
        <w:rPr>
          <w:sz w:val="20"/>
          <w:szCs w:val="20"/>
          <w:color w:val="auto"/>
        </w:rPr>
        <w:tab/>
      </w:r>
      <w:r>
        <w:rPr>
          <w:rFonts w:ascii="Arial" w:cs="Arial" w:eastAsia="Arial" w:hAnsi="Arial"/>
          <w:sz w:val="12"/>
          <w:szCs w:val="12"/>
          <w:b w:val="1"/>
          <w:bCs w:val="1"/>
          <w:color w:val="auto"/>
        </w:rPr>
        <w:t>Location of Expense in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10730" cy="2584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0730" cy="258445"/>
                    </a:xfrm>
                    <a:prstGeom prst="rect">
                      <a:avLst/>
                    </a:prstGeom>
                    <a:noFill/>
                  </pic:spPr>
                </pic:pic>
              </a:graphicData>
            </a:graphic>
          </wp:anchor>
        </w:drawing>
      </w:r>
    </w:p>
    <w:p>
      <w:pPr>
        <w:spacing w:after="0" w:line="17" w:lineRule="exact"/>
        <w:rPr>
          <w:sz w:val="20"/>
          <w:szCs w:val="20"/>
          <w:color w:val="auto"/>
        </w:rPr>
      </w:pPr>
    </w:p>
    <w:p>
      <w:pPr>
        <w:ind w:left="20"/>
        <w:spacing w:after="0"/>
        <w:tabs>
          <w:tab w:leader="none" w:pos="2660" w:val="left"/>
        </w:tabs>
        <w:rPr>
          <w:sz w:val="20"/>
          <w:szCs w:val="20"/>
          <w:color w:val="auto"/>
        </w:rPr>
      </w:pPr>
      <w:r>
        <w:rPr>
          <w:rFonts w:ascii="Arial" w:cs="Arial" w:eastAsia="Arial" w:hAnsi="Arial"/>
          <w:sz w:val="18"/>
          <w:szCs w:val="18"/>
          <w:color w:val="auto"/>
        </w:rPr>
        <w:t>Operating lease expense</w:t>
      </w:r>
      <w:r>
        <w:rPr>
          <w:sz w:val="20"/>
          <w:szCs w:val="20"/>
          <w:color w:val="auto"/>
        </w:rPr>
        <w:tab/>
      </w:r>
      <w:r>
        <w:rPr>
          <w:rFonts w:ascii="Arial" w:cs="Arial" w:eastAsia="Arial" w:hAnsi="Arial"/>
          <w:sz w:val="15"/>
          <w:szCs w:val="15"/>
          <w:color w:val="auto"/>
        </w:rPr>
        <w:t>Cost of revenue and selling, general and administrative</w:t>
      </w:r>
    </w:p>
    <w:p>
      <w:pPr>
        <w:ind w:left="2680"/>
        <w:spacing w:after="0"/>
        <w:rPr>
          <w:sz w:val="20"/>
          <w:szCs w:val="20"/>
          <w:color w:val="auto"/>
        </w:rPr>
      </w:pPr>
      <w:r>
        <w:rPr>
          <w:rFonts w:ascii="Arial" w:cs="Arial" w:eastAsia="Arial" w:hAnsi="Arial"/>
          <w:sz w:val="18"/>
          <w:szCs w:val="18"/>
          <w:color w:val="auto"/>
        </w:rPr>
        <w:t>expenses</w:t>
      </w:r>
    </w:p>
    <w:p>
      <w:pPr>
        <w:ind w:left="20"/>
        <w:spacing w:after="0"/>
        <w:tabs>
          <w:tab w:leader="none" w:pos="2660" w:val="left"/>
        </w:tabs>
        <w:rPr>
          <w:sz w:val="20"/>
          <w:szCs w:val="20"/>
          <w:color w:val="auto"/>
        </w:rPr>
      </w:pPr>
      <w:r>
        <w:rPr>
          <w:rFonts w:ascii="Arial" w:cs="Arial" w:eastAsia="Arial" w:hAnsi="Arial"/>
          <w:sz w:val="18"/>
          <w:szCs w:val="18"/>
          <w:color w:val="auto"/>
        </w:rPr>
        <w:t>Short-term lease expense</w:t>
      </w:r>
      <w:r>
        <w:rPr>
          <w:rFonts w:ascii="Arial" w:cs="Arial" w:eastAsia="Arial" w:hAnsi="Arial"/>
          <w:sz w:val="22"/>
          <w:szCs w:val="22"/>
          <w:color w:val="auto"/>
          <w:vertAlign w:val="superscript"/>
        </w:rPr>
        <w:t>(1)</w:t>
      </w:r>
      <w:r>
        <w:rPr>
          <w:sz w:val="20"/>
          <w:szCs w:val="20"/>
          <w:color w:val="auto"/>
        </w:rPr>
        <w:tab/>
      </w:r>
      <w:r>
        <w:rPr>
          <w:rFonts w:ascii="Arial" w:cs="Arial" w:eastAsia="Arial" w:hAnsi="Arial"/>
          <w:sz w:val="15"/>
          <w:szCs w:val="15"/>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10730" cy="167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0730" cy="1670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184785</wp:posOffset>
            </wp:positionV>
            <wp:extent cx="8013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Fiscal Years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2"/>
              </w:rPr>
              <w:t>June 30, 2021</w:t>
            </w:r>
          </w:p>
        </w:tc>
      </w:tr>
      <w:tr>
        <w:trPr>
          <w:trHeight w:val="179"/>
        </w:trPr>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25"/>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6,635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7,511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8,386</w:t>
            </w:r>
          </w:p>
        </w:tc>
      </w:tr>
      <w:tr>
        <w:trPr>
          <w:trHeight w:val="224"/>
        </w:trPr>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25,912</w:t>
            </w:r>
          </w:p>
        </w:tc>
      </w:tr>
      <w:tr>
        <w:trPr>
          <w:trHeight w:val="21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34,298</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80" w:space="600"/>
            <w:col w:w="3960"/>
          </w:cols>
          <w:pgMar w:left="320" w:top="358" w:right="339" w:bottom="1440" w:gutter="0" w:footer="0" w:header="0"/>
          <w:type w:val="continuous"/>
        </w:sectPr>
      </w:pPr>
    </w:p>
    <w:p>
      <w:pPr>
        <w:spacing w:after="0" w:line="97" w:lineRule="exact"/>
        <w:rPr>
          <w:sz w:val="20"/>
          <w:szCs w:val="20"/>
          <w:color w:val="auto"/>
        </w:rPr>
      </w:pPr>
    </w:p>
    <w:p>
      <w:pPr>
        <w:ind w:left="540" w:hanging="298"/>
        <w:spacing w:after="0"/>
        <w:tabs>
          <w:tab w:leader="none" w:pos="5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Primarily represents the lease expense of construction equipment that is subject to month-to-month rental agreements with expected rental durations of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future undiscounted lease payments, as reconciled to the discounted operating lease liabilities presented in our Consolidated Balance Sheets,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ind w:right="395"/>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4"/>
        </w:trPr>
        <w:tc>
          <w:tcPr>
            <w:tcW w:w="9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Maturity Analysis:</w:t>
            </w: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948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24"/>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Fiscal 2027</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24"/>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2028</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2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w:t>
            </w: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operating lease payments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31,214</w:t>
            </w:r>
          </w:p>
        </w:tc>
        <w:tc>
          <w:tcPr>
            <w:tcW w:w="0" w:type="dxa"/>
            <w:vAlign w:val="bottom"/>
          </w:tcPr>
          <w:p>
            <w:pPr>
              <w:spacing w:after="0"/>
              <w:rPr>
                <w:sz w:val="1"/>
                <w:szCs w:val="1"/>
                <w:color w:val="auto"/>
              </w:rPr>
            </w:pPr>
          </w:p>
        </w:tc>
      </w:tr>
      <w:tr>
        <w:trPr>
          <w:trHeight w:val="22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Imputed interest</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present value of future lease payments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25,321</w:t>
            </w:r>
          </w:p>
        </w:tc>
        <w:tc>
          <w:tcPr>
            <w:tcW w:w="0" w:type="dxa"/>
            <w:vAlign w:val="bottom"/>
          </w:tcPr>
          <w:p>
            <w:pPr>
              <w:spacing w:after="0"/>
              <w:rPr>
                <w:sz w:val="1"/>
                <w:szCs w:val="1"/>
                <w:color w:val="auto"/>
              </w:rPr>
            </w:pPr>
          </w:p>
        </w:tc>
      </w:tr>
      <w:tr>
        <w:trPr>
          <w:trHeight w:val="22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42"/>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20,660</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summary of the weighted average remaining operating lease and finance lease term and weighted average discount rate as of June 30, 2023:</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years</w:t>
            </w: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762"/>
        </w:trPr>
        <w:tc>
          <w:tcPr>
            <w:tcW w:w="948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0"/>
        </w:trPr>
        <w:tc>
          <w:tcPr>
            <w:tcW w:w="9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ind w:right="140"/>
              <w:spacing w:after="0"/>
              <w:rPr>
                <w:sz w:val="20"/>
                <w:szCs w:val="20"/>
                <w:color w:val="auto"/>
              </w:rPr>
            </w:pPr>
            <w:r>
              <w:rPr>
                <w:rFonts w:ascii="Arial" w:cs="Arial" w:eastAsia="Arial" w:hAnsi="Arial"/>
                <w:sz w:val="14"/>
                <w:szCs w:val="14"/>
                <w:b w:val="1"/>
                <w:bCs w:val="1"/>
                <w:color w:val="auto"/>
                <w:w w:val="89"/>
              </w:rPr>
              <w:t>Fiscal Year Ended</w:t>
            </w:r>
          </w:p>
        </w:tc>
      </w:tr>
      <w:tr>
        <w:trPr>
          <w:trHeight w:val="197"/>
        </w:trPr>
        <w:tc>
          <w:tcPr>
            <w:tcW w:w="9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ind w:right="140"/>
              <w:spacing w:after="0"/>
              <w:rPr>
                <w:sz w:val="20"/>
                <w:szCs w:val="20"/>
                <w:color w:val="auto"/>
              </w:rPr>
            </w:pPr>
            <w:r>
              <w:rPr>
                <w:rFonts w:ascii="Arial" w:cs="Arial" w:eastAsia="Arial" w:hAnsi="Arial"/>
                <w:sz w:val="14"/>
                <w:szCs w:val="14"/>
                <w:b w:val="1"/>
                <w:bCs w:val="1"/>
                <w:color w:val="auto"/>
                <w:w w:val="87"/>
              </w:rPr>
              <w:t>June 30, 2023</w:t>
            </w:r>
          </w:p>
        </w:tc>
      </w:tr>
      <w:tr>
        <w:trPr>
          <w:trHeight w:val="24"/>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1"/>
        </w:trPr>
        <w:tc>
          <w:tcPr>
            <w:tcW w:w="9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ind w:right="140"/>
              <w:spacing w:after="0"/>
              <w:rPr>
                <w:sz w:val="20"/>
                <w:szCs w:val="20"/>
                <w:color w:val="auto"/>
              </w:rPr>
            </w:pPr>
            <w:r>
              <w:rPr>
                <w:rFonts w:ascii="Arial" w:cs="Arial" w:eastAsia="Arial" w:hAnsi="Arial"/>
                <w:sz w:val="14"/>
                <w:szCs w:val="14"/>
                <w:color w:val="auto"/>
                <w:w w:val="90"/>
              </w:rPr>
              <w:t>(in thousands)</w:t>
            </w:r>
          </w:p>
        </w:tc>
      </w:tr>
      <w:tr>
        <w:trPr>
          <w:trHeight w:val="23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3"/>
        </w:trPr>
        <w:tc>
          <w:tcPr>
            <w:tcW w:w="9480" w:type="dxa"/>
            <w:vAlign w:val="bottom"/>
          </w:tcPr>
          <w:p>
            <w:pPr>
              <w:ind w:left="340"/>
              <w:spacing w:after="0"/>
              <w:rPr>
                <w:sz w:val="20"/>
                <w:szCs w:val="20"/>
                <w:color w:val="auto"/>
              </w:rPr>
            </w:pPr>
            <w:r>
              <w:rPr>
                <w:rFonts w:ascii="Arial" w:cs="Arial" w:eastAsia="Arial" w:hAnsi="Arial"/>
                <w:sz w:val="18"/>
                <w:szCs w:val="18"/>
                <w:color w:val="auto"/>
              </w:rPr>
              <w:t>Operating lease payments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6,618</w:t>
            </w:r>
          </w:p>
        </w:tc>
      </w:tr>
      <w:tr>
        <w:trPr>
          <w:trHeight w:val="224"/>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3"/>
        </w:trPr>
        <w:tc>
          <w:tcPr>
            <w:tcW w:w="9480" w:type="dxa"/>
            <w:vAlign w:val="bottom"/>
          </w:tcPr>
          <w:p>
            <w:pPr>
              <w:ind w:left="340"/>
              <w:spacing w:after="0"/>
              <w:rPr>
                <w:sz w:val="20"/>
                <w:szCs w:val="20"/>
                <w:color w:val="auto"/>
              </w:rPr>
            </w:pPr>
            <w:r>
              <w:rPr>
                <w:rFonts w:ascii="Arial" w:cs="Arial" w:eastAsia="Arial" w:hAnsi="Arial"/>
                <w:sz w:val="18"/>
                <w:szCs w:val="18"/>
                <w:color w:val="auto"/>
              </w:rPr>
              <w:t>Operating leases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5,383</w:t>
            </w:r>
          </w:p>
        </w:tc>
      </w:tr>
      <w:tr>
        <w:trPr>
          <w:trHeight w:val="565"/>
        </w:trPr>
        <w:tc>
          <w:tcPr>
            <w:tcW w:w="9480" w:type="dxa"/>
            <w:vAlign w:val="bottom"/>
          </w:tcPr>
          <w:p>
            <w:pPr>
              <w:spacing w:after="0"/>
              <w:rPr>
                <w:sz w:val="20"/>
                <w:szCs w:val="20"/>
                <w:color w:val="auto"/>
              </w:rPr>
            </w:pPr>
            <w:r>
              <w:rPr>
                <w:rFonts w:ascii="Arial" w:cs="Arial" w:eastAsia="Arial" w:hAnsi="Arial"/>
                <w:sz w:val="18"/>
                <w:szCs w:val="18"/>
                <w:b w:val="1"/>
                <w:bCs w:val="1"/>
                <w:color w:val="auto"/>
              </w:rPr>
              <w:t>Note 9—Stockholders’ Equity</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68"/>
        </w:trPr>
        <w:tc>
          <w:tcPr>
            <w:tcW w:w="9480" w:type="dxa"/>
            <w:vAlign w:val="bottom"/>
          </w:tcPr>
          <w:p>
            <w:pPr>
              <w:spacing w:after="0"/>
              <w:rPr>
                <w:sz w:val="20"/>
                <w:szCs w:val="20"/>
                <w:color w:val="auto"/>
              </w:rPr>
            </w:pPr>
            <w:r>
              <w:rPr>
                <w:rFonts w:ascii="Arial" w:cs="Arial" w:eastAsia="Arial" w:hAnsi="Arial"/>
                <w:sz w:val="18"/>
                <w:szCs w:val="18"/>
                <w:i w:val="1"/>
                <w:iCs w:val="1"/>
                <w:color w:val="auto"/>
              </w:rPr>
              <w:t>Preferred Stock</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We have 5.0 million shares of preferred stock authorized, none of which was issued or outstanding at June 30, 2023 or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fiscal 2023 and have no current plans to repurchase stock. The terms of our ABL Facility limit share repurchases to $2.5 million per fiscal year provided that we meet certain availability thresholds and do not violate our Fixed Charge Coverage Ratio financial covenant. There were 1,349,037 shares available for repurchase under the November 2018 Program as of June 30, 2023.</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the stock buyback program, we may withhold shares of common stock to satisfy the tax withholding obligations upon vesting of an employee’s restricted stock units. We withheld 52,864, 76,703, and 170,629 shares of common stock during fiscal 2023, 2022, and 2021, respectively, to satisfy these obligations. These shares were returned to our pool of treasury shares. We have 840,899 treasury shares as of June 30, 2023 and intend to utilize these treasury shares in connection with equity awards under our incentive plans and for sales to the Employee Stock Purchase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10—Stock-Based Compensation</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Total stock-based compensation expense for the fiscal years ended June 30, 2023, June 30, 2022, and June 30, 2021 was $6.8 million, $7.9 million and $8.2 million, respectively. Measured but unrecognized stock-based compensation expense at June 30, 2023 was $6.9 million, all of which related to nonvested restricted stock units which are expected to be recognized as expense over a weighted average period of 1.5 years. We recognized excess tax expense of $1.2 million, $1.0 million, and $1.8 million related to stock-based compensation vesting for the fiscal years ended June 30, 2023, 2022, and 2021,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Information</w:t>
      </w:r>
    </w:p>
    <w:p>
      <w:pPr>
        <w:spacing w:after="0" w:line="16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December 2022, our stockholders approved the First Amendment to the Matrix Service Company 2020 Stock and Incentive Compensation Plan, which amended the Matrix Service Company 2020 Stock and Incentive Compensation Plan (the "2020 Plan") to increase the maximum authorized shares under the 2020 Plan by 625,000 shares, increasing the total authorized shares under the 2020 Plan from 1,725,000 to 2,350,000 shares. In November 2020, our stockholders approved the 2020 Plan, which provides stock-based and cash-based incentives for officers, directors and other key employees. Stock options, restricted stock, restricted stock units, stock appreciation rights, performance shares and cash-based awards can be issued under this plan. Upon approval of the 2020 Plan, the 2018 Stock and Incentive Compensation Plan ("2018 Plan") was frozen with the exception of normal vesting and other activity associated with awards previously granted under the 2018 Plan. Shares awarded under the 2018 Plan that are subsequently forfeited or net settled for tax withholding purposes are returned to the treasury share pool and become available for grant under the 2020 Plan, as amended.</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Awards totaling 2,350,000 shares have been authorized under the 2020 Plan, as amended. There were 1,501,880 shares available for grant under the amended 2020 Plan as of June 30,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Equity-settled Restricted Stock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have issued equity-settled restricted stock units under the following types of arrangements:</w:t>
      </w:r>
    </w:p>
    <w:p>
      <w:pPr>
        <w:spacing w:after="0" w:line="240" w:lineRule="exact"/>
        <w:rPr>
          <w:sz w:val="20"/>
          <w:szCs w:val="20"/>
          <w:color w:val="auto"/>
        </w:rPr>
      </w:pPr>
    </w:p>
    <w:p>
      <w:pPr>
        <w:jc w:val="both"/>
        <w:ind w:left="640" w:hanging="319"/>
        <w:spacing w:after="0" w:line="290" w:lineRule="auto"/>
        <w:tabs>
          <w:tab w:leader="none" w:pos="6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Time-based awards—Employee awards generally vest in four equal annual installments beginning one year after the grant date. The award agreements contain a provision that accelerates the vesting for retirement eligible participants and participants that become retirement eligible during the vesting period and who elect to retire more than one year after the date of the award. The award is forfeited if retirement occurs before the first anniversary of the award. Settlement still occurs on the normal vesting schedules. Director awards vest one year after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640" w:hanging="319"/>
        <w:spacing w:after="0" w:line="286" w:lineRule="auto"/>
        <w:tabs>
          <w:tab w:leader="none" w:pos="6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Market-based awards—These awards are in the form of performance units which vest 3 years after the grant date only if our common stock achieves certain levels of total shareholder return when compared to the total shareholder return of a peer group of companies as selected by the Compensation Committee of the Board of Directors. The payout can range from zero to 200% of the original award depending on the Company's relative total shareholder return during the performance period. As of June 30, 2023, there were approximately 329,000, 377,000, and 431,000 performance units that are scheduled to vest in fiscal 2024, fiscal 2025, and fiscal 2026, respectively, assuming target performance.</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awards under the 2020 Plan vest upon the death or disability of the participant or upon a change of control of the Company, provided that the successor company fails to assume or replace the awards in connection with that change of control event. If the successor company does assume the awards, then vesting of the awards will be accelerated in the event of an involuntary termination or other material adverse event that occurs in connection with or following the change of control. All awards prior to the 2020 Plan vest upon the death or disability of the participant or upon a change of control of the Company.</w:t>
      </w:r>
    </w:p>
    <w:p>
      <w:pPr>
        <w:spacing w:after="0" w:line="110"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The grant date fair value of the time-based awards is determined by the market value of our common stock on the grant date. The grant date fair value of the market-based awards is calculated using a Monte Carlo model. For the fiscal 2023 grant, the model estimated the fair value of the award based on approximately 100,000 simulations of the future prices of our common stock compared to the future prices of the common stock of its peer companies based on historical volatilities. The model also took into account the expected dividends over the performance period of those peer companies which pay cash dividends.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Equity-settled restricted stock unit activity for the fiscal year ended June 30, 2023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41"/>
        </w:trPr>
        <w:tc>
          <w:tcPr>
            <w:tcW w:w="7160" w:type="dxa"/>
            <w:vAlign w:val="bottom"/>
          </w:tcPr>
          <w:p>
            <w:pPr>
              <w:spacing w:after="0"/>
              <w:rPr>
                <w:sz w:val="12"/>
                <w:szCs w:val="12"/>
                <w:color w:val="auto"/>
              </w:rPr>
            </w:pPr>
          </w:p>
        </w:tc>
        <w:tc>
          <w:tcPr>
            <w:tcW w:w="118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1"/>
              </w:rPr>
              <w:t>Shares</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ind w:right="99"/>
              <w:spacing w:after="0" w:line="141" w:lineRule="exact"/>
              <w:rPr>
                <w:sz w:val="20"/>
                <w:szCs w:val="20"/>
                <w:color w:val="auto"/>
              </w:rPr>
            </w:pPr>
            <w:r>
              <w:rPr>
                <w:rFonts w:ascii="Arial" w:cs="Arial" w:eastAsia="Arial" w:hAnsi="Arial"/>
                <w:sz w:val="14"/>
                <w:szCs w:val="14"/>
                <w:b w:val="1"/>
                <w:bCs w:val="1"/>
                <w:color w:val="auto"/>
                <w:w w:val="93"/>
              </w:rPr>
              <w:t>Date Fair Value per</w:t>
            </w:r>
          </w:p>
        </w:tc>
        <w:tc>
          <w:tcPr>
            <w:tcW w:w="0" w:type="dxa"/>
            <w:vAlign w:val="bottom"/>
          </w:tcPr>
          <w:p>
            <w:pPr>
              <w:spacing w:after="0"/>
              <w:rPr>
                <w:sz w:val="1"/>
                <w:szCs w:val="1"/>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jc w:val="center"/>
              <w:ind w:right="59"/>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shares at June 30, 2022</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1,465,788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3"/>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Shares 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782,707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4"/>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vested and released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(259,529)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23"/>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Shares canceled</w:t>
            </w:r>
          </w:p>
        </w:tc>
        <w:tc>
          <w:tcPr>
            <w:tcW w:w="780" w:type="dxa"/>
            <w:vAlign w:val="bottom"/>
          </w:tcPr>
          <w:p>
            <w:pPr>
              <w:jc w:val="right"/>
              <w:spacing w:after="0"/>
              <w:rPr>
                <w:sz w:val="20"/>
                <w:szCs w:val="20"/>
                <w:color w:val="auto"/>
              </w:rPr>
            </w:pPr>
            <w:r>
              <w:rPr>
                <w:rFonts w:ascii="Arial" w:cs="Arial" w:eastAsia="Arial" w:hAnsi="Arial"/>
                <w:sz w:val="18"/>
                <w:szCs w:val="18"/>
                <w:color w:val="auto"/>
                <w:w w:val="95"/>
              </w:rPr>
              <w:t>(214,017)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42"/>
        </w:trPr>
        <w:tc>
          <w:tcPr>
            <w:tcW w:w="716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Nonvested shares at June 30, 2023</w:t>
            </w: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1,774,949</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There were 696,227 and 665,597 restricted stock units granted in fiscal 2022 and 2021 with average grant date fair values of $14.13 and $10.60 per share, respectively. There were 268,403 and 515,218 restricted stock units that vested and were released in fiscal 2022 and 2021 with weighted average fair values of $13.92 and $16.99 per share, respectively. There were 242,743 and 119,904 restricted stock units cancelled in fiscal 2022 and 2021 with an average grant date fair value of $25.50 and $20.67 per share,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Cash-Settled Restricted Stock Units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granted 251,575, 231,219, and 238,848 cash-settled restricted stock units during fiscal years 2023, 2022 and 2021, respectively; with weighted average fair values of $1.5 million, $2.6 million, and $2.3 million respectively. There were 106,637 and 53,333 shares vested and released in fiscal 2023 and 2022, respectively; with weighted average fair values of $1.1 million and $0.5 million, respectively. There were no cash-settled restricted shares vested or released in fiscal 2021. There were 13,621 and 25,355 shares cancelled in fiscal 2023 and 2022, respectively; with weighted average fair values of $0.1 million and $0.3 million, respectively. There were no cash-settled restricted shares cancelled in fiscal 2021.</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grant date fair value of these awards is based on the price of our common stock and the number of shares awarded on the date of grant. The award must be settled in cash and is accounted for as a liability-type award. The expense is recognized over the requisite service period with remeasurement at the end of each reporting period at fair value until settlement. The requisite service period is based on the vesting provisions of the awards which generally occur in four equal annual installments beginning one year after the grant date. These awards contain the same retirement provisions described for time-based awards in the equity-settled restricted stock units section above.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recognized $1.3 million, $0.6 million, and $1.0 million of expense in fiscal years 2023, 2022, and 2021, respectively, for cash-settled restricted stock units, which was included in selling, general and administrative expenses and cost of revenue in the Consolidated Statements of Income. As of June 30, 2023, the liability for cash-settled restricted stock units was $1.7 million and is included in accrued wages and benefits in the Consolidated Balance Sheets.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11—Earnings per Common Share</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Basic earnings per share (“EPS”) is calculated based on the weighted average shares outstanding during the period. Diluted earnings per share includes the dilutive effect of employee and director nonvested restricted stock units. Nonvested restricted stock units are considered dilutive (antidilutive) whenever the average market value of the shares during the period exceeds (is less than) the sum of the related average unamortized compensation expense during the period plus the related hypothetical estimated excess tax benefit that will be realized when the shares vest. Nonvested restricted stock units are considered antidilutive in the event we report a net loss.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EPS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Fiscal Years Ended</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tcPr>
          <w:p>
            <w:pPr>
              <w:ind w:left="200"/>
              <w:spacing w:after="0" w:line="12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1"/>
                <w:szCs w:val="11"/>
                <w:color w:val="auto"/>
              </w:rPr>
            </w:pPr>
          </w:p>
        </w:tc>
        <w:tc>
          <w:tcPr>
            <w:tcW w:w="1200" w:type="dxa"/>
            <w:vAlign w:val="bottom"/>
          </w:tcPr>
          <w:p>
            <w:pPr>
              <w:jc w:val="right"/>
              <w:ind w:right="459"/>
              <w:spacing w:after="0" w:line="129"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6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20" w:type="dxa"/>
            <w:vAlign w:val="bottom"/>
            <w:gridSpan w:val="7"/>
          </w:tcPr>
          <w:p>
            <w:pPr>
              <w:jc w:val="center"/>
              <w:ind w:left="330"/>
              <w:spacing w:after="0"/>
              <w:rPr>
                <w:sz w:val="20"/>
                <w:szCs w:val="20"/>
                <w:color w:val="auto"/>
              </w:rPr>
            </w:pPr>
            <w:r>
              <w:rPr>
                <w:rFonts w:ascii="Arial" w:cs="Arial" w:eastAsia="Arial" w:hAnsi="Arial"/>
                <w:sz w:val="14"/>
                <w:szCs w:val="14"/>
                <w:b w:val="1"/>
                <w:bCs w:val="1"/>
                <w:color w:val="auto"/>
                <w:w w:val="88"/>
              </w:rPr>
              <w:t>(In thousands, except per share data)</w:t>
            </w: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(52,361)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2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26,988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6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(1.94)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626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Diluted EPS:</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320" w:type="dxa"/>
            <w:vAlign w:val="bottom"/>
          </w:tcPr>
          <w:p>
            <w:pPr>
              <w:spacing w:after="0"/>
              <w:rPr>
                <w:sz w:val="19"/>
                <w:szCs w:val="19"/>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26,988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26,988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6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(1.94)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7"/>
        </w:trPr>
        <w:tc>
          <w:tcPr>
            <w:tcW w:w="7940" w:type="dxa"/>
            <w:vAlign w:val="bottom"/>
            <w:gridSpan w:val="6"/>
          </w:tcPr>
          <w:p>
            <w:pPr>
              <w:spacing w:after="0"/>
              <w:rPr>
                <w:sz w:val="20"/>
                <w:szCs w:val="20"/>
                <w:color w:val="auto"/>
              </w:rPr>
            </w:pPr>
            <w:r>
              <w:rPr>
                <w:rFonts w:ascii="Arial" w:cs="Arial" w:eastAsia="Arial" w:hAnsi="Arial"/>
                <w:sz w:val="18"/>
                <w:szCs w:val="18"/>
                <w:color w:val="auto"/>
                <w:w w:val="88"/>
              </w:rPr>
              <w:t>The following securities are considered antidilutive and have been excluded from the calculation of Diluted EPS: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Fiscal Years Ended</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jc w:val="center"/>
              <w:ind w:left="210"/>
              <w:spacing w:after="0" w:line="129" w:lineRule="exact"/>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1"/>
                <w:szCs w:val="11"/>
                <w:color w:val="auto"/>
              </w:rPr>
            </w:pPr>
          </w:p>
        </w:tc>
        <w:tc>
          <w:tcPr>
            <w:tcW w:w="1220" w:type="dxa"/>
            <w:vAlign w:val="bottom"/>
            <w:gridSpan w:val="2"/>
          </w:tcPr>
          <w:p>
            <w:pPr>
              <w:jc w:val="center"/>
              <w:ind w:left="201"/>
              <w:spacing w:after="0" w:line="129" w:lineRule="exact"/>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1"/>
                <w:szCs w:val="11"/>
                <w:color w:val="auto"/>
              </w:rPr>
            </w:pPr>
          </w:p>
        </w:tc>
        <w:tc>
          <w:tcPr>
            <w:tcW w:w="1200" w:type="dxa"/>
            <w:vAlign w:val="bottom"/>
          </w:tcPr>
          <w:p>
            <w:pPr>
              <w:jc w:val="right"/>
              <w:ind w:right="299"/>
              <w:spacing w:after="0" w:line="129"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center"/>
              <w:ind w:left="32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left="201"/>
              <w:spacing w:after="0"/>
              <w:rPr>
                <w:sz w:val="20"/>
                <w:szCs w:val="20"/>
                <w:color w:val="auto"/>
              </w:rPr>
            </w:pPr>
            <w:r>
              <w:rPr>
                <w:rFonts w:ascii="Arial" w:cs="Arial" w:eastAsia="Arial" w:hAnsi="Arial"/>
                <w:sz w:val="12"/>
                <w:szCs w:val="12"/>
                <w:color w:val="auto"/>
                <w:w w:val="91"/>
              </w:rPr>
              <w:t>(In thousands)</w:t>
            </w: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99"/>
              </w:rPr>
              <w:t>97</w:t>
            </w:r>
          </w:p>
        </w:tc>
        <w:tc>
          <w:tcPr>
            <w:tcW w:w="16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110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12—Employee Benefit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sponsor defined contribution savings plans for all eligible employees meeting length of service requirements. Under the primary plan, participants may contribute an amount up to 25% of pretax annual compensation subject to certain limitations. We match 100% of the first 3% of employee contributions and 50% of the next 2% of employee contributions. Our matching contributions vest immediately.</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Our matching contributions were $5.3 million in each of the fiscal years ended June 30, 2023 and 2022, and $5.4 million in the fiscal year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contribute to a number of multiemployer defined benefit pension plans in the U.S. and Canada under the terms of collective-bargaining agreements that cover our union-represented employees, who are represented by more than 100 local unions. The related collective-bargaining agreements between those organizations and us, which specify the rate at which we must contribute to the multi-employer defined pension plan, expire at different times between 2023 and 2026. Benefits under these plans are generally based on compensation levels and years of service.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For us, the financial risks of participating in multiemployer plans are different from single-employer plans in the following respects:</w:t>
      </w:r>
    </w:p>
    <w:p>
      <w:pPr>
        <w:spacing w:after="0" w:line="161" w:lineRule="exact"/>
        <w:rPr>
          <w:sz w:val="20"/>
          <w:szCs w:val="20"/>
          <w:color w:val="auto"/>
        </w:rPr>
      </w:pPr>
    </w:p>
    <w:p>
      <w:pPr>
        <w:ind w:left="640" w:hanging="319"/>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Assets contributed to the multiemployer plan by one employer may be used to provide benefits to employees of other participating employers.</w:t>
      </w:r>
    </w:p>
    <w:p>
      <w:pPr>
        <w:spacing w:after="0" w:line="184" w:lineRule="exact"/>
        <w:rPr>
          <w:rFonts w:ascii="Arial" w:cs="Arial" w:eastAsia="Arial" w:hAnsi="Arial"/>
          <w:sz w:val="16"/>
          <w:szCs w:val="16"/>
          <w:color w:val="auto"/>
        </w:rPr>
      </w:pPr>
    </w:p>
    <w:p>
      <w:pPr>
        <w:ind w:left="640" w:right="420" w:hanging="319"/>
        <w:spacing w:after="0" w:line="261" w:lineRule="auto"/>
        <w:tabs>
          <w:tab w:leader="none" w:pos="6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 participating employer discontinues contributions to a plan, the unfunded obligations of the plan may be borne by the remaining participating employers.</w:t>
      </w:r>
    </w:p>
    <w:p>
      <w:pPr>
        <w:spacing w:after="0" w:line="128" w:lineRule="exact"/>
        <w:rPr>
          <w:rFonts w:ascii="Arial" w:cs="Arial" w:eastAsia="Arial" w:hAnsi="Arial"/>
          <w:sz w:val="18"/>
          <w:szCs w:val="18"/>
          <w:color w:val="auto"/>
        </w:rPr>
      </w:pPr>
    </w:p>
    <w:p>
      <w:pPr>
        <w:ind w:left="640" w:right="180" w:hanging="319"/>
        <w:spacing w:after="0" w:line="261" w:lineRule="auto"/>
        <w:tabs>
          <w:tab w:leader="none" w:pos="6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 participating employer chooses to stop participating in a plan, a withdrawal liability may be created based on the unfunded vested benefits for all employees in the plan.</w:t>
      </w:r>
    </w:p>
    <w:p>
      <w:pPr>
        <w:spacing w:after="0" w:line="1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Under federal legislation regarding multiemployer pension plans, in the event of a withdrawal from a plan or plan termination, companies are required to continue funding their proportionate share of such plan’s unfunded vested benefits. We are a participant in multiple union sponsored multiemployer plans, and, as a plan participant, our potential obligation could be significant. The amount of the potential obligation is not currently ascertainable because the information required to determine such amount is not identifiable or readily available.</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participation in significant plans for the fiscal year ended June 30, 2023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percent funded, plans in the yellow zone are generally less than 80 percent funded, and plans in the green zone are generally at least 80 percent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 The last column lists the expiration date of the collective-bargaining agreement to which the plan is subject.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561"/>
              <w:spacing w:after="0"/>
              <w:rPr>
                <w:sz w:val="20"/>
                <w:szCs w:val="20"/>
                <w:color w:val="auto"/>
              </w:rPr>
            </w:pPr>
            <w:r>
              <w:rPr>
                <w:rFonts w:ascii="Arial" w:cs="Arial" w:eastAsia="Arial" w:hAnsi="Arial"/>
                <w:sz w:val="14"/>
                <w:szCs w:val="14"/>
                <w:b w:val="1"/>
                <w:bCs w:val="1"/>
                <w:color w:val="auto"/>
                <w:w w:val="84"/>
              </w:rPr>
              <w:t>Pension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FIP/RP</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80" w:type="dxa"/>
            <w:vAlign w:val="bottom"/>
            <w:gridSpan w:val="2"/>
            <w:vMerge w:val="restart"/>
          </w:tcPr>
          <w:p>
            <w:pPr>
              <w:jc w:val="center"/>
              <w:spacing w:after="0" w:line="141" w:lineRule="exact"/>
              <w:rPr>
                <w:sz w:val="20"/>
                <w:szCs w:val="20"/>
                <w:color w:val="auto"/>
              </w:rPr>
            </w:pPr>
            <w:r>
              <w:rPr>
                <w:rFonts w:ascii="Arial" w:cs="Arial" w:eastAsia="Arial" w:hAnsi="Arial"/>
                <w:sz w:val="14"/>
                <w:szCs w:val="14"/>
                <w:b w:val="1"/>
                <w:bCs w:val="1"/>
                <w:color w:val="auto"/>
                <w:w w:val="89"/>
              </w:rPr>
              <w:t>Protection Act</w:t>
            </w:r>
          </w:p>
        </w:tc>
        <w:tc>
          <w:tcPr>
            <w:tcW w:w="1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940" w:type="dxa"/>
            <w:vAlign w:val="bottom"/>
            <w:gridSpan w:val="6"/>
            <w:vMerge w:val="restart"/>
          </w:tcPr>
          <w:p>
            <w:pPr>
              <w:jc w:val="center"/>
              <w:ind w:left="338"/>
              <w:spacing w:after="0" w:line="141" w:lineRule="exact"/>
              <w:rPr>
                <w:sz w:val="20"/>
                <w:szCs w:val="20"/>
                <w:color w:val="auto"/>
              </w:rPr>
            </w:pPr>
            <w:r>
              <w:rPr>
                <w:rFonts w:ascii="Arial" w:cs="Arial" w:eastAsia="Arial" w:hAnsi="Arial"/>
                <w:sz w:val="14"/>
                <w:szCs w:val="14"/>
                <w:b w:val="1"/>
                <w:bCs w:val="1"/>
                <w:color w:val="auto"/>
                <w:w w:val="91"/>
              </w:rPr>
              <w:t>Company Contributions</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2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gridSpan w:val="2"/>
            <w:vMerge w:val="restart"/>
          </w:tcPr>
          <w:p>
            <w:pPr>
              <w:jc w:val="center"/>
              <w:ind w:right="120"/>
              <w:spacing w:after="0" w:line="141" w:lineRule="exact"/>
              <w:rPr>
                <w:sz w:val="20"/>
                <w:szCs w:val="20"/>
                <w:color w:val="auto"/>
              </w:rPr>
            </w:pPr>
            <w:r>
              <w:rPr>
                <w:rFonts w:ascii="Arial" w:cs="Arial" w:eastAsia="Arial" w:hAnsi="Arial"/>
                <w:sz w:val="14"/>
                <w:szCs w:val="14"/>
                <w:b w:val="1"/>
                <w:bCs w:val="1"/>
                <w:color w:val="auto"/>
                <w:w w:val="88"/>
              </w:rPr>
              <w:t>Status</w:t>
            </w:r>
          </w:p>
        </w:tc>
        <w:tc>
          <w:tcPr>
            <w:tcW w:w="180" w:type="dxa"/>
            <w:vAlign w:val="bottom"/>
          </w:tcPr>
          <w:p>
            <w:pPr>
              <w:spacing w:after="0"/>
              <w:rPr>
                <w:sz w:val="6"/>
                <w:szCs w:val="6"/>
                <w:color w:val="auto"/>
              </w:rPr>
            </w:pPr>
          </w:p>
        </w:tc>
        <w:tc>
          <w:tcPr>
            <w:tcW w:w="1940" w:type="dxa"/>
            <w:vAlign w:val="bottom"/>
            <w:gridSpan w:val="6"/>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Zone Status</w:t>
            </w:r>
          </w:p>
        </w:tc>
        <w:tc>
          <w:tcPr>
            <w:tcW w:w="1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Fiscal Year</w:t>
            </w: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2"/>
              </w:rPr>
              <w:t>EIN/Pension</w:t>
            </w:r>
          </w:p>
        </w:tc>
        <w:tc>
          <w:tcPr>
            <w:tcW w:w="1780" w:type="dxa"/>
            <w:vAlign w:val="bottom"/>
            <w:tcBorders>
              <w:bottom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0"/>
              </w:rPr>
              <w:t>Pending or</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Surcharge</w:t>
            </w:r>
          </w:p>
        </w:tc>
        <w:tc>
          <w:tcPr>
            <w:tcW w:w="0" w:type="dxa"/>
            <w:vAlign w:val="bottom"/>
          </w:tcPr>
          <w:p>
            <w:pPr>
              <w:spacing w:after="0"/>
              <w:rPr>
                <w:sz w:val="1"/>
                <w:szCs w:val="1"/>
                <w:color w:val="auto"/>
              </w:rPr>
            </w:pPr>
          </w:p>
        </w:tc>
      </w:tr>
      <w:tr>
        <w:trPr>
          <w:trHeight w:val="185"/>
        </w:trPr>
        <w:tc>
          <w:tcPr>
            <w:tcW w:w="3000" w:type="dxa"/>
            <w:vAlign w:val="bottom"/>
            <w:gridSpan w:val="3"/>
          </w:tcPr>
          <w:p>
            <w:pPr>
              <w:ind w:left="1040"/>
              <w:spacing w:after="0"/>
              <w:rPr>
                <w:sz w:val="20"/>
                <w:szCs w:val="20"/>
                <w:color w:val="auto"/>
              </w:rPr>
            </w:pPr>
            <w:r>
              <w:rPr>
                <w:rFonts w:ascii="Arial" w:cs="Arial" w:eastAsia="Arial" w:hAnsi="Arial"/>
                <w:sz w:val="14"/>
                <w:szCs w:val="14"/>
                <w:b w:val="1"/>
                <w:bCs w:val="1"/>
                <w:color w:val="auto"/>
              </w:rPr>
              <w:t>Pension Fund</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Plan Number</w:t>
            </w:r>
          </w:p>
        </w:tc>
        <w:tc>
          <w:tcPr>
            <w:tcW w:w="116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2023</w:t>
            </w:r>
          </w:p>
        </w:tc>
        <w:tc>
          <w:tcPr>
            <w:tcW w:w="62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Implemented</w:t>
            </w:r>
          </w:p>
        </w:tc>
        <w:tc>
          <w:tcPr>
            <w:tcW w:w="180" w:type="dxa"/>
            <w:vAlign w:val="bottom"/>
          </w:tcPr>
          <w:p>
            <w:pPr>
              <w:spacing w:after="0"/>
              <w:rPr>
                <w:sz w:val="16"/>
                <w:szCs w:val="16"/>
                <w:color w:val="auto"/>
              </w:rPr>
            </w:pPr>
          </w:p>
        </w:tc>
        <w:tc>
          <w:tcPr>
            <w:tcW w:w="640" w:type="dxa"/>
            <w:vAlign w:val="bottom"/>
          </w:tcPr>
          <w:p>
            <w:pPr>
              <w:jc w:val="right"/>
              <w:ind w:right="19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ind w:right="21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Imposed</w:t>
            </w:r>
          </w:p>
        </w:tc>
        <w:tc>
          <w:tcPr>
            <w:tcW w:w="0" w:type="dxa"/>
            <w:vAlign w:val="bottom"/>
          </w:tcPr>
          <w:p>
            <w:pPr>
              <w:spacing w:after="0"/>
              <w:rPr>
                <w:sz w:val="1"/>
                <w:szCs w:val="1"/>
                <w:color w:val="auto"/>
              </w:rPr>
            </w:pPr>
          </w:p>
        </w:tc>
      </w:tr>
      <w:tr>
        <w:trPr>
          <w:trHeight w:val="188"/>
        </w:trPr>
        <w:tc>
          <w:tcPr>
            <w:tcW w:w="126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Boilermaker-Blacksmith National Pension Trust</w:t>
            </w:r>
          </w:p>
        </w:tc>
        <w:tc>
          <w:tcPr>
            <w:tcW w:w="1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48-6168020/001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141"/>
              <w:spacing w:after="0"/>
              <w:rPr>
                <w:sz w:val="20"/>
                <w:szCs w:val="20"/>
                <w:color w:val="auto"/>
              </w:rPr>
            </w:pPr>
            <w:r>
              <w:rPr>
                <w:rFonts w:ascii="Arial" w:cs="Arial" w:eastAsia="Arial" w:hAnsi="Arial"/>
                <w:sz w:val="12"/>
                <w:szCs w:val="12"/>
                <w:color w:val="auto"/>
                <w:w w:val="90"/>
              </w:rPr>
              <w:t>Red</w:t>
            </w:r>
          </w:p>
        </w:tc>
        <w:tc>
          <w:tcPr>
            <w:tcW w:w="620" w:type="dxa"/>
            <w:vAlign w:val="bottom"/>
            <w:shd w:val="clear" w:color="auto" w:fill="CCEEFF"/>
          </w:tcPr>
          <w:p>
            <w:pPr>
              <w:jc w:val="center"/>
              <w:ind w:right="138"/>
              <w:spacing w:after="0"/>
              <w:rPr>
                <w:sz w:val="20"/>
                <w:szCs w:val="20"/>
                <w:color w:val="auto"/>
              </w:rPr>
            </w:pPr>
            <w:r>
              <w:rPr>
                <w:rFonts w:ascii="Arial" w:cs="Arial" w:eastAsia="Arial" w:hAnsi="Arial"/>
                <w:sz w:val="12"/>
                <w:szCs w:val="12"/>
                <w:color w:val="auto"/>
                <w:w w:val="96"/>
              </w:rPr>
              <w:t>Yellow</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2"/>
              </w:rPr>
              <w:t>Implemented</w:t>
            </w: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4,003</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Yes</w:t>
            </w:r>
          </w:p>
        </w:tc>
        <w:tc>
          <w:tcPr>
            <w:tcW w:w="0" w:type="dxa"/>
            <w:vAlign w:val="bottom"/>
          </w:tcPr>
          <w:p>
            <w:pPr>
              <w:spacing w:after="0"/>
              <w:rPr>
                <w:sz w:val="1"/>
                <w:szCs w:val="1"/>
                <w:color w:val="auto"/>
              </w:rPr>
            </w:pPr>
          </w:p>
        </w:tc>
      </w:tr>
      <w:tr>
        <w:trPr>
          <w:trHeight w:val="145"/>
        </w:trPr>
        <w:tc>
          <w:tcPr>
            <w:tcW w:w="3000" w:type="dxa"/>
            <w:vAlign w:val="bottom"/>
            <w:gridSpan w:val="3"/>
          </w:tcPr>
          <w:p>
            <w:pPr>
              <w:ind w:left="20"/>
              <w:spacing w:after="0"/>
              <w:rPr>
                <w:sz w:val="20"/>
                <w:szCs w:val="20"/>
                <w:color w:val="auto"/>
              </w:rPr>
            </w:pPr>
            <w:r>
              <w:rPr>
                <w:rFonts w:ascii="Arial" w:cs="Arial" w:eastAsia="Arial" w:hAnsi="Arial"/>
                <w:sz w:val="12"/>
                <w:szCs w:val="12"/>
                <w:color w:val="auto"/>
              </w:rPr>
              <w:t>National Electrical Benefit Fund, IBEW locals 71, 126,</w:t>
            </w:r>
          </w:p>
        </w:tc>
        <w:tc>
          <w:tcPr>
            <w:tcW w:w="1180" w:type="dxa"/>
            <w:vAlign w:val="bottom"/>
            <w:vMerge w:val="restart"/>
          </w:tcPr>
          <w:p>
            <w:pPr>
              <w:jc w:val="center"/>
              <w:spacing w:after="0"/>
              <w:rPr>
                <w:sz w:val="20"/>
                <w:szCs w:val="20"/>
                <w:color w:val="auto"/>
              </w:rPr>
            </w:pPr>
            <w:r>
              <w:rPr>
                <w:rFonts w:ascii="Arial" w:cs="Arial" w:eastAsia="Arial" w:hAnsi="Arial"/>
                <w:sz w:val="12"/>
                <w:szCs w:val="12"/>
                <w:color w:val="auto"/>
                <w:w w:val="93"/>
              </w:rPr>
              <w:t>53-0181657/001</w:t>
            </w:r>
          </w:p>
        </w:tc>
        <w:tc>
          <w:tcPr>
            <w:tcW w:w="100" w:type="dxa"/>
            <w:vAlign w:val="bottom"/>
          </w:tcPr>
          <w:p>
            <w:pPr>
              <w:spacing w:after="0"/>
              <w:rPr>
                <w:sz w:val="12"/>
                <w:szCs w:val="12"/>
                <w:color w:val="auto"/>
              </w:rPr>
            </w:pPr>
          </w:p>
        </w:tc>
        <w:tc>
          <w:tcPr>
            <w:tcW w:w="1160" w:type="dxa"/>
            <w:vAlign w:val="bottom"/>
          </w:tcPr>
          <w:p>
            <w:pPr>
              <w:jc w:val="center"/>
              <w:ind w:right="141"/>
              <w:spacing w:after="0"/>
              <w:rPr>
                <w:sz w:val="20"/>
                <w:szCs w:val="20"/>
                <w:color w:val="auto"/>
              </w:rPr>
            </w:pPr>
            <w:r>
              <w:rPr>
                <w:rFonts w:ascii="Arial" w:cs="Arial" w:eastAsia="Arial" w:hAnsi="Arial"/>
                <w:sz w:val="12"/>
                <w:szCs w:val="12"/>
                <w:color w:val="auto"/>
                <w:w w:val="94"/>
              </w:rPr>
              <w:t>Described below</w:t>
            </w:r>
          </w:p>
        </w:tc>
        <w:tc>
          <w:tcPr>
            <w:tcW w:w="620" w:type="dxa"/>
            <w:vAlign w:val="bottom"/>
            <w:vMerge w:val="restart"/>
          </w:tcPr>
          <w:p>
            <w:pPr>
              <w:jc w:val="center"/>
              <w:ind w:right="138"/>
              <w:spacing w:after="0"/>
              <w:rPr>
                <w:sz w:val="20"/>
                <w:szCs w:val="20"/>
                <w:color w:val="auto"/>
              </w:rPr>
            </w:pPr>
            <w:r>
              <w:rPr>
                <w:rFonts w:ascii="Arial" w:cs="Arial" w:eastAsia="Arial" w:hAnsi="Arial"/>
                <w:sz w:val="12"/>
                <w:szCs w:val="12"/>
                <w:color w:val="auto"/>
                <w:w w:val="89"/>
              </w:rPr>
              <w:t>Green</w:t>
            </w:r>
          </w:p>
        </w:tc>
        <w:tc>
          <w:tcPr>
            <w:tcW w:w="10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rPr>
              <w:t>NA</w:t>
            </w: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3,437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2,973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1,865</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92"/>
        </w:trPr>
        <w:tc>
          <w:tcPr>
            <w:tcW w:w="3000" w:type="dxa"/>
            <w:vAlign w:val="bottom"/>
            <w:gridSpan w:val="3"/>
            <w:vMerge w:val="restart"/>
          </w:tcPr>
          <w:p>
            <w:pPr>
              <w:ind w:left="20"/>
              <w:spacing w:after="0"/>
              <w:rPr>
                <w:sz w:val="20"/>
                <w:szCs w:val="20"/>
                <w:color w:val="auto"/>
              </w:rPr>
            </w:pPr>
            <w:r>
              <w:rPr>
                <w:rFonts w:ascii="Arial" w:cs="Arial" w:eastAsia="Arial" w:hAnsi="Arial"/>
                <w:sz w:val="12"/>
                <w:szCs w:val="12"/>
                <w:color w:val="auto"/>
              </w:rPr>
              <w:t>488, and 1319</w:t>
            </w:r>
          </w:p>
        </w:tc>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jc w:val="center"/>
              <w:ind w:right="141"/>
              <w:spacing w:after="0"/>
              <w:rPr>
                <w:sz w:val="20"/>
                <w:szCs w:val="20"/>
                <w:color w:val="auto"/>
              </w:rPr>
            </w:pPr>
            <w:r>
              <w:rPr>
                <w:rFonts w:ascii="Arial" w:cs="Arial" w:eastAsia="Arial" w:hAnsi="Arial"/>
                <w:sz w:val="8"/>
                <w:szCs w:val="8"/>
                <w:color w:val="auto"/>
                <w:w w:val="81"/>
              </w:rPr>
              <w:t>(1)</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3000" w:type="dxa"/>
            <w:vAlign w:val="bottom"/>
            <w:gridSpan w:val="3"/>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000" w:type="dxa"/>
            <w:vAlign w:val="bottom"/>
            <w:gridSpan w:val="3"/>
            <w:vMerge w:val="restart"/>
            <w:shd w:val="clear" w:color="auto" w:fill="CCEEFF"/>
          </w:tcPr>
          <w:p>
            <w:pPr>
              <w:ind w:left="20"/>
              <w:spacing w:after="0"/>
              <w:rPr>
                <w:sz w:val="20"/>
                <w:szCs w:val="20"/>
                <w:color w:val="auto"/>
              </w:rPr>
            </w:pPr>
            <w:r>
              <w:rPr>
                <w:rFonts w:ascii="Arial" w:cs="Arial" w:eastAsia="Arial" w:hAnsi="Arial"/>
                <w:sz w:val="12"/>
                <w:szCs w:val="12"/>
                <w:color w:val="auto"/>
              </w:rPr>
              <w:t>Pipefitters Local 460 Pension Plan</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3"/>
              </w:rPr>
              <w:t>51-6108443/001</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jc w:val="center"/>
              <w:ind w:right="141"/>
              <w:spacing w:after="0" w:line="120" w:lineRule="exact"/>
              <w:rPr>
                <w:sz w:val="20"/>
                <w:szCs w:val="20"/>
                <w:color w:val="auto"/>
              </w:rPr>
            </w:pPr>
            <w:r>
              <w:rPr>
                <w:rFonts w:ascii="Arial" w:cs="Arial" w:eastAsia="Arial" w:hAnsi="Arial"/>
                <w:sz w:val="12"/>
                <w:szCs w:val="12"/>
                <w:color w:val="auto"/>
                <w:w w:val="94"/>
              </w:rPr>
              <w:t>Described below</w:t>
            </w:r>
          </w:p>
        </w:tc>
        <w:tc>
          <w:tcPr>
            <w:tcW w:w="620" w:type="dxa"/>
            <w:vAlign w:val="bottom"/>
            <w:vMerge w:val="restart"/>
            <w:shd w:val="clear" w:color="auto" w:fill="CCEEFF"/>
          </w:tcPr>
          <w:p>
            <w:pPr>
              <w:jc w:val="center"/>
              <w:ind w:right="138"/>
              <w:spacing w:after="0"/>
              <w:rPr>
                <w:sz w:val="20"/>
                <w:szCs w:val="20"/>
                <w:color w:val="auto"/>
              </w:rPr>
            </w:pPr>
            <w:r>
              <w:rPr>
                <w:rFonts w:ascii="Arial" w:cs="Arial" w:eastAsia="Arial" w:hAnsi="Arial"/>
                <w:sz w:val="12"/>
                <w:szCs w:val="12"/>
                <w:color w:val="auto"/>
                <w:w w:val="89"/>
              </w:rPr>
              <w:t>Green</w:t>
            </w:r>
          </w:p>
        </w:tc>
        <w:tc>
          <w:tcPr>
            <w:tcW w:w="10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2"/>
                <w:szCs w:val="12"/>
                <w:color w:val="auto"/>
              </w:rPr>
              <w:t>NA</w:t>
            </w: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2,479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11"/>
        </w:trPr>
        <w:tc>
          <w:tcPr>
            <w:tcW w:w="3000" w:type="dxa"/>
            <w:vAlign w:val="bottom"/>
            <w:tcBorders>
              <w:bottom w:val="single" w:sz="8" w:color="CCEEFF"/>
            </w:tcBorders>
            <w:gridSpan w:val="3"/>
            <w:vMerge w:val="continue"/>
            <w:shd w:val="clear" w:color="auto" w:fill="CCEEFF"/>
          </w:tcPr>
          <w:p>
            <w:pPr>
              <w:spacing w:after="0"/>
              <w:rPr>
                <w:sz w:val="9"/>
                <w:szCs w:val="9"/>
                <w:color w:val="auto"/>
              </w:rPr>
            </w:pPr>
          </w:p>
        </w:tc>
        <w:tc>
          <w:tcPr>
            <w:tcW w:w="11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jc w:val="center"/>
              <w:ind w:right="141"/>
              <w:spacing w:after="0"/>
              <w:rPr>
                <w:sz w:val="20"/>
                <w:szCs w:val="20"/>
                <w:color w:val="auto"/>
              </w:rPr>
            </w:pPr>
            <w:r>
              <w:rPr>
                <w:rFonts w:ascii="Arial" w:cs="Arial" w:eastAsia="Arial" w:hAnsi="Arial"/>
                <w:sz w:val="8"/>
                <w:szCs w:val="8"/>
                <w:color w:val="auto"/>
                <w:w w:val="81"/>
              </w:rPr>
              <w:t>(1)</w:t>
            </w:r>
          </w:p>
        </w:tc>
        <w:tc>
          <w:tcPr>
            <w:tcW w:w="62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gridSpan w:val="2"/>
            <w:vMerge w:val="continue"/>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00" w:type="dxa"/>
            <w:vAlign w:val="bottom"/>
            <w:gridSpan w:val="3"/>
          </w:tcPr>
          <w:p>
            <w:pPr>
              <w:ind w:left="20"/>
              <w:spacing w:after="0"/>
              <w:rPr>
                <w:sz w:val="20"/>
                <w:szCs w:val="20"/>
                <w:color w:val="auto"/>
              </w:rPr>
            </w:pPr>
            <w:r>
              <w:rPr>
                <w:rFonts w:ascii="Arial" w:cs="Arial" w:eastAsia="Arial" w:hAnsi="Arial"/>
                <w:sz w:val="12"/>
                <w:szCs w:val="12"/>
                <w:color w:val="auto"/>
              </w:rPr>
              <w:t>Joint Pension Fund Local Union 164 IBEW</w:t>
            </w:r>
          </w:p>
        </w:tc>
        <w:tc>
          <w:tcPr>
            <w:tcW w:w="1180" w:type="dxa"/>
            <w:vAlign w:val="bottom"/>
          </w:tcPr>
          <w:p>
            <w:pPr>
              <w:jc w:val="center"/>
              <w:spacing w:after="0"/>
              <w:rPr>
                <w:sz w:val="20"/>
                <w:szCs w:val="20"/>
                <w:color w:val="auto"/>
              </w:rPr>
            </w:pPr>
            <w:r>
              <w:rPr>
                <w:rFonts w:ascii="Arial" w:cs="Arial" w:eastAsia="Arial" w:hAnsi="Arial"/>
                <w:sz w:val="12"/>
                <w:szCs w:val="12"/>
                <w:color w:val="auto"/>
                <w:w w:val="91"/>
              </w:rPr>
              <w:t>22-6031199/001</w:t>
            </w:r>
          </w:p>
        </w:tc>
        <w:tc>
          <w:tcPr>
            <w:tcW w:w="100" w:type="dxa"/>
            <w:vAlign w:val="bottom"/>
          </w:tcPr>
          <w:p>
            <w:pPr>
              <w:spacing w:after="0"/>
              <w:rPr>
                <w:sz w:val="14"/>
                <w:szCs w:val="14"/>
                <w:color w:val="auto"/>
              </w:rPr>
            </w:pPr>
          </w:p>
        </w:tc>
        <w:tc>
          <w:tcPr>
            <w:tcW w:w="1160" w:type="dxa"/>
            <w:vAlign w:val="bottom"/>
          </w:tcPr>
          <w:p>
            <w:pPr>
              <w:jc w:val="center"/>
              <w:ind w:right="121"/>
              <w:spacing w:after="0"/>
              <w:rPr>
                <w:sz w:val="20"/>
                <w:szCs w:val="20"/>
                <w:color w:val="auto"/>
              </w:rPr>
            </w:pPr>
            <w:r>
              <w:rPr>
                <w:rFonts w:ascii="Arial" w:cs="Arial" w:eastAsia="Arial" w:hAnsi="Arial"/>
                <w:sz w:val="12"/>
                <w:szCs w:val="12"/>
                <w:color w:val="auto"/>
                <w:w w:val="89"/>
              </w:rPr>
              <w:t>Green</w:t>
            </w:r>
          </w:p>
        </w:tc>
        <w:tc>
          <w:tcPr>
            <w:tcW w:w="620" w:type="dxa"/>
            <w:vAlign w:val="bottom"/>
          </w:tcPr>
          <w:p>
            <w:pPr>
              <w:jc w:val="center"/>
              <w:ind w:right="138"/>
              <w:spacing w:after="0"/>
              <w:rPr>
                <w:sz w:val="20"/>
                <w:szCs w:val="20"/>
                <w:color w:val="auto"/>
              </w:rPr>
            </w:pPr>
            <w:r>
              <w:rPr>
                <w:rFonts w:ascii="Arial" w:cs="Arial" w:eastAsia="Arial" w:hAnsi="Arial"/>
                <w:sz w:val="12"/>
                <w:szCs w:val="12"/>
                <w:color w:val="auto"/>
                <w:w w:val="89"/>
              </w:rPr>
              <w:t>Green</w:t>
            </w: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color w:val="auto"/>
              </w:rPr>
              <w:t>NA</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1,958</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79"/>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IBEW Local 654 Pension Plan</w:t>
            </w:r>
          </w:p>
        </w:tc>
        <w:tc>
          <w:tcPr>
            <w:tcW w:w="1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23-6538183/001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121"/>
              <w:spacing w:after="0"/>
              <w:rPr>
                <w:sz w:val="20"/>
                <w:szCs w:val="20"/>
                <w:color w:val="auto"/>
              </w:rPr>
            </w:pPr>
            <w:r>
              <w:rPr>
                <w:rFonts w:ascii="Arial" w:cs="Arial" w:eastAsia="Arial" w:hAnsi="Arial"/>
                <w:sz w:val="12"/>
                <w:szCs w:val="12"/>
                <w:color w:val="auto"/>
                <w:w w:val="89"/>
              </w:rPr>
              <w:t>Green</w:t>
            </w:r>
          </w:p>
        </w:tc>
        <w:tc>
          <w:tcPr>
            <w:tcW w:w="620" w:type="dxa"/>
            <w:vAlign w:val="bottom"/>
            <w:shd w:val="clear" w:color="auto" w:fill="CCEEFF"/>
          </w:tcPr>
          <w:p>
            <w:pPr>
              <w:jc w:val="center"/>
              <w:ind w:right="138"/>
              <w:spacing w:after="0"/>
              <w:rPr>
                <w:sz w:val="20"/>
                <w:szCs w:val="20"/>
                <w:color w:val="auto"/>
              </w:rPr>
            </w:pPr>
            <w:r>
              <w:rPr>
                <w:rFonts w:ascii="Arial" w:cs="Arial" w:eastAsia="Arial" w:hAnsi="Arial"/>
                <w:sz w:val="12"/>
                <w:szCs w:val="12"/>
                <w:color w:val="auto"/>
                <w:w w:val="89"/>
              </w:rPr>
              <w:t>Green</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NA</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63"/>
        </w:trPr>
        <w:tc>
          <w:tcPr>
            <w:tcW w:w="3000" w:type="dxa"/>
            <w:vAlign w:val="bottom"/>
            <w:gridSpan w:val="3"/>
          </w:tcPr>
          <w:p>
            <w:pPr>
              <w:ind w:left="20"/>
              <w:spacing w:after="0"/>
              <w:rPr>
                <w:sz w:val="20"/>
                <w:szCs w:val="20"/>
                <w:color w:val="auto"/>
              </w:rPr>
            </w:pPr>
            <w:r>
              <w:rPr>
                <w:rFonts w:ascii="Arial" w:cs="Arial" w:eastAsia="Arial" w:hAnsi="Arial"/>
                <w:sz w:val="12"/>
                <w:szCs w:val="12"/>
                <w:color w:val="auto"/>
              </w:rPr>
              <w:t>Joint Pension Fund of Local Union No 102 IBEW</w:t>
            </w:r>
          </w:p>
        </w:tc>
        <w:tc>
          <w:tcPr>
            <w:tcW w:w="1180" w:type="dxa"/>
            <w:vAlign w:val="bottom"/>
          </w:tcPr>
          <w:p>
            <w:pPr>
              <w:jc w:val="center"/>
              <w:spacing w:after="0"/>
              <w:rPr>
                <w:sz w:val="20"/>
                <w:szCs w:val="20"/>
                <w:color w:val="auto"/>
              </w:rPr>
            </w:pPr>
            <w:r>
              <w:rPr>
                <w:rFonts w:ascii="Arial" w:cs="Arial" w:eastAsia="Arial" w:hAnsi="Arial"/>
                <w:sz w:val="12"/>
                <w:szCs w:val="12"/>
                <w:color w:val="auto"/>
                <w:w w:val="93"/>
              </w:rPr>
              <w:t>22-1615726/001</w:t>
            </w:r>
          </w:p>
        </w:tc>
        <w:tc>
          <w:tcPr>
            <w:tcW w:w="100" w:type="dxa"/>
            <w:vAlign w:val="bottom"/>
          </w:tcPr>
          <w:p>
            <w:pPr>
              <w:spacing w:after="0"/>
              <w:rPr>
                <w:sz w:val="14"/>
                <w:szCs w:val="14"/>
                <w:color w:val="auto"/>
              </w:rPr>
            </w:pPr>
          </w:p>
        </w:tc>
        <w:tc>
          <w:tcPr>
            <w:tcW w:w="1160" w:type="dxa"/>
            <w:vAlign w:val="bottom"/>
          </w:tcPr>
          <w:p>
            <w:pPr>
              <w:jc w:val="center"/>
              <w:ind w:right="121"/>
              <w:spacing w:after="0"/>
              <w:rPr>
                <w:sz w:val="20"/>
                <w:szCs w:val="20"/>
                <w:color w:val="auto"/>
              </w:rPr>
            </w:pPr>
            <w:r>
              <w:rPr>
                <w:rFonts w:ascii="Arial" w:cs="Arial" w:eastAsia="Arial" w:hAnsi="Arial"/>
                <w:sz w:val="12"/>
                <w:szCs w:val="12"/>
                <w:color w:val="auto"/>
                <w:w w:val="89"/>
              </w:rPr>
              <w:t>Green</w:t>
            </w:r>
          </w:p>
        </w:tc>
        <w:tc>
          <w:tcPr>
            <w:tcW w:w="620" w:type="dxa"/>
            <w:vAlign w:val="bottom"/>
          </w:tcPr>
          <w:p>
            <w:pPr>
              <w:jc w:val="center"/>
              <w:ind w:right="138"/>
              <w:spacing w:after="0"/>
              <w:rPr>
                <w:sz w:val="20"/>
                <w:szCs w:val="20"/>
                <w:color w:val="auto"/>
              </w:rPr>
            </w:pPr>
            <w:r>
              <w:rPr>
                <w:rFonts w:ascii="Arial" w:cs="Arial" w:eastAsia="Arial" w:hAnsi="Arial"/>
                <w:sz w:val="12"/>
                <w:szCs w:val="12"/>
                <w:color w:val="auto"/>
                <w:w w:val="89"/>
              </w:rPr>
              <w:t>Green</w:t>
            </w: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color w:val="auto"/>
              </w:rPr>
              <w:t>NA</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1,143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1,341</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79"/>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IBEW Local 456 Pension Plan</w:t>
            </w:r>
          </w:p>
        </w:tc>
        <w:tc>
          <w:tcPr>
            <w:tcW w:w="1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22-6238995/001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121"/>
              <w:spacing w:after="0"/>
              <w:rPr>
                <w:sz w:val="20"/>
                <w:szCs w:val="20"/>
                <w:color w:val="auto"/>
              </w:rPr>
            </w:pPr>
            <w:r>
              <w:rPr>
                <w:rFonts w:ascii="Arial" w:cs="Arial" w:eastAsia="Arial" w:hAnsi="Arial"/>
                <w:sz w:val="12"/>
                <w:szCs w:val="12"/>
                <w:color w:val="auto"/>
                <w:w w:val="89"/>
              </w:rPr>
              <w:t>Green</w:t>
            </w:r>
          </w:p>
        </w:tc>
        <w:tc>
          <w:tcPr>
            <w:tcW w:w="620" w:type="dxa"/>
            <w:vAlign w:val="bottom"/>
            <w:shd w:val="clear" w:color="auto" w:fill="CCEEFF"/>
          </w:tcPr>
          <w:p>
            <w:pPr>
              <w:jc w:val="center"/>
              <w:ind w:right="138"/>
              <w:spacing w:after="0"/>
              <w:rPr>
                <w:sz w:val="20"/>
                <w:szCs w:val="20"/>
                <w:color w:val="auto"/>
              </w:rPr>
            </w:pPr>
            <w:r>
              <w:rPr>
                <w:rFonts w:ascii="Arial" w:cs="Arial" w:eastAsia="Arial" w:hAnsi="Arial"/>
                <w:sz w:val="12"/>
                <w:szCs w:val="12"/>
                <w:color w:val="auto"/>
                <w:w w:val="89"/>
              </w:rPr>
              <w:t>Green</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NA</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595</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18"/>
        </w:trPr>
        <w:tc>
          <w:tcPr>
            <w:tcW w:w="3000" w:type="dxa"/>
            <w:vAlign w:val="bottom"/>
            <w:gridSpan w:val="3"/>
            <w:vMerge w:val="restart"/>
          </w:tcPr>
          <w:p>
            <w:pPr>
              <w:ind w:left="20"/>
              <w:spacing w:after="0"/>
              <w:rPr>
                <w:sz w:val="20"/>
                <w:szCs w:val="20"/>
                <w:color w:val="auto"/>
              </w:rPr>
            </w:pPr>
            <w:r>
              <w:rPr>
                <w:rFonts w:ascii="Arial" w:cs="Arial" w:eastAsia="Arial" w:hAnsi="Arial"/>
                <w:sz w:val="12"/>
                <w:szCs w:val="12"/>
                <w:color w:val="auto"/>
              </w:rPr>
              <w:t>Local 351 IBEW Pension Plan</w:t>
            </w:r>
          </w:p>
        </w:tc>
        <w:tc>
          <w:tcPr>
            <w:tcW w:w="1180" w:type="dxa"/>
            <w:vAlign w:val="bottom"/>
            <w:vMerge w:val="restart"/>
          </w:tcPr>
          <w:p>
            <w:pPr>
              <w:jc w:val="center"/>
              <w:spacing w:after="0"/>
              <w:rPr>
                <w:sz w:val="20"/>
                <w:szCs w:val="20"/>
                <w:color w:val="auto"/>
              </w:rPr>
            </w:pPr>
            <w:r>
              <w:rPr>
                <w:rFonts w:ascii="Arial" w:cs="Arial" w:eastAsia="Arial" w:hAnsi="Arial"/>
                <w:sz w:val="12"/>
                <w:szCs w:val="12"/>
                <w:color w:val="auto"/>
                <w:w w:val="93"/>
              </w:rPr>
              <w:t>22-3417366/001</w:t>
            </w:r>
          </w:p>
        </w:tc>
        <w:tc>
          <w:tcPr>
            <w:tcW w:w="100" w:type="dxa"/>
            <w:vAlign w:val="bottom"/>
          </w:tcPr>
          <w:p>
            <w:pPr>
              <w:spacing w:after="0"/>
              <w:rPr>
                <w:sz w:val="10"/>
                <w:szCs w:val="10"/>
                <w:color w:val="auto"/>
              </w:rPr>
            </w:pPr>
          </w:p>
        </w:tc>
        <w:tc>
          <w:tcPr>
            <w:tcW w:w="1160" w:type="dxa"/>
            <w:vAlign w:val="bottom"/>
          </w:tcPr>
          <w:p>
            <w:pPr>
              <w:jc w:val="center"/>
              <w:ind w:right="141"/>
              <w:spacing w:after="0" w:line="118" w:lineRule="exact"/>
              <w:rPr>
                <w:sz w:val="20"/>
                <w:szCs w:val="20"/>
                <w:color w:val="auto"/>
              </w:rPr>
            </w:pPr>
            <w:r>
              <w:rPr>
                <w:rFonts w:ascii="Arial" w:cs="Arial" w:eastAsia="Arial" w:hAnsi="Arial"/>
                <w:sz w:val="12"/>
                <w:szCs w:val="12"/>
                <w:color w:val="auto"/>
                <w:w w:val="94"/>
              </w:rPr>
              <w:t>Described below</w:t>
            </w:r>
          </w:p>
        </w:tc>
        <w:tc>
          <w:tcPr>
            <w:tcW w:w="620" w:type="dxa"/>
            <w:vAlign w:val="bottom"/>
            <w:vMerge w:val="restart"/>
          </w:tcPr>
          <w:p>
            <w:pPr>
              <w:jc w:val="center"/>
              <w:ind w:right="138"/>
              <w:spacing w:after="0"/>
              <w:rPr>
                <w:sz w:val="20"/>
                <w:szCs w:val="20"/>
                <w:color w:val="auto"/>
              </w:rPr>
            </w:pPr>
            <w:r>
              <w:rPr>
                <w:rFonts w:ascii="Arial" w:cs="Arial" w:eastAsia="Arial" w:hAnsi="Arial"/>
                <w:sz w:val="12"/>
                <w:szCs w:val="12"/>
                <w:color w:val="auto"/>
                <w:w w:val="89"/>
              </w:rPr>
              <w:t>Green</w:t>
            </w:r>
          </w:p>
        </w:tc>
        <w:tc>
          <w:tcPr>
            <w:tcW w:w="100" w:type="dxa"/>
            <w:vAlign w:val="bottom"/>
          </w:tcPr>
          <w:p>
            <w:pPr>
              <w:spacing w:after="0"/>
              <w:rPr>
                <w:sz w:val="10"/>
                <w:szCs w:val="10"/>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rPr>
              <w:t>NA</w:t>
            </w: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1,033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395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479</w:t>
            </w:r>
          </w:p>
        </w:tc>
        <w:tc>
          <w:tcPr>
            <w:tcW w:w="12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01"/>
        </w:trPr>
        <w:tc>
          <w:tcPr>
            <w:tcW w:w="3000" w:type="dxa"/>
            <w:vAlign w:val="bottom"/>
            <w:gridSpan w:val="3"/>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jc w:val="center"/>
              <w:ind w:right="141"/>
              <w:spacing w:after="0"/>
              <w:rPr>
                <w:sz w:val="20"/>
                <w:szCs w:val="20"/>
                <w:color w:val="auto"/>
              </w:rPr>
            </w:pPr>
            <w:r>
              <w:rPr>
                <w:rFonts w:ascii="Arial" w:cs="Arial" w:eastAsia="Arial" w:hAnsi="Arial"/>
                <w:sz w:val="8"/>
                <w:szCs w:val="8"/>
                <w:color w:val="auto"/>
                <w:w w:val="81"/>
              </w:rPr>
              <w:t>(1)</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Steamfitters Local Union No 420 Pension Plan</w:t>
            </w:r>
          </w:p>
        </w:tc>
        <w:tc>
          <w:tcPr>
            <w:tcW w:w="1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23-2004424/001</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center"/>
              <w:ind w:right="141"/>
              <w:spacing w:after="0"/>
              <w:rPr>
                <w:sz w:val="20"/>
                <w:szCs w:val="20"/>
                <w:color w:val="auto"/>
              </w:rPr>
            </w:pPr>
            <w:r>
              <w:rPr>
                <w:rFonts w:ascii="Arial" w:cs="Arial" w:eastAsia="Arial" w:hAnsi="Arial"/>
                <w:sz w:val="12"/>
                <w:szCs w:val="12"/>
                <w:color w:val="auto"/>
                <w:w w:val="90"/>
              </w:rPr>
              <w:t>Red</w:t>
            </w:r>
          </w:p>
        </w:tc>
        <w:tc>
          <w:tcPr>
            <w:tcW w:w="620" w:type="dxa"/>
            <w:vAlign w:val="bottom"/>
            <w:shd w:val="clear" w:color="auto" w:fill="CCEEFF"/>
          </w:tcPr>
          <w:p>
            <w:pPr>
              <w:jc w:val="center"/>
              <w:ind w:right="138"/>
              <w:spacing w:after="0"/>
              <w:rPr>
                <w:sz w:val="20"/>
                <w:szCs w:val="20"/>
                <w:color w:val="auto"/>
              </w:rPr>
            </w:pPr>
            <w:r>
              <w:rPr>
                <w:rFonts w:ascii="Arial" w:cs="Arial" w:eastAsia="Arial" w:hAnsi="Arial"/>
                <w:sz w:val="12"/>
                <w:szCs w:val="12"/>
                <w:color w:val="auto"/>
                <w:w w:val="96"/>
              </w:rPr>
              <w:t>Yellow</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2"/>
              </w:rPr>
              <w:t>Implemented</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442</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Yes</w:t>
            </w:r>
          </w:p>
        </w:tc>
        <w:tc>
          <w:tcPr>
            <w:tcW w:w="0" w:type="dxa"/>
            <w:vAlign w:val="bottom"/>
          </w:tcPr>
          <w:p>
            <w:pPr>
              <w:spacing w:after="0"/>
              <w:rPr>
                <w:sz w:val="1"/>
                <w:szCs w:val="1"/>
                <w:color w:val="auto"/>
              </w:rPr>
            </w:pPr>
          </w:p>
        </w:tc>
      </w:tr>
      <w:tr>
        <w:trPr>
          <w:trHeight w:val="163"/>
        </w:trPr>
        <w:tc>
          <w:tcPr>
            <w:tcW w:w="3000" w:type="dxa"/>
            <w:vAlign w:val="bottom"/>
            <w:gridSpan w:val="3"/>
          </w:tcPr>
          <w:p>
            <w:pPr>
              <w:ind w:left="20"/>
              <w:spacing w:after="0"/>
              <w:rPr>
                <w:sz w:val="20"/>
                <w:szCs w:val="20"/>
                <w:color w:val="auto"/>
              </w:rPr>
            </w:pPr>
            <w:r>
              <w:rPr>
                <w:rFonts w:ascii="Arial" w:cs="Arial" w:eastAsia="Arial" w:hAnsi="Arial"/>
                <w:sz w:val="12"/>
                <w:szCs w:val="12"/>
                <w:color w:val="auto"/>
              </w:rPr>
              <w:t>Pipefitters Local 342 Pension Plan</w:t>
            </w:r>
          </w:p>
        </w:tc>
        <w:tc>
          <w:tcPr>
            <w:tcW w:w="1180" w:type="dxa"/>
            <w:vAlign w:val="bottom"/>
          </w:tcPr>
          <w:p>
            <w:pPr>
              <w:jc w:val="center"/>
              <w:spacing w:after="0"/>
              <w:rPr>
                <w:sz w:val="20"/>
                <w:szCs w:val="20"/>
                <w:color w:val="auto"/>
              </w:rPr>
            </w:pPr>
            <w:r>
              <w:rPr>
                <w:rFonts w:ascii="Arial" w:cs="Arial" w:eastAsia="Arial" w:hAnsi="Arial"/>
                <w:sz w:val="12"/>
                <w:szCs w:val="12"/>
                <w:color w:val="auto"/>
                <w:w w:val="93"/>
              </w:rPr>
              <w:t>94-3190386/001</w:t>
            </w:r>
          </w:p>
        </w:tc>
        <w:tc>
          <w:tcPr>
            <w:tcW w:w="100" w:type="dxa"/>
            <w:vAlign w:val="bottom"/>
          </w:tcPr>
          <w:p>
            <w:pPr>
              <w:spacing w:after="0"/>
              <w:rPr>
                <w:sz w:val="14"/>
                <w:szCs w:val="14"/>
                <w:color w:val="auto"/>
              </w:rPr>
            </w:pPr>
          </w:p>
        </w:tc>
        <w:tc>
          <w:tcPr>
            <w:tcW w:w="1160" w:type="dxa"/>
            <w:vAlign w:val="bottom"/>
          </w:tcPr>
          <w:p>
            <w:pPr>
              <w:jc w:val="center"/>
              <w:ind w:right="121"/>
              <w:spacing w:after="0"/>
              <w:rPr>
                <w:sz w:val="20"/>
                <w:szCs w:val="20"/>
                <w:color w:val="auto"/>
              </w:rPr>
            </w:pPr>
            <w:r>
              <w:rPr>
                <w:rFonts w:ascii="Arial" w:cs="Arial" w:eastAsia="Arial" w:hAnsi="Arial"/>
                <w:sz w:val="12"/>
                <w:szCs w:val="12"/>
                <w:color w:val="auto"/>
                <w:w w:val="89"/>
              </w:rPr>
              <w:t>Green</w:t>
            </w:r>
          </w:p>
        </w:tc>
        <w:tc>
          <w:tcPr>
            <w:tcW w:w="620" w:type="dxa"/>
            <w:vAlign w:val="bottom"/>
          </w:tcPr>
          <w:p>
            <w:pPr>
              <w:jc w:val="center"/>
              <w:ind w:right="138"/>
              <w:spacing w:after="0"/>
              <w:rPr>
                <w:sz w:val="20"/>
                <w:szCs w:val="20"/>
                <w:color w:val="auto"/>
              </w:rPr>
            </w:pPr>
            <w:r>
              <w:rPr>
                <w:rFonts w:ascii="Arial" w:cs="Arial" w:eastAsia="Arial" w:hAnsi="Arial"/>
                <w:sz w:val="12"/>
                <w:szCs w:val="12"/>
                <w:color w:val="auto"/>
                <w:w w:val="89"/>
              </w:rPr>
              <w:t>Green</w:t>
            </w:r>
          </w:p>
        </w:tc>
        <w:tc>
          <w:tcPr>
            <w:tcW w:w="1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color w:val="auto"/>
              </w:rPr>
              <w:t>NA</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101</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79"/>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IBEW Local 98 Pension Plan</w:t>
            </w:r>
          </w:p>
        </w:tc>
        <w:tc>
          <w:tcPr>
            <w:tcW w:w="1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23-6583334/001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141"/>
              <w:spacing w:after="0"/>
              <w:rPr>
                <w:sz w:val="20"/>
                <w:szCs w:val="20"/>
                <w:color w:val="auto"/>
              </w:rPr>
            </w:pPr>
            <w:r>
              <w:rPr>
                <w:rFonts w:ascii="Arial" w:cs="Arial" w:eastAsia="Arial" w:hAnsi="Arial"/>
                <w:sz w:val="12"/>
                <w:szCs w:val="12"/>
                <w:color w:val="auto"/>
              </w:rPr>
              <w:t>Yellow</w:t>
            </w:r>
          </w:p>
        </w:tc>
        <w:tc>
          <w:tcPr>
            <w:tcW w:w="620" w:type="dxa"/>
            <w:vAlign w:val="bottom"/>
            <w:shd w:val="clear" w:color="auto" w:fill="CCEEFF"/>
          </w:tcPr>
          <w:p>
            <w:pPr>
              <w:jc w:val="center"/>
              <w:ind w:right="138"/>
              <w:spacing w:after="0"/>
              <w:rPr>
                <w:sz w:val="20"/>
                <w:szCs w:val="20"/>
                <w:color w:val="auto"/>
              </w:rPr>
            </w:pPr>
            <w:r>
              <w:rPr>
                <w:rFonts w:ascii="Arial" w:cs="Arial" w:eastAsia="Arial" w:hAnsi="Arial"/>
                <w:sz w:val="12"/>
                <w:szCs w:val="12"/>
                <w:color w:val="auto"/>
                <w:w w:val="81"/>
              </w:rPr>
              <w:t>Red</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2"/>
              </w:rPr>
              <w:t>Implemented</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18"/>
        </w:trPr>
        <w:tc>
          <w:tcPr>
            <w:tcW w:w="3000" w:type="dxa"/>
            <w:vAlign w:val="bottom"/>
            <w:gridSpan w:val="3"/>
            <w:vMerge w:val="restart"/>
          </w:tcPr>
          <w:p>
            <w:pPr>
              <w:ind w:left="20"/>
              <w:spacing w:after="0"/>
              <w:rPr>
                <w:sz w:val="20"/>
                <w:szCs w:val="20"/>
                <w:color w:val="auto"/>
              </w:rPr>
            </w:pPr>
            <w:r>
              <w:rPr>
                <w:rFonts w:ascii="Arial" w:cs="Arial" w:eastAsia="Arial" w:hAnsi="Arial"/>
                <w:sz w:val="12"/>
                <w:szCs w:val="12"/>
                <w:color w:val="auto"/>
              </w:rPr>
              <w:t>Laborers Local 220 Pension Plan</w:t>
            </w:r>
          </w:p>
        </w:tc>
        <w:tc>
          <w:tcPr>
            <w:tcW w:w="1180" w:type="dxa"/>
            <w:vAlign w:val="bottom"/>
            <w:vMerge w:val="restart"/>
          </w:tcPr>
          <w:p>
            <w:pPr>
              <w:jc w:val="center"/>
              <w:spacing w:after="0"/>
              <w:rPr>
                <w:sz w:val="20"/>
                <w:szCs w:val="20"/>
                <w:color w:val="auto"/>
              </w:rPr>
            </w:pPr>
            <w:r>
              <w:rPr>
                <w:rFonts w:ascii="Arial" w:cs="Arial" w:eastAsia="Arial" w:hAnsi="Arial"/>
                <w:sz w:val="12"/>
                <w:szCs w:val="12"/>
                <w:color w:val="auto"/>
                <w:w w:val="93"/>
              </w:rPr>
              <w:t>43-6159056/001</w:t>
            </w:r>
          </w:p>
        </w:tc>
        <w:tc>
          <w:tcPr>
            <w:tcW w:w="100" w:type="dxa"/>
            <w:vAlign w:val="bottom"/>
          </w:tcPr>
          <w:p>
            <w:pPr>
              <w:spacing w:after="0"/>
              <w:rPr>
                <w:sz w:val="10"/>
                <w:szCs w:val="10"/>
                <w:color w:val="auto"/>
              </w:rPr>
            </w:pPr>
          </w:p>
        </w:tc>
        <w:tc>
          <w:tcPr>
            <w:tcW w:w="1160" w:type="dxa"/>
            <w:vAlign w:val="bottom"/>
          </w:tcPr>
          <w:p>
            <w:pPr>
              <w:jc w:val="center"/>
              <w:ind w:right="141"/>
              <w:spacing w:after="0" w:line="118" w:lineRule="exact"/>
              <w:rPr>
                <w:sz w:val="20"/>
                <w:szCs w:val="20"/>
                <w:color w:val="auto"/>
              </w:rPr>
            </w:pPr>
            <w:r>
              <w:rPr>
                <w:rFonts w:ascii="Arial" w:cs="Arial" w:eastAsia="Arial" w:hAnsi="Arial"/>
                <w:sz w:val="12"/>
                <w:szCs w:val="12"/>
                <w:color w:val="auto"/>
                <w:w w:val="94"/>
              </w:rPr>
              <w:t>Described below</w:t>
            </w:r>
          </w:p>
        </w:tc>
        <w:tc>
          <w:tcPr>
            <w:tcW w:w="620" w:type="dxa"/>
            <w:vAlign w:val="bottom"/>
            <w:vMerge w:val="restart"/>
          </w:tcPr>
          <w:p>
            <w:pPr>
              <w:jc w:val="center"/>
              <w:ind w:right="138"/>
              <w:spacing w:after="0"/>
              <w:rPr>
                <w:sz w:val="20"/>
                <w:szCs w:val="20"/>
                <w:color w:val="auto"/>
              </w:rPr>
            </w:pPr>
            <w:r>
              <w:rPr>
                <w:rFonts w:ascii="Arial" w:cs="Arial" w:eastAsia="Arial" w:hAnsi="Arial"/>
                <w:sz w:val="12"/>
                <w:szCs w:val="12"/>
                <w:color w:val="auto"/>
                <w:w w:val="89"/>
              </w:rPr>
              <w:t>Green</w:t>
            </w:r>
          </w:p>
        </w:tc>
        <w:tc>
          <w:tcPr>
            <w:tcW w:w="100" w:type="dxa"/>
            <w:vAlign w:val="bottom"/>
          </w:tcPr>
          <w:p>
            <w:pPr>
              <w:spacing w:after="0"/>
              <w:rPr>
                <w:sz w:val="10"/>
                <w:szCs w:val="10"/>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rPr>
              <w:t>NA</w:t>
            </w: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427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01"/>
        </w:trPr>
        <w:tc>
          <w:tcPr>
            <w:tcW w:w="3000" w:type="dxa"/>
            <w:vAlign w:val="bottom"/>
            <w:gridSpan w:val="3"/>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jc w:val="center"/>
              <w:ind w:right="141"/>
              <w:spacing w:after="0"/>
              <w:rPr>
                <w:sz w:val="20"/>
                <w:szCs w:val="20"/>
                <w:color w:val="auto"/>
              </w:rPr>
            </w:pPr>
            <w:r>
              <w:rPr>
                <w:rFonts w:ascii="Arial" w:cs="Arial" w:eastAsia="Arial" w:hAnsi="Arial"/>
                <w:sz w:val="8"/>
                <w:szCs w:val="8"/>
                <w:color w:val="auto"/>
                <w:w w:val="81"/>
              </w:rPr>
              <w:t>(1)</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2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8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Contributions to other multiemployer plans</w:t>
            </w: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3,969</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3,110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3,449</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ind w:left="20"/>
              <w:spacing w:after="0"/>
              <w:rPr>
                <w:sz w:val="20"/>
                <w:szCs w:val="20"/>
                <w:color w:val="auto"/>
              </w:rPr>
            </w:pPr>
            <w:r>
              <w:rPr>
                <w:rFonts w:ascii="Arial" w:cs="Arial" w:eastAsia="Arial" w:hAnsi="Arial"/>
                <w:sz w:val="12"/>
                <w:szCs w:val="12"/>
                <w:color w:val="auto"/>
              </w:rPr>
              <w:t>Total contributions made</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23,556</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16,818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15,369</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26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440" w:hanging="317"/>
        <w:spacing w:after="0" w:line="309" w:lineRule="auto"/>
        <w:tabs>
          <w:tab w:leader="none" w:pos="432" w:val="left"/>
        </w:tabs>
        <w:numPr>
          <w:ilvl w:val="0"/>
          <w:numId w:val="38"/>
        </w:numPr>
        <w:rPr>
          <w:rFonts w:ascii="Arial" w:cs="Arial" w:eastAsia="Arial" w:hAnsi="Arial"/>
          <w:sz w:val="12"/>
          <w:szCs w:val="12"/>
          <w:color w:val="auto"/>
        </w:rPr>
      </w:pPr>
      <w:r>
        <w:rPr>
          <w:rFonts w:ascii="Arial" w:cs="Arial" w:eastAsia="Arial" w:hAnsi="Arial"/>
          <w:sz w:val="12"/>
          <w:szCs w:val="12"/>
          <w:color w:val="auto"/>
        </w:rPr>
        <w:t>For the National Electrical Benefit Fund for Locals 71/126/488/1319, Pipefitters Local 460 Pension Plan, Local 351 IBEW Pension Plan, and Laborers Local 220 Pension Plan, we have not received a funding notification that covers our fiscal year 2023 during the preparation of this Form 10-K. Under Federal pension law, if a multiemployer pension plan is determined to be in critical or endangered status, the plan must provide notice of this status to participants, beneficiaries, the bargaining parties, the Pension Benefit Guaranty Corporation, and the Department of Labor. We also observed that these plans have not submitted any Critical or Endangered Status Notices to the Department of Labor for calendar years that we have not received notification. The Critical or Endangered Status Notices can be accessed at https://www.dol.gov/agencies/ebsa/about-ebsa/our-activities/public-disclosure/2023-funding-status-notices#2023-c-and-d.</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6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Matrix Service Company 2011 Employee Stock Purchase Plan (“ESPP”) was effective January 1, 2011. The ESPP allows employees to purchase shares through payroll deductions and members of the Board of Directors to purchase shares from amounts withheld from their cash retainers. Share purchases are limited to an aggregate market value of no greater than $60,000 per calendar year per participant and are purchased from us at the current market value with no discount to the participant. Contributions are with after tax earnings and are accumulated in non-interest bearing accounts for quarterly purchases of company stock. Upon the purchase of shares, the participants receive all stockholder rights including dividend and voting rights and are permitted to sell their shares at any time. We have made 1,000,000 shares available under the ESPP. The ESPP can be terminated at any time at the discretion of the Board of Directors and will automatically terminate once the plan shares are exhausted. Shares are issued from Treasury Stock under the ESPP. There were 50,139 shares issued in fiscal 2023, 29,826 shares in fiscal 2022, and 29,171 shares in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13—Segment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fiscal 2023, we operated our business through three reportable segments:</w:t>
      </w:r>
    </w:p>
    <w:p>
      <w:pPr>
        <w:spacing w:after="0" w:line="168" w:lineRule="exact"/>
        <w:rPr>
          <w:sz w:val="20"/>
          <w:szCs w:val="20"/>
          <w:color w:val="auto"/>
        </w:rPr>
      </w:pPr>
    </w:p>
    <w:p>
      <w:pPr>
        <w:jc w:val="both"/>
        <w:ind w:left="640" w:hanging="319"/>
        <w:spacing w:after="0" w:line="266" w:lineRule="auto"/>
        <w:tabs>
          <w:tab w:leader="none" w:pos="629" w:val="left"/>
        </w:tabs>
        <w:numPr>
          <w:ilvl w:val="0"/>
          <w:numId w:val="39"/>
        </w:numPr>
        <w:rPr>
          <w:rFonts w:ascii="Arial" w:cs="Arial" w:eastAsia="Arial" w:hAnsi="Arial"/>
          <w:sz w:val="18"/>
          <w:szCs w:val="18"/>
          <w:color w:val="auto"/>
        </w:rPr>
      </w:pPr>
      <w:r>
        <w:rPr>
          <w:rFonts w:ascii="Arial" w:cs="Arial" w:eastAsia="Arial" w:hAnsi="Arial"/>
          <w:sz w:val="17"/>
          <w:szCs w:val="17"/>
          <w:b w:val="1"/>
          <w:bCs w:val="1"/>
          <w:u w:val="single" w:color="auto"/>
          <w:color w:val="auto"/>
        </w:rPr>
        <w:t>Storage and Terminal Solutions</w:t>
      </w:r>
      <w:r>
        <w:rPr>
          <w:rFonts w:ascii="Arial" w:cs="Arial" w:eastAsia="Arial" w:hAnsi="Arial"/>
          <w:sz w:val="17"/>
          <w:szCs w:val="17"/>
          <w:color w:val="auto"/>
        </w:rPr>
        <w:t>: primarily consists of engineering, procurement, fabrication, and construction services related to cryogenic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specialty tanks and terminals for LNG, NGLs, hydrogen, ammonia, propane, butane, liquid nitrogen/liquid oxygen, and liquid petroleum. Also includes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spacing w:after="0" w:line="119" w:lineRule="exact"/>
        <w:rPr>
          <w:rFonts w:ascii="Arial" w:cs="Arial" w:eastAsia="Arial" w:hAnsi="Arial"/>
          <w:sz w:val="18"/>
          <w:szCs w:val="18"/>
          <w:color w:val="auto"/>
        </w:rPr>
      </w:pPr>
    </w:p>
    <w:p>
      <w:pPr>
        <w:jc w:val="both"/>
        <w:ind w:left="640" w:hanging="319"/>
        <w:spacing w:after="0" w:line="288" w:lineRule="auto"/>
        <w:tabs>
          <w:tab w:leader="none" w:pos="636"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Utility and Power Infrastructure</w:t>
      </w:r>
      <w:r>
        <w:rPr>
          <w:rFonts w:ascii="Arial" w:cs="Arial" w:eastAsia="Arial" w:hAnsi="Arial"/>
          <w:sz w:val="16"/>
          <w:szCs w:val="16"/>
          <w:color w:val="auto"/>
        </w:rPr>
        <w:t>: primarily consists of engineering, procurement, fabrication, and construction services to support growing demand</w:t>
      </w:r>
      <w:r>
        <w:rPr>
          <w:rFonts w:ascii="Arial" w:cs="Arial" w:eastAsia="Arial" w:hAnsi="Arial"/>
          <w:sz w:val="16"/>
          <w:szCs w:val="16"/>
          <w:b w:val="1"/>
          <w:bCs w:val="1"/>
          <w:color w:val="auto"/>
        </w:rPr>
        <w:t xml:space="preserve"> </w:t>
      </w:r>
      <w:r>
        <w:rPr>
          <w:rFonts w:ascii="Arial" w:cs="Arial" w:eastAsia="Arial" w:hAnsi="Arial"/>
          <w:sz w:val="16"/>
          <w:szCs w:val="16"/>
          <w:color w:val="auto"/>
        </w:rPr>
        <w:t>for LNG utility peak shaving facilities. We also perform traditional electrical work for public and private utilities, including construction of new substations, upgrades of existing substations, transmission and distribution line installations, and upgrades and maintenance including live wire work. Work may also include emergency and storm restoration services. We also provide construction services to a variety of power generation facilities, including natural gas fired facilities in simple or combined cycle configurations.</w:t>
      </w:r>
    </w:p>
    <w:p>
      <w:pPr>
        <w:spacing w:after="0" w:line="105" w:lineRule="exact"/>
        <w:rPr>
          <w:rFonts w:ascii="Arial" w:cs="Arial" w:eastAsia="Arial" w:hAnsi="Arial"/>
          <w:sz w:val="16"/>
          <w:szCs w:val="16"/>
          <w:b w:val="1"/>
          <w:bCs w:val="1"/>
          <w:color w:val="auto"/>
        </w:rPr>
      </w:pPr>
    </w:p>
    <w:p>
      <w:pPr>
        <w:jc w:val="both"/>
        <w:ind w:left="640" w:hanging="319"/>
        <w:spacing w:after="0" w:line="288" w:lineRule="auto"/>
        <w:tabs>
          <w:tab w:leader="none" w:pos="636" w:val="left"/>
        </w:tabs>
        <w:numPr>
          <w:ilvl w:val="0"/>
          <w:numId w:val="39"/>
        </w:numPr>
        <w:rPr>
          <w:rFonts w:ascii="Arial" w:cs="Arial" w:eastAsia="Arial" w:hAnsi="Arial"/>
          <w:sz w:val="16"/>
          <w:szCs w:val="16"/>
          <w:color w:val="auto"/>
        </w:rPr>
      </w:pPr>
      <w:r>
        <w:rPr>
          <w:rFonts w:ascii="Arial" w:cs="Arial" w:eastAsia="Arial" w:hAnsi="Arial"/>
          <w:sz w:val="16"/>
          <w:szCs w:val="16"/>
          <w:b w:val="1"/>
          <w:bCs w:val="1"/>
          <w:u w:val="single" w:color="auto"/>
          <w:color w:val="auto"/>
        </w:rPr>
        <w:t>Process and Industrial Facilities</w:t>
      </w:r>
      <w:r>
        <w:rPr>
          <w:rFonts w:ascii="Arial" w:cs="Arial" w:eastAsia="Arial" w:hAnsi="Arial"/>
          <w:sz w:val="16"/>
          <w:szCs w:val="16"/>
          <w:color w:val="auto"/>
        </w:rPr>
        <w:t>: primarily consists of plant maintenance, repair, and turnarounds in the downstream and midstream markets for</w:t>
      </w:r>
      <w:r>
        <w:rPr>
          <w:rFonts w:ascii="Arial" w:cs="Arial" w:eastAsia="Arial" w:hAnsi="Arial"/>
          <w:sz w:val="16"/>
          <w:szCs w:val="16"/>
          <w:b w:val="1"/>
          <w:bCs w:val="1"/>
          <w:color w:val="auto"/>
        </w:rPr>
        <w:t xml:space="preserve"> </w:t>
      </w:r>
      <w:r>
        <w:rPr>
          <w:rFonts w:ascii="Arial" w:cs="Arial" w:eastAsia="Arial" w:hAnsi="Arial"/>
          <w:sz w:val="16"/>
          <w:szCs w:val="16"/>
          <w:color w:val="auto"/>
        </w:rPr>
        <w:t>energy clients including refining and processing of crude oil, fractionating, and marketing of natural gas and natural gas liquids. Also includes engineering, procurement, fabrication, and construction for refinery upgrades and retrofits for renewable fuels. We also construct thermal vacuum test chambers for aerospace and defense industries and other infrastructure for industries including petrochemical, sulfur, mining and minerals primarily in the extraction of non-ferrous metals, cement, agriculture, wastewater treatment facilities and other industrial customers.</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evaluate performance and allocate resources based on operating income. We eliminate intersegment sales; therefore, no intercompany profit or loss is recognized. Corporate selling, general and administrative expenses, including corporate salaries and facilities costs, are excluded from our three reportable segments in order to better align controllable costs with the responsibility of segment management, and to be consistent with how our chief operating decision-maker assesses segment performance and allocates resources.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right-of-use lease assets,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ind w:right="540"/>
        <w:spacing w:after="0"/>
        <w:rPr>
          <w:sz w:val="20"/>
          <w:szCs w:val="20"/>
          <w:color w:val="auto"/>
        </w:rPr>
      </w:pPr>
      <w:r>
        <w:rPr>
          <w:rFonts w:ascii="Arial" w:cs="Arial" w:eastAsia="Arial" w:hAnsi="Arial"/>
          <w:sz w:val="18"/>
          <w:szCs w:val="18"/>
          <w:b w:val="1"/>
          <w:bCs w:val="1"/>
          <w:color w:val="auto"/>
        </w:rPr>
        <w:t>Matrix Service Company</w:t>
      </w:r>
    </w:p>
    <w:p>
      <w:pPr>
        <w:spacing w:after="0" w:line="24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4900"/>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right"/>
        <w:ind w:right="4960"/>
        <w:spacing w:after="0"/>
        <w:rPr>
          <w:sz w:val="20"/>
          <w:szCs w:val="20"/>
          <w:color w:val="auto"/>
        </w:rPr>
      </w:pPr>
      <w:r>
        <w:rPr>
          <w:rFonts w:ascii="Arial" w:cs="Arial" w:eastAsia="Arial" w:hAnsi="Arial"/>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Storage and</w:t>
            </w:r>
          </w:p>
        </w:tc>
        <w:tc>
          <w:tcPr>
            <w:tcW w:w="13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Utility and Power</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Process and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2"/>
              </w:rPr>
              <w:t>Terminal</w:t>
            </w:r>
          </w:p>
        </w:tc>
        <w:tc>
          <w:tcPr>
            <w:tcW w:w="13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95"/>
              </w:rPr>
              <w:t>Industrial</w:t>
            </w: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320" w:type="dxa"/>
            <w:vAlign w:val="bottom"/>
          </w:tcPr>
          <w:p>
            <w:pPr>
              <w:spacing w:after="0"/>
              <w:rPr>
                <w:sz w:val="12"/>
                <w:szCs w:val="12"/>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4"/>
              </w:rPr>
              <w:t>Solutions</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Infrastructure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Facilities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Fiscal year ended June 30, 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inter-segment revenue</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revenue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Gross profit (loss)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Goodwill impairment and restructuring costs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Segment assets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139,333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67,630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90,514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103,027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 ended June 30, 2022</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236,260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220,093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258,497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inter-segment revenue</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Consolidated revenue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232,839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220,093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254,848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and restructuring costs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Fiscal year ended June 30, 2021</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inter-segment revenue</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revenue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Segment assets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160,782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81,717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106,619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118,438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64135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76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Significant Customers: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60" w:type="dxa"/>
            <w:vAlign w:val="bottom"/>
          </w:tcPr>
          <w:p>
            <w:pPr>
              <w:spacing w:after="0"/>
              <w:rPr>
                <w:sz w:val="15"/>
                <w:szCs w:val="15"/>
                <w:color w:val="auto"/>
              </w:rPr>
            </w:pPr>
          </w:p>
        </w:tc>
        <w:tc>
          <w:tcPr>
            <w:tcW w:w="5680" w:type="dxa"/>
            <w:vAlign w:val="bottom"/>
            <w:gridSpan w:val="7"/>
          </w:tcPr>
          <w:p>
            <w:pPr>
              <w:jc w:val="right"/>
              <w:ind w:right="995"/>
              <w:spacing w:after="0"/>
              <w:rPr>
                <w:sz w:val="20"/>
                <w:szCs w:val="20"/>
                <w:color w:val="auto"/>
              </w:rPr>
            </w:pPr>
            <w:r>
              <w:rPr>
                <w:rFonts w:ascii="Arial" w:cs="Arial" w:eastAsia="Arial" w:hAnsi="Arial"/>
                <w:sz w:val="14"/>
                <w:szCs w:val="14"/>
                <w:b w:val="1"/>
                <w:bCs w:val="1"/>
                <w:color w:val="auto"/>
              </w:rPr>
              <w:t>Significant Customers as a Percentage of Segment Revenue</w:t>
            </w: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Storage and</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Utility and Power</w:t>
            </w:r>
          </w:p>
        </w:tc>
        <w:tc>
          <w:tcPr>
            <w:tcW w:w="13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Process and</w:t>
            </w:r>
          </w:p>
        </w:tc>
        <w:tc>
          <w:tcPr>
            <w:tcW w:w="0" w:type="dxa"/>
            <w:vAlign w:val="bottom"/>
          </w:tcPr>
          <w:p>
            <w:pPr>
              <w:spacing w:after="0"/>
              <w:rPr>
                <w:sz w:val="1"/>
                <w:szCs w:val="1"/>
                <w:color w:val="auto"/>
              </w:rPr>
            </w:pPr>
          </w:p>
        </w:tc>
      </w:tr>
      <w:tr>
        <w:trPr>
          <w:trHeight w:val="141"/>
        </w:trPr>
        <w:tc>
          <w:tcPr>
            <w:tcW w:w="5560" w:type="dxa"/>
            <w:vAlign w:val="bottom"/>
          </w:tcPr>
          <w:p>
            <w:pPr>
              <w:spacing w:after="0"/>
              <w:rPr>
                <w:sz w:val="12"/>
                <w:szCs w:val="12"/>
                <w:color w:val="auto"/>
              </w:rPr>
            </w:pPr>
          </w:p>
        </w:tc>
        <w:tc>
          <w:tcPr>
            <w:tcW w:w="14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Consolidated</w:t>
            </w:r>
          </w:p>
        </w:tc>
        <w:tc>
          <w:tcPr>
            <w:tcW w:w="142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2"/>
              </w:rPr>
              <w:t>Terminal</w:t>
            </w:r>
          </w:p>
        </w:tc>
        <w:tc>
          <w:tcPr>
            <w:tcW w:w="146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Solutions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Infrastructure</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7"/>
              </w:rPr>
              <w:t>Industrial Facilities</w:t>
            </w: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Fiscal Year ended June 30, 2023</w:t>
            </w: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one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Customer two</w:t>
            </w:r>
          </w:p>
        </w:tc>
        <w:tc>
          <w:tcPr>
            <w:tcW w:w="1340" w:type="dxa"/>
            <w:vAlign w:val="bottom"/>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three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Customer four</w:t>
            </w:r>
          </w:p>
        </w:tc>
        <w:tc>
          <w:tcPr>
            <w:tcW w:w="134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five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Customer six</w:t>
            </w:r>
          </w:p>
        </w:tc>
        <w:tc>
          <w:tcPr>
            <w:tcW w:w="134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seven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Fiscal Year ended June 30, 2022</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one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Customer two</w:t>
            </w:r>
          </w:p>
        </w:tc>
        <w:tc>
          <w:tcPr>
            <w:tcW w:w="1340" w:type="dxa"/>
            <w:vAlign w:val="bottom"/>
          </w:tcPr>
          <w:p>
            <w:pPr>
              <w:jc w:val="right"/>
              <w:spacing w:after="0"/>
              <w:rPr>
                <w:sz w:val="20"/>
                <w:szCs w:val="20"/>
                <w:color w:val="auto"/>
              </w:rPr>
            </w:pPr>
            <w:r>
              <w:rPr>
                <w:rFonts w:ascii="Arial" w:cs="Arial" w:eastAsia="Arial" w:hAnsi="Arial"/>
                <w:sz w:val="18"/>
                <w:szCs w:val="18"/>
                <w:color w:val="auto"/>
              </w:rPr>
              <w:t>11.0 %</w:t>
            </w:r>
          </w:p>
        </w:tc>
        <w:tc>
          <w:tcPr>
            <w:tcW w:w="1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35.5 %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three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Fiscal Year ended June 30, 2021</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one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Customer two</w:t>
            </w:r>
          </w:p>
        </w:tc>
        <w:tc>
          <w:tcPr>
            <w:tcW w:w="1340" w:type="dxa"/>
            <w:vAlign w:val="bottom"/>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three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Customer four</w:t>
            </w:r>
          </w:p>
        </w:tc>
        <w:tc>
          <w:tcPr>
            <w:tcW w:w="1340" w:type="dxa"/>
            <w:vAlign w:val="bottom"/>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14—Restructuring Costs</w:t>
      </w:r>
    </w:p>
    <w:p>
      <w:pPr>
        <w:spacing w:after="0" w:line="2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fiscal 2020, we initiated a business improvement plan to increase profitability and reduce our cost structure in order to help us become more competitive and deliver higher quality service. As a result of specific events, including the effects of the COVID-19 pandemic and related market disruptions, the Company expanded its business improvement plan.</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business improvement plan consists of an initial phase of discretionary cost reductions, workforce reductions, reduction of capital expenditures and the reduction in size or closure of certain offices in order to increase the utilization of our staff and bring the cost structure of the business in line with revenue volumes. In fiscal 2022, we commenced a second phase of our plan to focus on centralization of support functions, including business development, accounting, human resources, procurement and project services into shared service centers. The restructuring costs consist primarily of severance costs, facility closure costs, consulting fees and other liabilities. Our restructuring efforts were substantially complete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incurred are classified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Fiscal Year Ended</w:t>
            </w: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Fiscal Year Ended</w:t>
            </w: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Fiscal Year Ended</w:t>
            </w:r>
          </w:p>
        </w:tc>
        <w:tc>
          <w:tcPr>
            <w:tcW w:w="120" w:type="dxa"/>
            <w:vAlign w:val="bottom"/>
          </w:tcPr>
          <w:p>
            <w:pPr>
              <w:spacing w:after="0"/>
              <w:rPr>
                <w:sz w:val="14"/>
                <w:szCs w:val="14"/>
                <w:color w:val="auto"/>
              </w:rPr>
            </w:pPr>
          </w:p>
        </w:tc>
        <w:tc>
          <w:tcPr>
            <w:tcW w:w="120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Since Inception of</w:t>
            </w:r>
          </w:p>
        </w:tc>
        <w:tc>
          <w:tcPr>
            <w:tcW w:w="0" w:type="dxa"/>
            <w:vAlign w:val="bottom"/>
          </w:tcPr>
          <w:p>
            <w:pPr>
              <w:spacing w:after="0"/>
              <w:rPr>
                <w:sz w:val="1"/>
                <w:szCs w:val="1"/>
                <w:color w:val="auto"/>
              </w:rPr>
            </w:pPr>
          </w:p>
        </w:tc>
      </w:tr>
      <w:tr>
        <w:trPr>
          <w:trHeight w:val="141"/>
        </w:trPr>
        <w:tc>
          <w:tcPr>
            <w:tcW w:w="57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37"/>
              <w:spacing w:after="0" w:line="141" w:lineRule="exact"/>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2023</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2022</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2021</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Improvement Plan</w:t>
            </w:r>
          </w:p>
        </w:tc>
        <w:tc>
          <w:tcPr>
            <w:tcW w:w="0" w:type="dxa"/>
            <w:vAlign w:val="bottom"/>
          </w:tcPr>
          <w:p>
            <w:pPr>
              <w:spacing w:after="0"/>
              <w:rPr>
                <w:sz w:val="1"/>
                <w:szCs w:val="1"/>
                <w:color w:val="auto"/>
              </w:rPr>
            </w:pPr>
          </w:p>
        </w:tc>
      </w:tr>
      <w:tr>
        <w:trPr>
          <w:trHeight w:val="186"/>
        </w:trPr>
        <w:tc>
          <w:tcPr>
            <w:tcW w:w="57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gridSpan w:val="4"/>
          </w:tcPr>
          <w:p>
            <w:pPr>
              <w:jc w:val="right"/>
              <w:ind w:right="875"/>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Restructuring Costs by Type:</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2,787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5,545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17,701</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facility costs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Total other intangible asset impairments</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7"/>
        </w:trPr>
        <w:tc>
          <w:tcPr>
            <w:tcW w:w="5720" w:type="dxa"/>
            <w:vAlign w:val="bottom"/>
          </w:tcPr>
          <w:p>
            <w:pPr>
              <w:ind w:left="240"/>
              <w:spacing w:after="0"/>
              <w:rPr>
                <w:sz w:val="20"/>
                <w:szCs w:val="20"/>
                <w:color w:val="auto"/>
              </w:rPr>
            </w:pPr>
            <w:r>
              <w:rPr>
                <w:rFonts w:ascii="Arial" w:cs="Arial" w:eastAsia="Arial" w:hAnsi="Arial"/>
                <w:sz w:val="18"/>
                <w:szCs w:val="18"/>
                <w:color w:val="auto"/>
              </w:rPr>
              <w:t>Total restructuring costs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 June 30, 2022, and June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gridSpan w:val="2"/>
            <w:vMerge w:val="restart"/>
          </w:tcPr>
          <w:p>
            <w:pPr>
              <w:ind w:left="1940"/>
              <w:spacing w:after="0"/>
              <w:rPr>
                <w:sz w:val="20"/>
                <w:szCs w:val="20"/>
                <w:color w:val="auto"/>
              </w:rPr>
            </w:pPr>
            <w:r>
              <w:rPr>
                <w:rFonts w:ascii="Arial" w:cs="Arial" w:eastAsia="Arial" w:hAnsi="Arial"/>
                <w:sz w:val="16"/>
                <w:szCs w:val="16"/>
                <w:b w:val="1"/>
                <w:bCs w:val="1"/>
                <w:color w:val="auto"/>
              </w:rPr>
              <w:t>COL. A</w:t>
            </w:r>
          </w:p>
        </w:tc>
        <w:tc>
          <w:tcPr>
            <w:tcW w:w="140" w:type="dxa"/>
            <w:vAlign w:val="bottom"/>
          </w:tcPr>
          <w:p>
            <w:pPr>
              <w:spacing w:after="0"/>
              <w:rPr>
                <w:sz w:val="16"/>
                <w:szCs w:val="16"/>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5"/>
              </w:rPr>
              <w:t>COL. B</w:t>
            </w:r>
          </w:p>
        </w:tc>
        <w:tc>
          <w:tcPr>
            <w:tcW w:w="160" w:type="dxa"/>
            <w:vAlign w:val="bottom"/>
          </w:tcPr>
          <w:p>
            <w:pPr>
              <w:spacing w:after="0"/>
              <w:rPr>
                <w:sz w:val="16"/>
                <w:szCs w:val="16"/>
                <w:color w:val="auto"/>
              </w:rPr>
            </w:pPr>
          </w:p>
        </w:tc>
        <w:tc>
          <w:tcPr>
            <w:tcW w:w="1880" w:type="dxa"/>
            <w:vAlign w:val="bottom"/>
            <w:gridSpan w:val="3"/>
          </w:tcPr>
          <w:p>
            <w:pPr>
              <w:jc w:val="center"/>
              <w:ind w:left="37"/>
              <w:spacing w:after="0"/>
              <w:rPr>
                <w:sz w:val="20"/>
                <w:szCs w:val="20"/>
                <w:color w:val="auto"/>
              </w:rPr>
            </w:pPr>
            <w:r>
              <w:rPr>
                <w:rFonts w:ascii="Arial" w:cs="Arial" w:eastAsia="Arial" w:hAnsi="Arial"/>
                <w:sz w:val="16"/>
                <w:szCs w:val="16"/>
                <w:b w:val="1"/>
                <w:bCs w:val="1"/>
                <w:color w:val="auto"/>
                <w:w w:val="95"/>
              </w:rPr>
              <w:t>COL. C</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center"/>
              <w:ind w:right="36"/>
              <w:spacing w:after="0"/>
              <w:rPr>
                <w:sz w:val="20"/>
                <w:szCs w:val="20"/>
                <w:color w:val="auto"/>
              </w:rPr>
            </w:pPr>
            <w:r>
              <w:rPr>
                <w:rFonts w:ascii="Arial" w:cs="Arial" w:eastAsia="Arial" w:hAnsi="Arial"/>
                <w:sz w:val="16"/>
                <w:szCs w:val="16"/>
                <w:b w:val="1"/>
                <w:bCs w:val="1"/>
                <w:color w:val="auto"/>
                <w:w w:val="99"/>
              </w:rPr>
              <w:t>COL. D</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center"/>
              <w:ind w:right="97"/>
              <w:spacing w:after="0"/>
              <w:rPr>
                <w:sz w:val="20"/>
                <w:szCs w:val="20"/>
                <w:color w:val="auto"/>
              </w:rPr>
            </w:pPr>
            <w:r>
              <w:rPr>
                <w:rFonts w:ascii="Arial" w:cs="Arial" w:eastAsia="Arial" w:hAnsi="Arial"/>
                <w:sz w:val="16"/>
                <w:szCs w:val="16"/>
                <w:b w:val="1"/>
                <w:bCs w:val="1"/>
                <w:color w:val="auto"/>
              </w:rPr>
              <w:t>COL. E</w:t>
            </w:r>
          </w:p>
        </w:tc>
        <w:tc>
          <w:tcPr>
            <w:tcW w:w="0" w:type="dxa"/>
            <w:vAlign w:val="bottom"/>
          </w:tcPr>
          <w:p>
            <w:pPr>
              <w:spacing w:after="0"/>
              <w:rPr>
                <w:sz w:val="1"/>
                <w:szCs w:val="1"/>
                <w:color w:val="auto"/>
              </w:rPr>
            </w:pPr>
          </w:p>
        </w:tc>
      </w:tr>
      <w:tr>
        <w:trPr>
          <w:trHeight w:val="207"/>
        </w:trPr>
        <w:tc>
          <w:tcPr>
            <w:tcW w:w="4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center"/>
              <w:ind w:left="37"/>
              <w:spacing w:after="0"/>
              <w:rPr>
                <w:sz w:val="20"/>
                <w:szCs w:val="20"/>
                <w:color w:val="auto"/>
              </w:rPr>
            </w:pPr>
            <w:r>
              <w:rPr>
                <w:rFonts w:ascii="Arial" w:cs="Arial" w:eastAsia="Arial" w:hAnsi="Arial"/>
                <w:sz w:val="16"/>
                <w:szCs w:val="16"/>
                <w:b w:val="1"/>
                <w:bCs w:val="1"/>
                <w:color w:val="auto"/>
                <w:w w:val="99"/>
              </w:rPr>
              <w:t>ADDITIONS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57"/>
              <w:spacing w:after="0" w:line="131" w:lineRule="exact"/>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1"/>
              </w:rPr>
              <w:t>Charged to</w:t>
            </w:r>
          </w:p>
        </w:tc>
        <w:tc>
          <w:tcPr>
            <w:tcW w:w="110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4"/>
                <w:szCs w:val="14"/>
                <w:b w:val="1"/>
                <w:bCs w:val="1"/>
                <w:color w:val="auto"/>
                <w:w w:val="92"/>
              </w:rPr>
              <w:t>Charged to Other</w:t>
            </w:r>
          </w:p>
        </w:tc>
        <w:tc>
          <w:tcPr>
            <w:tcW w:w="4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center"/>
              <w:ind w:right="16"/>
              <w:spacing w:after="0"/>
              <w:rPr>
                <w:sz w:val="20"/>
                <w:szCs w:val="20"/>
                <w:color w:val="auto"/>
              </w:rPr>
            </w:pPr>
            <w:r>
              <w:rPr>
                <w:rFonts w:ascii="Arial" w:cs="Arial" w:eastAsia="Arial" w:hAnsi="Arial"/>
                <w:sz w:val="14"/>
                <w:szCs w:val="14"/>
                <w:b w:val="1"/>
                <w:bCs w:val="1"/>
                <w:color w:val="auto"/>
                <w:w w:val="88"/>
              </w:rPr>
              <w:t>Deductions—</w:t>
            </w:r>
          </w:p>
        </w:tc>
        <w:tc>
          <w:tcPr>
            <w:tcW w:w="5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97"/>
              <w:spacing w:after="0" w:line="131"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1"/>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8"/>
              </w:rPr>
              <w:t>Beginning of</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5"/>
              </w:rPr>
              <w:t>Costs and</w:t>
            </w:r>
          </w:p>
        </w:tc>
        <w:tc>
          <w:tcPr>
            <w:tcW w:w="1540" w:type="dxa"/>
            <w:vAlign w:val="bottom"/>
            <w:gridSpan w:val="3"/>
          </w:tcPr>
          <w:p>
            <w:pPr>
              <w:ind w:left="200"/>
              <w:spacing w:after="0" w:line="141" w:lineRule="exact"/>
              <w:rPr>
                <w:sz w:val="20"/>
                <w:szCs w:val="20"/>
                <w:color w:val="auto"/>
              </w:rPr>
            </w:pPr>
            <w:r>
              <w:rPr>
                <w:rFonts w:ascii="Arial" w:cs="Arial" w:eastAsia="Arial" w:hAnsi="Arial"/>
                <w:sz w:val="14"/>
                <w:szCs w:val="14"/>
                <w:b w:val="1"/>
                <w:bCs w:val="1"/>
                <w:color w:val="auto"/>
              </w:rPr>
              <w:t>Accounts—</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77"/>
              <w:spacing w:after="0" w:line="141"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Expenses</w:t>
            </w:r>
          </w:p>
        </w:tc>
        <w:tc>
          <w:tcPr>
            <w:tcW w:w="820" w:type="dxa"/>
            <w:vAlign w:val="bottom"/>
          </w:tcPr>
          <w:p>
            <w:pPr>
              <w:ind w:left="280"/>
              <w:spacing w:after="0"/>
              <w:rPr>
                <w:sz w:val="20"/>
                <w:szCs w:val="20"/>
                <w:color w:val="auto"/>
              </w:rPr>
            </w:pPr>
            <w:r>
              <w:rPr>
                <w:rFonts w:ascii="Arial" w:cs="Arial" w:eastAsia="Arial" w:hAnsi="Arial"/>
                <w:sz w:val="14"/>
                <w:szCs w:val="14"/>
                <w:b w:val="1"/>
                <w:bCs w:val="1"/>
                <w:color w:val="auto"/>
                <w:w w:val="87"/>
              </w:rPr>
              <w:t>Describe</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Describe</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 2023</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Deducted from asset accounts: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Valuation reserve for deferred tax assets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12,595</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41,060</w:t>
            </w:r>
          </w:p>
        </w:tc>
        <w:tc>
          <w:tcPr>
            <w:tcW w:w="0" w:type="dxa"/>
            <w:vAlign w:val="bottom"/>
          </w:tcPr>
          <w:p>
            <w:pPr>
              <w:spacing w:after="0"/>
              <w:rPr>
                <w:sz w:val="1"/>
                <w:szCs w:val="1"/>
                <w:color w:val="auto"/>
              </w:rPr>
            </w:pPr>
          </w:p>
        </w:tc>
      </w:tr>
      <w:tr>
        <w:trPr>
          <w:trHeight w:val="237"/>
        </w:trPr>
        <w:tc>
          <w:tcPr>
            <w:tcW w:w="452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Fiscal Year 2022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Deducted from asset accounts: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34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(316)</w:t>
            </w:r>
          </w:p>
        </w:tc>
        <w:tc>
          <w:tcPr>
            <w:tcW w:w="560" w:type="dxa"/>
            <w:vAlign w:val="bottom"/>
          </w:tcPr>
          <w:p>
            <w:pPr>
              <w:ind w:left="20"/>
              <w:spacing w:after="0"/>
              <w:rPr>
                <w:sz w:val="20"/>
                <w:szCs w:val="20"/>
                <w:color w:val="auto"/>
              </w:rPr>
            </w:pPr>
            <w:r>
              <w:rPr>
                <w:rFonts w:ascii="Arial" w:cs="Arial" w:eastAsia="Arial" w:hAnsi="Arial"/>
                <w:sz w:val="18"/>
                <w:szCs w:val="18"/>
                <w:color w:val="auto"/>
              </w:rPr>
              <w:t>(C)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24"/>
        </w:trPr>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Valuation reserve for deferred tax assets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17,943</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28,615</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18,681</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(748)</w:t>
            </w:r>
          </w:p>
        </w:tc>
        <w:tc>
          <w:tcPr>
            <w:tcW w:w="5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29,935</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20" w:type="dxa"/>
            <w:vAlign w:val="bottom"/>
            <w:gridSpan w:val="2"/>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Fiscal Year 2021</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Deducted from asset accounts: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Valuation reserve for deferred tax assets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11,104</w:t>
            </w:r>
          </w:p>
        </w:tc>
        <w:tc>
          <w:tcPr>
            <w:tcW w:w="0" w:type="dxa"/>
            <w:vAlign w:val="bottom"/>
          </w:tcPr>
          <w:p>
            <w:pPr>
              <w:spacing w:after="0"/>
              <w:rPr>
                <w:sz w:val="1"/>
                <w:szCs w:val="1"/>
                <w:color w:val="auto"/>
              </w:rPr>
            </w:pPr>
          </w:p>
        </w:tc>
      </w:tr>
      <w:tr>
        <w:trPr>
          <w:trHeight w:val="237"/>
        </w:trPr>
        <w:tc>
          <w:tcPr>
            <w:tcW w:w="452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292100</wp:posOffset>
            </wp:positionV>
            <wp:extent cx="8013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0" w:hanging="318"/>
        <w:spacing w:after="0"/>
        <w:tabs>
          <w:tab w:leader="none" w:pos="5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Relates to various write-offs and cash receipts of previously reserved accounts from prior periods.</w:t>
      </w:r>
    </w:p>
    <w:p>
      <w:pPr>
        <w:spacing w:after="0" w:line="17" w:lineRule="exact"/>
        <w:rPr>
          <w:rFonts w:ascii="Arial" w:cs="Arial" w:eastAsia="Arial" w:hAnsi="Arial"/>
          <w:sz w:val="14"/>
          <w:szCs w:val="14"/>
          <w:color w:val="auto"/>
        </w:rPr>
      </w:pPr>
    </w:p>
    <w:p>
      <w:pPr>
        <w:ind w:left="540" w:hanging="298"/>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Relates to foreign currency translation for the portion of the valuation allowance on net operating loss and tax credit carryforwards in foreign jurisdictions.</w:t>
      </w:r>
    </w:p>
    <w:p>
      <w:pPr>
        <w:spacing w:after="0" w:line="9" w:lineRule="exact"/>
        <w:rPr>
          <w:rFonts w:ascii="Arial" w:cs="Arial" w:eastAsia="Arial" w:hAnsi="Arial"/>
          <w:sz w:val="14"/>
          <w:szCs w:val="14"/>
          <w:color w:val="auto"/>
        </w:rPr>
      </w:pPr>
    </w:p>
    <w:p>
      <w:pPr>
        <w:ind w:left="540" w:hanging="298"/>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Relates to the write off of a $0.3 million account receivable that was fully reserved in a prior period.</w:t>
      </w:r>
    </w:p>
    <w:p>
      <w:pPr>
        <w:spacing w:after="0" w:line="9" w:lineRule="exact"/>
        <w:rPr>
          <w:rFonts w:ascii="Arial" w:cs="Arial" w:eastAsia="Arial" w:hAnsi="Arial"/>
          <w:sz w:val="14"/>
          <w:szCs w:val="14"/>
          <w:color w:val="auto"/>
        </w:rPr>
      </w:pPr>
    </w:p>
    <w:p>
      <w:pPr>
        <w:ind w:left="560" w:hanging="318"/>
        <w:spacing w:after="0"/>
        <w:tabs>
          <w:tab w:leader="none" w:pos="5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Primarily relates to a $0.1 million reserve that was recognized as a credit loss and ultimately written off within fiscal 2021.</w:t>
      </w:r>
    </w:p>
    <w:p>
      <w:pPr>
        <w:spacing w:after="0" w:line="9" w:lineRule="exact"/>
        <w:rPr>
          <w:rFonts w:ascii="Arial" w:cs="Arial" w:eastAsia="Arial" w:hAnsi="Arial"/>
          <w:sz w:val="14"/>
          <w:szCs w:val="14"/>
          <w:color w:val="auto"/>
        </w:rPr>
      </w:pPr>
    </w:p>
    <w:p>
      <w:pPr>
        <w:ind w:left="560" w:right="120" w:hanging="318"/>
        <w:spacing w:after="0" w:line="249" w:lineRule="auto"/>
        <w:tabs>
          <w:tab w:leader="none" w:pos="555"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Relates to $1.1 million of foreign currency translation for the portion of the valuation allowance on net operating loss and tax credit carryforwards in foreign jurisdictions, partially offset by $0.6 million of fully reserved tax credits that expired in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78" w:name="page79"/>
    <w:bookmarkEnd w:id="78"/>
    <w:p>
      <w:pPr>
        <w:ind w:right="4000"/>
        <w:spacing w:after="0" w:line="451"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June 30, 2023. Based on the foregoing, our Chief Executive Officer and Chief Financial Officer concluded that our disclosure controls and procedures were effective at the reasonable assurance level at June 30, 2023.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“Management’s Report on Internal Control over Financial Reporting” set forth in Item 8, Financial Statements and Supplementary Data of this Annual Report on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changes during the fourth quarter of fiscal 2023 that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PART III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information required by this item with respect to our directors and corporate governance is incorporated herein by reference to the sections entitled “Proposal Number 1: Election of Directors” and “Corporate Governance and Board Matters” in our definitive Proxy Statement for the 2023 Annual Meeting of Stockholders (“Proxy Statement”). The information required by this item with respect to our executive officers is incorporated herein by reference to the section entitled “Executive Officer Information” in the Proxy Statement.</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We have adopted a Code of Business Conduct and Ethics applicable to all our directors, officers and employees, including the principal executive officer, principal financial officer and principal accounting officer. In addition, we have adopted Corporate Governance Guidelines for the Board of Directors and Charters for the Audit, Compensation and Nominating and Corporate Governance Committees of the Board of Directors. The current version of these corporate governance documents is publicly available in the “Investors” section of our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xml:space="preserve"> under “Corporate Governance.” If we make any substantive amendments to the Code of Business Conduct and Ethics, or grant any waivers, including implicit waivers, from the Code of Business Conduct and Ethics applicable to the principal executive officer, principal financial officer or principal accounting officer, or any person performing similar functions, we will disclose such amendment or waiver on our website or in a report on Form 8-K.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“Director Compensation,” "Compensation Discussion and Analysis" and “Executive Officer Compensation” in the Proxy Statement.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“Securities Authorized for Issuance Under Executive Compensation Plans” and “Security Ownership of Certain Beneficial Owners and Management” in the Proxy Statement.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"Corporate Governance and Board Matters" and “Certain Relationships and Related Transactions” in the Proxy Statement.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“Fees of Independent Registered Public Accounting Firm” and “Audit Committee Pre-Approval Policy” in the Proxy Statement.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 of the Company</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financial statements and supplementary data are filed as a part of this report under “Item 8—Financial Statements and Supplementary Data” in this Annual Report on Form 10-K:</w:t>
      </w: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11000" w:type="dxa"/>
            <w:vAlign w:val="bottom"/>
            <w:gridSpan w:val="12"/>
          </w:tcPr>
          <w:p>
            <w:pPr>
              <w:spacing w:after="0"/>
              <w:rPr>
                <w:sz w:val="20"/>
                <w:szCs w:val="20"/>
                <w:color w:val="auto"/>
              </w:rPr>
            </w:pPr>
            <w:r>
              <w:rPr>
                <w:rFonts w:ascii="Arial" w:cs="Arial" w:eastAsia="Arial" w:hAnsi="Arial"/>
                <w:sz w:val="18"/>
                <w:szCs w:val="18"/>
                <w:color w:val="auto"/>
              </w:rPr>
              <w:t>Financial Statements of the Company</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7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Management’s Report on Internal Control Over Financial Reporting</w:t>
            </w:r>
          </w:p>
        </w:tc>
        <w:tc>
          <w:tcPr>
            <w:tcW w:w="5900" w:type="dxa"/>
            <w:vAlign w:val="bottom"/>
            <w:gridSpan w:val="6"/>
          </w:tcPr>
          <w:p>
            <w:pPr>
              <w:spacing w:after="0"/>
              <w:rPr>
                <w:sz w:val="20"/>
                <w:szCs w:val="20"/>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39</w:t>
            </w:r>
          </w:p>
        </w:tc>
        <w:tc>
          <w:tcPr>
            <w:tcW w:w="0" w:type="dxa"/>
            <w:vAlign w:val="bottom"/>
          </w:tcPr>
          <w:p>
            <w:pPr>
              <w:spacing w:after="0"/>
              <w:rPr>
                <w:sz w:val="1"/>
                <w:szCs w:val="1"/>
                <w:color w:val="auto"/>
              </w:rPr>
            </w:pPr>
          </w:p>
        </w:tc>
      </w:tr>
      <w:tr>
        <w:trPr>
          <w:trHeight w:val="256"/>
        </w:trPr>
        <w:tc>
          <w:tcPr>
            <w:tcW w:w="320" w:type="dxa"/>
            <w:vAlign w:val="bottom"/>
          </w:tcPr>
          <w:p>
            <w:pPr>
              <w:spacing w:after="0"/>
              <w:rPr>
                <w:sz w:val="22"/>
                <w:szCs w:val="22"/>
                <w:color w:val="auto"/>
              </w:rPr>
            </w:pPr>
          </w:p>
        </w:tc>
        <w:tc>
          <w:tcPr>
            <w:tcW w:w="10680" w:type="dxa"/>
            <w:vAlign w:val="bottom"/>
            <w:gridSpan w:val="11"/>
          </w:tcPr>
          <w:p>
            <w:pPr>
              <w:spacing w:after="0"/>
              <w:rPr>
                <w:sz w:val="20"/>
                <w:szCs w:val="20"/>
                <w:color w:val="auto"/>
              </w:rPr>
            </w:pPr>
            <w:r>
              <w:rPr>
                <w:rFonts w:ascii="Arial" w:cs="Arial" w:eastAsia="Arial" w:hAnsi="Arial"/>
                <w:sz w:val="18"/>
                <w:szCs w:val="18"/>
                <w:color w:val="0000FF"/>
              </w:rPr>
              <w:t>Reports of Independent Registered Public Accounting Firm (Deloitte &amp; Touche LLP)</w:t>
            </w:r>
          </w:p>
        </w:tc>
        <w:tc>
          <w:tcPr>
            <w:tcW w:w="160" w:type="dxa"/>
            <w:vAlign w:val="bottom"/>
          </w:tcPr>
          <w:p>
            <w:pPr>
              <w:jc w:val="right"/>
              <w:spacing w:after="0"/>
              <w:rPr>
                <w:sz w:val="20"/>
                <w:szCs w:val="20"/>
                <w:color w:val="auto"/>
              </w:rPr>
            </w:pPr>
            <w:r>
              <w:rPr>
                <w:rFonts w:ascii="Arial" w:cs="Arial" w:eastAsia="Arial" w:hAnsi="Arial"/>
                <w:sz w:val="16"/>
                <w:szCs w:val="16"/>
                <w:color w:val="0000FF"/>
                <w:w w:val="78"/>
              </w:rPr>
              <w:t>40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20" w:type="dxa"/>
            <w:vAlign w:val="bottom"/>
          </w:tcPr>
          <w:p>
            <w:pPr>
              <w:spacing w:after="0"/>
              <w:rPr>
                <w:sz w:val="22"/>
                <w:szCs w:val="22"/>
                <w:color w:val="auto"/>
              </w:rPr>
            </w:pPr>
          </w:p>
        </w:tc>
        <w:tc>
          <w:tcPr>
            <w:tcW w:w="78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6"/>
              </w:rPr>
              <w:t>Consolidated Statements of Income for the Fiscal Years Ended June 30, 2023, June 30, 2022 and June 30, 2021</w:t>
            </w:r>
          </w:p>
        </w:tc>
        <w:tc>
          <w:tcPr>
            <w:tcW w:w="2880" w:type="dxa"/>
            <w:vAlign w:val="bottom"/>
            <w:gridSpan w:val="4"/>
          </w:tcPr>
          <w:p>
            <w:pPr>
              <w:spacing w:after="0"/>
              <w:rPr>
                <w:sz w:val="22"/>
                <w:szCs w:val="22"/>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44</w:t>
            </w:r>
          </w:p>
        </w:tc>
        <w:tc>
          <w:tcPr>
            <w:tcW w:w="0" w:type="dxa"/>
            <w:vAlign w:val="bottom"/>
          </w:tcPr>
          <w:p>
            <w:pPr>
              <w:spacing w:after="0"/>
              <w:rPr>
                <w:sz w:val="1"/>
                <w:szCs w:val="1"/>
                <w:color w:val="auto"/>
              </w:rPr>
            </w:pPr>
          </w:p>
        </w:tc>
      </w:tr>
      <w:tr>
        <w:trPr>
          <w:trHeight w:val="256"/>
        </w:trPr>
        <w:tc>
          <w:tcPr>
            <w:tcW w:w="320" w:type="dxa"/>
            <w:vAlign w:val="bottom"/>
          </w:tcPr>
          <w:p>
            <w:pPr>
              <w:spacing w:after="0"/>
              <w:rPr>
                <w:sz w:val="22"/>
                <w:szCs w:val="22"/>
                <w:color w:val="auto"/>
              </w:rPr>
            </w:pPr>
          </w:p>
        </w:tc>
        <w:tc>
          <w:tcPr>
            <w:tcW w:w="89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6"/>
              </w:rPr>
              <w:t>Consolidated Statements of Comprehensive Income for the Fiscal Years Ended June 30, 2023, June 30, 2022 and June 30, 2021</w:t>
            </w:r>
          </w:p>
        </w:tc>
        <w:tc>
          <w:tcPr>
            <w:tcW w:w="1740" w:type="dxa"/>
            <w:vAlign w:val="bottom"/>
          </w:tcPr>
          <w:p>
            <w:pPr>
              <w:spacing w:after="0"/>
              <w:rPr>
                <w:sz w:val="22"/>
                <w:szCs w:val="22"/>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45</w:t>
            </w:r>
          </w:p>
        </w:tc>
        <w:tc>
          <w:tcPr>
            <w:tcW w:w="0" w:type="dxa"/>
            <w:vAlign w:val="bottom"/>
          </w:tcPr>
          <w:p>
            <w:pPr>
              <w:spacing w:after="0"/>
              <w:rPr>
                <w:sz w:val="1"/>
                <w:szCs w:val="1"/>
                <w:color w:val="auto"/>
              </w:rPr>
            </w:pPr>
          </w:p>
        </w:tc>
      </w:tr>
      <w:tr>
        <w:trPr>
          <w:trHeight w:val="256"/>
        </w:trPr>
        <w:tc>
          <w:tcPr>
            <w:tcW w:w="320" w:type="dxa"/>
            <w:vAlign w:val="bottom"/>
          </w:tcPr>
          <w:p>
            <w:pPr>
              <w:spacing w:after="0"/>
              <w:rPr>
                <w:sz w:val="22"/>
                <w:szCs w:val="22"/>
                <w:color w:val="auto"/>
              </w:rPr>
            </w:pPr>
          </w:p>
        </w:tc>
        <w:tc>
          <w:tcPr>
            <w:tcW w:w="47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5"/>
              </w:rPr>
              <w:t>Consolidated Balance Sheets as of June 30, 2023 and June 30, 2022</w:t>
            </w:r>
          </w:p>
        </w:tc>
        <w:tc>
          <w:tcPr>
            <w:tcW w:w="5920" w:type="dxa"/>
            <w:vAlign w:val="bottom"/>
            <w:gridSpan w:val="7"/>
          </w:tcPr>
          <w:p>
            <w:pPr>
              <w:spacing w:after="0"/>
              <w:rPr>
                <w:sz w:val="22"/>
                <w:szCs w:val="22"/>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46</w:t>
            </w:r>
          </w:p>
        </w:tc>
        <w:tc>
          <w:tcPr>
            <w:tcW w:w="0" w:type="dxa"/>
            <w:vAlign w:val="bottom"/>
          </w:tcPr>
          <w:p>
            <w:pPr>
              <w:spacing w:after="0"/>
              <w:rPr>
                <w:sz w:val="1"/>
                <w:szCs w:val="1"/>
                <w:color w:val="auto"/>
              </w:rPr>
            </w:pPr>
          </w:p>
        </w:tc>
      </w:tr>
      <w:tr>
        <w:trPr>
          <w:trHeight w:val="256"/>
        </w:trPr>
        <w:tc>
          <w:tcPr>
            <w:tcW w:w="320" w:type="dxa"/>
            <w:vAlign w:val="bottom"/>
          </w:tcPr>
          <w:p>
            <w:pPr>
              <w:spacing w:after="0"/>
              <w:rPr>
                <w:sz w:val="22"/>
                <w:szCs w:val="22"/>
                <w:color w:val="auto"/>
              </w:rPr>
            </w:pPr>
          </w:p>
        </w:tc>
        <w:tc>
          <w:tcPr>
            <w:tcW w:w="81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6"/>
              </w:rPr>
              <w:t>Consolidated Statements of Cash Flows for the Fiscal Years Ended June 30, 2023, June 30, 2022 and June 30, 2021</w:t>
            </w:r>
          </w:p>
        </w:tc>
        <w:tc>
          <w:tcPr>
            <w:tcW w:w="2580" w:type="dxa"/>
            <w:vAlign w:val="bottom"/>
            <w:gridSpan w:val="3"/>
          </w:tcPr>
          <w:p>
            <w:pPr>
              <w:spacing w:after="0"/>
              <w:rPr>
                <w:sz w:val="22"/>
                <w:szCs w:val="22"/>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48</w:t>
            </w:r>
          </w:p>
        </w:tc>
        <w:tc>
          <w:tcPr>
            <w:tcW w:w="0" w:type="dxa"/>
            <w:vAlign w:val="bottom"/>
          </w:tcPr>
          <w:p>
            <w:pPr>
              <w:spacing w:after="0"/>
              <w:rPr>
                <w:sz w:val="1"/>
                <w:szCs w:val="1"/>
                <w:color w:val="auto"/>
              </w:rPr>
            </w:pPr>
          </w:p>
        </w:tc>
      </w:tr>
      <w:tr>
        <w:trPr>
          <w:trHeight w:val="256"/>
        </w:trPr>
        <w:tc>
          <w:tcPr>
            <w:tcW w:w="320" w:type="dxa"/>
            <w:vAlign w:val="bottom"/>
          </w:tcPr>
          <w:p>
            <w:pPr>
              <w:spacing w:after="0"/>
              <w:rPr>
                <w:sz w:val="22"/>
                <w:szCs w:val="22"/>
                <w:color w:val="auto"/>
              </w:rPr>
            </w:pPr>
          </w:p>
        </w:tc>
        <w:tc>
          <w:tcPr>
            <w:tcW w:w="10680" w:type="dxa"/>
            <w:vAlign w:val="bottom"/>
            <w:gridSpan w:val="11"/>
          </w:tcPr>
          <w:p>
            <w:pPr>
              <w:spacing w:after="0"/>
              <w:rPr>
                <w:sz w:val="20"/>
                <w:szCs w:val="20"/>
                <w:color w:val="auto"/>
              </w:rPr>
            </w:pPr>
            <w:r>
              <w:rPr>
                <w:rFonts w:ascii="Arial" w:cs="Arial" w:eastAsia="Arial" w:hAnsi="Arial"/>
                <w:sz w:val="18"/>
                <w:szCs w:val="18"/>
                <w:color w:val="0000FF"/>
              </w:rPr>
              <w:t>Consolidated Statements of Changes in Stockholders’ Equity for the Fiscal Years Ended June 30, 2023, June 30, 2022 and</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0000FF"/>
                <w:w w:val="78"/>
              </w:rPr>
              <w:t>50</w:t>
            </w:r>
          </w:p>
        </w:tc>
        <w:tc>
          <w:tcPr>
            <w:tcW w:w="0" w:type="dxa"/>
            <w:vAlign w:val="bottom"/>
          </w:tcPr>
          <w:p>
            <w:pPr>
              <w:spacing w:after="0"/>
              <w:rPr>
                <w:sz w:val="1"/>
                <w:szCs w:val="1"/>
                <w:color w:val="auto"/>
              </w:rPr>
            </w:pPr>
          </w:p>
        </w:tc>
      </w:tr>
      <w:tr>
        <w:trPr>
          <w:trHeight w:val="157"/>
        </w:trPr>
        <w:tc>
          <w:tcPr>
            <w:tcW w:w="3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2"/>
          </w:tcPr>
          <w:p>
            <w:pPr>
              <w:spacing w:after="0" w:line="138" w:lineRule="exact"/>
              <w:rPr>
                <w:sz w:val="20"/>
                <w:szCs w:val="20"/>
                <w:color w:val="auto"/>
              </w:rPr>
            </w:pPr>
            <w:r>
              <w:rPr>
                <w:rFonts w:ascii="Arial" w:cs="Arial" w:eastAsia="Arial" w:hAnsi="Arial"/>
                <w:sz w:val="15"/>
                <w:szCs w:val="15"/>
                <w:color w:val="0000FF"/>
              </w:rPr>
              <w:t>June 30, 2021</w:t>
            </w:r>
          </w:p>
        </w:tc>
        <w:tc>
          <w:tcPr>
            <w:tcW w:w="5500" w:type="dxa"/>
            <w:vAlign w:val="bottom"/>
            <w:tcBorders>
              <w:top w:val="single" w:sz="8" w:color="0000FF"/>
            </w:tcBorders>
            <w:gridSpan w:val="7"/>
          </w:tcPr>
          <w:p>
            <w:pPr>
              <w:spacing w:after="0"/>
              <w:rPr>
                <w:sz w:val="13"/>
                <w:szCs w:val="13"/>
                <w:color w:val="auto"/>
              </w:rPr>
            </w:pPr>
          </w:p>
        </w:tc>
        <w:tc>
          <w:tcPr>
            <w:tcW w:w="2120" w:type="dxa"/>
            <w:vAlign w:val="bottom"/>
            <w:gridSpan w:val="2"/>
          </w:tcPr>
          <w:p>
            <w:pPr>
              <w:spacing w:after="0"/>
              <w:rPr>
                <w:sz w:val="13"/>
                <w:szCs w:val="13"/>
                <w:color w:val="auto"/>
              </w:rPr>
            </w:pPr>
          </w:p>
        </w:tc>
        <w:tc>
          <w:tcPr>
            <w:tcW w:w="16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10680" w:type="dxa"/>
            <w:vAlign w:val="bottom"/>
            <w:gridSpan w:val="11"/>
          </w:tcPr>
          <w:p>
            <w:pPr>
              <w:spacing w:after="0"/>
              <w:rPr>
                <w:sz w:val="20"/>
                <w:szCs w:val="20"/>
                <w:color w:val="auto"/>
              </w:rPr>
            </w:pPr>
            <w:r>
              <w:rPr>
                <w:rFonts w:ascii="Arial" w:cs="Arial" w:eastAsia="Arial" w:hAnsi="Arial"/>
                <w:sz w:val="18"/>
                <w:szCs w:val="18"/>
                <w:color w:val="0000FF"/>
              </w:rPr>
              <w:t>Notes to Consolidated Financial Statements</w:t>
            </w:r>
          </w:p>
        </w:tc>
        <w:tc>
          <w:tcPr>
            <w:tcW w:w="160" w:type="dxa"/>
            <w:vAlign w:val="bottom"/>
          </w:tcPr>
          <w:p>
            <w:pPr>
              <w:jc w:val="right"/>
              <w:spacing w:after="0"/>
              <w:rPr>
                <w:sz w:val="20"/>
                <w:szCs w:val="20"/>
                <w:color w:val="auto"/>
              </w:rPr>
            </w:pPr>
            <w:r>
              <w:rPr>
                <w:rFonts w:ascii="Arial" w:cs="Arial" w:eastAsia="Arial" w:hAnsi="Arial"/>
                <w:sz w:val="16"/>
                <w:szCs w:val="16"/>
                <w:color w:val="0000FF"/>
                <w:w w:val="78"/>
              </w:rPr>
              <w:t>51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4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Schedule II—Valuation and Qualifying Accounts</w:t>
            </w:r>
          </w:p>
        </w:tc>
        <w:tc>
          <w:tcPr>
            <w:tcW w:w="7540" w:type="dxa"/>
            <w:vAlign w:val="bottom"/>
            <w:gridSpan w:val="8"/>
          </w:tcPr>
          <w:p>
            <w:pPr>
              <w:spacing w:after="0"/>
              <w:rPr>
                <w:sz w:val="22"/>
                <w:szCs w:val="22"/>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78"/>
              </w:rPr>
              <w:t>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financial statement schedule is filed as a part of this report under Schedule II—Valuation and Qualifying Accounts June 30, 2023, June 30, 2022 and June 30, 2021, immediately following Notes to Consolidated Financial Statements.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81" w:name="page82"/>
    <w:bookmarkEnd w:id="81"/>
    <w:p>
      <w:pPr>
        <w:ind w:left="-80" w:right="20" w:firstLine="163"/>
        <w:spacing w:after="0" w:line="268" w:lineRule="auto"/>
        <w:tabs>
          <w:tab w:leader="none" w:pos="326"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documents are included as exhibits to this Annual Report on Form 10-K. The exhibits below incorporated by reference herein are indicated as such by the information supplied in the parenthetical hereafter.</w:t>
      </w:r>
    </w:p>
    <w:p>
      <w:pPr>
        <w:spacing w:after="0" w:line="4" w:lineRule="exact"/>
        <w:rPr>
          <w:sz w:val="20"/>
          <w:szCs w:val="20"/>
          <w:color w:val="auto"/>
        </w:rPr>
      </w:pPr>
    </w:p>
    <w:p>
      <w:pPr>
        <w:ind w:left="1140" w:right="140" w:hanging="410"/>
        <w:spacing w:after="0" w:line="227" w:lineRule="auto"/>
        <w:tabs>
          <w:tab w:leader="none" w:pos="1120" w:val="left"/>
        </w:tabs>
        <w:rPr>
          <w:rFonts w:ascii="Arial" w:cs="Arial" w:eastAsia="Arial" w:hAnsi="Arial"/>
          <w:sz w:val="18"/>
          <w:szCs w:val="18"/>
          <w:color w:val="0000FF"/>
        </w:rPr>
      </w:pPr>
      <w:r>
        <w:rPr>
          <w:rFonts w:ascii="Arial" w:cs="Arial" w:eastAsia="Arial" w:hAnsi="Arial"/>
          <w:sz w:val="18"/>
          <w:szCs w:val="18"/>
          <w:color w:val="auto"/>
        </w:rPr>
        <w:t>3.1</w:t>
      </w:r>
      <w:r>
        <w:rPr>
          <w:sz w:val="20"/>
          <w:szCs w:val="20"/>
          <w:color w:val="auto"/>
        </w:rPr>
        <w:tab/>
      </w:r>
      <w:hyperlink r:id="rId117">
        <w:r>
          <w:rPr>
            <w:rFonts w:ascii="Arial" w:cs="Arial" w:eastAsia="Arial" w:hAnsi="Arial"/>
            <w:sz w:val="18"/>
            <w:szCs w:val="18"/>
            <w:u w:val="single" w:color="auto"/>
            <w:color w:val="0000FF"/>
          </w:rPr>
          <w:t>Amended and Restated Certificate of Incorporation of Matrix Service Company (Exhibit 3.1 to the Company's Current Report on Form 8-K</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filed December 7, 2022)</w:t>
        </w:r>
        <w:r>
          <w:rPr>
            <w:rFonts w:ascii="Arial" w:cs="Arial" w:eastAsia="Arial" w:hAnsi="Arial"/>
            <w:sz w:val="18"/>
            <w:szCs w:val="18"/>
            <w:color w:val="000000"/>
          </w:rPr>
          <w:t>.</w:t>
        </w:r>
      </w:hyperlink>
    </w:p>
    <w:p>
      <w:pPr>
        <w:spacing w:after="0" w:line="46" w:lineRule="exact"/>
        <w:rPr>
          <w:sz w:val="20"/>
          <w:szCs w:val="20"/>
          <w:color w:val="auto"/>
        </w:rPr>
      </w:pPr>
    </w:p>
    <w:p>
      <w:pPr>
        <w:ind w:left="72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18">
        <w:r>
          <w:rPr>
            <w:rFonts w:ascii="Arial" w:cs="Arial" w:eastAsia="Arial" w:hAnsi="Arial"/>
            <w:sz w:val="16"/>
            <w:szCs w:val="16"/>
            <w:u w:val="single" w:color="auto"/>
            <w:color w:val="0000FF"/>
          </w:rPr>
          <w:t>Third Amended and Restated Bylaws, effective as of May 2, 2023 (Exhibit 3.1 to the Company’s Current Report on Form 8-K filed May 8,</w:t>
        </w:r>
      </w:hyperlink>
    </w:p>
    <w:p>
      <w:pPr>
        <w:ind w:left="1140"/>
        <w:spacing w:after="0"/>
        <w:rPr>
          <w:rFonts w:ascii="Arial" w:cs="Arial" w:eastAsia="Arial" w:hAnsi="Arial"/>
          <w:sz w:val="18"/>
          <w:szCs w:val="18"/>
          <w:color w:val="0000FF"/>
        </w:rPr>
      </w:pPr>
      <w:hyperlink r:id="rId118">
        <w:r>
          <w:rPr>
            <w:rFonts w:ascii="Arial" w:cs="Arial" w:eastAsia="Arial" w:hAnsi="Arial"/>
            <w:sz w:val="18"/>
            <w:szCs w:val="18"/>
            <w:u w:val="single" w:color="auto"/>
            <w:color w:val="0000FF"/>
          </w:rPr>
          <w:t>2023)</w:t>
        </w:r>
        <w:r>
          <w:rPr>
            <w:rFonts w:ascii="Arial" w:cs="Arial" w:eastAsia="Arial" w:hAnsi="Arial"/>
            <w:sz w:val="18"/>
            <w:szCs w:val="18"/>
            <w:color w:val="000000"/>
          </w:rPr>
          <w:t>.</w:t>
        </w:r>
      </w:hyperlink>
    </w:p>
    <w:p>
      <w:pPr>
        <w:spacing w:after="0" w:line="68" w:lineRule="exact"/>
        <w:rPr>
          <w:sz w:val="20"/>
          <w:szCs w:val="20"/>
          <w:color w:val="auto"/>
        </w:rPr>
      </w:pPr>
    </w:p>
    <w:p>
      <w:pPr>
        <w:ind w:left="72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4.1</w:t>
      </w:r>
      <w:r>
        <w:rPr>
          <w:sz w:val="20"/>
          <w:szCs w:val="20"/>
          <w:color w:val="auto"/>
        </w:rPr>
        <w:tab/>
      </w:r>
      <w:hyperlink r:id="rId119">
        <w:r>
          <w:rPr>
            <w:rFonts w:ascii="Arial" w:cs="Arial" w:eastAsia="Arial" w:hAnsi="Arial"/>
            <w:sz w:val="16"/>
            <w:szCs w:val="16"/>
            <w:u w:val="single" w:color="auto"/>
            <w:color w:val="0000FF"/>
          </w:rPr>
          <w:t>Description of the Company's Common Stock (Exhibit 4.2 to the Company’s Annual Report on Form 10-K filed September 4, 2019).</w:t>
        </w:r>
      </w:hyperlink>
    </w:p>
    <w:p>
      <w:pPr>
        <w:spacing w:after="0" w:line="47" w:lineRule="exact"/>
        <w:rPr>
          <w:sz w:val="20"/>
          <w:szCs w:val="20"/>
          <w:color w:val="auto"/>
        </w:rPr>
      </w:pPr>
    </w:p>
    <w:p>
      <w:pPr>
        <w:ind w:left="600"/>
        <w:spacing w:after="0"/>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+10.1</w:t>
      </w:r>
      <w:r>
        <w:rPr>
          <w:sz w:val="20"/>
          <w:szCs w:val="20"/>
          <w:color w:val="auto"/>
        </w:rPr>
        <w:tab/>
      </w:r>
      <w:hyperlink r:id="rId120">
        <w:r>
          <w:rPr>
            <w:rFonts w:ascii="Arial" w:cs="Arial" w:eastAsia="Arial" w:hAnsi="Arial"/>
            <w:sz w:val="15"/>
            <w:szCs w:val="15"/>
            <w:u w:val="single" w:color="auto"/>
            <w:color w:val="0000FF"/>
          </w:rPr>
          <w:t>Matrix Service Company 2018 Stock and Incentive Compensation Plan (Appendix A to the Company's Proxy Statement, filed September 21,</w:t>
        </w:r>
      </w:hyperlink>
    </w:p>
    <w:p>
      <w:pPr>
        <w:ind w:left="1140"/>
        <w:spacing w:after="0"/>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2018).</w:t>
        </w:r>
      </w:hyperlink>
    </w:p>
    <w:p>
      <w:pPr>
        <w:spacing w:after="0" w:line="68" w:lineRule="exact"/>
        <w:rPr>
          <w:sz w:val="20"/>
          <w:szCs w:val="20"/>
          <w:color w:val="auto"/>
        </w:rPr>
      </w:pPr>
    </w:p>
    <w:p>
      <w:pPr>
        <w:ind w:left="1140" w:right="100" w:hanging="544"/>
        <w:spacing w:after="0" w:line="227"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121">
        <w:r>
          <w:rPr>
            <w:rFonts w:ascii="Arial" w:cs="Arial" w:eastAsia="Arial" w:hAnsi="Arial"/>
            <w:sz w:val="18"/>
            <w:szCs w:val="18"/>
            <w:u w:val="single" w:color="auto"/>
            <w:color w:val="0000FF"/>
          </w:rPr>
          <w:t>Form of Restricted Stock Unit Award Agreement for Directors (2018 Stock and Incentive Compensation Plan) (Exhibit 10 to the Company's</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Quarterly Report on Form 10-Q, filed November 8, 2018).</w:t>
        </w:r>
      </w:hyperlink>
    </w:p>
    <w:p>
      <w:pPr>
        <w:spacing w:after="0" w:line="68" w:lineRule="exact"/>
        <w:rPr>
          <w:sz w:val="20"/>
          <w:szCs w:val="20"/>
          <w:color w:val="auto"/>
        </w:rPr>
      </w:pPr>
    </w:p>
    <w:p>
      <w:pPr>
        <w:ind w:left="1140" w:right="260" w:hanging="544"/>
        <w:spacing w:after="0" w:line="24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122">
        <w:r>
          <w:rPr>
            <w:rFonts w:ascii="Arial" w:cs="Arial" w:eastAsia="Arial" w:hAnsi="Arial"/>
            <w:sz w:val="18"/>
            <w:szCs w:val="18"/>
            <w:u w:val="single" w:color="auto"/>
            <w:color w:val="0000FF"/>
          </w:rPr>
          <w:t>Form of Restricted Stock Unit Agreement for Employees (2018 Stock and Incentive Compensation Plan) (Exhibit 10.14 to the Company's</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Annual Report on Form 10-K, filed September 3, 2020).</w:t>
        </w:r>
      </w:hyperlink>
    </w:p>
    <w:p>
      <w:pPr>
        <w:spacing w:after="0" w:line="88" w:lineRule="exact"/>
        <w:rPr>
          <w:sz w:val="20"/>
          <w:szCs w:val="20"/>
          <w:color w:val="auto"/>
        </w:rPr>
      </w:pPr>
    </w:p>
    <w:p>
      <w:pPr>
        <w:ind w:left="1140" w:right="280" w:hanging="544"/>
        <w:spacing w:after="0" w:line="24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123">
        <w:r>
          <w:rPr>
            <w:rFonts w:ascii="Arial" w:cs="Arial" w:eastAsia="Arial" w:hAnsi="Arial"/>
            <w:sz w:val="18"/>
            <w:szCs w:val="18"/>
            <w:u w:val="single" w:color="auto"/>
            <w:color w:val="0000FF"/>
          </w:rPr>
          <w:t>Form of Long-Term Incentive Award Agreement (2018 Stock and Incentive Compensation Plan) (Exhibit 10.15 to the Company's Annual</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Report on Form 10-K, filed September 3, 2020).</w:t>
        </w:r>
      </w:hyperlink>
    </w:p>
    <w:p>
      <w:pPr>
        <w:spacing w:after="0" w:line="88" w:lineRule="exact"/>
        <w:rPr>
          <w:sz w:val="20"/>
          <w:szCs w:val="20"/>
          <w:color w:val="auto"/>
        </w:rPr>
      </w:pPr>
    </w:p>
    <w:p>
      <w:pPr>
        <w:ind w:left="600"/>
        <w:spacing w:after="0"/>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+10.5</w:t>
      </w:r>
      <w:r>
        <w:rPr>
          <w:sz w:val="20"/>
          <w:szCs w:val="20"/>
          <w:color w:val="auto"/>
        </w:rPr>
        <w:tab/>
      </w:r>
      <w:hyperlink r:id="rId124">
        <w:r>
          <w:rPr>
            <w:rFonts w:ascii="Arial" w:cs="Arial" w:eastAsia="Arial" w:hAnsi="Arial"/>
            <w:sz w:val="15"/>
            <w:szCs w:val="15"/>
            <w:u w:val="single" w:color="auto"/>
            <w:color w:val="0000FF"/>
          </w:rPr>
          <w:t>Form of Amended and Restated Severance Agreement (Exhibit 10 to the Company's Current Report on Form 8-K filed November 15, 2016)</w:t>
        </w:r>
      </w:hyperlink>
      <w:r>
        <w:rPr>
          <w:rFonts w:ascii="Arial" w:cs="Arial" w:eastAsia="Arial" w:hAnsi="Arial"/>
          <w:sz w:val="15"/>
          <w:szCs w:val="15"/>
          <w:color w:val="000000"/>
        </w:rPr>
        <w:t>.</w:t>
      </w:r>
    </w:p>
    <w:p>
      <w:pPr>
        <w:spacing w:after="0" w:line="69" w:lineRule="exact"/>
        <w:rPr>
          <w:sz w:val="20"/>
          <w:szCs w:val="20"/>
          <w:color w:val="auto"/>
        </w:rPr>
      </w:pPr>
    </w:p>
    <w:p>
      <w:pPr>
        <w:ind w:left="1140" w:hanging="544"/>
        <w:spacing w:after="0" w:line="227" w:lineRule="auto"/>
        <w:tabs>
          <w:tab w:leader="none" w:pos="1120" w:val="left"/>
        </w:tabs>
        <w:rPr>
          <w:rFonts w:ascii="Arial" w:cs="Arial" w:eastAsia="Arial" w:hAnsi="Arial"/>
          <w:sz w:val="18"/>
          <w:szCs w:val="18"/>
          <w:color w:val="0000FF"/>
        </w:rPr>
      </w:pPr>
      <w:r>
        <w:rPr>
          <w:rFonts w:ascii="Arial" w:cs="Arial" w:eastAsia="Arial" w:hAnsi="Arial"/>
          <w:sz w:val="18"/>
          <w:szCs w:val="18"/>
          <w:color w:val="auto"/>
        </w:rPr>
        <w:t>+10.6</w:t>
      </w:r>
      <w:r>
        <w:rPr>
          <w:sz w:val="20"/>
          <w:szCs w:val="20"/>
          <w:color w:val="auto"/>
        </w:rPr>
        <w:tab/>
      </w:r>
      <w:hyperlink r:id="rId125">
        <w:r>
          <w:rPr>
            <w:rFonts w:ascii="Arial" w:cs="Arial" w:eastAsia="Arial" w:hAnsi="Arial"/>
            <w:sz w:val="18"/>
            <w:szCs w:val="18"/>
            <w:u w:val="single" w:color="auto"/>
            <w:color w:val="0000FF"/>
          </w:rPr>
          <w:t>Amended and Restated Deferred Compensation Plan for Members of the Board of Directors (Exhibit 10.1 to the Company’s Quarterly Report</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on Form 10-Q filed January 8, 2009)</w:t>
        </w:r>
        <w:r>
          <w:rPr>
            <w:rFonts w:ascii="Arial" w:cs="Arial" w:eastAsia="Arial" w:hAnsi="Arial"/>
            <w:sz w:val="18"/>
            <w:szCs w:val="18"/>
            <w:color w:val="000000"/>
          </w:rPr>
          <w:t>.</w:t>
        </w:r>
      </w:hyperlink>
    </w:p>
    <w:p>
      <w:pPr>
        <w:spacing w:after="0" w:line="68" w:lineRule="exact"/>
        <w:rPr>
          <w:sz w:val="20"/>
          <w:szCs w:val="20"/>
          <w:color w:val="auto"/>
        </w:rPr>
      </w:pPr>
    </w:p>
    <w:p>
      <w:pPr>
        <w:ind w:left="1140" w:right="160" w:hanging="544"/>
        <w:spacing w:after="0" w:line="227" w:lineRule="auto"/>
        <w:tabs>
          <w:tab w:leader="none" w:pos="1120" w:val="left"/>
        </w:tabs>
        <w:rPr>
          <w:rFonts w:ascii="Arial" w:cs="Arial" w:eastAsia="Arial" w:hAnsi="Arial"/>
          <w:sz w:val="18"/>
          <w:szCs w:val="18"/>
          <w:color w:val="0000FF"/>
        </w:rPr>
      </w:pPr>
      <w:r>
        <w:rPr>
          <w:rFonts w:ascii="Arial" w:cs="Arial" w:eastAsia="Arial" w:hAnsi="Arial"/>
          <w:sz w:val="18"/>
          <w:szCs w:val="18"/>
          <w:color w:val="auto"/>
        </w:rPr>
        <w:t>+10.7</w:t>
      </w:r>
      <w:r>
        <w:rPr>
          <w:sz w:val="20"/>
          <w:szCs w:val="20"/>
          <w:color w:val="auto"/>
        </w:rPr>
        <w:tab/>
      </w:r>
      <w:hyperlink r:id="rId126">
        <w:r>
          <w:rPr>
            <w:rFonts w:ascii="Arial" w:cs="Arial" w:eastAsia="Arial" w:hAnsi="Arial"/>
            <w:sz w:val="18"/>
            <w:szCs w:val="18"/>
            <w:u w:val="single" w:color="auto"/>
            <w:color w:val="0000FF"/>
          </w:rPr>
          <w:t>Amendment 1 to Amended and Restated Deferred Compensation Plan for Members of the Board of Directors (Exhibit 10 to the Company's</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Quarterly Report on Form 10-Q filed November 9, 2012)</w:t>
        </w:r>
        <w:r>
          <w:rPr>
            <w:rFonts w:ascii="Arial" w:cs="Arial" w:eastAsia="Arial" w:hAnsi="Arial"/>
            <w:sz w:val="18"/>
            <w:szCs w:val="18"/>
            <w:color w:val="000000"/>
          </w:rPr>
          <w:t>.</w:t>
        </w:r>
      </w:hyperlink>
    </w:p>
    <w:p>
      <w:pPr>
        <w:spacing w:after="0" w:line="46" w:lineRule="exact"/>
        <w:rPr>
          <w:sz w:val="20"/>
          <w:szCs w:val="20"/>
          <w:color w:val="auto"/>
        </w:rPr>
      </w:pPr>
    </w:p>
    <w:p>
      <w:pPr>
        <w:ind w:left="600"/>
        <w:spacing w:after="0"/>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+10.8</w:t>
      </w:r>
      <w:r>
        <w:rPr>
          <w:sz w:val="20"/>
          <w:szCs w:val="20"/>
          <w:color w:val="auto"/>
        </w:rPr>
        <w:tab/>
      </w:r>
      <w:hyperlink r:id="rId127">
        <w:r>
          <w:rPr>
            <w:rFonts w:ascii="Arial" w:cs="Arial" w:eastAsia="Arial" w:hAnsi="Arial"/>
            <w:sz w:val="15"/>
            <w:szCs w:val="15"/>
            <w:u w:val="single" w:color="auto"/>
            <w:color w:val="0000FF"/>
          </w:rPr>
          <w:t>Matrix Service Company 2020 Stock and Incentive Compensation Plan (Appendix A to the Company's Proxy Statement filed on September</w:t>
        </w:r>
      </w:hyperlink>
    </w:p>
    <w:p>
      <w:pPr>
        <w:ind w:left="1140"/>
        <w:spacing w:after="0"/>
        <w:rPr>
          <w:rFonts w:ascii="Arial" w:cs="Arial" w:eastAsia="Arial" w:hAnsi="Arial"/>
          <w:sz w:val="18"/>
          <w:szCs w:val="18"/>
          <w:color w:val="0000FF"/>
        </w:rPr>
      </w:pPr>
      <w:hyperlink r:id="rId127">
        <w:r>
          <w:rPr>
            <w:rFonts w:ascii="Arial" w:cs="Arial" w:eastAsia="Arial" w:hAnsi="Arial"/>
            <w:sz w:val="18"/>
            <w:szCs w:val="18"/>
            <w:u w:val="single" w:color="auto"/>
            <w:color w:val="0000FF"/>
          </w:rPr>
          <w:t>24, 2020).</w:t>
        </w:r>
        <w:r>
          <w:rPr>
            <w:rFonts w:ascii="Arial" w:cs="Arial" w:eastAsia="Arial" w:hAnsi="Arial"/>
            <w:sz w:val="18"/>
            <w:szCs w:val="18"/>
            <w:color w:val="000000"/>
          </w:rPr>
          <w:t>.</w:t>
        </w:r>
      </w:hyperlink>
    </w:p>
    <w:p>
      <w:pPr>
        <w:spacing w:after="0" w:line="68" w:lineRule="exact"/>
        <w:rPr>
          <w:sz w:val="20"/>
          <w:szCs w:val="20"/>
          <w:color w:val="auto"/>
        </w:rPr>
      </w:pPr>
    </w:p>
    <w:p>
      <w:pPr>
        <w:ind w:left="1140" w:right="280" w:hanging="544"/>
        <w:spacing w:after="0" w:line="227"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28">
        <w:r>
          <w:rPr>
            <w:rFonts w:ascii="Arial" w:cs="Arial" w:eastAsia="Arial" w:hAnsi="Arial"/>
            <w:sz w:val="18"/>
            <w:szCs w:val="18"/>
            <w:u w:val="single" w:color="auto"/>
            <w:color w:val="0000FF"/>
          </w:rPr>
          <w:t>Form of Long-Term Incentive Award Agreement (2020 Stock and Incentive Compensation Plan) (Exhibit 10.16 to the Company's Annual</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Report on Form 10-K filed September 13, 2021).</w:t>
        </w:r>
      </w:hyperlink>
    </w:p>
    <w:p>
      <w:pPr>
        <w:spacing w:after="0" w:line="68" w:lineRule="exact"/>
        <w:rPr>
          <w:sz w:val="20"/>
          <w:szCs w:val="20"/>
          <w:color w:val="auto"/>
        </w:rPr>
      </w:pPr>
    </w:p>
    <w:p>
      <w:pPr>
        <w:ind w:left="1140" w:right="260" w:hanging="632"/>
        <w:spacing w:after="0" w:line="227"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129">
        <w:r>
          <w:rPr>
            <w:rFonts w:ascii="Arial" w:cs="Arial" w:eastAsia="Arial" w:hAnsi="Arial"/>
            <w:sz w:val="18"/>
            <w:szCs w:val="18"/>
            <w:u w:val="single" w:color="auto"/>
            <w:color w:val="0000FF"/>
          </w:rPr>
          <w:t>Form of Restricted Stock Unit Award Agreement (2020 Stock and Incentive Compensation Plan) (Exhibit 10.17 to the Company's Annual</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Report on Form 10-K filed September 13, 2021).</w:t>
        </w:r>
      </w:hyperlink>
    </w:p>
    <w:p>
      <w:pPr>
        <w:spacing w:after="0" w:line="68" w:lineRule="exact"/>
        <w:rPr>
          <w:sz w:val="20"/>
          <w:szCs w:val="20"/>
          <w:color w:val="auto"/>
        </w:rPr>
      </w:pPr>
    </w:p>
    <w:p>
      <w:pPr>
        <w:ind w:left="52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130">
        <w:r>
          <w:rPr>
            <w:rFonts w:ascii="Arial" w:cs="Arial" w:eastAsia="Arial" w:hAnsi="Arial"/>
            <w:sz w:val="16"/>
            <w:szCs w:val="16"/>
            <w:u w:val="single" w:color="auto"/>
            <w:color w:val="0000FF"/>
          </w:rPr>
          <w:t>Form of Indemnification Agreement (Exhibit 10 to the Company's Quarterly Report on Form 10-Q filed November 7, 2019).</w:t>
        </w:r>
      </w:hyperlink>
    </w:p>
    <w:p>
      <w:pPr>
        <w:spacing w:after="0" w:line="69" w:lineRule="exact"/>
        <w:rPr>
          <w:sz w:val="20"/>
          <w:szCs w:val="20"/>
          <w:color w:val="auto"/>
        </w:rPr>
      </w:pPr>
    </w:p>
    <w:p>
      <w:pPr>
        <w:ind w:left="1140" w:right="180" w:hanging="533"/>
        <w:spacing w:after="0" w:line="256" w:lineRule="auto"/>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10.12</w:t>
      </w:r>
      <w:r>
        <w:rPr>
          <w:sz w:val="20"/>
          <w:szCs w:val="20"/>
          <w:color w:val="auto"/>
        </w:rPr>
        <w:tab/>
      </w:r>
      <w:hyperlink r:id="rId131">
        <w:r>
          <w:rPr>
            <w:rFonts w:ascii="Arial" w:cs="Arial" w:eastAsia="Arial" w:hAnsi="Arial"/>
            <w:sz w:val="15"/>
            <w:szCs w:val="15"/>
            <w:u w:val="single" w:color="auto"/>
            <w:color w:val="0000FF"/>
          </w:rPr>
          <w:t>Credit Agreement dated as of September 9, 2021 by and among, Matrix Service Company and certain subsidiaries thereof, certain financial</w:t>
        </w:r>
      </w:hyperlink>
      <w:r>
        <w:rPr>
          <w:rFonts w:ascii="Arial" w:cs="Arial" w:eastAsia="Arial" w:hAnsi="Arial"/>
          <w:sz w:val="15"/>
          <w:szCs w:val="15"/>
          <w:u w:val="single" w:color="auto"/>
          <w:color w:val="0000FF"/>
        </w:rPr>
        <w:t xml:space="preserve"> </w:t>
      </w:r>
      <w:hyperlink r:id="rId131">
        <w:r>
          <w:rPr>
            <w:rFonts w:ascii="Arial" w:cs="Arial" w:eastAsia="Arial" w:hAnsi="Arial"/>
            <w:sz w:val="15"/>
            <w:szCs w:val="15"/>
            <w:u w:val="single" w:color="auto"/>
            <w:color w:val="0000FF"/>
          </w:rPr>
          <w:t>institutions as lenders, and Bank of Montreal, as administrative agent (Exhibit 10.19 to the Company's Annual Report on Form 10-K filed</w:t>
        </w:r>
      </w:hyperlink>
    </w:p>
    <w:p>
      <w:pPr>
        <w:spacing w:after="0" w:line="1" w:lineRule="exact"/>
        <w:rPr>
          <w:sz w:val="20"/>
          <w:szCs w:val="20"/>
          <w:color w:val="auto"/>
        </w:rPr>
      </w:pPr>
    </w:p>
    <w:p>
      <w:pPr>
        <w:ind w:left="1140"/>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September 13, 2021).</w:t>
        </w:r>
      </w:hyperlink>
    </w:p>
    <w:p>
      <w:pPr>
        <w:spacing w:after="0" w:line="55" w:lineRule="exact"/>
        <w:rPr>
          <w:sz w:val="20"/>
          <w:szCs w:val="20"/>
          <w:color w:val="auto"/>
        </w:rPr>
      </w:pPr>
    </w:p>
    <w:p>
      <w:pPr>
        <w:ind w:left="1140" w:hanging="533"/>
        <w:spacing w:after="0" w:line="256" w:lineRule="auto"/>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10.13</w:t>
      </w:r>
      <w:r>
        <w:rPr>
          <w:sz w:val="20"/>
          <w:szCs w:val="20"/>
          <w:color w:val="auto"/>
        </w:rPr>
        <w:tab/>
      </w:r>
      <w:hyperlink r:id="rId132">
        <w:r>
          <w:rPr>
            <w:rFonts w:ascii="Arial" w:cs="Arial" w:eastAsia="Arial" w:hAnsi="Arial"/>
            <w:sz w:val="15"/>
            <w:szCs w:val="15"/>
            <w:u w:val="single" w:color="auto"/>
            <w:color w:val="0000FF"/>
          </w:rPr>
          <w:t>First Amendment and Waiver to Credit Agreement dated October 5, 2020 by and among Matrix Service Company and certain subsidiaries</w:t>
        </w:r>
      </w:hyperlink>
      <w:r>
        <w:rPr>
          <w:rFonts w:ascii="Arial" w:cs="Arial" w:eastAsia="Arial" w:hAnsi="Arial"/>
          <w:sz w:val="15"/>
          <w:szCs w:val="15"/>
          <w:u w:val="single" w:color="auto"/>
          <w:color w:val="0000FF"/>
        </w:rPr>
        <w:t xml:space="preserve"> </w:t>
      </w:r>
      <w:hyperlink r:id="rId132">
        <w:r>
          <w:rPr>
            <w:rFonts w:ascii="Arial" w:cs="Arial" w:eastAsia="Arial" w:hAnsi="Arial"/>
            <w:sz w:val="15"/>
            <w:szCs w:val="15"/>
            <w:u w:val="single" w:color="auto"/>
            <w:color w:val="0000FF"/>
          </w:rPr>
          <w:t>thereof, certain financial institutions as lenders, and Bank of Montreal, as administrative agent (Exhibit 10.1 to the Company's Current Report</w:t>
        </w:r>
      </w:hyperlink>
    </w:p>
    <w:p>
      <w:pPr>
        <w:spacing w:after="0" w:line="1" w:lineRule="exact"/>
        <w:rPr>
          <w:sz w:val="20"/>
          <w:szCs w:val="20"/>
          <w:color w:val="auto"/>
        </w:rPr>
      </w:pPr>
    </w:p>
    <w:p>
      <w:pPr>
        <w:ind w:left="1140"/>
        <w:spacing w:after="0"/>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on Form 8-K filed October 7, 2022).</w:t>
        </w:r>
      </w:hyperlink>
    </w:p>
    <w:p>
      <w:pPr>
        <w:spacing w:after="0" w:line="55" w:lineRule="exact"/>
        <w:rPr>
          <w:sz w:val="20"/>
          <w:szCs w:val="20"/>
          <w:color w:val="auto"/>
        </w:rPr>
      </w:pPr>
    </w:p>
    <w:p>
      <w:pPr>
        <w:ind w:left="1140" w:right="240" w:hanging="632"/>
        <w:spacing w:after="0" w:line="227"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33">
        <w:r>
          <w:rPr>
            <w:rFonts w:ascii="Arial" w:cs="Arial" w:eastAsia="Arial" w:hAnsi="Arial"/>
            <w:sz w:val="18"/>
            <w:szCs w:val="18"/>
            <w:u w:val="single" w:color="auto"/>
            <w:color w:val="0000FF"/>
          </w:rPr>
          <w:t>Amended and Restated Matrix Service Company 2021 Severance Plan for Executives (Exhibit 10.1 to the Company's Quarterly Report on</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Form 10-Q filed May 10, 2022).</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64135</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400" w:top="975" w:right="419" w:bottom="1440" w:gutter="0" w:footer="0" w:header="0"/>
        </w:sectPr>
      </w:pPr>
    </w:p>
    <w:bookmarkStart w:id="82" w:name="page83"/>
    <w:bookmarkEnd w:id="82"/>
    <w:tbl>
      <w:tblPr>
        <w:tblLayout w:type="fixed"/>
        <w:tblInd w:w="340" w:type="dxa"/>
        <w:tblCellMar>
          <w:top w:w="0" w:type="dxa"/>
          <w:left w:w="0" w:type="dxa"/>
          <w:bottom w:w="0" w:type="dxa"/>
          <w:right w:w="0" w:type="dxa"/>
        </w:tblCellMar>
      </w:tblPr>
      <w:tr>
        <w:trPr>
          <w:trHeight w:val="207"/>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9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Subsidiaries.</w:t>
            </w:r>
          </w:p>
        </w:tc>
        <w:tc>
          <w:tcPr>
            <w:tcW w:w="8900" w:type="dxa"/>
            <w:vAlign w:val="bottom"/>
            <w:gridSpan w:val="7"/>
          </w:tcPr>
          <w:p>
            <w:pPr>
              <w:spacing w:after="0"/>
              <w:rPr>
                <w:sz w:val="17"/>
                <w:szCs w:val="17"/>
                <w:color w:val="auto"/>
              </w:rPr>
            </w:pPr>
          </w:p>
        </w:tc>
      </w:tr>
      <w:tr>
        <w:trPr>
          <w:trHeight w:val="25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60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Consent of Independent Registered Public Accounting Firm—Deloitte &amp; Touche LLP.</w:t>
            </w:r>
          </w:p>
        </w:tc>
        <w:tc>
          <w:tcPr>
            <w:tcW w:w="3740" w:type="dxa"/>
            <w:vAlign w:val="bottom"/>
            <w:gridSpan w:val="4"/>
          </w:tcPr>
          <w:p>
            <w:pPr>
              <w:spacing w:after="0"/>
              <w:rPr>
                <w:sz w:val="22"/>
                <w:szCs w:val="22"/>
                <w:color w:val="auto"/>
              </w:rPr>
            </w:pPr>
          </w:p>
        </w:tc>
      </w:tr>
      <w:tr>
        <w:trPr>
          <w:trHeight w:val="25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*31.1</w:t>
            </w:r>
          </w:p>
        </w:tc>
        <w:tc>
          <w:tcPr>
            <w:tcW w:w="9800" w:type="dxa"/>
            <w:vAlign w:val="bottom"/>
            <w:gridSpan w:val="8"/>
          </w:tcPr>
          <w:p>
            <w:pPr>
              <w:spacing w:after="0"/>
              <w:rPr>
                <w:sz w:val="20"/>
                <w:szCs w:val="20"/>
                <w:color w:val="auto"/>
              </w:rPr>
            </w:pPr>
            <w:r>
              <w:rPr>
                <w:rFonts w:ascii="Arial" w:cs="Arial" w:eastAsia="Arial" w:hAnsi="Arial"/>
                <w:sz w:val="18"/>
                <w:szCs w:val="18"/>
                <w:color w:val="0000FF"/>
              </w:rPr>
              <w:t>Certification Certification Pursuant to Section 302 of Sarbanes-Oxley Act of 2002—CEO.</w:t>
            </w:r>
          </w:p>
        </w:tc>
      </w:tr>
      <w:tr>
        <w:trPr>
          <w:trHeight w:val="25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*31.2</w:t>
            </w:r>
          </w:p>
        </w:tc>
        <w:tc>
          <w:tcPr>
            <w:tcW w:w="63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Certification Pursuant to Section 302 of Sarbanes-Oxley Act of 2002—CFO.</w:t>
            </w:r>
          </w:p>
        </w:tc>
        <w:tc>
          <w:tcPr>
            <w:tcW w:w="3480" w:type="dxa"/>
            <w:vAlign w:val="bottom"/>
            <w:gridSpan w:val="3"/>
          </w:tcPr>
          <w:p>
            <w:pPr>
              <w:spacing w:after="0"/>
              <w:rPr>
                <w:sz w:val="22"/>
                <w:szCs w:val="22"/>
                <w:color w:val="auto"/>
              </w:rPr>
            </w:pPr>
          </w:p>
        </w:tc>
      </w:tr>
      <w:tr>
        <w:trPr>
          <w:trHeight w:val="20"/>
        </w:trPr>
        <w:tc>
          <w:tcPr>
            <w:tcW w:w="88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5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*32.1</w:t>
            </w:r>
          </w:p>
        </w:tc>
        <w:tc>
          <w:tcPr>
            <w:tcW w:w="66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Certification Pursuant to 18 U.S.C. 1350 (section 906 of Sarbanes-Oxley Act of 2002)—CEO.</w:t>
            </w:r>
          </w:p>
        </w:tc>
        <w:tc>
          <w:tcPr>
            <w:tcW w:w="3180" w:type="dxa"/>
            <w:vAlign w:val="bottom"/>
          </w:tcPr>
          <w:p>
            <w:pPr>
              <w:spacing w:after="0"/>
              <w:rPr>
                <w:sz w:val="22"/>
                <w:szCs w:val="22"/>
                <w:color w:val="auto"/>
              </w:rPr>
            </w:pPr>
          </w:p>
        </w:tc>
      </w:tr>
      <w:tr>
        <w:trPr>
          <w:trHeight w:val="25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*32.2</w:t>
            </w:r>
          </w:p>
        </w:tc>
        <w:tc>
          <w:tcPr>
            <w:tcW w:w="9800" w:type="dxa"/>
            <w:vAlign w:val="bottom"/>
            <w:gridSpan w:val="8"/>
          </w:tcPr>
          <w:p>
            <w:pPr>
              <w:spacing w:after="0"/>
              <w:rPr>
                <w:sz w:val="20"/>
                <w:szCs w:val="20"/>
                <w:color w:val="auto"/>
              </w:rPr>
            </w:pPr>
            <w:r>
              <w:rPr>
                <w:rFonts w:ascii="Arial" w:cs="Arial" w:eastAsia="Arial" w:hAnsi="Arial"/>
                <w:sz w:val="18"/>
                <w:szCs w:val="18"/>
                <w:color w:val="0000FF"/>
              </w:rPr>
              <w:t>Certification Pursuant to 18 U.S.C. 1350 (section 906 of Sarbanes-Oxley Act of 2002)—CFO.</w:t>
            </w:r>
          </w:p>
        </w:tc>
      </w:tr>
      <w:tr>
        <w:trPr>
          <w:trHeight w:val="25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*95</w:t>
            </w:r>
          </w:p>
        </w:tc>
        <w:tc>
          <w:tcPr>
            <w:tcW w:w="17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8"/>
              </w:rPr>
              <w:t>Mine Safety Disclosure.</w:t>
            </w:r>
          </w:p>
        </w:tc>
        <w:tc>
          <w:tcPr>
            <w:tcW w:w="4900" w:type="dxa"/>
            <w:vAlign w:val="bottom"/>
            <w:tcBorders>
              <w:top w:val="single" w:sz="8" w:color="0000FF"/>
            </w:tcBorders>
            <w:gridSpan w:val="4"/>
          </w:tcPr>
          <w:p>
            <w:pPr>
              <w:spacing w:after="0"/>
              <w:rPr>
                <w:sz w:val="22"/>
                <w:szCs w:val="22"/>
                <w:color w:val="auto"/>
              </w:rPr>
            </w:pPr>
          </w:p>
        </w:tc>
        <w:tc>
          <w:tcPr>
            <w:tcW w:w="3200" w:type="dxa"/>
            <w:vAlign w:val="bottom"/>
            <w:gridSpan w:val="2"/>
          </w:tcPr>
          <w:p>
            <w:pPr>
              <w:spacing w:after="0"/>
              <w:rPr>
                <w:sz w:val="22"/>
                <w:szCs w:val="22"/>
                <w:color w:val="auto"/>
              </w:rPr>
            </w:pPr>
          </w:p>
        </w:tc>
      </w:tr>
      <w:tr>
        <w:trPr>
          <w:trHeight w:val="191"/>
        </w:trPr>
        <w:tc>
          <w:tcPr>
            <w:tcW w:w="880" w:type="dxa"/>
            <w:vAlign w:val="bottom"/>
          </w:tcPr>
          <w:p>
            <w:pPr>
              <w:jc w:val="right"/>
              <w:ind w:right="52"/>
              <w:spacing w:after="0" w:line="191" w:lineRule="exact"/>
              <w:rPr>
                <w:sz w:val="20"/>
                <w:szCs w:val="20"/>
                <w:color w:val="auto"/>
              </w:rPr>
            </w:pPr>
            <w:r>
              <w:rPr>
                <w:rFonts w:ascii="Arial" w:cs="Arial" w:eastAsia="Arial" w:hAnsi="Arial"/>
                <w:sz w:val="18"/>
                <w:szCs w:val="18"/>
                <w:color w:val="auto"/>
                <w:w w:val="99"/>
              </w:rPr>
              <w:t>*101.INS</w:t>
            </w:r>
          </w:p>
        </w:tc>
        <w:tc>
          <w:tcPr>
            <w:tcW w:w="9800" w:type="dxa"/>
            <w:vAlign w:val="bottom"/>
            <w:gridSpan w:val="8"/>
          </w:tcPr>
          <w:p>
            <w:pPr>
              <w:spacing w:after="0" w:line="191" w:lineRule="exact"/>
              <w:rPr>
                <w:sz w:val="20"/>
                <w:szCs w:val="20"/>
                <w:color w:val="auto"/>
              </w:rPr>
            </w:pPr>
            <w:r>
              <w:rPr>
                <w:rFonts w:ascii="Arial" w:cs="Arial" w:eastAsia="Arial" w:hAnsi="Arial"/>
                <w:sz w:val="18"/>
                <w:szCs w:val="18"/>
                <w:color w:val="auto"/>
                <w:w w:val="87"/>
              </w:rPr>
              <w:t>XBRL Instance Document - the instance document does not appear in the Interactive Data File because its XBRL tags are embedded within</w:t>
            </w:r>
          </w:p>
        </w:tc>
      </w:tr>
      <w:tr>
        <w:trPr>
          <w:trHeight w:val="222"/>
        </w:trPr>
        <w:tc>
          <w:tcPr>
            <w:tcW w:w="880" w:type="dxa"/>
            <w:vAlign w:val="bottom"/>
          </w:tcPr>
          <w:p>
            <w:pPr>
              <w:spacing w:after="0"/>
              <w:rPr>
                <w:sz w:val="19"/>
                <w:szCs w:val="19"/>
                <w:color w:val="auto"/>
              </w:rPr>
            </w:pPr>
          </w:p>
        </w:tc>
        <w:tc>
          <w:tcPr>
            <w:tcW w:w="9800" w:type="dxa"/>
            <w:vAlign w:val="bottom"/>
            <w:gridSpan w:val="8"/>
          </w:tcPr>
          <w:p>
            <w:pPr>
              <w:spacing w:after="0"/>
              <w:rPr>
                <w:sz w:val="20"/>
                <w:szCs w:val="20"/>
                <w:color w:val="auto"/>
              </w:rPr>
            </w:pPr>
            <w:r>
              <w:rPr>
                <w:rFonts w:ascii="Arial" w:cs="Arial" w:eastAsia="Arial" w:hAnsi="Arial"/>
                <w:sz w:val="18"/>
                <w:szCs w:val="18"/>
                <w:color w:val="auto"/>
              </w:rPr>
              <w:t>the Inline XBRL document.</w:t>
            </w:r>
          </w:p>
        </w:tc>
      </w:tr>
      <w:tr>
        <w:trPr>
          <w:trHeight w:val="289"/>
        </w:trPr>
        <w:tc>
          <w:tcPr>
            <w:tcW w:w="880" w:type="dxa"/>
            <w:vAlign w:val="bottom"/>
          </w:tcPr>
          <w:p>
            <w:pPr>
              <w:jc w:val="right"/>
              <w:ind w:right="52"/>
              <w:spacing w:after="0"/>
              <w:rPr>
                <w:sz w:val="20"/>
                <w:szCs w:val="20"/>
                <w:color w:val="auto"/>
              </w:rPr>
            </w:pPr>
            <w:r>
              <w:rPr>
                <w:rFonts w:ascii="Arial" w:cs="Arial" w:eastAsia="Arial" w:hAnsi="Arial"/>
                <w:sz w:val="18"/>
                <w:szCs w:val="18"/>
                <w:color w:val="auto"/>
                <w:w w:val="89"/>
              </w:rPr>
              <w:t>*101.SCH</w:t>
            </w:r>
          </w:p>
        </w:tc>
        <w:tc>
          <w:tcPr>
            <w:tcW w:w="9800" w:type="dxa"/>
            <w:vAlign w:val="bottom"/>
            <w:gridSpan w:val="8"/>
          </w:tcPr>
          <w:p>
            <w:pPr>
              <w:spacing w:after="0"/>
              <w:rPr>
                <w:sz w:val="20"/>
                <w:szCs w:val="20"/>
                <w:color w:val="auto"/>
              </w:rPr>
            </w:pPr>
            <w:r>
              <w:rPr>
                <w:rFonts w:ascii="Arial" w:cs="Arial" w:eastAsia="Arial" w:hAnsi="Arial"/>
                <w:sz w:val="18"/>
                <w:szCs w:val="18"/>
                <w:color w:val="auto"/>
              </w:rPr>
              <w:t>XBRL Taxonomy Schema Document.</w:t>
            </w:r>
          </w:p>
        </w:tc>
      </w:tr>
      <w:tr>
        <w:trPr>
          <w:trHeight w:val="276"/>
        </w:trPr>
        <w:tc>
          <w:tcPr>
            <w:tcW w:w="880" w:type="dxa"/>
            <w:vAlign w:val="bottom"/>
          </w:tcPr>
          <w:p>
            <w:pPr>
              <w:jc w:val="right"/>
              <w:ind w:right="52"/>
              <w:spacing w:after="0"/>
              <w:rPr>
                <w:sz w:val="20"/>
                <w:szCs w:val="20"/>
                <w:color w:val="auto"/>
              </w:rPr>
            </w:pPr>
            <w:r>
              <w:rPr>
                <w:rFonts w:ascii="Arial" w:cs="Arial" w:eastAsia="Arial" w:hAnsi="Arial"/>
                <w:sz w:val="18"/>
                <w:szCs w:val="18"/>
                <w:color w:val="auto"/>
                <w:w w:val="93"/>
              </w:rPr>
              <w:t>*101.CAL</w:t>
            </w:r>
          </w:p>
        </w:tc>
        <w:tc>
          <w:tcPr>
            <w:tcW w:w="98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6"/>
        </w:trPr>
        <w:tc>
          <w:tcPr>
            <w:tcW w:w="880" w:type="dxa"/>
            <w:vAlign w:val="bottom"/>
          </w:tcPr>
          <w:p>
            <w:pPr>
              <w:jc w:val="right"/>
              <w:ind w:right="52"/>
              <w:spacing w:after="0"/>
              <w:rPr>
                <w:sz w:val="20"/>
                <w:szCs w:val="20"/>
                <w:color w:val="auto"/>
              </w:rPr>
            </w:pPr>
            <w:r>
              <w:rPr>
                <w:rFonts w:ascii="Arial" w:cs="Arial" w:eastAsia="Arial" w:hAnsi="Arial"/>
                <w:sz w:val="18"/>
                <w:szCs w:val="18"/>
                <w:color w:val="auto"/>
                <w:w w:val="92"/>
              </w:rPr>
              <w:t>*101.DEF</w:t>
            </w:r>
          </w:p>
        </w:tc>
        <w:tc>
          <w:tcPr>
            <w:tcW w:w="98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6"/>
        </w:trPr>
        <w:tc>
          <w:tcPr>
            <w:tcW w:w="880" w:type="dxa"/>
            <w:vAlign w:val="bottom"/>
          </w:tcPr>
          <w:p>
            <w:pPr>
              <w:jc w:val="right"/>
              <w:ind w:right="52"/>
              <w:spacing w:after="0"/>
              <w:rPr>
                <w:sz w:val="20"/>
                <w:szCs w:val="20"/>
                <w:color w:val="auto"/>
              </w:rPr>
            </w:pPr>
            <w:r>
              <w:rPr>
                <w:rFonts w:ascii="Arial" w:cs="Arial" w:eastAsia="Arial" w:hAnsi="Arial"/>
                <w:sz w:val="18"/>
                <w:szCs w:val="18"/>
                <w:color w:val="auto"/>
                <w:w w:val="94"/>
              </w:rPr>
              <w:t>*101.LAB</w:t>
            </w:r>
          </w:p>
        </w:tc>
        <w:tc>
          <w:tcPr>
            <w:tcW w:w="980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76"/>
        </w:trPr>
        <w:tc>
          <w:tcPr>
            <w:tcW w:w="880" w:type="dxa"/>
            <w:vAlign w:val="bottom"/>
          </w:tcPr>
          <w:p>
            <w:pPr>
              <w:jc w:val="right"/>
              <w:ind w:right="52"/>
              <w:spacing w:after="0"/>
              <w:rPr>
                <w:sz w:val="20"/>
                <w:szCs w:val="20"/>
                <w:color w:val="auto"/>
              </w:rPr>
            </w:pPr>
            <w:r>
              <w:rPr>
                <w:rFonts w:ascii="Arial" w:cs="Arial" w:eastAsia="Arial" w:hAnsi="Arial"/>
                <w:sz w:val="18"/>
                <w:szCs w:val="18"/>
                <w:color w:val="auto"/>
                <w:w w:val="91"/>
              </w:rPr>
              <w:t>*101.PRE</w:t>
            </w:r>
          </w:p>
        </w:tc>
        <w:tc>
          <w:tcPr>
            <w:tcW w:w="98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6"/>
        </w:trPr>
        <w:tc>
          <w:tcPr>
            <w:tcW w:w="880" w:type="dxa"/>
            <w:vAlign w:val="bottom"/>
          </w:tcPr>
          <w:p>
            <w:pPr>
              <w:jc w:val="right"/>
              <w:ind w:right="52"/>
              <w:spacing w:after="0"/>
              <w:rPr>
                <w:sz w:val="20"/>
                <w:szCs w:val="20"/>
                <w:color w:val="auto"/>
              </w:rPr>
            </w:pPr>
            <w:r>
              <w:rPr>
                <w:rFonts w:ascii="Arial" w:cs="Arial" w:eastAsia="Arial" w:hAnsi="Arial"/>
                <w:sz w:val="18"/>
                <w:szCs w:val="18"/>
                <w:color w:val="auto"/>
              </w:rPr>
              <w:t>*104</w:t>
            </w:r>
          </w:p>
        </w:tc>
        <w:tc>
          <w:tcPr>
            <w:tcW w:w="980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*Filed herewith.</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+Management Contract or Compensatory Plan.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20"/>
          </w:cols>
          <w:pgMar w:left="320" w:top="892" w:right="559" w:bottom="1440" w:gutter="0" w:footer="0" w:header="0"/>
        </w:sectPr>
      </w:pPr>
    </w:p>
    <w:bookmarkStart w:id="83" w:name="page84"/>
    <w:bookmarkEnd w:id="83"/>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Matrix Service Company has duly caused this report to be signed on its behalf by the undersigned, thereunto duly authorized.</w:t>
      </w:r>
    </w:p>
    <w:p>
      <w:pPr>
        <w:spacing w:after="0" w:line="200" w:lineRule="exact"/>
        <w:rPr>
          <w:sz w:val="20"/>
          <w:szCs w:val="20"/>
          <w:color w:val="auto"/>
        </w:rPr>
      </w:pPr>
    </w:p>
    <w:p>
      <w:pPr>
        <w:spacing w:after="0" w:line="356"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Matrix Service Company</w:t>
      </w:r>
    </w:p>
    <w:p>
      <w:pPr>
        <w:spacing w:after="0" w:line="279" w:lineRule="exact"/>
        <w:rPr>
          <w:sz w:val="20"/>
          <w:szCs w:val="20"/>
          <w:color w:val="auto"/>
        </w:rPr>
      </w:pPr>
    </w:p>
    <w:p>
      <w:pPr>
        <w:ind w:left="20"/>
        <w:spacing w:after="0"/>
        <w:tabs>
          <w:tab w:leader="none" w:pos="7120" w:val="left"/>
          <w:tab w:leader="none" w:pos="8760" w:val="left"/>
        </w:tabs>
        <w:rPr>
          <w:sz w:val="20"/>
          <w:szCs w:val="20"/>
          <w:color w:val="auto"/>
        </w:rPr>
      </w:pPr>
      <w:r>
        <w:rPr>
          <w:rFonts w:ascii="Arial" w:cs="Arial" w:eastAsia="Arial" w:hAnsi="Arial"/>
          <w:sz w:val="18"/>
          <w:szCs w:val="18"/>
          <w:color w:val="auto"/>
        </w:rPr>
        <w:t>Date : September 12,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13970</wp:posOffset>
            </wp:positionV>
            <wp:extent cx="22536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2253615" cy="8255"/>
                    </a:xfrm>
                    <a:prstGeom prst="rect">
                      <a:avLst/>
                    </a:prstGeom>
                    <a:noFill/>
                  </pic:spPr>
                </pic:pic>
              </a:graphicData>
            </a:graphic>
          </wp:anchor>
        </w:drawing>
      </w:r>
    </w:p>
    <w:p>
      <w:pPr>
        <w:spacing w:after="0" w:line="5"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John R. Hewitt, President and</w:t>
      </w:r>
    </w:p>
    <w:p>
      <w:pPr>
        <w:jc w:val="center"/>
        <w:ind w:left="7620"/>
        <w:spacing w:after="0"/>
        <w:rPr>
          <w:sz w:val="20"/>
          <w:szCs w:val="20"/>
          <w:color w:val="auto"/>
        </w:rPr>
      </w:pPr>
      <w:r>
        <w:rPr>
          <w:rFonts w:ascii="Arial" w:cs="Arial" w:eastAsia="Arial" w:hAnsi="Arial"/>
          <w:sz w:val="14"/>
          <w:szCs w:val="14"/>
          <w:b w:val="1"/>
          <w:bCs w:val="1"/>
          <w:color w:val="auto"/>
        </w:rPr>
        <w:t>Chief Executive Officer</w:t>
      </w:r>
    </w:p>
    <w:p>
      <w:pPr>
        <w:spacing w:after="0" w:line="200" w:lineRule="exact"/>
        <w:rPr>
          <w:sz w:val="20"/>
          <w:szCs w:val="20"/>
          <w:color w:val="auto"/>
        </w:rPr>
      </w:pPr>
    </w:p>
    <w:p>
      <w:pPr>
        <w:spacing w:after="0" w:line="35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0" w:lineRule="exact"/>
        <w:rPr>
          <w:sz w:val="20"/>
          <w:szCs w:val="20"/>
          <w:color w:val="auto"/>
        </w:rPr>
      </w:pPr>
    </w:p>
    <w:p>
      <w:pPr>
        <w:ind w:left="1560"/>
        <w:spacing w:after="0"/>
        <w:tabs>
          <w:tab w:leader="none" w:pos="6080" w:val="left"/>
          <w:tab w:leader="none" w:pos="984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/s/ Jim W. Mogg</w:t>
            </w:r>
          </w:p>
        </w:tc>
        <w:tc>
          <w:tcPr>
            <w:tcW w:w="4860" w:type="dxa"/>
            <w:vAlign w:val="bottom"/>
          </w:tcPr>
          <w:p>
            <w:pPr>
              <w:jc w:val="center"/>
              <w:ind w:left="53"/>
              <w:spacing w:after="0"/>
              <w:rPr>
                <w:sz w:val="20"/>
                <w:szCs w:val="20"/>
                <w:color w:val="auto"/>
              </w:rPr>
            </w:pPr>
            <w:r>
              <w:rPr>
                <w:rFonts w:ascii="Arial" w:cs="Arial" w:eastAsia="Arial" w:hAnsi="Arial"/>
                <w:sz w:val="18"/>
                <w:szCs w:val="18"/>
                <w:color w:val="auto"/>
                <w:w w:val="89"/>
              </w:rPr>
              <w:t>Chairman of the Board of Directors</w:t>
            </w:r>
          </w:p>
        </w:tc>
        <w:tc>
          <w:tcPr>
            <w:tcW w:w="2120" w:type="dxa"/>
            <w:vAlign w:val="bottom"/>
          </w:tcPr>
          <w:p>
            <w:pPr>
              <w:ind w:left="700"/>
              <w:spacing w:after="0"/>
              <w:rPr>
                <w:sz w:val="20"/>
                <w:szCs w:val="20"/>
                <w:color w:val="auto"/>
              </w:rPr>
            </w:pPr>
            <w:r>
              <w:rPr>
                <w:rFonts w:ascii="Arial" w:cs="Arial" w:eastAsia="Arial" w:hAnsi="Arial"/>
                <w:sz w:val="18"/>
                <w:szCs w:val="18"/>
                <w:color w:val="auto"/>
                <w:w w:val="85"/>
              </w:rPr>
              <w:t>September 12, 2023</w:t>
            </w:r>
          </w:p>
        </w:tc>
      </w:tr>
      <w:tr>
        <w:trPr>
          <w:trHeight w:val="176"/>
        </w:trPr>
        <w:tc>
          <w:tcPr>
            <w:tcW w:w="3740" w:type="dxa"/>
            <w:vAlign w:val="bottom"/>
          </w:tcPr>
          <w:p>
            <w:pPr>
              <w:ind w:left="960"/>
              <w:spacing w:after="0"/>
              <w:rPr>
                <w:sz w:val="20"/>
                <w:szCs w:val="20"/>
                <w:color w:val="auto"/>
              </w:rPr>
            </w:pPr>
            <w:r>
              <w:rPr>
                <w:rFonts w:ascii="Arial" w:cs="Arial" w:eastAsia="Arial" w:hAnsi="Arial"/>
                <w:sz w:val="14"/>
                <w:szCs w:val="14"/>
                <w:b w:val="1"/>
                <w:bCs w:val="1"/>
                <w:color w:val="auto"/>
              </w:rPr>
              <w:t>Jim W. Mogg</w:t>
            </w:r>
          </w:p>
        </w:tc>
        <w:tc>
          <w:tcPr>
            <w:tcW w:w="486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500"/>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/s/ John R. Hewitt</w:t>
            </w:r>
          </w:p>
        </w:tc>
        <w:tc>
          <w:tcPr>
            <w:tcW w:w="4860" w:type="dxa"/>
            <w:vAlign w:val="bottom"/>
          </w:tcPr>
          <w:p>
            <w:pPr>
              <w:jc w:val="center"/>
              <w:ind w:left="73"/>
              <w:spacing w:after="0"/>
              <w:rPr>
                <w:sz w:val="20"/>
                <w:szCs w:val="20"/>
                <w:color w:val="auto"/>
              </w:rPr>
            </w:pPr>
            <w:r>
              <w:rPr>
                <w:rFonts w:ascii="Arial" w:cs="Arial" w:eastAsia="Arial" w:hAnsi="Arial"/>
                <w:sz w:val="18"/>
                <w:szCs w:val="18"/>
                <w:color w:val="auto"/>
                <w:w w:val="89"/>
              </w:rPr>
              <w:t>President, Chief Executive Officer and Director</w:t>
            </w:r>
          </w:p>
        </w:tc>
        <w:tc>
          <w:tcPr>
            <w:tcW w:w="2120" w:type="dxa"/>
            <w:vAlign w:val="bottom"/>
          </w:tcPr>
          <w:p>
            <w:pPr>
              <w:ind w:left="700"/>
              <w:spacing w:after="0"/>
              <w:rPr>
                <w:sz w:val="20"/>
                <w:szCs w:val="20"/>
                <w:color w:val="auto"/>
              </w:rPr>
            </w:pPr>
            <w:r>
              <w:rPr>
                <w:rFonts w:ascii="Arial" w:cs="Arial" w:eastAsia="Arial" w:hAnsi="Arial"/>
                <w:sz w:val="18"/>
                <w:szCs w:val="18"/>
                <w:color w:val="auto"/>
                <w:w w:val="85"/>
              </w:rPr>
              <w:t>September 12, 2023</w:t>
            </w:r>
          </w:p>
        </w:tc>
      </w:tr>
      <w:tr>
        <w:trPr>
          <w:trHeight w:val="203"/>
        </w:trPr>
        <w:tc>
          <w:tcPr>
            <w:tcW w:w="3740" w:type="dxa"/>
            <w:vAlign w:val="bottom"/>
          </w:tcPr>
          <w:p>
            <w:pPr>
              <w:ind w:left="960"/>
              <w:spacing w:after="0"/>
              <w:rPr>
                <w:sz w:val="20"/>
                <w:szCs w:val="20"/>
                <w:color w:val="auto"/>
              </w:rPr>
            </w:pPr>
            <w:r>
              <w:rPr>
                <w:rFonts w:ascii="Arial" w:cs="Arial" w:eastAsia="Arial" w:hAnsi="Arial"/>
                <w:sz w:val="14"/>
                <w:szCs w:val="14"/>
                <w:b w:val="1"/>
                <w:bCs w:val="1"/>
                <w:color w:val="auto"/>
              </w:rPr>
              <w:t>John R. Hewitt</w:t>
            </w:r>
          </w:p>
        </w:tc>
        <w:tc>
          <w:tcPr>
            <w:tcW w:w="4860" w:type="dxa"/>
            <w:vAlign w:val="bottom"/>
          </w:tcPr>
          <w:p>
            <w:pPr>
              <w:jc w:val="center"/>
              <w:ind w:left="53"/>
              <w:spacing w:after="0" w:line="203" w:lineRule="exact"/>
              <w:rPr>
                <w:sz w:val="20"/>
                <w:szCs w:val="20"/>
                <w:color w:val="auto"/>
              </w:rPr>
            </w:pPr>
            <w:r>
              <w:rPr>
                <w:rFonts w:ascii="Arial" w:cs="Arial" w:eastAsia="Arial" w:hAnsi="Arial"/>
                <w:sz w:val="18"/>
                <w:szCs w:val="18"/>
                <w:color w:val="auto"/>
                <w:w w:val="91"/>
              </w:rPr>
              <w:t>(Principal Executive Officer)</w:t>
            </w:r>
          </w:p>
        </w:tc>
        <w:tc>
          <w:tcPr>
            <w:tcW w:w="2120" w:type="dxa"/>
            <w:vAlign w:val="bottom"/>
          </w:tcPr>
          <w:p>
            <w:pPr>
              <w:spacing w:after="0"/>
              <w:rPr>
                <w:sz w:val="17"/>
                <w:szCs w:val="17"/>
                <w:color w:val="auto"/>
              </w:rPr>
            </w:pPr>
          </w:p>
        </w:tc>
      </w:tr>
      <w:tr>
        <w:trPr>
          <w:trHeight w:val="435"/>
        </w:trPr>
        <w:tc>
          <w:tcPr>
            <w:tcW w:w="3740" w:type="dxa"/>
            <w:vAlign w:val="bottom"/>
          </w:tcPr>
          <w:p>
            <w:pPr>
              <w:spacing w:after="0"/>
              <w:rPr>
                <w:sz w:val="24"/>
                <w:szCs w:val="24"/>
                <w:color w:val="auto"/>
              </w:rPr>
            </w:pPr>
          </w:p>
        </w:tc>
        <w:tc>
          <w:tcPr>
            <w:tcW w:w="4860" w:type="dxa"/>
            <w:vAlign w:val="bottom"/>
          </w:tcPr>
          <w:p>
            <w:pPr>
              <w:jc w:val="center"/>
              <w:ind w:left="53"/>
              <w:spacing w:after="0"/>
              <w:rPr>
                <w:sz w:val="20"/>
                <w:szCs w:val="20"/>
                <w:color w:val="auto"/>
              </w:rPr>
            </w:pPr>
            <w:r>
              <w:rPr>
                <w:rFonts w:ascii="Arial" w:cs="Arial" w:eastAsia="Arial" w:hAnsi="Arial"/>
                <w:sz w:val="18"/>
                <w:szCs w:val="18"/>
                <w:color w:val="auto"/>
                <w:w w:val="86"/>
              </w:rPr>
              <w:t>Vice President</w:t>
            </w:r>
          </w:p>
        </w:tc>
        <w:tc>
          <w:tcPr>
            <w:tcW w:w="2120" w:type="dxa"/>
            <w:vAlign w:val="bottom"/>
          </w:tcPr>
          <w:p>
            <w:pPr>
              <w:spacing w:after="0"/>
              <w:rPr>
                <w:sz w:val="24"/>
                <w:szCs w:val="24"/>
                <w:color w:val="auto"/>
              </w:rPr>
            </w:pPr>
          </w:p>
        </w:tc>
      </w:tr>
      <w:tr>
        <w:trPr>
          <w:trHeight w:val="235"/>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/s/ Kevin S. Cavanah</w:t>
            </w:r>
          </w:p>
        </w:tc>
        <w:tc>
          <w:tcPr>
            <w:tcW w:w="4860" w:type="dxa"/>
            <w:vAlign w:val="bottom"/>
          </w:tcPr>
          <w:p>
            <w:pPr>
              <w:jc w:val="center"/>
              <w:ind w:left="53"/>
              <w:spacing w:after="0"/>
              <w:rPr>
                <w:sz w:val="20"/>
                <w:szCs w:val="20"/>
                <w:color w:val="auto"/>
              </w:rPr>
            </w:pPr>
            <w:r>
              <w:rPr>
                <w:rFonts w:ascii="Arial" w:cs="Arial" w:eastAsia="Arial" w:hAnsi="Arial"/>
                <w:sz w:val="18"/>
                <w:szCs w:val="18"/>
                <w:color w:val="auto"/>
                <w:w w:val="90"/>
              </w:rPr>
              <w:t>and Chief Financial Officer</w:t>
            </w:r>
          </w:p>
        </w:tc>
        <w:tc>
          <w:tcPr>
            <w:tcW w:w="2120" w:type="dxa"/>
            <w:vAlign w:val="bottom"/>
          </w:tcPr>
          <w:p>
            <w:pPr>
              <w:ind w:left="700"/>
              <w:spacing w:after="0"/>
              <w:rPr>
                <w:sz w:val="20"/>
                <w:szCs w:val="20"/>
                <w:color w:val="auto"/>
              </w:rPr>
            </w:pPr>
            <w:r>
              <w:rPr>
                <w:rFonts w:ascii="Arial" w:cs="Arial" w:eastAsia="Arial" w:hAnsi="Arial"/>
                <w:sz w:val="18"/>
                <w:szCs w:val="18"/>
                <w:color w:val="auto"/>
                <w:w w:val="85"/>
              </w:rPr>
              <w:t>September 12, 2023</w:t>
            </w:r>
          </w:p>
        </w:tc>
      </w:tr>
      <w:tr>
        <w:trPr>
          <w:trHeight w:val="152"/>
        </w:trPr>
        <w:tc>
          <w:tcPr>
            <w:tcW w:w="3740" w:type="dxa"/>
            <w:vAlign w:val="bottom"/>
          </w:tcPr>
          <w:p>
            <w:pPr>
              <w:ind w:left="960"/>
              <w:spacing w:after="0" w:line="152" w:lineRule="exact"/>
              <w:rPr>
                <w:sz w:val="20"/>
                <w:szCs w:val="20"/>
                <w:color w:val="auto"/>
              </w:rPr>
            </w:pPr>
            <w:r>
              <w:rPr>
                <w:rFonts w:ascii="Arial" w:cs="Arial" w:eastAsia="Arial" w:hAnsi="Arial"/>
                <w:sz w:val="14"/>
                <w:szCs w:val="14"/>
                <w:b w:val="1"/>
                <w:bCs w:val="1"/>
                <w:color w:val="auto"/>
              </w:rPr>
              <w:t>Kevin S. Cavanah</w:t>
            </w:r>
          </w:p>
        </w:tc>
        <w:tc>
          <w:tcPr>
            <w:tcW w:w="4860" w:type="dxa"/>
            <w:vAlign w:val="bottom"/>
          </w:tcPr>
          <w:p>
            <w:pPr>
              <w:jc w:val="center"/>
              <w:ind w:left="53"/>
              <w:spacing w:after="0" w:line="152" w:lineRule="exact"/>
              <w:rPr>
                <w:sz w:val="20"/>
                <w:szCs w:val="20"/>
                <w:color w:val="auto"/>
              </w:rPr>
            </w:pPr>
            <w:r>
              <w:rPr>
                <w:rFonts w:ascii="Arial" w:cs="Arial" w:eastAsia="Arial" w:hAnsi="Arial"/>
                <w:sz w:val="16"/>
                <w:szCs w:val="16"/>
                <w:color w:val="auto"/>
              </w:rPr>
              <w:t>(Principal Accounting and</w:t>
            </w:r>
          </w:p>
        </w:tc>
        <w:tc>
          <w:tcPr>
            <w:tcW w:w="2120" w:type="dxa"/>
            <w:vAlign w:val="bottom"/>
          </w:tcPr>
          <w:p>
            <w:pPr>
              <w:spacing w:after="0"/>
              <w:rPr>
                <w:sz w:val="13"/>
                <w:szCs w:val="13"/>
                <w:color w:val="auto"/>
              </w:rPr>
            </w:pPr>
          </w:p>
        </w:tc>
      </w:tr>
      <w:tr>
        <w:trPr>
          <w:trHeight w:val="222"/>
        </w:trPr>
        <w:tc>
          <w:tcPr>
            <w:tcW w:w="3740" w:type="dxa"/>
            <w:vAlign w:val="bottom"/>
          </w:tcPr>
          <w:p>
            <w:pPr>
              <w:spacing w:after="0"/>
              <w:rPr>
                <w:sz w:val="19"/>
                <w:szCs w:val="19"/>
                <w:color w:val="auto"/>
              </w:rPr>
            </w:pPr>
          </w:p>
        </w:tc>
        <w:tc>
          <w:tcPr>
            <w:tcW w:w="4860" w:type="dxa"/>
            <w:vAlign w:val="bottom"/>
          </w:tcPr>
          <w:p>
            <w:pPr>
              <w:jc w:val="center"/>
              <w:ind w:left="53"/>
              <w:spacing w:after="0"/>
              <w:rPr>
                <w:sz w:val="20"/>
                <w:szCs w:val="20"/>
                <w:color w:val="auto"/>
              </w:rPr>
            </w:pPr>
            <w:r>
              <w:rPr>
                <w:rFonts w:ascii="Arial" w:cs="Arial" w:eastAsia="Arial" w:hAnsi="Arial"/>
                <w:sz w:val="18"/>
                <w:szCs w:val="18"/>
                <w:color w:val="auto"/>
                <w:w w:val="91"/>
              </w:rPr>
              <w:t>Principal Financial Officer)</w:t>
            </w:r>
          </w:p>
        </w:tc>
        <w:tc>
          <w:tcPr>
            <w:tcW w:w="2120" w:type="dxa"/>
            <w:vAlign w:val="bottom"/>
          </w:tcPr>
          <w:p>
            <w:pPr>
              <w:spacing w:after="0"/>
              <w:rPr>
                <w:sz w:val="19"/>
                <w:szCs w:val="19"/>
                <w:color w:val="auto"/>
              </w:rPr>
            </w:pPr>
          </w:p>
        </w:tc>
      </w:tr>
      <w:tr>
        <w:trPr>
          <w:trHeight w:val="500"/>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/s/ Jose L. Bustamante</w:t>
            </w:r>
          </w:p>
        </w:tc>
        <w:tc>
          <w:tcPr>
            <w:tcW w:w="4860" w:type="dxa"/>
            <w:vAlign w:val="bottom"/>
          </w:tcPr>
          <w:p>
            <w:pPr>
              <w:jc w:val="center"/>
              <w:ind w:left="73"/>
              <w:spacing w:after="0"/>
              <w:rPr>
                <w:sz w:val="20"/>
                <w:szCs w:val="20"/>
                <w:color w:val="auto"/>
              </w:rPr>
            </w:pPr>
            <w:r>
              <w:rPr>
                <w:rFonts w:ascii="Arial" w:cs="Arial" w:eastAsia="Arial" w:hAnsi="Arial"/>
                <w:sz w:val="18"/>
                <w:szCs w:val="18"/>
                <w:color w:val="auto"/>
                <w:w w:val="91"/>
              </w:rPr>
              <w:t>Director</w:t>
            </w:r>
          </w:p>
        </w:tc>
        <w:tc>
          <w:tcPr>
            <w:tcW w:w="2120" w:type="dxa"/>
            <w:vAlign w:val="bottom"/>
          </w:tcPr>
          <w:p>
            <w:pPr>
              <w:ind w:left="700"/>
              <w:spacing w:after="0"/>
              <w:rPr>
                <w:sz w:val="20"/>
                <w:szCs w:val="20"/>
                <w:color w:val="auto"/>
              </w:rPr>
            </w:pPr>
            <w:r>
              <w:rPr>
                <w:rFonts w:ascii="Arial" w:cs="Arial" w:eastAsia="Arial" w:hAnsi="Arial"/>
                <w:sz w:val="18"/>
                <w:szCs w:val="18"/>
                <w:color w:val="auto"/>
                <w:w w:val="85"/>
              </w:rPr>
              <w:t>September 12, 2023</w:t>
            </w:r>
          </w:p>
        </w:tc>
      </w:tr>
      <w:tr>
        <w:trPr>
          <w:trHeight w:val="176"/>
        </w:trPr>
        <w:tc>
          <w:tcPr>
            <w:tcW w:w="3740" w:type="dxa"/>
            <w:vAlign w:val="bottom"/>
          </w:tcPr>
          <w:p>
            <w:pPr>
              <w:ind w:left="960"/>
              <w:spacing w:after="0"/>
              <w:rPr>
                <w:sz w:val="20"/>
                <w:szCs w:val="20"/>
                <w:color w:val="auto"/>
              </w:rPr>
            </w:pPr>
            <w:r>
              <w:rPr>
                <w:rFonts w:ascii="Arial" w:cs="Arial" w:eastAsia="Arial" w:hAnsi="Arial"/>
                <w:sz w:val="14"/>
                <w:szCs w:val="14"/>
                <w:b w:val="1"/>
                <w:bCs w:val="1"/>
                <w:color w:val="auto"/>
              </w:rPr>
              <w:t>Jose L. Bustamante</w:t>
            </w:r>
          </w:p>
        </w:tc>
        <w:tc>
          <w:tcPr>
            <w:tcW w:w="486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500"/>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/s/ Martha Z. Carnes</w:t>
            </w:r>
          </w:p>
        </w:tc>
        <w:tc>
          <w:tcPr>
            <w:tcW w:w="4860" w:type="dxa"/>
            <w:vAlign w:val="bottom"/>
          </w:tcPr>
          <w:p>
            <w:pPr>
              <w:jc w:val="center"/>
              <w:ind w:left="73"/>
              <w:spacing w:after="0"/>
              <w:rPr>
                <w:sz w:val="20"/>
                <w:szCs w:val="20"/>
                <w:color w:val="auto"/>
              </w:rPr>
            </w:pPr>
            <w:r>
              <w:rPr>
                <w:rFonts w:ascii="Arial" w:cs="Arial" w:eastAsia="Arial" w:hAnsi="Arial"/>
                <w:sz w:val="18"/>
                <w:szCs w:val="18"/>
                <w:color w:val="auto"/>
                <w:w w:val="91"/>
              </w:rPr>
              <w:t>Director</w:t>
            </w:r>
          </w:p>
        </w:tc>
        <w:tc>
          <w:tcPr>
            <w:tcW w:w="2120" w:type="dxa"/>
            <w:vAlign w:val="bottom"/>
          </w:tcPr>
          <w:p>
            <w:pPr>
              <w:ind w:left="700"/>
              <w:spacing w:after="0"/>
              <w:rPr>
                <w:sz w:val="20"/>
                <w:szCs w:val="20"/>
                <w:color w:val="auto"/>
              </w:rPr>
            </w:pPr>
            <w:r>
              <w:rPr>
                <w:rFonts w:ascii="Arial" w:cs="Arial" w:eastAsia="Arial" w:hAnsi="Arial"/>
                <w:sz w:val="18"/>
                <w:szCs w:val="18"/>
                <w:color w:val="auto"/>
                <w:w w:val="85"/>
              </w:rPr>
              <w:t>September 12, 2023</w:t>
            </w:r>
          </w:p>
        </w:tc>
      </w:tr>
      <w:tr>
        <w:trPr>
          <w:trHeight w:val="176"/>
        </w:trPr>
        <w:tc>
          <w:tcPr>
            <w:tcW w:w="3740" w:type="dxa"/>
            <w:vAlign w:val="bottom"/>
          </w:tcPr>
          <w:p>
            <w:pPr>
              <w:ind w:left="960"/>
              <w:spacing w:after="0"/>
              <w:rPr>
                <w:sz w:val="20"/>
                <w:szCs w:val="20"/>
                <w:color w:val="auto"/>
              </w:rPr>
            </w:pPr>
            <w:r>
              <w:rPr>
                <w:rFonts w:ascii="Arial" w:cs="Arial" w:eastAsia="Arial" w:hAnsi="Arial"/>
                <w:sz w:val="14"/>
                <w:szCs w:val="14"/>
                <w:b w:val="1"/>
                <w:bCs w:val="1"/>
                <w:color w:val="auto"/>
              </w:rPr>
              <w:t>Martha Z. Carnes</w:t>
            </w:r>
          </w:p>
        </w:tc>
        <w:tc>
          <w:tcPr>
            <w:tcW w:w="486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500"/>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/s/ John D. Chandler</w:t>
            </w:r>
          </w:p>
        </w:tc>
        <w:tc>
          <w:tcPr>
            <w:tcW w:w="4860" w:type="dxa"/>
            <w:vAlign w:val="bottom"/>
          </w:tcPr>
          <w:p>
            <w:pPr>
              <w:jc w:val="center"/>
              <w:ind w:left="73"/>
              <w:spacing w:after="0"/>
              <w:rPr>
                <w:sz w:val="20"/>
                <w:szCs w:val="20"/>
                <w:color w:val="auto"/>
              </w:rPr>
            </w:pPr>
            <w:r>
              <w:rPr>
                <w:rFonts w:ascii="Arial" w:cs="Arial" w:eastAsia="Arial" w:hAnsi="Arial"/>
                <w:sz w:val="18"/>
                <w:szCs w:val="18"/>
                <w:color w:val="auto"/>
                <w:w w:val="91"/>
              </w:rPr>
              <w:t>Director</w:t>
            </w:r>
          </w:p>
        </w:tc>
        <w:tc>
          <w:tcPr>
            <w:tcW w:w="2120" w:type="dxa"/>
            <w:vAlign w:val="bottom"/>
          </w:tcPr>
          <w:p>
            <w:pPr>
              <w:ind w:left="700"/>
              <w:spacing w:after="0"/>
              <w:rPr>
                <w:sz w:val="20"/>
                <w:szCs w:val="20"/>
                <w:color w:val="auto"/>
              </w:rPr>
            </w:pPr>
            <w:r>
              <w:rPr>
                <w:rFonts w:ascii="Arial" w:cs="Arial" w:eastAsia="Arial" w:hAnsi="Arial"/>
                <w:sz w:val="18"/>
                <w:szCs w:val="18"/>
                <w:color w:val="auto"/>
                <w:w w:val="85"/>
              </w:rPr>
              <w:t>September 12, 2023</w:t>
            </w:r>
          </w:p>
        </w:tc>
      </w:tr>
      <w:tr>
        <w:trPr>
          <w:trHeight w:val="176"/>
        </w:trPr>
        <w:tc>
          <w:tcPr>
            <w:tcW w:w="3740" w:type="dxa"/>
            <w:vAlign w:val="bottom"/>
          </w:tcPr>
          <w:p>
            <w:pPr>
              <w:ind w:left="960"/>
              <w:spacing w:after="0"/>
              <w:rPr>
                <w:sz w:val="20"/>
                <w:szCs w:val="20"/>
                <w:color w:val="auto"/>
              </w:rPr>
            </w:pPr>
            <w:r>
              <w:rPr>
                <w:rFonts w:ascii="Arial" w:cs="Arial" w:eastAsia="Arial" w:hAnsi="Arial"/>
                <w:sz w:val="14"/>
                <w:szCs w:val="14"/>
                <w:b w:val="1"/>
                <w:bCs w:val="1"/>
                <w:color w:val="auto"/>
              </w:rPr>
              <w:t>John D. Chandler</w:t>
            </w:r>
          </w:p>
        </w:tc>
        <w:tc>
          <w:tcPr>
            <w:tcW w:w="486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500"/>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/s/ Carlin G. Conner</w:t>
            </w:r>
          </w:p>
        </w:tc>
        <w:tc>
          <w:tcPr>
            <w:tcW w:w="4860" w:type="dxa"/>
            <w:vAlign w:val="bottom"/>
          </w:tcPr>
          <w:p>
            <w:pPr>
              <w:jc w:val="center"/>
              <w:ind w:left="73"/>
              <w:spacing w:after="0"/>
              <w:rPr>
                <w:sz w:val="20"/>
                <w:szCs w:val="20"/>
                <w:color w:val="auto"/>
              </w:rPr>
            </w:pPr>
            <w:r>
              <w:rPr>
                <w:rFonts w:ascii="Arial" w:cs="Arial" w:eastAsia="Arial" w:hAnsi="Arial"/>
                <w:sz w:val="18"/>
                <w:szCs w:val="18"/>
                <w:color w:val="auto"/>
                <w:w w:val="91"/>
              </w:rPr>
              <w:t>Director</w:t>
            </w:r>
          </w:p>
        </w:tc>
        <w:tc>
          <w:tcPr>
            <w:tcW w:w="2120" w:type="dxa"/>
            <w:vAlign w:val="bottom"/>
          </w:tcPr>
          <w:p>
            <w:pPr>
              <w:ind w:left="700"/>
              <w:spacing w:after="0"/>
              <w:rPr>
                <w:sz w:val="20"/>
                <w:szCs w:val="20"/>
                <w:color w:val="auto"/>
              </w:rPr>
            </w:pPr>
            <w:r>
              <w:rPr>
                <w:rFonts w:ascii="Arial" w:cs="Arial" w:eastAsia="Arial" w:hAnsi="Arial"/>
                <w:sz w:val="18"/>
                <w:szCs w:val="18"/>
                <w:color w:val="auto"/>
                <w:w w:val="85"/>
              </w:rPr>
              <w:t>September 12, 2023</w:t>
            </w:r>
          </w:p>
        </w:tc>
      </w:tr>
      <w:tr>
        <w:trPr>
          <w:trHeight w:val="176"/>
        </w:trPr>
        <w:tc>
          <w:tcPr>
            <w:tcW w:w="3740" w:type="dxa"/>
            <w:vAlign w:val="bottom"/>
          </w:tcPr>
          <w:p>
            <w:pPr>
              <w:ind w:left="960"/>
              <w:spacing w:after="0"/>
              <w:rPr>
                <w:sz w:val="20"/>
                <w:szCs w:val="20"/>
                <w:color w:val="auto"/>
              </w:rPr>
            </w:pPr>
            <w:r>
              <w:rPr>
                <w:rFonts w:ascii="Arial" w:cs="Arial" w:eastAsia="Arial" w:hAnsi="Arial"/>
                <w:sz w:val="14"/>
                <w:szCs w:val="14"/>
                <w:b w:val="1"/>
                <w:bCs w:val="1"/>
                <w:color w:val="auto"/>
              </w:rPr>
              <w:t>Carlin G. Conner</w:t>
            </w:r>
          </w:p>
        </w:tc>
        <w:tc>
          <w:tcPr>
            <w:tcW w:w="486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500"/>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/s/ Liane K. Hinrichs</w:t>
            </w:r>
          </w:p>
        </w:tc>
        <w:tc>
          <w:tcPr>
            <w:tcW w:w="4860" w:type="dxa"/>
            <w:vAlign w:val="bottom"/>
          </w:tcPr>
          <w:p>
            <w:pPr>
              <w:jc w:val="center"/>
              <w:ind w:left="73"/>
              <w:spacing w:after="0"/>
              <w:rPr>
                <w:sz w:val="20"/>
                <w:szCs w:val="20"/>
                <w:color w:val="auto"/>
              </w:rPr>
            </w:pPr>
            <w:r>
              <w:rPr>
                <w:rFonts w:ascii="Arial" w:cs="Arial" w:eastAsia="Arial" w:hAnsi="Arial"/>
                <w:sz w:val="18"/>
                <w:szCs w:val="18"/>
                <w:color w:val="auto"/>
                <w:w w:val="91"/>
              </w:rPr>
              <w:t>Director</w:t>
            </w:r>
          </w:p>
        </w:tc>
        <w:tc>
          <w:tcPr>
            <w:tcW w:w="2120" w:type="dxa"/>
            <w:vAlign w:val="bottom"/>
          </w:tcPr>
          <w:p>
            <w:pPr>
              <w:ind w:left="700"/>
              <w:spacing w:after="0"/>
              <w:rPr>
                <w:sz w:val="20"/>
                <w:szCs w:val="20"/>
                <w:color w:val="auto"/>
              </w:rPr>
            </w:pPr>
            <w:r>
              <w:rPr>
                <w:rFonts w:ascii="Arial" w:cs="Arial" w:eastAsia="Arial" w:hAnsi="Arial"/>
                <w:sz w:val="18"/>
                <w:szCs w:val="18"/>
                <w:color w:val="auto"/>
                <w:w w:val="85"/>
              </w:rPr>
              <w:t>September 12, 2023</w:t>
            </w:r>
          </w:p>
        </w:tc>
      </w:tr>
      <w:tr>
        <w:trPr>
          <w:trHeight w:val="176"/>
        </w:trPr>
        <w:tc>
          <w:tcPr>
            <w:tcW w:w="3740" w:type="dxa"/>
            <w:vAlign w:val="bottom"/>
          </w:tcPr>
          <w:p>
            <w:pPr>
              <w:ind w:left="960"/>
              <w:spacing w:after="0"/>
              <w:rPr>
                <w:sz w:val="20"/>
                <w:szCs w:val="20"/>
                <w:color w:val="auto"/>
              </w:rPr>
            </w:pPr>
            <w:r>
              <w:rPr>
                <w:rFonts w:ascii="Arial" w:cs="Arial" w:eastAsia="Arial" w:hAnsi="Arial"/>
                <w:sz w:val="14"/>
                <w:szCs w:val="14"/>
                <w:b w:val="1"/>
                <w:bCs w:val="1"/>
                <w:color w:val="auto"/>
              </w:rPr>
              <w:t>Liane K. Hinrichs</w:t>
            </w:r>
          </w:p>
        </w:tc>
        <w:tc>
          <w:tcPr>
            <w:tcW w:w="486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500"/>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/s/ James H. Miller</w:t>
            </w:r>
          </w:p>
        </w:tc>
        <w:tc>
          <w:tcPr>
            <w:tcW w:w="4860" w:type="dxa"/>
            <w:vAlign w:val="bottom"/>
          </w:tcPr>
          <w:p>
            <w:pPr>
              <w:jc w:val="center"/>
              <w:ind w:left="73"/>
              <w:spacing w:after="0"/>
              <w:rPr>
                <w:sz w:val="20"/>
                <w:szCs w:val="20"/>
                <w:color w:val="auto"/>
              </w:rPr>
            </w:pPr>
            <w:r>
              <w:rPr>
                <w:rFonts w:ascii="Arial" w:cs="Arial" w:eastAsia="Arial" w:hAnsi="Arial"/>
                <w:sz w:val="18"/>
                <w:szCs w:val="18"/>
                <w:color w:val="auto"/>
                <w:w w:val="91"/>
              </w:rPr>
              <w:t>Director</w:t>
            </w:r>
          </w:p>
        </w:tc>
        <w:tc>
          <w:tcPr>
            <w:tcW w:w="2120" w:type="dxa"/>
            <w:vAlign w:val="bottom"/>
          </w:tcPr>
          <w:p>
            <w:pPr>
              <w:ind w:left="700"/>
              <w:spacing w:after="0"/>
              <w:rPr>
                <w:sz w:val="20"/>
                <w:szCs w:val="20"/>
                <w:color w:val="auto"/>
              </w:rPr>
            </w:pPr>
            <w:r>
              <w:rPr>
                <w:rFonts w:ascii="Arial" w:cs="Arial" w:eastAsia="Arial" w:hAnsi="Arial"/>
                <w:sz w:val="18"/>
                <w:szCs w:val="18"/>
                <w:color w:val="auto"/>
                <w:w w:val="85"/>
              </w:rPr>
              <w:t>September 12, 2023</w:t>
            </w:r>
          </w:p>
        </w:tc>
      </w:tr>
      <w:tr>
        <w:trPr>
          <w:trHeight w:val="176"/>
        </w:trPr>
        <w:tc>
          <w:tcPr>
            <w:tcW w:w="3740" w:type="dxa"/>
            <w:vAlign w:val="bottom"/>
          </w:tcPr>
          <w:p>
            <w:pPr>
              <w:ind w:left="960"/>
              <w:spacing w:after="0"/>
              <w:rPr>
                <w:sz w:val="20"/>
                <w:szCs w:val="20"/>
                <w:color w:val="auto"/>
              </w:rPr>
            </w:pPr>
            <w:r>
              <w:rPr>
                <w:rFonts w:ascii="Arial" w:cs="Arial" w:eastAsia="Arial" w:hAnsi="Arial"/>
                <w:sz w:val="14"/>
                <w:szCs w:val="14"/>
                <w:b w:val="1"/>
                <w:bCs w:val="1"/>
                <w:color w:val="auto"/>
              </w:rPr>
              <w:t>James H. Miller</w:t>
            </w:r>
          </w:p>
        </w:tc>
        <w:tc>
          <w:tcPr>
            <w:tcW w:w="4860" w:type="dxa"/>
            <w:vAlign w:val="bottom"/>
          </w:tcPr>
          <w:p>
            <w:pPr>
              <w:spacing w:after="0"/>
              <w:rPr>
                <w:sz w:val="15"/>
                <w:szCs w:val="15"/>
                <w:color w:val="auto"/>
              </w:rPr>
            </w:pPr>
          </w:p>
        </w:tc>
        <w:tc>
          <w:tcPr>
            <w:tcW w:w="21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Inc., an Oklahoma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Canada ULC, an Alberta, Canada unlimited liability corporation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North American Construction, Inc., an Oklahoma corporation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North American Construction, Ltd., a Canadian corporation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North American Construction, LLC, a Delaware limited liability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SME Canada, Inc., a Delaware corporation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SME Canada ULC, a Nova Scotia, Canada unlimited liability corporation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PDM Engineering, Inc., a Delaware corporation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PDM, LLC, an Oklahoma limited liability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Applied Technologies, Inc., a Delaware corporation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International Holding Company, Ltd., a British corporation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Applied Technologies, Ltd., a South Korean corporation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Applied Technologies, Pty. Ltd., an Australian corporation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River Consulting, LLC, a Louisiana limited liability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Products and Services S. de R.L. de C.V., a Mexican limited liability variable stock corporation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VI, LLC, a U.S. Virgin Island limited liability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Mobile Aquatic Solutions, Inc., an Oklahoma corporation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MSI Federal Contracting, LLC, a Delaware limited liability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Devco USA, LLC, an Oklahoma limited liability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Houston Dynamics, LLC, a Qatar limited liability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International, LLC, a Delaware limited liability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Applied Technologies FZ-LLC, a UAE free zone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Applied Technologies Pte Ltd, a Singapore limited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PDM Engineering Ltd., a Nova Scotia limited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Engineering &amp; Technical Solutions, LLC, a Delaware limited liability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Matrix Project Services, LLC, a Delaware limited liability company</w:t>
      </w:r>
    </w:p>
    <w:p>
      <w:pPr>
        <w:sectPr>
          <w:pgSz w:w="11900" w:h="16838" w:orient="portrait"/>
          <w:cols w:equalWidth="0" w:num="1">
            <w:col w:w="11240"/>
          </w:cols>
          <w:pgMar w:left="320" w:top="870"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 on Form S-8:</w:t>
      </w:r>
    </w:p>
    <w:p>
      <w:pPr>
        <w:spacing w:after="0" w:line="240" w:lineRule="exact"/>
        <w:rPr>
          <w:sz w:val="20"/>
          <w:szCs w:val="20"/>
          <w:color w:val="auto"/>
        </w:rPr>
      </w:pPr>
    </w:p>
    <w:p>
      <w:pPr>
        <w:jc w:val="both"/>
        <w:ind w:left="320" w:right="760"/>
        <w:spacing w:after="0" w:line="617" w:lineRule="auto"/>
        <w:rPr>
          <w:sz w:val="20"/>
          <w:szCs w:val="20"/>
          <w:color w:val="auto"/>
        </w:rPr>
      </w:pPr>
      <w:r>
        <w:rPr>
          <w:rFonts w:ascii="Arial" w:cs="Arial" w:eastAsia="Arial" w:hAnsi="Arial"/>
          <w:sz w:val="15"/>
          <w:szCs w:val="15"/>
          <w:color w:val="auto"/>
        </w:rPr>
        <w:t>Registration Statement on Form S-8 (File No. 333-268828) related to the Matrix Service Company 2020 Stock and Incentive Compensation Plan Registration Statement on Form S-8 (File No. 333-249818) related to the Matrix Service Company 2020 Stock and Incentive Compensation Plan Registration Statement on Form S-8 (File No. 333-228052) related to the Matrix Service Company 2018 Stock and Incentive Compensation Plan Registration Statement on Form S-8 (File No. 333-171247) related to the Matrix Service Company 2011 Employee Stock Purchase Plan</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of our reports dated September 12, 2023, relating to the financial statements of Matrix Service Company, and the effectiveness of Matrix Service Company’s internal control over financial reporting appearing in this Annual Report on Form 10-K for the year ended June 30, 2023.</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2023</w:t>
      </w:r>
    </w:p>
    <w:p>
      <w:pPr>
        <w:sectPr>
          <w:pgSz w:w="11900" w:h="16838" w:orient="portrait"/>
          <w:cols w:equalWidth="0" w:num="1">
            <w:col w:w="11240"/>
          </w:cols>
          <w:pgMar w:left="320" w:top="962"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61" w:lineRule="exact"/>
        <w:rPr>
          <w:sz w:val="20"/>
          <w:szCs w:val="20"/>
          <w:color w:val="auto"/>
        </w:rPr>
      </w:pPr>
    </w:p>
    <w:p>
      <w:pPr>
        <w:ind w:left="960" w:hanging="324"/>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Matrix Service Company;</w:t>
      </w:r>
    </w:p>
    <w:p>
      <w:pPr>
        <w:spacing w:after="0" w:line="161" w:lineRule="exact"/>
        <w:rPr>
          <w:rFonts w:ascii="Arial" w:cs="Arial" w:eastAsia="Arial" w:hAnsi="Arial"/>
          <w:sz w:val="18"/>
          <w:szCs w:val="18"/>
          <w:color w:val="auto"/>
        </w:rPr>
      </w:pPr>
    </w:p>
    <w:p>
      <w:pPr>
        <w:jc w:val="both"/>
        <w:ind w:left="960" w:right="100" w:hanging="324"/>
        <w:spacing w:after="0" w:line="252"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960" w:right="60" w:hanging="324"/>
        <w:spacing w:after="0" w:line="324" w:lineRule="auto"/>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Arial" w:cs="Arial" w:eastAsia="Arial" w:hAnsi="Arial"/>
          <w:sz w:val="16"/>
          <w:szCs w:val="16"/>
          <w:color w:val="auto"/>
        </w:rPr>
      </w:pPr>
    </w:p>
    <w:p>
      <w:pPr>
        <w:ind w:left="960" w:right="100" w:hanging="324"/>
        <w:spacing w:after="0" w:line="252"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8"/>
          <w:szCs w:val="18"/>
          <w:color w:val="auto"/>
        </w:rPr>
      </w:pPr>
    </w:p>
    <w:p>
      <w:pPr>
        <w:ind w:left="1580" w:right="100" w:hanging="629"/>
        <w:spacing w:after="0" w:line="299" w:lineRule="auto"/>
        <w:tabs>
          <w:tab w:leader="none" w:pos="157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6"/>
          <w:szCs w:val="16"/>
          <w:color w:val="auto"/>
        </w:rPr>
      </w:pPr>
    </w:p>
    <w:p>
      <w:pPr>
        <w:ind w:left="1580" w:right="20" w:hanging="629"/>
        <w:spacing w:after="0" w:line="252" w:lineRule="auto"/>
        <w:tabs>
          <w:tab w:leader="none" w:pos="1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jc w:val="both"/>
        <w:ind w:left="1580" w:right="180" w:hanging="629"/>
        <w:spacing w:after="0" w:line="361" w:lineRule="auto"/>
        <w:tabs>
          <w:tab w:leader="none" w:pos="1570" w:val="left"/>
        </w:tabs>
        <w:numPr>
          <w:ilvl w:val="1"/>
          <w:numId w:val="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5"/>
          <w:szCs w:val="15"/>
          <w:color w:val="auto"/>
        </w:rPr>
      </w:pPr>
    </w:p>
    <w:p>
      <w:pPr>
        <w:ind w:left="1580" w:right="180" w:hanging="629"/>
        <w:spacing w:after="0" w:line="299" w:lineRule="auto"/>
        <w:tabs>
          <w:tab w:leader="none" w:pos="15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6"/>
          <w:szCs w:val="16"/>
          <w:color w:val="auto"/>
        </w:rPr>
      </w:pPr>
    </w:p>
    <w:p>
      <w:pPr>
        <w:ind w:left="960" w:right="240" w:hanging="324"/>
        <w:spacing w:after="0" w:line="324" w:lineRule="auto"/>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6"/>
          <w:szCs w:val="16"/>
          <w:color w:val="auto"/>
        </w:rPr>
      </w:pPr>
    </w:p>
    <w:p>
      <w:pPr>
        <w:ind w:left="1580" w:right="440" w:hanging="629"/>
        <w:spacing w:after="0" w:line="324" w:lineRule="auto"/>
        <w:tabs>
          <w:tab w:leader="none" w:pos="157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Arial" w:cs="Arial" w:eastAsia="Arial" w:hAnsi="Arial"/>
          <w:sz w:val="16"/>
          <w:szCs w:val="16"/>
          <w:color w:val="auto"/>
        </w:rPr>
      </w:pPr>
    </w:p>
    <w:p>
      <w:pPr>
        <w:ind w:left="1580" w:right="120" w:hanging="629"/>
        <w:spacing w:after="0" w:line="261" w:lineRule="auto"/>
        <w:tabs>
          <w:tab w:leader="none" w:pos="1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September 12, 2023</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3622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Hewitt</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0"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61" w:lineRule="exact"/>
        <w:rPr>
          <w:sz w:val="20"/>
          <w:szCs w:val="20"/>
          <w:color w:val="auto"/>
        </w:rPr>
      </w:pPr>
    </w:p>
    <w:p>
      <w:pPr>
        <w:ind w:left="960" w:hanging="32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Matrix Service Company;</w:t>
      </w:r>
    </w:p>
    <w:p>
      <w:pPr>
        <w:spacing w:after="0" w:line="161" w:lineRule="exact"/>
        <w:rPr>
          <w:rFonts w:ascii="Arial" w:cs="Arial" w:eastAsia="Arial" w:hAnsi="Arial"/>
          <w:sz w:val="18"/>
          <w:szCs w:val="18"/>
          <w:color w:val="auto"/>
        </w:rPr>
      </w:pPr>
    </w:p>
    <w:p>
      <w:pPr>
        <w:jc w:val="both"/>
        <w:ind w:left="960" w:right="100" w:hanging="324"/>
        <w:spacing w:after="0" w:line="252"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960" w:right="60" w:hanging="324"/>
        <w:spacing w:after="0" w:line="324" w:lineRule="auto"/>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Arial" w:cs="Arial" w:eastAsia="Arial" w:hAnsi="Arial"/>
          <w:sz w:val="16"/>
          <w:szCs w:val="16"/>
          <w:color w:val="auto"/>
        </w:rPr>
      </w:pPr>
    </w:p>
    <w:p>
      <w:pPr>
        <w:ind w:left="960" w:right="100" w:hanging="324"/>
        <w:spacing w:after="0" w:line="252"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8"/>
          <w:szCs w:val="18"/>
          <w:color w:val="auto"/>
        </w:rPr>
      </w:pPr>
    </w:p>
    <w:p>
      <w:pPr>
        <w:ind w:left="1580" w:right="100" w:hanging="629"/>
        <w:spacing w:after="0" w:line="299" w:lineRule="auto"/>
        <w:tabs>
          <w:tab w:leader="none" w:pos="157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6"/>
          <w:szCs w:val="16"/>
          <w:color w:val="auto"/>
        </w:rPr>
      </w:pPr>
    </w:p>
    <w:p>
      <w:pPr>
        <w:ind w:left="1580" w:right="20" w:hanging="629"/>
        <w:spacing w:after="0" w:line="252" w:lineRule="auto"/>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jc w:val="both"/>
        <w:ind w:left="1580" w:right="180" w:hanging="629"/>
        <w:spacing w:after="0" w:line="361" w:lineRule="auto"/>
        <w:tabs>
          <w:tab w:leader="none" w:pos="1570" w:val="left"/>
        </w:tabs>
        <w:numPr>
          <w:ilvl w:val="1"/>
          <w:numId w:val="4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5"/>
          <w:szCs w:val="15"/>
          <w:color w:val="auto"/>
        </w:rPr>
      </w:pPr>
    </w:p>
    <w:p>
      <w:pPr>
        <w:ind w:left="1580" w:right="180" w:hanging="629"/>
        <w:spacing w:after="0" w:line="299" w:lineRule="auto"/>
        <w:tabs>
          <w:tab w:leader="none" w:pos="15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6"/>
          <w:szCs w:val="16"/>
          <w:color w:val="auto"/>
        </w:rPr>
      </w:pPr>
    </w:p>
    <w:p>
      <w:pPr>
        <w:ind w:left="960" w:right="240" w:hanging="324"/>
        <w:spacing w:after="0" w:line="324" w:lineRule="auto"/>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6"/>
          <w:szCs w:val="16"/>
          <w:color w:val="auto"/>
        </w:rPr>
      </w:pPr>
    </w:p>
    <w:p>
      <w:pPr>
        <w:ind w:left="1580" w:right="440" w:hanging="629"/>
        <w:spacing w:after="0" w:line="324" w:lineRule="auto"/>
        <w:tabs>
          <w:tab w:leader="none" w:pos="157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Arial" w:cs="Arial" w:eastAsia="Arial" w:hAnsi="Arial"/>
          <w:sz w:val="16"/>
          <w:szCs w:val="16"/>
          <w:color w:val="auto"/>
        </w:rPr>
      </w:pPr>
    </w:p>
    <w:p>
      <w:pPr>
        <w:ind w:left="1580" w:right="120" w:hanging="629"/>
        <w:spacing w:after="0" w:line="261" w:lineRule="auto"/>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12, 2023</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7374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2737485"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Cavanah</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70"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4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connection with the Annual Report of Matrix Service Company (the “Company”) on Form 10-K for the period ending June 30, 2023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80" w:lineRule="exact"/>
        <w:rPr>
          <w:sz w:val="20"/>
          <w:szCs w:val="20"/>
          <w:color w:val="auto"/>
        </w:rPr>
      </w:pPr>
    </w:p>
    <w:p>
      <w:pPr>
        <w:ind w:left="1260" w:hanging="624"/>
        <w:spacing w:after="0"/>
        <w:tabs>
          <w:tab w:leader="none" w:pos="1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62" w:lineRule="exact"/>
        <w:rPr>
          <w:rFonts w:ascii="Arial" w:cs="Arial" w:eastAsia="Arial" w:hAnsi="Arial"/>
          <w:sz w:val="16"/>
          <w:szCs w:val="16"/>
          <w:color w:val="auto"/>
        </w:rPr>
      </w:pPr>
    </w:p>
    <w:p>
      <w:pPr>
        <w:ind w:left="1260" w:right="580" w:hanging="624"/>
        <w:spacing w:after="0" w:line="261" w:lineRule="auto"/>
        <w:tabs>
          <w:tab w:leader="none" w:pos="12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September 12, 2023</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4790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247904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Hewitt</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0"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4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connection with the Annual Report of Matrix Service Company (the “Company”) on Form 10-K for the period ending June 30, 2023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80" w:lineRule="exact"/>
        <w:rPr>
          <w:sz w:val="20"/>
          <w:szCs w:val="20"/>
          <w:color w:val="auto"/>
        </w:rPr>
      </w:pPr>
    </w:p>
    <w:p>
      <w:pPr>
        <w:ind w:left="1260" w:hanging="624"/>
        <w:spacing w:after="0"/>
        <w:tabs>
          <w:tab w:leader="none" w:pos="1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62" w:lineRule="exact"/>
        <w:rPr>
          <w:rFonts w:ascii="Arial" w:cs="Arial" w:eastAsia="Arial" w:hAnsi="Arial"/>
          <w:sz w:val="16"/>
          <w:szCs w:val="16"/>
          <w:color w:val="auto"/>
        </w:rPr>
      </w:pPr>
    </w:p>
    <w:p>
      <w:pPr>
        <w:ind w:left="1260" w:right="580" w:hanging="624"/>
        <w:spacing w:after="0" w:line="261" w:lineRule="auto"/>
        <w:tabs>
          <w:tab w:leader="none" w:pos="12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12, 2023</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7374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2737485"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Cavanah</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70"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230"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than what is provided herein. Any such difference may be attributed to the need to update that information on MSHA’s system and/or other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twelve months ended June 30, 2023:</w:t>
      </w:r>
    </w:p>
    <w:p>
      <w:pPr>
        <w:spacing w:after="0" w:line="193" w:lineRule="exact"/>
        <w:rPr>
          <w:sz w:val="20"/>
          <w:szCs w:val="20"/>
          <w:color w:val="auto"/>
        </w:rPr>
      </w:pPr>
    </w:p>
    <w:tbl>
      <w:tblPr>
        <w:tblLayout w:type="fixed"/>
        <w:tblInd w:w="50" w:type="dxa"/>
        <w:tblCellMar>
          <w:top w:w="0" w:type="dxa"/>
          <w:left w:w="0" w:type="dxa"/>
          <w:bottom w:w="0" w:type="dxa"/>
          <w:right w:w="0" w:type="dxa"/>
        </w:tblCellMar>
      </w:tblPr>
      <w:tr>
        <w:trPr>
          <w:trHeight w:val="174"/>
        </w:trPr>
        <w:tc>
          <w:tcPr>
            <w:tcW w:w="1020" w:type="dxa"/>
            <w:vAlign w:val="bottom"/>
            <w:tcBorders>
              <w:top w:val="single" w:sz="8" w:color="auto"/>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Received Notice</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Received Notice</w:t>
            </w:r>
          </w:p>
        </w:tc>
        <w:tc>
          <w:tcPr>
            <w:tcW w:w="84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02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6"/>
              </w:rPr>
              <w:t>of Pattern of</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of Potential to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8"/>
              </w:rPr>
              <w:t>Total Number of</w:t>
            </w: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020" w:type="dxa"/>
            <w:vAlign w:val="bottom"/>
            <w:tcBorders>
              <w:left w:val="single" w:sz="8" w:color="auto"/>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19" w:lineRule="exact"/>
              <w:rPr>
                <w:sz w:val="20"/>
                <w:szCs w:val="20"/>
                <w:color w:val="auto"/>
              </w:rPr>
            </w:pPr>
            <w:r>
              <w:rPr>
                <w:rFonts w:ascii="Arial" w:cs="Arial" w:eastAsia="Arial" w:hAnsi="Arial"/>
                <w:sz w:val="11"/>
                <w:szCs w:val="11"/>
                <w:color w:val="auto"/>
                <w:w w:val="87"/>
              </w:rPr>
              <w:t>Violations</w:t>
            </w:r>
          </w:p>
        </w:tc>
        <w:tc>
          <w:tcPr>
            <w:tcW w:w="900" w:type="dxa"/>
            <w:vAlign w:val="bottom"/>
            <w:tcBorders>
              <w:right w:val="single" w:sz="8" w:color="auto"/>
            </w:tcBorders>
            <w:vMerge w:val="restart"/>
          </w:tcPr>
          <w:p>
            <w:pPr>
              <w:jc w:val="center"/>
              <w:spacing w:after="0" w:line="119" w:lineRule="exact"/>
              <w:rPr>
                <w:sz w:val="20"/>
                <w:szCs w:val="20"/>
                <w:color w:val="auto"/>
              </w:rPr>
            </w:pPr>
            <w:r>
              <w:rPr>
                <w:rFonts w:ascii="Arial" w:cs="Arial" w:eastAsia="Arial" w:hAnsi="Arial"/>
                <w:sz w:val="11"/>
                <w:szCs w:val="11"/>
                <w:color w:val="auto"/>
                <w:w w:val="86"/>
              </w:rPr>
              <w:t>Have Pattern of</w:t>
            </w:r>
          </w:p>
        </w:tc>
        <w:tc>
          <w:tcPr>
            <w:tcW w:w="84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020" w:type="dxa"/>
            <w:vAlign w:val="bottom"/>
            <w:tcBorders>
              <w:left w:val="single" w:sz="8" w:color="auto"/>
              <w:right w:val="single" w:sz="8" w:color="auto"/>
            </w:tcBorders>
            <w:vMerge w:val="restart"/>
          </w:tcPr>
          <w:p>
            <w:pPr>
              <w:jc w:val="center"/>
              <w:spacing w:after="0" w:line="105" w:lineRule="exact"/>
              <w:rPr>
                <w:sz w:val="20"/>
                <w:szCs w:val="20"/>
                <w:color w:val="auto"/>
              </w:rPr>
            </w:pPr>
            <w:r>
              <w:rPr>
                <w:rFonts w:ascii="Arial" w:cs="Arial" w:eastAsia="Arial" w:hAnsi="Arial"/>
                <w:sz w:val="11"/>
                <w:szCs w:val="11"/>
                <w:color w:val="auto"/>
                <w:w w:val="88"/>
              </w:rPr>
              <w:t>Mine or Operating</w:t>
            </w:r>
          </w:p>
        </w:tc>
        <w:tc>
          <w:tcPr>
            <w:tcW w:w="92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1"/>
                <w:szCs w:val="11"/>
                <w:color w:val="auto"/>
                <w:w w:val="89"/>
              </w:rPr>
              <w:t>Total Dollar Value</w:t>
            </w:r>
          </w:p>
        </w:tc>
        <w:tc>
          <w:tcPr>
            <w:tcW w:w="78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1"/>
                <w:szCs w:val="11"/>
                <w:color w:val="auto"/>
                <w:w w:val="89"/>
              </w:rPr>
              <w:t>Total Number</w:t>
            </w:r>
          </w:p>
        </w:tc>
        <w:tc>
          <w:tcPr>
            <w:tcW w:w="84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84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1"/>
                <w:szCs w:val="11"/>
                <w:color w:val="auto"/>
                <w:w w:val="90"/>
              </w:rPr>
              <w:t>Legal Actions</w:t>
            </w:r>
          </w:p>
        </w:tc>
        <w:tc>
          <w:tcPr>
            <w:tcW w:w="84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1"/>
                <w:szCs w:val="11"/>
                <w:color w:val="auto"/>
                <w:w w:val="88"/>
              </w:rPr>
              <w:t>Total Number of</w:t>
            </w:r>
          </w:p>
        </w:tc>
        <w:tc>
          <w:tcPr>
            <w:tcW w:w="92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1"/>
                <w:szCs w:val="11"/>
                <w:color w:val="auto"/>
                <w:w w:val="88"/>
              </w:rPr>
              <w:t>Total Number of</w:t>
            </w:r>
          </w:p>
        </w:tc>
        <w:tc>
          <w:tcPr>
            <w:tcW w:w="0" w:type="dxa"/>
            <w:vAlign w:val="bottom"/>
          </w:tcPr>
          <w:p>
            <w:pPr>
              <w:spacing w:after="0"/>
              <w:rPr>
                <w:sz w:val="1"/>
                <w:szCs w:val="1"/>
                <w:color w:val="auto"/>
              </w:rPr>
            </w:pPr>
          </w:p>
        </w:tc>
      </w:tr>
      <w:tr>
        <w:trPr>
          <w:trHeight w:val="53"/>
        </w:trPr>
        <w:tc>
          <w:tcPr>
            <w:tcW w:w="1020" w:type="dxa"/>
            <w:vAlign w:val="bottom"/>
            <w:tcBorders>
              <w:left w:val="single" w:sz="8" w:color="auto"/>
              <w:right w:val="single" w:sz="8" w:color="auto"/>
            </w:tcBorders>
            <w:vMerge w:val="continue"/>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6"/>
              </w:rPr>
              <w:t>Section 104(d)</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3"/>
              </w:rPr>
              <w:t>Section 110(b)</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7"/>
              </w:rPr>
              <w:t>Section</w:t>
            </w:r>
          </w:p>
        </w:tc>
        <w:tc>
          <w:tcPr>
            <w:tcW w:w="100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6"/>
              </w:rPr>
              <w:t>Under Section</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Violations Under</w:t>
            </w:r>
          </w:p>
        </w:tc>
        <w:tc>
          <w:tcPr>
            <w:tcW w:w="840" w:type="dxa"/>
            <w:vAlign w:val="bottom"/>
            <w:tcBorders>
              <w:right w:val="single" w:sz="8" w:color="auto"/>
            </w:tcBorders>
            <w:vMerge w:val="continue"/>
          </w:tcPr>
          <w:p>
            <w:pPr>
              <w:spacing w:after="0"/>
              <w:rPr>
                <w:sz w:val="4"/>
                <w:szCs w:val="4"/>
                <w:color w:val="auto"/>
              </w:rPr>
            </w:pPr>
          </w:p>
        </w:tc>
        <w:tc>
          <w:tcPr>
            <w:tcW w:w="840" w:type="dxa"/>
            <w:vAlign w:val="bottom"/>
            <w:tcBorders>
              <w:right w:val="single" w:sz="8" w:color="auto"/>
            </w:tcBorders>
            <w:vMerge w:val="continue"/>
          </w:tcPr>
          <w:p>
            <w:pPr>
              <w:spacing w:after="0"/>
              <w:rPr>
                <w:sz w:val="4"/>
                <w:szCs w:val="4"/>
                <w:color w:val="auto"/>
              </w:rPr>
            </w:pPr>
          </w:p>
        </w:tc>
        <w:tc>
          <w:tcPr>
            <w:tcW w:w="9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020" w:type="dxa"/>
            <w:vAlign w:val="bottom"/>
            <w:tcBorders>
              <w:left w:val="single" w:sz="8" w:color="auto"/>
              <w:right w:val="single" w:sz="8" w:color="auto"/>
            </w:tcBorders>
            <w:vMerge w:val="restart"/>
          </w:tcPr>
          <w:p>
            <w:pPr>
              <w:jc w:val="center"/>
              <w:spacing w:after="0" w:line="105" w:lineRule="exact"/>
              <w:rPr>
                <w:sz w:val="20"/>
                <w:szCs w:val="20"/>
                <w:color w:val="auto"/>
              </w:rPr>
            </w:pPr>
            <w:r>
              <w:rPr>
                <w:rFonts w:ascii="Arial" w:cs="Arial" w:eastAsia="Arial" w:hAnsi="Arial"/>
                <w:sz w:val="11"/>
                <w:szCs w:val="11"/>
                <w:color w:val="auto"/>
                <w:w w:val="90"/>
              </w:rPr>
              <w:t>Name/MSHA</w:t>
            </w:r>
          </w:p>
        </w:tc>
        <w:tc>
          <w:tcPr>
            <w:tcW w:w="9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1"/>
                <w:szCs w:val="11"/>
                <w:color w:val="auto"/>
                <w:w w:val="95"/>
              </w:rPr>
              <w:t>of MSHA</w:t>
            </w:r>
          </w:p>
        </w:tc>
        <w:tc>
          <w:tcPr>
            <w:tcW w:w="78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1"/>
                <w:szCs w:val="11"/>
                <w:color w:val="auto"/>
                <w:w w:val="94"/>
              </w:rPr>
              <w:t>of Mining</w:t>
            </w:r>
          </w:p>
        </w:tc>
        <w:tc>
          <w:tcPr>
            <w:tcW w:w="84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84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1"/>
                <w:szCs w:val="11"/>
                <w:color w:val="auto"/>
                <w:w w:val="86"/>
              </w:rPr>
              <w:t>Pending as of</w:t>
            </w:r>
          </w:p>
        </w:tc>
        <w:tc>
          <w:tcPr>
            <w:tcW w:w="84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1"/>
                <w:szCs w:val="11"/>
                <w:color w:val="auto"/>
                <w:w w:val="90"/>
              </w:rPr>
              <w:t>Legal Actions</w:t>
            </w:r>
          </w:p>
        </w:tc>
        <w:tc>
          <w:tcPr>
            <w:tcW w:w="92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1"/>
                <w:szCs w:val="11"/>
                <w:color w:val="auto"/>
                <w:w w:val="87"/>
              </w:rPr>
              <w:t>Legal Actions</w:t>
            </w:r>
          </w:p>
        </w:tc>
        <w:tc>
          <w:tcPr>
            <w:tcW w:w="0" w:type="dxa"/>
            <w:vAlign w:val="bottom"/>
          </w:tcPr>
          <w:p>
            <w:pPr>
              <w:spacing w:after="0"/>
              <w:rPr>
                <w:sz w:val="1"/>
                <w:szCs w:val="1"/>
                <w:color w:val="auto"/>
              </w:rPr>
            </w:pPr>
          </w:p>
        </w:tc>
      </w:tr>
      <w:tr>
        <w:trPr>
          <w:trHeight w:val="31"/>
        </w:trPr>
        <w:tc>
          <w:tcPr>
            <w:tcW w:w="1020" w:type="dxa"/>
            <w:vAlign w:val="bottom"/>
            <w:tcBorders>
              <w:left w:val="single" w:sz="8" w:color="auto"/>
              <w:right w:val="single" w:sz="8" w:color="auto"/>
            </w:tcBorders>
            <w:vMerge w:val="continue"/>
          </w:tcPr>
          <w:p>
            <w:pPr>
              <w:spacing w:after="0"/>
              <w:rPr>
                <w:sz w:val="2"/>
                <w:szCs w:val="2"/>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6"/>
              </w:rPr>
              <w:t>Section 104 S&amp;S</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6"/>
              </w:rPr>
              <w:t>Section 104(b)</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7"/>
              </w:rPr>
              <w:t>Citations and</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8"/>
              </w:rPr>
              <w:t>(2)</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7"/>
              </w:rPr>
              <w:t>107(a)</w:t>
            </w:r>
          </w:p>
        </w:tc>
        <w:tc>
          <w:tcPr>
            <w:tcW w:w="1000" w:type="dxa"/>
            <w:vAlign w:val="bottom"/>
            <w:tcBorders>
              <w:right w:val="single" w:sz="8" w:color="auto"/>
            </w:tcBorders>
            <w:vMerge w:val="continue"/>
          </w:tcPr>
          <w:p>
            <w:pPr>
              <w:spacing w:after="0"/>
              <w:rPr>
                <w:sz w:val="2"/>
                <w:szCs w:val="2"/>
                <w:color w:val="auto"/>
              </w:rPr>
            </w:pPr>
          </w:p>
        </w:tc>
        <w:tc>
          <w:tcPr>
            <w:tcW w:w="780" w:type="dxa"/>
            <w:vAlign w:val="bottom"/>
            <w:tcBorders>
              <w:right w:val="single" w:sz="8" w:color="auto"/>
            </w:tcBorders>
            <w:vMerge w:val="continue"/>
          </w:tcPr>
          <w:p>
            <w:pPr>
              <w:spacing w:after="0"/>
              <w:rPr>
                <w:sz w:val="2"/>
                <w:szCs w:val="2"/>
                <w:color w:val="auto"/>
              </w:rPr>
            </w:pPr>
          </w:p>
        </w:tc>
        <w:tc>
          <w:tcPr>
            <w:tcW w:w="84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1"/>
                <w:szCs w:val="11"/>
                <w:color w:val="auto"/>
                <w:w w:val="84"/>
              </w:rPr>
              <w:t>104(e)</w:t>
            </w:r>
            <w:r>
              <w:rPr>
                <w:rFonts w:ascii="Arial" w:cs="Arial" w:eastAsia="Arial" w:hAnsi="Arial"/>
                <w:sz w:val="13"/>
                <w:szCs w:val="13"/>
                <w:color w:val="auto"/>
                <w:w w:val="84"/>
                <w:vertAlign w:val="superscript"/>
              </w:rPr>
              <w:t>(6)</w:t>
            </w:r>
          </w:p>
        </w:tc>
        <w:tc>
          <w:tcPr>
            <w:tcW w:w="90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1"/>
                <w:szCs w:val="11"/>
                <w:color w:val="auto"/>
                <w:w w:val="82"/>
              </w:rPr>
              <w:t>Section 104(e)</w:t>
            </w:r>
            <w:r>
              <w:rPr>
                <w:rFonts w:ascii="Arial" w:cs="Arial" w:eastAsia="Arial" w:hAnsi="Arial"/>
                <w:sz w:val="13"/>
                <w:szCs w:val="13"/>
                <w:color w:val="auto"/>
                <w:w w:val="82"/>
                <w:vertAlign w:val="superscript"/>
              </w:rPr>
              <w:t>(7)</w:t>
            </w:r>
          </w:p>
        </w:tc>
        <w:tc>
          <w:tcPr>
            <w:tcW w:w="840" w:type="dxa"/>
            <w:vAlign w:val="bottom"/>
            <w:tcBorders>
              <w:right w:val="single" w:sz="8" w:color="auto"/>
            </w:tcBorders>
            <w:vMerge w:val="continue"/>
          </w:tcPr>
          <w:p>
            <w:pPr>
              <w:spacing w:after="0"/>
              <w:rPr>
                <w:sz w:val="2"/>
                <w:szCs w:val="2"/>
                <w:color w:val="auto"/>
              </w:rPr>
            </w:pPr>
          </w:p>
        </w:tc>
        <w:tc>
          <w:tcPr>
            <w:tcW w:w="840" w:type="dxa"/>
            <w:vAlign w:val="bottom"/>
            <w:tcBorders>
              <w:right w:val="single" w:sz="8" w:color="auto"/>
            </w:tcBorders>
            <w:vMerge w:val="continue"/>
          </w:tcPr>
          <w:p>
            <w:pPr>
              <w:spacing w:after="0"/>
              <w:rPr>
                <w:sz w:val="2"/>
                <w:szCs w:val="2"/>
                <w:color w:val="auto"/>
              </w:rPr>
            </w:pPr>
          </w:p>
        </w:tc>
        <w:tc>
          <w:tcPr>
            <w:tcW w:w="9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2"/>
        </w:trPr>
        <w:tc>
          <w:tcPr>
            <w:tcW w:w="1020" w:type="dxa"/>
            <w:vAlign w:val="bottom"/>
            <w:tcBorders>
              <w:left w:val="single" w:sz="8" w:color="auto"/>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90"/>
              </w:rPr>
              <w:t>Identification</w:t>
            </w:r>
          </w:p>
        </w:tc>
        <w:tc>
          <w:tcPr>
            <w:tcW w:w="9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82"/>
              </w:rPr>
              <w:t>Assessments</w:t>
            </w:r>
          </w:p>
        </w:tc>
        <w:tc>
          <w:tcPr>
            <w:tcW w:w="78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84"/>
              </w:rPr>
              <w:t>Related</w:t>
            </w:r>
          </w:p>
        </w:tc>
        <w:tc>
          <w:tcPr>
            <w:tcW w:w="84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89"/>
              </w:rPr>
              <w:t>Last Day of</w:t>
            </w:r>
          </w:p>
        </w:tc>
        <w:tc>
          <w:tcPr>
            <w:tcW w:w="84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91"/>
              </w:rPr>
              <w:t>Initiated During</w:t>
            </w:r>
          </w:p>
        </w:tc>
        <w:tc>
          <w:tcPr>
            <w:tcW w:w="92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86"/>
              </w:rPr>
              <w:t>Resolved During</w:t>
            </w:r>
          </w:p>
        </w:tc>
        <w:tc>
          <w:tcPr>
            <w:tcW w:w="0" w:type="dxa"/>
            <w:vAlign w:val="bottom"/>
          </w:tcPr>
          <w:p>
            <w:pPr>
              <w:spacing w:after="0"/>
              <w:rPr>
                <w:sz w:val="1"/>
                <w:szCs w:val="1"/>
                <w:color w:val="auto"/>
              </w:rPr>
            </w:pPr>
          </w:p>
        </w:tc>
      </w:tr>
      <w:tr>
        <w:trPr>
          <w:trHeight w:val="190"/>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6"/>
              </w:rPr>
              <w:t>Number</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6"/>
              </w:rPr>
              <w:t>Citations</w:t>
            </w:r>
            <w:r>
              <w:rPr>
                <w:rFonts w:ascii="Arial" w:cs="Arial" w:eastAsia="Arial" w:hAnsi="Arial"/>
                <w:sz w:val="13"/>
                <w:szCs w:val="13"/>
                <w:color w:val="auto"/>
                <w:w w:val="86"/>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1"/>
              </w:rPr>
              <w:t>Orders</w:t>
            </w:r>
            <w:r>
              <w:rPr>
                <w:rFonts w:ascii="Arial" w:cs="Arial" w:eastAsia="Arial" w:hAnsi="Arial"/>
                <w:sz w:val="13"/>
                <w:szCs w:val="13"/>
                <w:color w:val="auto"/>
                <w:w w:val="81"/>
                <w:vertAlign w:val="superscript"/>
              </w:rPr>
              <w:t>(2)</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1"/>
              </w:rPr>
              <w:t>Orders</w:t>
            </w:r>
            <w:r>
              <w:rPr>
                <w:rFonts w:ascii="Arial" w:cs="Arial" w:eastAsia="Arial" w:hAnsi="Arial"/>
                <w:sz w:val="13"/>
                <w:szCs w:val="13"/>
                <w:color w:val="auto"/>
                <w:w w:val="81"/>
                <w:vertAlign w:val="superscript"/>
              </w:rPr>
              <w:t>(3)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Violations</w:t>
            </w:r>
            <w:r>
              <w:rPr>
                <w:rFonts w:ascii="Arial" w:cs="Arial" w:eastAsia="Arial" w:hAnsi="Arial"/>
                <w:sz w:val="13"/>
                <w:szCs w:val="13"/>
                <w:color w:val="auto"/>
                <w:w w:val="89"/>
                <w:vertAlign w:val="superscript"/>
              </w:rPr>
              <w:t>(4)</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1"/>
              </w:rPr>
              <w:t>Orders</w:t>
            </w:r>
            <w:r>
              <w:rPr>
                <w:rFonts w:ascii="Arial" w:cs="Arial" w:eastAsia="Arial" w:hAnsi="Arial"/>
                <w:sz w:val="13"/>
                <w:szCs w:val="13"/>
                <w:color w:val="auto"/>
                <w:w w:val="81"/>
                <w:vertAlign w:val="superscript"/>
              </w:rPr>
              <w:t>(5)</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Proposed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5"/>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1"/>
              </w:rPr>
              <w:t>Period</w:t>
            </w:r>
          </w:p>
        </w:tc>
        <w:tc>
          <w:tcPr>
            <w:tcW w:w="0" w:type="dxa"/>
            <w:vAlign w:val="bottom"/>
          </w:tcPr>
          <w:p>
            <w:pPr>
              <w:spacing w:after="0"/>
              <w:rPr>
                <w:sz w:val="1"/>
                <w:szCs w:val="1"/>
                <w:color w:val="auto"/>
              </w:rPr>
            </w:pPr>
          </w:p>
        </w:tc>
      </w:tr>
      <w:tr>
        <w:trPr>
          <w:trHeight w:val="109"/>
        </w:trPr>
        <w:tc>
          <w:tcPr>
            <w:tcW w:w="1020" w:type="dxa"/>
            <w:vAlign w:val="bottom"/>
            <w:tcBorders>
              <w:left w:val="single" w:sz="8" w:color="auto"/>
              <w:right w:val="single" w:sz="8" w:color="auto"/>
            </w:tcBorders>
          </w:tcPr>
          <w:p>
            <w:pPr>
              <w:jc w:val="center"/>
              <w:spacing w:after="0" w:line="109" w:lineRule="exact"/>
              <w:rPr>
                <w:sz w:val="20"/>
                <w:szCs w:val="20"/>
                <w:color w:val="auto"/>
              </w:rPr>
            </w:pPr>
            <w:r>
              <w:rPr>
                <w:rFonts w:ascii="Arial" w:cs="Arial" w:eastAsia="Arial" w:hAnsi="Arial"/>
                <w:sz w:val="11"/>
                <w:szCs w:val="11"/>
                <w:color w:val="auto"/>
                <w:w w:val="87"/>
              </w:rPr>
              <w:t>Freeport-McMoran</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05"/>
        </w:trPr>
        <w:tc>
          <w:tcPr>
            <w:tcW w:w="1020" w:type="dxa"/>
            <w:vAlign w:val="bottom"/>
            <w:tcBorders>
              <w:left w:val="single" w:sz="8" w:color="auto"/>
              <w:right w:val="single" w:sz="8" w:color="auto"/>
            </w:tcBorders>
          </w:tcPr>
          <w:p>
            <w:pPr>
              <w:jc w:val="center"/>
              <w:spacing w:after="0" w:line="105" w:lineRule="exact"/>
              <w:rPr>
                <w:sz w:val="20"/>
                <w:szCs w:val="20"/>
                <w:color w:val="auto"/>
              </w:rPr>
            </w:pPr>
            <w:r>
              <w:rPr>
                <w:rFonts w:ascii="Arial" w:cs="Arial" w:eastAsia="Arial" w:hAnsi="Arial"/>
                <w:sz w:val="11"/>
                <w:szCs w:val="11"/>
                <w:color w:val="auto"/>
                <w:w w:val="90"/>
              </w:rPr>
              <w:t>Safford Mine, 02-</w:t>
            </w:r>
          </w:p>
        </w:tc>
        <w:tc>
          <w:tcPr>
            <w:tcW w:w="92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03131</w:t>
            </w: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020" w:type="dxa"/>
            <w:vAlign w:val="bottom"/>
            <w:tcBorders>
              <w:left w:val="single" w:sz="8" w:color="auto"/>
              <w:right w:val="single" w:sz="8" w:color="auto"/>
            </w:tcBorders>
          </w:tcPr>
          <w:p>
            <w:pPr>
              <w:jc w:val="center"/>
              <w:spacing w:after="0" w:line="102" w:lineRule="exact"/>
              <w:rPr>
                <w:sz w:val="20"/>
                <w:szCs w:val="20"/>
                <w:color w:val="auto"/>
              </w:rPr>
            </w:pPr>
            <w:r>
              <w:rPr>
                <w:rFonts w:ascii="Arial" w:cs="Arial" w:eastAsia="Arial" w:hAnsi="Arial"/>
                <w:sz w:val="11"/>
                <w:szCs w:val="11"/>
                <w:color w:val="auto"/>
                <w:w w:val="87"/>
              </w:rPr>
              <w:t>Freeport-McMoran</w:t>
            </w:r>
          </w:p>
        </w:tc>
        <w:tc>
          <w:tcPr>
            <w:tcW w:w="92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20" w:type="dxa"/>
            <w:vAlign w:val="bottom"/>
            <w:tcBorders>
              <w:left w:val="single" w:sz="8" w:color="auto"/>
              <w:right w:val="single" w:sz="8" w:color="auto"/>
            </w:tcBorders>
          </w:tcPr>
          <w:p>
            <w:pPr>
              <w:jc w:val="center"/>
              <w:spacing w:after="0" w:line="113" w:lineRule="exact"/>
              <w:rPr>
                <w:sz w:val="20"/>
                <w:szCs w:val="20"/>
                <w:color w:val="auto"/>
              </w:rPr>
            </w:pPr>
            <w:r>
              <w:rPr>
                <w:rFonts w:ascii="Arial" w:cs="Arial" w:eastAsia="Arial" w:hAnsi="Arial"/>
                <w:sz w:val="11"/>
                <w:szCs w:val="11"/>
                <w:color w:val="auto"/>
                <w:w w:val="87"/>
              </w:rPr>
              <w:t>Bagdad Mine, 02-</w:t>
            </w:r>
          </w:p>
        </w:tc>
        <w:tc>
          <w:tcPr>
            <w:tcW w:w="9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color w:val="auto"/>
                <w:w w:val="90"/>
              </w:rPr>
              <w:t>—</w:t>
            </w:r>
          </w:p>
        </w:tc>
        <w:tc>
          <w:tcPr>
            <w:tcW w:w="74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color w:val="auto"/>
              </w:rPr>
              <w:t>—</w:t>
            </w:r>
          </w:p>
        </w:tc>
        <w:tc>
          <w:tcPr>
            <w:tcW w:w="78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color w:val="auto"/>
                <w:w w:val="90"/>
              </w:rPr>
              <w:t>—</w:t>
            </w:r>
          </w:p>
        </w:tc>
        <w:tc>
          <w:tcPr>
            <w:tcW w:w="100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color w:val="auto"/>
                <w:w w:val="90"/>
              </w:rPr>
              <w:t>—</w:t>
            </w:r>
          </w:p>
        </w:tc>
        <w:tc>
          <w:tcPr>
            <w:tcW w:w="78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color w:val="auto"/>
                <w:w w:val="85"/>
              </w:rPr>
              <w:t>No</w:t>
            </w:r>
          </w:p>
        </w:tc>
        <w:tc>
          <w:tcPr>
            <w:tcW w:w="84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color w:val="auto"/>
                <w:w w:val="90"/>
              </w:rPr>
              <w:t>—</w:t>
            </w:r>
          </w:p>
        </w:tc>
        <w:tc>
          <w:tcPr>
            <w:tcW w:w="84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32"/>
        </w:trPr>
        <w:tc>
          <w:tcPr>
            <w:tcW w:w="1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00137</w:t>
            </w: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2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240" w:right="40" w:hanging="195"/>
        <w:spacing w:after="0" w:line="333" w:lineRule="auto"/>
        <w:tabs>
          <w:tab w:leader="none" w:pos="241" w:val="left"/>
        </w:tabs>
        <w:numPr>
          <w:ilvl w:val="1"/>
          <w:numId w:val="46"/>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40" w:hanging="195"/>
        <w:spacing w:after="0"/>
        <w:tabs>
          <w:tab w:leader="none" w:pos="240" w:val="left"/>
        </w:tabs>
        <w:numPr>
          <w:ilvl w:val="1"/>
          <w:numId w:val="46"/>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87" w:lineRule="exact"/>
        <w:rPr>
          <w:rFonts w:ascii="Arial" w:cs="Arial" w:eastAsia="Arial" w:hAnsi="Arial"/>
          <w:sz w:val="13"/>
          <w:szCs w:val="13"/>
          <w:color w:val="auto"/>
        </w:rPr>
      </w:pPr>
    </w:p>
    <w:p>
      <w:pPr>
        <w:ind w:left="240" w:hanging="195"/>
        <w:spacing w:after="0"/>
        <w:tabs>
          <w:tab w:leader="none" w:pos="240" w:val="left"/>
        </w:tabs>
        <w:numPr>
          <w:ilvl w:val="1"/>
          <w:numId w:val="46"/>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75" w:lineRule="exact"/>
        <w:rPr>
          <w:rFonts w:ascii="Arial" w:cs="Arial" w:eastAsia="Arial" w:hAnsi="Arial"/>
          <w:sz w:val="14"/>
          <w:szCs w:val="14"/>
          <w:color w:val="auto"/>
        </w:rPr>
      </w:pPr>
    </w:p>
    <w:p>
      <w:pPr>
        <w:ind w:left="200" w:hanging="195"/>
        <w:spacing w:after="0"/>
        <w:tabs>
          <w:tab w:leader="none" w:pos="2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75" w:lineRule="exact"/>
        <w:rPr>
          <w:rFonts w:ascii="Arial" w:cs="Arial" w:eastAsia="Arial" w:hAnsi="Arial"/>
          <w:sz w:val="14"/>
          <w:szCs w:val="14"/>
          <w:color w:val="auto"/>
        </w:rPr>
      </w:pPr>
    </w:p>
    <w:p>
      <w:pPr>
        <w:ind w:left="200" w:hanging="195"/>
        <w:spacing w:after="0"/>
        <w:tabs>
          <w:tab w:leader="none" w:pos="2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75" w:lineRule="exact"/>
        <w:rPr>
          <w:rFonts w:ascii="Arial" w:cs="Arial" w:eastAsia="Arial" w:hAnsi="Arial"/>
          <w:sz w:val="14"/>
          <w:szCs w:val="14"/>
          <w:color w:val="auto"/>
        </w:rPr>
      </w:pPr>
    </w:p>
    <w:p>
      <w:pPr>
        <w:ind w:left="200" w:hanging="195"/>
        <w:spacing w:after="0"/>
        <w:tabs>
          <w:tab w:leader="none" w:pos="2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75" w:lineRule="exact"/>
        <w:rPr>
          <w:rFonts w:ascii="Arial" w:cs="Arial" w:eastAsia="Arial" w:hAnsi="Arial"/>
          <w:sz w:val="14"/>
          <w:szCs w:val="14"/>
          <w:color w:val="auto"/>
        </w:rPr>
      </w:pPr>
    </w:p>
    <w:p>
      <w:pPr>
        <w:ind w:left="200" w:hanging="195"/>
        <w:spacing w:after="0"/>
        <w:tabs>
          <w:tab w:leader="none" w:pos="2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240"/>
      </w:cols>
      <w:pgMar w:left="320" w:top="8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
      <w:numFmt w:val="bullet"/>
      <w:start w:val="1"/>
    </w:lvl>
    <w:lvl w:ilvl="1">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8">
    <w:nsid w:val="5C482A97"/>
    <w:multiLevelType w:val="hybridMultilevel"/>
    <w:lvl w:ilvl="0">
      <w:lvlJc w:val="left"/>
      <w:lvlText w:val="•"/>
      <w:numFmt w:val="bullet"/>
      <w:start w:val="1"/>
    </w:lvl>
    <w:lvl w:ilvl="1">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upperLetter"/>
      <w:start w:val="1"/>
    </w:lvl>
  </w:abstractNum>
  <w:abstractNum w:abstractNumId="40">
    <w:nsid w:val="725A06FB"/>
    <w:multiLevelType w:val="hybridMultilevel"/>
    <w:lvl w:ilvl="0">
      <w:lvlJc w:val="left"/>
      <w:lvlText w:val="(%1)"/>
      <w:numFmt w:val="decimal"/>
      <w:start w:val="3"/>
    </w:lvl>
  </w:abstractNum>
  <w:abstractNum w:abstractNumId="41">
    <w:nsid w:val="2CD89A32"/>
    <w:multiLevelType w:val="hybridMultilevel"/>
    <w:lvl w:ilvl="0">
      <w:lvlJc w:val="left"/>
      <w:lvlText w:val="%1."/>
      <w:numFmt w:val="decimal"/>
      <w:start w:val="1"/>
    </w:lvl>
    <w:lvl w:ilvl="1">
      <w:lvlJc w:val="left"/>
      <w:lvlText w:val="%2."/>
      <w:numFmt w:val="lowerLetter"/>
      <w:start w:val="1"/>
    </w:lvl>
  </w:abstractNum>
  <w:abstractNum w:abstractNumId="42">
    <w:nsid w:val="57E4CCAF"/>
    <w:multiLevelType w:val="hybridMultilevel"/>
    <w:lvl w:ilvl="0">
      <w:lvlJc w:val="left"/>
      <w:lvlText w:val="%1."/>
      <w:numFmt w:val="decimal"/>
      <w:start w:val="1"/>
    </w:lvl>
    <w:lvl w:ilvl="1">
      <w:lvlJc w:val="left"/>
      <w:lvlText w:val="%2."/>
      <w:numFmt w:val="lowerLetter"/>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1"/>
    </w:lvl>
    <w:lvl w:ilvl="1">
      <w:lvlJc w:val="left"/>
      <w:lvlText w:val="(%2)"/>
      <w:numFmt w:val="decimal"/>
      <w:start w:val="1"/>
    </w:lvl>
  </w:abstractNum>
  <w:abstractNum w:abstractNumId="46">
    <w:nsid w:val="6DE91B18"/>
    <w:multiLevelType w:val="hybridMultilevel"/>
    <w:lvl w:ilvl="0">
      <w:lvlJc w:val="left"/>
      <w:lvlText w:val="(%1)"/>
      <w:numFmt w:val="decimal"/>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17" Type="http://schemas.openxmlformats.org/officeDocument/2006/relationships/hyperlink" Target="http://www.sec.gov/Archives/edgar/data/866273/000086627322000137/exhibit31amendedandrestate.htm" TargetMode="External"/><Relationship Id="rId118" Type="http://schemas.openxmlformats.org/officeDocument/2006/relationships/hyperlink" Target="http://www.sec.gov/Archives/edgar/data/866273/000086627323000012/exhibit31-thirdamendedandr.htm" TargetMode="External"/><Relationship Id="rId119" Type="http://schemas.openxmlformats.org/officeDocument/2006/relationships/hyperlink" Target="http://www.sec.gov/Archives/edgar/data/866273/000086627319000094/exhibit42descriptionofthec.htm" TargetMode="External"/><Relationship Id="rId120" Type="http://schemas.openxmlformats.org/officeDocument/2006/relationships/hyperlink" Target="http://www.sec.gov/Archives/edgar/data/866273/000086627318000095/proxystatementfiscal2018de.htm" TargetMode="External"/><Relationship Id="rId121" Type="http://schemas.openxmlformats.org/officeDocument/2006/relationships/hyperlink" Target="http://www.sec.gov/Archives/edgar/data/866273/000086627318000128/exhibit10-nonxemployeedire.htm" TargetMode="External"/><Relationship Id="rId122" Type="http://schemas.openxmlformats.org/officeDocument/2006/relationships/hyperlink" Target="http://www.sec.gov/Archives/edgar/data/866273/000086627320000109/exhibit1014.htm" TargetMode="External"/><Relationship Id="rId123" Type="http://schemas.openxmlformats.org/officeDocument/2006/relationships/hyperlink" Target="http://www.sec.gov/Archives/edgar/data/866273/000086627320000109/exhibit1015.htm" TargetMode="External"/><Relationship Id="rId124" Type="http://schemas.openxmlformats.org/officeDocument/2006/relationships/hyperlink" Target="http://www.sec.gov/Archives/edgar/data/866273/000086627316000248/exhibit10-formofamendedand.htm" TargetMode="External"/><Relationship Id="rId125" Type="http://schemas.openxmlformats.org/officeDocument/2006/relationships/hyperlink" Target="http://www.sec.gov/Archives/edgar/data/866273/000119312509003061/dex101.htm" TargetMode="External"/><Relationship Id="rId126" Type="http://schemas.openxmlformats.org/officeDocument/2006/relationships/hyperlink" Target="http://www.sec.gov/Archives/edgar/data/866273/000119312512462895/d411459dex10.htm" TargetMode="External"/><Relationship Id="rId127" Type="http://schemas.openxmlformats.org/officeDocument/2006/relationships/hyperlink" Target="http://www.sec.gov/Archives/edgar/data/866273/000114036120021431/nc10015074x1_def14a.htm" TargetMode="External"/><Relationship Id="rId128" Type="http://schemas.openxmlformats.org/officeDocument/2006/relationships/hyperlink" Target="http://www.sec.gov/Archives/edgar/data/866273/000086627321000088/exhibit1016-formoflongxter.htm" TargetMode="External"/><Relationship Id="rId129" Type="http://schemas.openxmlformats.org/officeDocument/2006/relationships/hyperlink" Target="http://www.sec.gov/Archives/edgar/data/866273/000086627321000088/exhibit1017-formofrestrict.htm" TargetMode="External"/><Relationship Id="rId130" Type="http://schemas.openxmlformats.org/officeDocument/2006/relationships/hyperlink" Target="http://www.sec.gov/Archives/edgar/data/866273/000086627319000117/exhibit10-indemnificat.htm" TargetMode="External"/><Relationship Id="rId131" Type="http://schemas.openxmlformats.org/officeDocument/2006/relationships/hyperlink" Target="http://www.sec.gov/Archives/edgar/data/866273/000086627321000088/exhibit1019-creditagreemen.htm" TargetMode="External"/><Relationship Id="rId132" Type="http://schemas.openxmlformats.org/officeDocument/2006/relationships/hyperlink" Target="http://www.sec.gov/Archives/edgar/data/866273/000086627322000101/a101firstamendmentandwaive.htm" TargetMode="External"/><Relationship Id="rId133" Type="http://schemas.openxmlformats.org/officeDocument/2006/relationships/hyperlink" Target="http://www.sec.gov/Archives/edgar/data/866273/000086627322000021/exhibit101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2023-09-12T16:04:34Z</dcterms:created>
  <dcterms:modified xsi:type="dcterms:W3CDTF">2023-09-12T16:04:34Z</dcterms:modified>
</cp:coreProperties>
</file>