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276860</wp:posOffset>
            </wp:positionH>
            <wp:positionV relativeFrom="page">
              <wp:posOffset>423545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389255</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50"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(Mark One)</w:t>
      </w:r>
    </w:p>
    <w:p>
      <w:pPr>
        <w:ind w:left="1820" w:hanging="631"/>
        <w:spacing w:after="0" w:line="184" w:lineRule="auto"/>
        <w:tabs>
          <w:tab w:leader="none" w:pos="1820" w:val="left"/>
        </w:tabs>
        <w:numPr>
          <w:ilvl w:val="0"/>
          <w:numId w:val="1"/>
        </w:numPr>
        <w:rPr>
          <w:rFonts w:ascii="MS PGothic" w:cs="MS PGothic" w:eastAsia="MS PGothic" w:hAnsi="MS PGothic"/>
          <w:sz w:val="39"/>
          <w:szCs w:val="39"/>
          <w:color w:val="auto"/>
          <w:vertAlign w:val="subscript"/>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fiscal year ended June 30, 2020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36" w:lineRule="exact"/>
        <w:rPr>
          <w:sz w:val="24"/>
          <w:szCs w:val="24"/>
          <w:color w:val="auto"/>
        </w:rPr>
      </w:pPr>
    </w:p>
    <w:p>
      <w:pPr>
        <w:ind w:left="1820" w:hanging="631"/>
        <w:spacing w:after="0"/>
        <w:tabs>
          <w:tab w:leader="none" w:pos="18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78" w:lineRule="exact"/>
        <w:rPr>
          <w:sz w:val="24"/>
          <w:szCs w:val="24"/>
          <w:color w:val="auto"/>
        </w:rPr>
      </w:pPr>
    </w:p>
    <w:p>
      <w:pPr>
        <w:ind w:left="3540"/>
        <w:spacing w:after="0"/>
        <w:tabs>
          <w:tab w:leader="none" w:pos="66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001-15461</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MATRIX SERVICE COMPANY</w:t>
      </w:r>
    </w:p>
    <w:p>
      <w:pPr>
        <w:sectPr>
          <w:pgSz w:w="11900" w:h="16838" w:orient="portrait"/>
          <w:cols w:equalWidth="0" w:num="1">
            <w:col w:w="11240"/>
          </w:cols>
          <w:pgMar w:left="320" w:top="749" w:right="339" w:bottom="1440" w:gutter="0" w:footer="0" w:header="0"/>
        </w:sectPr>
      </w:pPr>
    </w:p>
    <w:p>
      <w:pPr>
        <w:spacing w:after="0" w:line="3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7"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42"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7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auto"/>
        </w:rPr>
        <w:t>5100 E. Skelly Drive, Suite 500</w:t>
      </w:r>
    </w:p>
    <w:p>
      <w:pPr>
        <w:spacing w:after="0" w:line="42"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4"/>
          <w:szCs w:val="14"/>
          <w:b w:val="1"/>
          <w:bCs w:val="1"/>
          <w:color w:val="auto"/>
        </w:rPr>
        <w:t>Tulsa, Oklahoma</w:t>
      </w:r>
    </w:p>
    <w:p>
      <w:pPr>
        <w:spacing w:after="0" w:line="42"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4"/>
          <w:szCs w:val="14"/>
          <w:b w:val="1"/>
          <w:bCs w:val="1"/>
          <w:color w:val="auto"/>
        </w:rPr>
        <w:t>73-1352174</w:t>
      </w:r>
    </w:p>
    <w:p>
      <w:pPr>
        <w:spacing w:after="0" w:line="4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2"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4"/>
          <w:szCs w:val="14"/>
          <w:b w:val="1"/>
          <w:bCs w:val="1"/>
          <w:color w:val="auto"/>
        </w:rPr>
        <w:t>74135</w:t>
      </w:r>
    </w:p>
    <w:p>
      <w:pPr>
        <w:spacing w:after="0" w:line="150"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5" w:lineRule="exact"/>
        <w:rPr>
          <w:sz w:val="24"/>
          <w:szCs w:val="24"/>
          <w:color w:val="auto"/>
        </w:rPr>
      </w:pPr>
    </w:p>
    <w:p>
      <w:pPr>
        <w:sectPr>
          <w:pgSz w:w="11900" w:h="16838" w:orient="portrait"/>
          <w:cols w:equalWidth="0" w:num="2">
            <w:col w:w="7220" w:space="500"/>
            <w:col w:w="3520"/>
          </w:cols>
          <w:pgMar w:left="320" w:top="74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(918) 838-8822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8"/>
                <w:szCs w:val="18"/>
                <w:color w:val="auto"/>
              </w:rPr>
            </w:pPr>
          </w:p>
        </w:tc>
        <w:tc>
          <w:tcPr>
            <w:tcW w:w="3040" w:type="dxa"/>
            <w:vAlign w:val="bottom"/>
            <w:gridSpan w:val="2"/>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gridSpan w:val="3"/>
            <w:shd w:val="clear" w:color="auto" w:fill="000000"/>
          </w:tcPr>
          <w:p>
            <w:pPr>
              <w:spacing w:after="0" w:line="20" w:lineRule="exact"/>
              <w:rPr>
                <w:sz w:val="1"/>
                <w:szCs w:val="1"/>
                <w:color w:val="auto"/>
              </w:rPr>
            </w:pPr>
          </w:p>
        </w:tc>
      </w:tr>
      <w:tr>
        <w:trPr>
          <w:trHeight w:val="290"/>
        </w:trPr>
        <w:tc>
          <w:tcPr>
            <w:tcW w:w="488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1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MTRX</w:t>
            </w: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351"/>
        </w:trPr>
        <w:tc>
          <w:tcPr>
            <w:tcW w:w="1840" w:type="dxa"/>
            <w:vAlign w:val="bottom"/>
          </w:tcPr>
          <w:p>
            <w:pPr>
              <w:spacing w:after="0"/>
              <w:rPr>
                <w:sz w:val="24"/>
                <w:szCs w:val="24"/>
                <w:color w:val="auto"/>
              </w:rPr>
            </w:pPr>
          </w:p>
        </w:tc>
        <w:tc>
          <w:tcPr>
            <w:tcW w:w="6780" w:type="dxa"/>
            <w:vAlign w:val="bottom"/>
            <w:gridSpan w:val="5"/>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0"/>
        </w:trPr>
        <w:tc>
          <w:tcPr>
            <w:tcW w:w="8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0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10"/>
        </w:trPr>
        <w:tc>
          <w:tcPr>
            <w:tcW w:w="86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108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43"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36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2" w:lineRule="exact"/>
        <w:rPr>
          <w:sz w:val="24"/>
          <w:szCs w:val="24"/>
          <w:color w:val="auto"/>
        </w:rPr>
      </w:pPr>
    </w:p>
    <w:p>
      <w:pPr>
        <w:ind w:left="420" w:right="1900"/>
        <w:spacing w:after="0" w:line="250"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57"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7" w:lineRule="exact"/>
        <w:rPr>
          <w:sz w:val="24"/>
          <w:szCs w:val="24"/>
          <w:color w:val="auto"/>
        </w:rPr>
      </w:pPr>
    </w:p>
    <w:p>
      <w:pPr>
        <w:ind w:right="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32"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computed by reference to the price at which the common stock was last sold as of the last business day of the registrant’s most recently completed second quarter was approximately $599 million.</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September 1, 2020 was 26,460,196 shares.</w:t>
      </w:r>
    </w:p>
    <w:p>
      <w:pPr>
        <w:spacing w:after="0" w:line="86"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0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sections of the registrant's definitive proxy statement relating to the registrant's 2020 annual meeting of stockholders, which definitive proxy statement will be filed within 120 days of the end of the registrant's fiscal year,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240" w:type="dxa"/>
            <w:vAlign w:val="bottom"/>
            <w:gridSpan w:val="2"/>
          </w:tcPr>
          <w:p>
            <w:pPr>
              <w:jc w:val="right"/>
              <w:ind w:right="4548"/>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683"/>
        </w:trPr>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9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8"/>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w:t>
            </w:r>
          </w:p>
        </w:tc>
        <w:tc>
          <w:tcPr>
            <w:tcW w:w="3020" w:type="dxa"/>
            <w:vAlign w:val="bottom"/>
          </w:tcPr>
          <w:p>
            <w:pPr>
              <w:spacing w:after="0"/>
              <w:rPr>
                <w:sz w:val="19"/>
                <w:szCs w:val="19"/>
                <w:color w:val="auto"/>
              </w:rPr>
            </w:pPr>
          </w:p>
        </w:tc>
        <w:tc>
          <w:tcPr>
            <w:tcW w:w="6300" w:type="dxa"/>
            <w:vAlign w:val="bottom"/>
          </w:tcPr>
          <w:p>
            <w:pPr>
              <w:jc w:val="right"/>
              <w:ind w:right="423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920" w:type="dxa"/>
            <w:vAlign w:val="bottom"/>
            <w:vMerge w:val="continue"/>
          </w:tcPr>
          <w:p>
            <w:pPr>
              <w:spacing w:after="0"/>
              <w:rPr>
                <w:sz w:val="24"/>
                <w:szCs w:val="24"/>
                <w:color w:val="auto"/>
              </w:rPr>
            </w:pPr>
          </w:p>
        </w:tc>
        <w:tc>
          <w:tcPr>
            <w:tcW w:w="3020" w:type="dxa"/>
            <w:vAlign w:val="bottom"/>
          </w:tcPr>
          <w:p>
            <w:pPr>
              <w:ind w:left="26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Business</w:t>
              </w:r>
            </w:hyperlink>
          </w:p>
        </w:tc>
        <w:tc>
          <w:tcPr>
            <w:tcW w:w="7240" w:type="dxa"/>
            <w:vAlign w:val="bottom"/>
            <w:gridSpan w:val="2"/>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2</w:t>
              </w:r>
            </w:hyperlink>
          </w:p>
        </w:tc>
        <w:tc>
          <w:tcPr>
            <w:tcW w:w="0" w:type="dxa"/>
            <w:vAlign w:val="bottom"/>
          </w:tcPr>
          <w:p>
            <w:pPr>
              <w:spacing w:after="0"/>
              <w:rPr>
                <w:sz w:val="1"/>
                <w:szCs w:val="1"/>
                <w:color w:val="auto"/>
              </w:rPr>
            </w:pP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3020" w:type="dxa"/>
            <w:vAlign w:val="bottom"/>
          </w:tcPr>
          <w:p>
            <w:pPr>
              <w:ind w:left="26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Risk Factors</w:t>
              </w:r>
            </w:hyperlink>
          </w:p>
        </w:tc>
        <w:tc>
          <w:tcPr>
            <w:tcW w:w="7240" w:type="dxa"/>
            <w:vAlign w:val="bottom"/>
            <w:gridSpan w:val="2"/>
          </w:tcPr>
          <w:p>
            <w:pPr>
              <w:jc w:val="right"/>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8</w:t>
              </w:r>
            </w:hyperlink>
          </w:p>
        </w:tc>
        <w:tc>
          <w:tcPr>
            <w:tcW w:w="0" w:type="dxa"/>
            <w:vAlign w:val="bottom"/>
          </w:tcPr>
          <w:p>
            <w:pPr>
              <w:spacing w:after="0"/>
              <w:rPr>
                <w:sz w:val="1"/>
                <w:szCs w:val="1"/>
                <w:color w:val="auto"/>
              </w:rPr>
            </w:pP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3020" w:type="dxa"/>
            <w:vAlign w:val="bottom"/>
          </w:tcPr>
          <w:p>
            <w:pPr>
              <w:ind w:left="260"/>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Unresolved Staff Comments</w:t>
              </w:r>
            </w:hyperlink>
          </w:p>
        </w:tc>
        <w:tc>
          <w:tcPr>
            <w:tcW w:w="7240" w:type="dxa"/>
            <w:vAlign w:val="bottom"/>
            <w:gridSpan w:val="2"/>
          </w:tcPr>
          <w:p>
            <w:pPr>
              <w:jc w:val="right"/>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19</w:t>
              </w:r>
            </w:hyperlink>
          </w:p>
        </w:tc>
        <w:tc>
          <w:tcPr>
            <w:tcW w:w="0" w:type="dxa"/>
            <w:vAlign w:val="bottom"/>
          </w:tcPr>
          <w:p>
            <w:pPr>
              <w:spacing w:after="0"/>
              <w:rPr>
                <w:sz w:val="1"/>
                <w:szCs w:val="1"/>
                <w:color w:val="auto"/>
              </w:rPr>
            </w:pP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3020" w:type="dxa"/>
            <w:vAlign w:val="bottom"/>
          </w:tcPr>
          <w:p>
            <w:pPr>
              <w:ind w:left="260"/>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Properties</w:t>
              </w:r>
            </w:hyperlink>
          </w:p>
        </w:tc>
        <w:tc>
          <w:tcPr>
            <w:tcW w:w="7240" w:type="dxa"/>
            <w:vAlign w:val="bottom"/>
            <w:gridSpan w:val="2"/>
          </w:tcPr>
          <w:p>
            <w:pPr>
              <w:jc w:val="right"/>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20</w:t>
              </w:r>
            </w:hyperlink>
          </w:p>
        </w:tc>
        <w:tc>
          <w:tcPr>
            <w:tcW w:w="0" w:type="dxa"/>
            <w:vAlign w:val="bottom"/>
          </w:tcPr>
          <w:p>
            <w:pPr>
              <w:spacing w:after="0"/>
              <w:rPr>
                <w:sz w:val="1"/>
                <w:szCs w:val="1"/>
                <w:color w:val="auto"/>
              </w:rPr>
            </w:pP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3020" w:type="dxa"/>
            <w:vAlign w:val="bottom"/>
          </w:tcPr>
          <w:p>
            <w:pPr>
              <w:ind w:left="260"/>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Legal Proceedings</w:t>
              </w:r>
            </w:hyperlink>
          </w:p>
        </w:tc>
        <w:tc>
          <w:tcPr>
            <w:tcW w:w="7240" w:type="dxa"/>
            <w:vAlign w:val="bottom"/>
            <w:gridSpan w:val="2"/>
          </w:tcPr>
          <w:p>
            <w:pPr>
              <w:jc w:val="right"/>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21</w:t>
              </w:r>
            </w:hyperlink>
          </w:p>
        </w:tc>
        <w:tc>
          <w:tcPr>
            <w:tcW w:w="0" w:type="dxa"/>
            <w:vAlign w:val="bottom"/>
          </w:tcPr>
          <w:p>
            <w:pPr>
              <w:spacing w:after="0"/>
              <w:rPr>
                <w:sz w:val="1"/>
                <w:szCs w:val="1"/>
                <w:color w:val="auto"/>
              </w:rPr>
            </w:pP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3020" w:type="dxa"/>
            <w:vAlign w:val="bottom"/>
          </w:tcPr>
          <w:p>
            <w:pPr>
              <w:ind w:left="260"/>
              <w:spacing w:after="0"/>
              <w:rPr>
                <w:rFonts w:ascii="Times New Roman" w:cs="Times New Roman" w:eastAsia="Times New Roman" w:hAnsi="Times New Roman"/>
                <w:sz w:val="18"/>
                <w:szCs w:val="18"/>
                <w:u w:val="single" w:color="auto"/>
                <w:color w:val="0000FF"/>
              </w:rPr>
            </w:pPr>
            <w:hyperlink w:anchor="page22">
              <w:r>
                <w:rPr>
                  <w:rFonts w:ascii="Times New Roman" w:cs="Times New Roman" w:eastAsia="Times New Roman" w:hAnsi="Times New Roman"/>
                  <w:sz w:val="18"/>
                  <w:szCs w:val="18"/>
                  <w:u w:val="single" w:color="auto"/>
                  <w:color w:val="0000FF"/>
                </w:rPr>
                <w:t>Mine Safety Disclosures</w:t>
              </w:r>
            </w:hyperlink>
          </w:p>
        </w:tc>
        <w:tc>
          <w:tcPr>
            <w:tcW w:w="7240" w:type="dxa"/>
            <w:vAlign w:val="bottom"/>
            <w:gridSpan w:val="2"/>
          </w:tcPr>
          <w:p>
            <w:pPr>
              <w:jc w:val="right"/>
              <w:spacing w:after="0"/>
              <w:rPr>
                <w:rFonts w:ascii="Times New Roman" w:cs="Times New Roman" w:eastAsia="Times New Roman" w:hAnsi="Times New Roman"/>
                <w:sz w:val="18"/>
                <w:szCs w:val="18"/>
                <w:u w:val="single" w:color="auto"/>
                <w:color w:val="0000FF"/>
              </w:rPr>
            </w:pPr>
            <w:hyperlink w:anchor="page22">
              <w:r>
                <w:rPr>
                  <w:rFonts w:ascii="Times New Roman" w:cs="Times New Roman" w:eastAsia="Times New Roman" w:hAnsi="Times New Roman"/>
                  <w:sz w:val="18"/>
                  <w:szCs w:val="18"/>
                  <w:u w:val="single" w:color="auto"/>
                  <w:color w:val="0000FF"/>
                </w:rPr>
                <w:t>21</w:t>
              </w:r>
            </w:hyperlink>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240" w:type="dxa"/>
            <w:vAlign w:val="bottom"/>
            <w:gridSpan w:val="2"/>
          </w:tcPr>
          <w:p>
            <w:pPr>
              <w:jc w:val="right"/>
              <w:ind w:right="5148"/>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200"/>
          </w:cols>
          <w:pgMar w:left="320" w:top="121" w:right="37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Item 5.</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6.</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7.</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Item 7A.</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8.</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9.</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Item 9A.</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9B.</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10.</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11.</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12.</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13.</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14.</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15.</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16.</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940" w:type="dxa"/>
            <w:vAlign w:val="bottom"/>
          </w:tcPr>
          <w:p>
            <w:pPr>
              <w:spacing w:after="0"/>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w:t>
              </w:r>
            </w:hyperlink>
          </w:p>
        </w:tc>
        <w:tc>
          <w:tcPr>
            <w:tcW w:w="1040" w:type="dxa"/>
            <w:vAlign w:val="bottom"/>
          </w:tcPr>
          <w:p>
            <w:pPr>
              <w:jc w:val="right"/>
              <w:spacing w:after="0"/>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22</w:t>
              </w:r>
            </w:hyperlink>
          </w:p>
        </w:tc>
      </w:tr>
      <w:tr>
        <w:trPr>
          <w:trHeight w:val="324"/>
        </w:trPr>
        <w:tc>
          <w:tcPr>
            <w:tcW w:w="8940" w:type="dxa"/>
            <w:vAlign w:val="bottom"/>
          </w:tcPr>
          <w:p>
            <w:pPr>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Selected Financial Data</w:t>
              </w:r>
            </w:hyperlink>
          </w:p>
        </w:tc>
        <w:tc>
          <w:tcPr>
            <w:tcW w:w="1040" w:type="dxa"/>
            <w:vAlign w:val="bottom"/>
          </w:tcPr>
          <w:p>
            <w:pPr>
              <w:jc w:val="right"/>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24</w:t>
              </w:r>
            </w:hyperlink>
          </w:p>
        </w:tc>
      </w:tr>
      <w:tr>
        <w:trPr>
          <w:trHeight w:val="324"/>
        </w:trPr>
        <w:tc>
          <w:tcPr>
            <w:tcW w:w="8940" w:type="dxa"/>
            <w:vAlign w:val="bottom"/>
          </w:tcPr>
          <w:p>
            <w:pPr>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040" w:type="dxa"/>
            <w:vAlign w:val="bottom"/>
          </w:tcPr>
          <w:p>
            <w:pPr>
              <w:jc w:val="right"/>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24</w:t>
              </w:r>
            </w:hyperlink>
          </w:p>
        </w:tc>
      </w:tr>
      <w:tr>
        <w:trPr>
          <w:trHeight w:val="324"/>
        </w:trPr>
        <w:tc>
          <w:tcPr>
            <w:tcW w:w="8940" w:type="dxa"/>
            <w:vAlign w:val="bottom"/>
          </w:tcPr>
          <w:p>
            <w:pPr>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Quantitative and Qualitative Disclosures About Market Risk</w:t>
              </w:r>
            </w:hyperlink>
          </w:p>
        </w:tc>
        <w:tc>
          <w:tcPr>
            <w:tcW w:w="1040" w:type="dxa"/>
            <w:vAlign w:val="bottom"/>
          </w:tcPr>
          <w:p>
            <w:pPr>
              <w:jc w:val="right"/>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40</w:t>
              </w:r>
            </w:hyperlink>
          </w:p>
        </w:tc>
      </w:tr>
      <w:tr>
        <w:trPr>
          <w:trHeight w:val="324"/>
        </w:trPr>
        <w:tc>
          <w:tcPr>
            <w:tcW w:w="8940" w:type="dxa"/>
            <w:vAlign w:val="bottom"/>
          </w:tcPr>
          <w:p>
            <w:pPr>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Financial Statements and Supplementary Data</w:t>
              </w:r>
            </w:hyperlink>
          </w:p>
        </w:tc>
        <w:tc>
          <w:tcPr>
            <w:tcW w:w="1040" w:type="dxa"/>
            <w:vAlign w:val="bottom"/>
          </w:tcPr>
          <w:p>
            <w:pPr>
              <w:jc w:val="right"/>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41</w:t>
              </w:r>
            </w:hyperlink>
          </w:p>
        </w:tc>
      </w:tr>
      <w:tr>
        <w:trPr>
          <w:trHeight w:val="324"/>
        </w:trPr>
        <w:tc>
          <w:tcPr>
            <w:tcW w:w="8940" w:type="dxa"/>
            <w:vAlign w:val="bottom"/>
          </w:tcPr>
          <w:p>
            <w:pPr>
              <w:spacing w:after="0"/>
              <w:rPr>
                <w:rFonts w:ascii="Times New Roman" w:cs="Times New Roman" w:eastAsia="Times New Roman" w:hAnsi="Times New Roman"/>
                <w:sz w:val="18"/>
                <w:szCs w:val="18"/>
                <w:u w:val="single" w:color="auto"/>
                <w:color w:val="0000FF"/>
              </w:rPr>
            </w:pPr>
            <w:hyperlink w:anchor="page82">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1040" w:type="dxa"/>
            <w:vAlign w:val="bottom"/>
          </w:tcPr>
          <w:p>
            <w:pPr>
              <w:jc w:val="right"/>
              <w:spacing w:after="0"/>
              <w:rPr>
                <w:rFonts w:ascii="Times New Roman" w:cs="Times New Roman" w:eastAsia="Times New Roman" w:hAnsi="Times New Roman"/>
                <w:sz w:val="18"/>
                <w:szCs w:val="18"/>
                <w:u w:val="single" w:color="auto"/>
                <w:color w:val="0000FF"/>
              </w:rPr>
            </w:pPr>
            <w:hyperlink w:anchor="page82">
              <w:r>
                <w:rPr>
                  <w:rFonts w:ascii="Times New Roman" w:cs="Times New Roman" w:eastAsia="Times New Roman" w:hAnsi="Times New Roman"/>
                  <w:sz w:val="18"/>
                  <w:szCs w:val="18"/>
                  <w:u w:val="single" w:color="auto"/>
                  <w:color w:val="0000FF"/>
                </w:rPr>
                <w:t>82</w:t>
              </w:r>
            </w:hyperlink>
          </w:p>
        </w:tc>
      </w:tr>
      <w:tr>
        <w:trPr>
          <w:trHeight w:val="324"/>
        </w:trPr>
        <w:tc>
          <w:tcPr>
            <w:tcW w:w="8940" w:type="dxa"/>
            <w:vAlign w:val="bottom"/>
          </w:tcPr>
          <w:p>
            <w:pPr>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Controls and Procedures</w:t>
              </w:r>
            </w:hyperlink>
          </w:p>
        </w:tc>
        <w:tc>
          <w:tcPr>
            <w:tcW w:w="1040" w:type="dxa"/>
            <w:vAlign w:val="bottom"/>
          </w:tcPr>
          <w:p>
            <w:pPr>
              <w:jc w:val="right"/>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82</w:t>
              </w:r>
            </w:hyperlink>
          </w:p>
        </w:tc>
      </w:tr>
      <w:tr>
        <w:trPr>
          <w:trHeight w:val="324"/>
        </w:trPr>
        <w:tc>
          <w:tcPr>
            <w:tcW w:w="8940" w:type="dxa"/>
            <w:vAlign w:val="bottom"/>
          </w:tcPr>
          <w:p>
            <w:pPr>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Other Information</w:t>
              </w:r>
            </w:hyperlink>
          </w:p>
        </w:tc>
        <w:tc>
          <w:tcPr>
            <w:tcW w:w="1040" w:type="dxa"/>
            <w:vAlign w:val="bottom"/>
          </w:tcPr>
          <w:p>
            <w:pPr>
              <w:jc w:val="right"/>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82</w:t>
              </w:r>
            </w:hyperlink>
          </w:p>
        </w:tc>
      </w:tr>
      <w:tr>
        <w:trPr>
          <w:trHeight w:val="297"/>
        </w:trPr>
        <w:tc>
          <w:tcPr>
            <w:tcW w:w="8940" w:type="dxa"/>
            <w:vAlign w:val="bottom"/>
          </w:tcPr>
          <w:p>
            <w:pPr>
              <w:ind w:left="42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040" w:type="dxa"/>
            <w:vAlign w:val="bottom"/>
          </w:tcPr>
          <w:p>
            <w:pPr>
              <w:spacing w:after="0"/>
              <w:rPr>
                <w:sz w:val="24"/>
                <w:szCs w:val="24"/>
                <w:color w:val="auto"/>
              </w:rPr>
            </w:pPr>
          </w:p>
        </w:tc>
      </w:tr>
      <w:tr>
        <w:trPr>
          <w:trHeight w:val="351"/>
        </w:trPr>
        <w:tc>
          <w:tcPr>
            <w:tcW w:w="8940" w:type="dxa"/>
            <w:vAlign w:val="bottom"/>
          </w:tcPr>
          <w:p>
            <w:pPr>
              <w:spacing w:after="0"/>
              <w:rPr>
                <w:rFonts w:ascii="Times New Roman" w:cs="Times New Roman" w:eastAsia="Times New Roman" w:hAnsi="Times New Roman"/>
                <w:sz w:val="18"/>
                <w:szCs w:val="18"/>
                <w:u w:val="single" w:color="auto"/>
                <w:color w:val="0000FF"/>
              </w:rPr>
            </w:pPr>
            <w:hyperlink w:anchor="page84">
              <w:r>
                <w:rPr>
                  <w:rFonts w:ascii="Times New Roman" w:cs="Times New Roman" w:eastAsia="Times New Roman" w:hAnsi="Times New Roman"/>
                  <w:sz w:val="18"/>
                  <w:szCs w:val="18"/>
                  <w:u w:val="single" w:color="auto"/>
                  <w:color w:val="0000FF"/>
                </w:rPr>
                <w:t>Directors, Executive Officers and Corporate Governance</w:t>
              </w:r>
            </w:hyperlink>
          </w:p>
        </w:tc>
        <w:tc>
          <w:tcPr>
            <w:tcW w:w="1040" w:type="dxa"/>
            <w:vAlign w:val="bottom"/>
          </w:tcPr>
          <w:p>
            <w:pPr>
              <w:jc w:val="right"/>
              <w:spacing w:after="0"/>
              <w:rPr>
                <w:rFonts w:ascii="Times New Roman" w:cs="Times New Roman" w:eastAsia="Times New Roman" w:hAnsi="Times New Roman"/>
                <w:sz w:val="18"/>
                <w:szCs w:val="18"/>
                <w:u w:val="single" w:color="auto"/>
                <w:color w:val="0000FF"/>
              </w:rPr>
            </w:pPr>
            <w:hyperlink w:anchor="page84">
              <w:r>
                <w:rPr>
                  <w:rFonts w:ascii="Times New Roman" w:cs="Times New Roman" w:eastAsia="Times New Roman" w:hAnsi="Times New Roman"/>
                  <w:sz w:val="18"/>
                  <w:szCs w:val="18"/>
                  <w:u w:val="single" w:color="auto"/>
                  <w:color w:val="0000FF"/>
                </w:rPr>
                <w:t>83</w:t>
              </w:r>
            </w:hyperlink>
          </w:p>
        </w:tc>
      </w:tr>
      <w:tr>
        <w:trPr>
          <w:trHeight w:val="324"/>
        </w:trPr>
        <w:tc>
          <w:tcPr>
            <w:tcW w:w="8940" w:type="dxa"/>
            <w:vAlign w:val="bottom"/>
          </w:tcPr>
          <w:p>
            <w:pPr>
              <w:spacing w:after="0"/>
              <w:rPr>
                <w:rFonts w:ascii="Times New Roman" w:cs="Times New Roman" w:eastAsia="Times New Roman" w:hAnsi="Times New Roman"/>
                <w:sz w:val="18"/>
                <w:szCs w:val="18"/>
                <w:u w:val="single" w:color="auto"/>
                <w:color w:val="0000FF"/>
              </w:rPr>
            </w:pPr>
            <w:hyperlink w:anchor="page84">
              <w:r>
                <w:rPr>
                  <w:rFonts w:ascii="Times New Roman" w:cs="Times New Roman" w:eastAsia="Times New Roman" w:hAnsi="Times New Roman"/>
                  <w:sz w:val="18"/>
                  <w:szCs w:val="18"/>
                  <w:u w:val="single" w:color="auto"/>
                  <w:color w:val="0000FF"/>
                </w:rPr>
                <w:t>Executive Compensation</w:t>
              </w:r>
            </w:hyperlink>
          </w:p>
        </w:tc>
        <w:tc>
          <w:tcPr>
            <w:tcW w:w="1040" w:type="dxa"/>
            <w:vAlign w:val="bottom"/>
          </w:tcPr>
          <w:p>
            <w:pPr>
              <w:jc w:val="right"/>
              <w:spacing w:after="0"/>
              <w:rPr>
                <w:rFonts w:ascii="Times New Roman" w:cs="Times New Roman" w:eastAsia="Times New Roman" w:hAnsi="Times New Roman"/>
                <w:sz w:val="18"/>
                <w:szCs w:val="18"/>
                <w:u w:val="single" w:color="auto"/>
                <w:color w:val="0000FF"/>
              </w:rPr>
            </w:pPr>
            <w:hyperlink w:anchor="page84">
              <w:r>
                <w:rPr>
                  <w:rFonts w:ascii="Times New Roman" w:cs="Times New Roman" w:eastAsia="Times New Roman" w:hAnsi="Times New Roman"/>
                  <w:sz w:val="18"/>
                  <w:szCs w:val="18"/>
                  <w:u w:val="single" w:color="auto"/>
                  <w:color w:val="0000FF"/>
                </w:rPr>
                <w:t>83</w:t>
              </w:r>
            </w:hyperlink>
          </w:p>
        </w:tc>
      </w:tr>
      <w:tr>
        <w:trPr>
          <w:trHeight w:val="324"/>
        </w:trPr>
        <w:tc>
          <w:tcPr>
            <w:tcW w:w="8940" w:type="dxa"/>
            <w:vAlign w:val="bottom"/>
          </w:tcPr>
          <w:p>
            <w:pPr>
              <w:spacing w:after="0"/>
              <w:rPr>
                <w:rFonts w:ascii="Times New Roman" w:cs="Times New Roman" w:eastAsia="Times New Roman" w:hAnsi="Times New Roman"/>
                <w:sz w:val="18"/>
                <w:szCs w:val="18"/>
                <w:u w:val="single" w:color="auto"/>
                <w:color w:val="0000FF"/>
              </w:rPr>
            </w:pPr>
            <w:hyperlink w:anchor="page84">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p>
        </w:tc>
        <w:tc>
          <w:tcPr>
            <w:tcW w:w="1040" w:type="dxa"/>
            <w:vAlign w:val="bottom"/>
          </w:tcPr>
          <w:p>
            <w:pPr>
              <w:jc w:val="right"/>
              <w:spacing w:after="0"/>
              <w:rPr>
                <w:rFonts w:ascii="Times New Roman" w:cs="Times New Roman" w:eastAsia="Times New Roman" w:hAnsi="Times New Roman"/>
                <w:sz w:val="18"/>
                <w:szCs w:val="18"/>
                <w:u w:val="single" w:color="auto"/>
                <w:color w:val="0000FF"/>
              </w:rPr>
            </w:pPr>
            <w:hyperlink w:anchor="page84">
              <w:r>
                <w:rPr>
                  <w:rFonts w:ascii="Times New Roman" w:cs="Times New Roman" w:eastAsia="Times New Roman" w:hAnsi="Times New Roman"/>
                  <w:sz w:val="18"/>
                  <w:szCs w:val="18"/>
                  <w:u w:val="single" w:color="auto"/>
                  <w:color w:val="0000FF"/>
                </w:rPr>
                <w:t>83</w:t>
              </w:r>
            </w:hyperlink>
          </w:p>
        </w:tc>
      </w:tr>
      <w:tr>
        <w:trPr>
          <w:trHeight w:val="324"/>
        </w:trPr>
        <w:tc>
          <w:tcPr>
            <w:tcW w:w="8940" w:type="dxa"/>
            <w:vAlign w:val="bottom"/>
          </w:tcPr>
          <w:p>
            <w:pPr>
              <w:spacing w:after="0"/>
              <w:rPr>
                <w:rFonts w:ascii="Times New Roman" w:cs="Times New Roman" w:eastAsia="Times New Roman" w:hAnsi="Times New Roman"/>
                <w:sz w:val="18"/>
                <w:szCs w:val="18"/>
                <w:u w:val="single" w:color="auto"/>
                <w:color w:val="0000FF"/>
              </w:rPr>
            </w:pPr>
            <w:hyperlink w:anchor="page84">
              <w:r>
                <w:rPr>
                  <w:rFonts w:ascii="Times New Roman" w:cs="Times New Roman" w:eastAsia="Times New Roman" w:hAnsi="Times New Roman"/>
                  <w:sz w:val="18"/>
                  <w:szCs w:val="18"/>
                  <w:u w:val="single" w:color="auto"/>
                  <w:color w:val="0000FF"/>
                </w:rPr>
                <w:t>Certain Relationships and Related Transactions, and Director Independence</w:t>
              </w:r>
            </w:hyperlink>
          </w:p>
        </w:tc>
        <w:tc>
          <w:tcPr>
            <w:tcW w:w="1040" w:type="dxa"/>
            <w:vAlign w:val="bottom"/>
          </w:tcPr>
          <w:p>
            <w:pPr>
              <w:jc w:val="right"/>
              <w:spacing w:after="0"/>
              <w:rPr>
                <w:rFonts w:ascii="Times New Roman" w:cs="Times New Roman" w:eastAsia="Times New Roman" w:hAnsi="Times New Roman"/>
                <w:sz w:val="18"/>
                <w:szCs w:val="18"/>
                <w:u w:val="single" w:color="auto"/>
                <w:color w:val="0000FF"/>
              </w:rPr>
            </w:pPr>
            <w:hyperlink w:anchor="page84">
              <w:r>
                <w:rPr>
                  <w:rFonts w:ascii="Times New Roman" w:cs="Times New Roman" w:eastAsia="Times New Roman" w:hAnsi="Times New Roman"/>
                  <w:sz w:val="18"/>
                  <w:szCs w:val="18"/>
                  <w:u w:val="single" w:color="auto"/>
                  <w:color w:val="0000FF"/>
                </w:rPr>
                <w:t>83</w:t>
              </w:r>
            </w:hyperlink>
          </w:p>
        </w:tc>
      </w:tr>
      <w:tr>
        <w:trPr>
          <w:trHeight w:val="324"/>
        </w:trPr>
        <w:tc>
          <w:tcPr>
            <w:tcW w:w="8940" w:type="dxa"/>
            <w:vAlign w:val="bottom"/>
          </w:tcPr>
          <w:p>
            <w:pPr>
              <w:spacing w:after="0"/>
              <w:rPr>
                <w:rFonts w:ascii="Times New Roman" w:cs="Times New Roman" w:eastAsia="Times New Roman" w:hAnsi="Times New Roman"/>
                <w:sz w:val="18"/>
                <w:szCs w:val="18"/>
                <w:u w:val="single" w:color="auto"/>
                <w:color w:val="0000FF"/>
              </w:rPr>
            </w:pPr>
            <w:hyperlink w:anchor="page84">
              <w:r>
                <w:rPr>
                  <w:rFonts w:ascii="Times New Roman" w:cs="Times New Roman" w:eastAsia="Times New Roman" w:hAnsi="Times New Roman"/>
                  <w:sz w:val="18"/>
                  <w:szCs w:val="18"/>
                  <w:u w:val="single" w:color="auto"/>
                  <w:color w:val="0000FF"/>
                </w:rPr>
                <w:t>Principal Accounting Fees and Services</w:t>
              </w:r>
            </w:hyperlink>
          </w:p>
        </w:tc>
        <w:tc>
          <w:tcPr>
            <w:tcW w:w="1040" w:type="dxa"/>
            <w:vAlign w:val="bottom"/>
          </w:tcPr>
          <w:p>
            <w:pPr>
              <w:jc w:val="right"/>
              <w:spacing w:after="0"/>
              <w:rPr>
                <w:rFonts w:ascii="Times New Roman" w:cs="Times New Roman" w:eastAsia="Times New Roman" w:hAnsi="Times New Roman"/>
                <w:sz w:val="18"/>
                <w:szCs w:val="18"/>
                <w:u w:val="single" w:color="auto"/>
                <w:color w:val="0000FF"/>
              </w:rPr>
            </w:pPr>
            <w:hyperlink w:anchor="page84">
              <w:r>
                <w:rPr>
                  <w:rFonts w:ascii="Times New Roman" w:cs="Times New Roman" w:eastAsia="Times New Roman" w:hAnsi="Times New Roman"/>
                  <w:sz w:val="18"/>
                  <w:szCs w:val="18"/>
                  <w:u w:val="single" w:color="auto"/>
                  <w:color w:val="0000FF"/>
                </w:rPr>
                <w:t>83</w:t>
              </w:r>
            </w:hyperlink>
          </w:p>
        </w:tc>
      </w:tr>
      <w:tr>
        <w:trPr>
          <w:trHeight w:val="297"/>
        </w:trPr>
        <w:tc>
          <w:tcPr>
            <w:tcW w:w="8940" w:type="dxa"/>
            <w:vAlign w:val="bottom"/>
          </w:tcPr>
          <w:p>
            <w:pPr>
              <w:ind w:left="42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040" w:type="dxa"/>
            <w:vAlign w:val="bottom"/>
          </w:tcPr>
          <w:p>
            <w:pPr>
              <w:spacing w:after="0"/>
              <w:rPr>
                <w:sz w:val="24"/>
                <w:szCs w:val="24"/>
                <w:color w:val="auto"/>
              </w:rPr>
            </w:pPr>
          </w:p>
        </w:tc>
      </w:tr>
      <w:tr>
        <w:trPr>
          <w:trHeight w:val="351"/>
        </w:trPr>
        <w:tc>
          <w:tcPr>
            <w:tcW w:w="8940" w:type="dxa"/>
            <w:vAlign w:val="bottom"/>
          </w:tcPr>
          <w:p>
            <w:pPr>
              <w:spacing w:after="0"/>
              <w:rPr>
                <w:rFonts w:ascii="Times New Roman" w:cs="Times New Roman" w:eastAsia="Times New Roman" w:hAnsi="Times New Roman"/>
                <w:sz w:val="18"/>
                <w:szCs w:val="18"/>
                <w:u w:val="single" w:color="auto"/>
                <w:color w:val="0000FF"/>
              </w:rPr>
            </w:pPr>
            <w:hyperlink w:anchor="page85">
              <w:r>
                <w:rPr>
                  <w:rFonts w:ascii="Times New Roman" w:cs="Times New Roman" w:eastAsia="Times New Roman" w:hAnsi="Times New Roman"/>
                  <w:sz w:val="18"/>
                  <w:szCs w:val="18"/>
                  <w:u w:val="single" w:color="auto"/>
                  <w:color w:val="0000FF"/>
                </w:rPr>
                <w:t>Exhibits and Financial Statement Schedules</w:t>
              </w:r>
            </w:hyperlink>
          </w:p>
        </w:tc>
        <w:tc>
          <w:tcPr>
            <w:tcW w:w="1040" w:type="dxa"/>
            <w:vAlign w:val="bottom"/>
          </w:tcPr>
          <w:p>
            <w:pPr>
              <w:jc w:val="right"/>
              <w:spacing w:after="0"/>
              <w:rPr>
                <w:rFonts w:ascii="Times New Roman" w:cs="Times New Roman" w:eastAsia="Times New Roman" w:hAnsi="Times New Roman"/>
                <w:sz w:val="18"/>
                <w:szCs w:val="18"/>
                <w:u w:val="single" w:color="auto"/>
                <w:color w:val="0000FF"/>
              </w:rPr>
            </w:pPr>
            <w:hyperlink w:anchor="page85">
              <w:r>
                <w:rPr>
                  <w:rFonts w:ascii="Times New Roman" w:cs="Times New Roman" w:eastAsia="Times New Roman" w:hAnsi="Times New Roman"/>
                  <w:sz w:val="18"/>
                  <w:szCs w:val="18"/>
                  <w:u w:val="single" w:color="auto"/>
                  <w:color w:val="0000FF"/>
                </w:rPr>
                <w:t>84</w:t>
              </w:r>
            </w:hyperlink>
          </w:p>
        </w:tc>
      </w:tr>
      <w:tr>
        <w:trPr>
          <w:trHeight w:val="324"/>
        </w:trPr>
        <w:tc>
          <w:tcPr>
            <w:tcW w:w="8940" w:type="dxa"/>
            <w:vAlign w:val="bottom"/>
          </w:tcPr>
          <w:p>
            <w:pPr>
              <w:spacing w:after="0"/>
              <w:rPr>
                <w:rFonts w:ascii="Times New Roman" w:cs="Times New Roman" w:eastAsia="Times New Roman" w:hAnsi="Times New Roman"/>
                <w:sz w:val="18"/>
                <w:szCs w:val="18"/>
                <w:u w:val="single" w:color="auto"/>
                <w:color w:val="0000FF"/>
              </w:rPr>
            </w:pPr>
            <w:hyperlink w:anchor="page87">
              <w:r>
                <w:rPr>
                  <w:rFonts w:ascii="Times New Roman" w:cs="Times New Roman" w:eastAsia="Times New Roman" w:hAnsi="Times New Roman"/>
                  <w:sz w:val="18"/>
                  <w:szCs w:val="18"/>
                  <w:u w:val="single" w:color="auto"/>
                  <w:color w:val="0000FF"/>
                </w:rPr>
                <w:t>Form 10-K Summary</w:t>
              </w:r>
            </w:hyperlink>
          </w:p>
        </w:tc>
        <w:tc>
          <w:tcPr>
            <w:tcW w:w="1040" w:type="dxa"/>
            <w:vAlign w:val="bottom"/>
          </w:tcPr>
          <w:p>
            <w:pPr>
              <w:jc w:val="right"/>
              <w:spacing w:after="0"/>
              <w:rPr>
                <w:rFonts w:ascii="Times New Roman" w:cs="Times New Roman" w:eastAsia="Times New Roman" w:hAnsi="Times New Roman"/>
                <w:sz w:val="18"/>
                <w:szCs w:val="18"/>
                <w:u w:val="single" w:color="auto"/>
                <w:color w:val="0000FF"/>
              </w:rPr>
            </w:pPr>
            <w:hyperlink w:anchor="page87">
              <w:r>
                <w:rPr>
                  <w:rFonts w:ascii="Times New Roman" w:cs="Times New Roman" w:eastAsia="Times New Roman" w:hAnsi="Times New Roman"/>
                  <w:sz w:val="18"/>
                  <w:szCs w:val="18"/>
                  <w:u w:val="single" w:color="auto"/>
                  <w:color w:val="0000FF"/>
                </w:rPr>
                <w:t>86</w:t>
              </w:r>
            </w:hyperlink>
          </w:p>
        </w:tc>
      </w:tr>
    </w:tbl>
    <w:p>
      <w:pPr>
        <w:spacing w:after="0" w:line="200" w:lineRule="exact"/>
        <w:rPr>
          <w:sz w:val="20"/>
          <w:szCs w:val="20"/>
          <w:color w:val="auto"/>
        </w:rPr>
      </w:pPr>
    </w:p>
    <w:p>
      <w:pPr>
        <w:sectPr>
          <w:pgSz w:w="11900" w:h="16838" w:orient="portrait"/>
          <w:cols w:equalWidth="0" w:num="2">
            <w:col w:w="660" w:space="540"/>
            <w:col w:w="10000"/>
          </w:cols>
          <w:pgMar w:left="320" w:top="121" w:right="37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within the meaning of Section 27A of the Securities Act of 1933, as amended, and Section 21E of the Securities Exchange Act of 1934, as amended. All statements, other than statements of historical facts, included in this Annual Report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forward-looking statements include, among others, such things as:</w:t>
      </w:r>
    </w:p>
    <w:p>
      <w:pPr>
        <w:spacing w:after="0" w:line="171" w:lineRule="exact"/>
        <w:rPr>
          <w:sz w:val="20"/>
          <w:szCs w:val="20"/>
          <w:color w:val="auto"/>
        </w:rPr>
      </w:pPr>
    </w:p>
    <w:p>
      <w:pPr>
        <w:ind w:left="660" w:right="4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from operations, access our credit facility, or raise cash in order to meet our short and long-term capital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of changes in crude oil, natural gas and other commodity prices;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of the COVID-19 pandemic;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and nature of future revenue and margins from each of our segments;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the industries we serve;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likely impact of new or existing regulations or market forces on the demand for our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likelihood of a future impairment;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other trends of the industries we serve;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in our credit agreement.</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26" w:lineRule="exact"/>
        <w:rPr>
          <w:sz w:val="20"/>
          <w:szCs w:val="20"/>
          <w:color w:val="auto"/>
        </w:rPr>
      </w:pPr>
    </w:p>
    <w:p>
      <w:pPr>
        <w:ind w:left="660" w:right="8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factors discussed in Item 1A of this Annual Report and listed from time to time in our filings with the Securities and Exchange Commission;</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or business conditions in general (including the length and severity of the current economic slowdown) and in the oil, natural gas, power, agricultural and mining industries in particular;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to renewable energy sources and its impact on our current customer base;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 or over-utilization of our work force;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or progression of major projects, whether due to COVID-19 concerns, permitting issues or other factors;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creditworthiness of our customer base and the higher risk of non-payment of receivables due to volatility of crude oil, natural gas, and other commodity prices to which our customers' businesses are affected;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inherently uncertain outcome of current and future litigation;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reserves for claims and contingencies;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including the imposition, cancellation or delay of tariffs on imported goods;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many of which are beyond our control.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Consequently, all of the forward-looking statements made in this Annual Report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began operations in 1984 as an Oklahoma corporation under the name of Matrix Service. In 1989, we incorporated in the State of Delaware under the name of Matrix Service Company. We provide engineering, fabrication, infrastructure, construction, and maintenance services primarily to the oil, gas, power, petrochemical, industrial, agricultural, mining and minerals markets. We also sell products for crude oil and refined product aboveground storage tanks. We maintain regional offices throughout the United States, Canada and other international locations, and operate through separate union and merit subsidiaries.</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licensed to operate in all 50 states, in four Canadian provinces and in other international locations. Our principal executive offices are located at 5100 E. Skelly Drive, Suite 500, Tulsa, Oklahoma 74135. Our telephone number is (918) 838-8822. Unless the context otherwise requires, all references herein to “Matrix Service Company”, “Matrix”, the “Company” or to “we”, “our”, and “us” are to Matrix Service Company and its subsidiaries.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we have an obligation to better the world in which we live and work – to do today’s work in a manner that advances and protects tomorrow’s world for future generations. Across the ideals of environmental stewardship, social responsibility, and governance, we are committed to ensuring our business strategies, policies, and practices align with sustainability goals where we can have the greatest impact globally and in our own local communities. We are committed to fulfilling our purpose today by safely engineering, constructing, and maintaining essential infrastructure that provides a better, brighter future for tomorrow.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ACCESS TO REPORTS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public website is </w:t>
      </w:r>
      <w:r>
        <w:rPr>
          <w:rFonts w:ascii="Times New Roman" w:cs="Times New Roman" w:eastAsia="Times New Roman" w:hAnsi="Times New Roman"/>
          <w:sz w:val="18"/>
          <w:szCs w:val="18"/>
          <w:u w:val="single" w:color="auto"/>
          <w:color w:val="auto"/>
        </w:rPr>
        <w:t>matrixservicecompany.com</w:t>
      </w:r>
      <w:r>
        <w:rPr>
          <w:rFonts w:ascii="Times New Roman" w:cs="Times New Roman" w:eastAsia="Times New Roman" w:hAnsi="Times New Roman"/>
          <w:sz w:val="18"/>
          <w:szCs w:val="18"/>
          <w:color w:val="auto"/>
        </w:rPr>
        <w:t>. We make available free of charge through the "Investor Relations" section of our website our annual reports to stockholders,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Securities and Exchange Commission ("SEC"). Any materials we file with or furnish to the SEC are also maintained on the SEC website (</w:t>
      </w:r>
      <w:r>
        <w:rPr>
          <w:rFonts w:ascii="Times New Roman" w:cs="Times New Roman" w:eastAsia="Times New Roman" w:hAnsi="Times New Roman"/>
          <w:sz w:val="18"/>
          <w:szCs w:val="18"/>
          <w:u w:val="single" w:color="auto"/>
          <w:color w:val="auto"/>
        </w:rPr>
        <w:t>sec.gov</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on our website, or available by hyperlink from our website, is not incorporated into this Form 10-K or other documents we file with, or furnish to, the SEC. We intend to use our website as a means of disclosing material non-public information and for complying with our disclosure obligations under Regulation FD. Such disclosures will be included on our website in the "Investor Relations" section. Investors should monitor such portions of our website for press releases, investor presentations, SEC filings and public conference calls and webcasts.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not our primary means of communication, investors can also learn more about the Company by visiting our social media channels. We encourage investors, the media, and others interested in Matrix to review the information posted by the Company on its Facebook site (</w:t>
      </w:r>
      <w:r>
        <w:rPr>
          <w:rFonts w:ascii="Times New Roman" w:cs="Times New Roman" w:eastAsia="Times New Roman" w:hAnsi="Times New Roman"/>
          <w:sz w:val="18"/>
          <w:szCs w:val="18"/>
          <w:u w:val="single" w:color="auto"/>
          <w:color w:val="auto"/>
        </w:rPr>
        <w:t>facebook.com/matrixservicecompany</w:t>
      </w:r>
      <w:r>
        <w:rPr>
          <w:rFonts w:ascii="Times New Roman" w:cs="Times New Roman" w:eastAsia="Times New Roman" w:hAnsi="Times New Roman"/>
          <w:sz w:val="18"/>
          <w:szCs w:val="18"/>
          <w:color w:val="auto"/>
        </w:rPr>
        <w:t>), the company LinkedIn account (</w:t>
      </w:r>
      <w:r>
        <w:rPr>
          <w:rFonts w:ascii="Times New Roman" w:cs="Times New Roman" w:eastAsia="Times New Roman" w:hAnsi="Times New Roman"/>
          <w:sz w:val="18"/>
          <w:szCs w:val="18"/>
          <w:u w:val="single" w:color="auto"/>
          <w:color w:val="auto"/>
        </w:rPr>
        <w:t>linkedin.com/company/matrix-service-company</w:t>
      </w:r>
      <w:r>
        <w:rPr>
          <w:rFonts w:ascii="Times New Roman" w:cs="Times New Roman" w:eastAsia="Times New Roman" w:hAnsi="Times New Roman"/>
          <w:sz w:val="18"/>
          <w:szCs w:val="18"/>
          <w:color w:val="auto"/>
        </w:rPr>
        <w:t>) and the company twitter account (</w:t>
      </w:r>
      <w:r>
        <w:rPr>
          <w:rFonts w:ascii="Times New Roman" w:cs="Times New Roman" w:eastAsia="Times New Roman" w:hAnsi="Times New Roman"/>
          <w:sz w:val="18"/>
          <w:szCs w:val="18"/>
          <w:u w:val="single" w:color="auto"/>
          <w:color w:val="auto"/>
        </w:rPr>
        <w:t>twitter.com/matrixserviceco</w:t>
      </w:r>
      <w:r>
        <w:rPr>
          <w:rFonts w:ascii="Times New Roman" w:cs="Times New Roman" w:eastAsia="Times New Roman" w:hAnsi="Times New Roman"/>
          <w:sz w:val="18"/>
          <w:szCs w:val="18"/>
          <w:color w:val="auto"/>
        </w:rPr>
        <w:t>). Investors, the media or other interested parties can subscribe to the twitter feed at the address listed above.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2020, we operated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Electrical Infrastructure segment consists of power delivery services provided to investor owned utilities, including construction of new substations, upgrades of existing substations, short-run transmission line installations, distribution upgrades and maintenance, as well as emergency and storm restoration services. We also provide construction and maintenance services to a variety of power generation facilities, such as combined cycle plants and other natural gas fired power stations.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Oil Gas &amp; Chemical segment serves customers primarily in the downstream and midstream petroleum industries who are engaged in refining crude oil and processing, fractionating, and marketing of natural gas and natural gas liquids. We also perform work in the petrochemical, and sulfur extraction, recovery and processing markets. Our services include plant maintenance, turnarounds, engineering and capital construction. We also offer industrial cleaning services, including hydro-blasting, hydro-excavating, advanced chemical cleaning and vacuum services.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Storage Solutions segment consists of work related to aboveground storage tanks ("AST") and terminals. Also included in this segment are cryogenic and other specialty storage tanks and terminals including liquefied natural gas, liquid nitrogen/liquid oxygen, liquid petroleum and other specialty vessels such as spheres as well as marine structures and truck and rail loading/offloading facilities. Our services include engineering, fabrication and construction, and maintenance and repair, which includes planned and emergency services for both tanks and full terminals. Finally, we offer AST products, including geodesic domes, aluminum internal floating roofs, floating suction and skimmer systems, roof drain systems and floating roof seals.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Industrial segment consists of work for various industries, including major mining and minerals companies engaged primarily in the extraction of non-ferrous metals, aerospace and defense, cement, agriculture, and various industrial facilities. Our services include engineering, fabrication and construction, and maintenance and repair, which includes planned and emergency services. We also design instrumentation and control systems and offer specialized expertise in the design and construction of bulk material handling systems.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changing markets facing our clients and to better align the financial reporting of the Company with our long-term strategic growth areas, we are changing our reporting segments. Beginning in fiscal 2021, the Company’s financial results will be reported under the following three segments: Utility and Power Infrastructure; Process and Industrial Facilities; and Storage and Terminal Solutions. The services provided by each of these segments is described below.</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Utility and Power Infrastructure segment includes services provided in power delivery and power generation, as well as natural gas utility peak shaving. This segment is similar to the former Electrical Infrastructure segment described above, but includes natural gas utility peak shaving facilities that have been historically reported in the Storage Solutions segment.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Process and Industrial Facilities segment includes engineering, maintenance, turnarounds and capital projects for the refining, chemical and petrochemical industries; midstream natural gas processing; other industrial processing facilities including biofuels, fertilizer, and sulfur; mining and minerals infrastructure; and thermal vacuum chambers. This segment is similar to the former Oil Gas &amp; Chemical segment described above, but includes mining and minerals, thermal vacuum chambers, and work in other industrial facilities which were historically reported in the Industrial segment.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Storage and Terminal Solutions segment includes engineering, construction, maintenance and repair for aboveground storage tanks and terminals; LNG facilities for import/export fueling and bunkering; NGL and other specialty vessels; aboveground storage tank products; and other renewable energy storage and terminal solutions. This segment is similar to the former Storage Solutions segment described above, but does not include the natural gas utility peak shaving facilities, which will be reported as part of the Utility and Power Infrastructure segment.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Marketing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provided services to approximately 500 customers in fiscal 2020. Most of our revenue comes from long-term customer relationships. None of our customers individually accounted for more than 10% of our consolidated revenue in fiscal 2020. However, within our operating segments we do have customer concentrations of varying degrees. See Part II, Item 8. Financial Statement and Supplementary Data, Note 13 - Segment Information for more information about concentration of revenue by segment.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Matrix markets its services and products primarily through its marketing and business development personnel, senior professional staff and its operating management. We competitively bid most of our projects; however, we have a number of preferred provider relationships with customers who award us work through long-term agreements. Our projects have durations ranging from a few days to multiple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compete with local, regional, national and international contractors and service providers. Competitors vary with the markets we serve with few competitors competing in all of the markets we serve or in all of the services we provide. Contracts are generally awarded based on price, quality, safety performance, schedule, experience and customer satisfaction.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define backlog as the total dollar amount of revenue that we expect to recognize as a result of performing work that has been awarded to us through a signed contract, limited notice to proceed or other type of assurance that we consider firm. The following arrangements are considered firm:</w:t>
      </w:r>
    </w:p>
    <w:p>
      <w:pPr>
        <w:spacing w:after="0" w:line="10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fixed-price awards;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customer commitments on cost plus arrangements; and</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time and material arrangements in which the estimated value is firm or can be estimated with a reasonable amount of certainty in both timing and amounts.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long-term maintenance contracts with no minimum commitments and other established customer agreements, we include only the amounts that we expect to recognize as revenue over the next 12 months. For arrangements in which we have received a limited notice to proceed, we include the entire scope of work in our backlog if we conclude that the likelihood of the full project proceeding as high. For all other arrangements, we calculate backlog as the estimated contract amount less revenue recognized as of the reporting date.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our backlog in fiscal 2020: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Electrical</w:t>
            </w:r>
          </w:p>
        </w:tc>
        <w:tc>
          <w:tcPr>
            <w:tcW w:w="2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Oil Gas &amp;</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240" w:type="dxa"/>
            <w:vAlign w:val="bottom"/>
          </w:tcPr>
          <w:p>
            <w:pPr>
              <w:spacing w:after="0"/>
              <w:rPr>
                <w:sz w:val="13"/>
                <w:szCs w:val="13"/>
                <w:color w:val="auto"/>
              </w:rPr>
            </w:pPr>
          </w:p>
        </w:tc>
        <w:tc>
          <w:tcPr>
            <w:tcW w:w="102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 as of June 30,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1,098,349</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awards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859,529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 cancellations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(98,475)</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(1,100,938)</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 as of June 30,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576,704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758,465</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Book-to-bill ratio</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256540</wp:posOffset>
            </wp:positionV>
            <wp:extent cx="796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both"/>
        <w:ind w:left="580" w:hanging="329"/>
        <w:spacing w:after="0" w:line="252"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Industrial cancellations related to the deterioration of our relationship with a key customer in the iron and steel industry and the subsequent cancellation of work, the cancellation of a coke battery project in Canada, and cancellation of work due to the final wind-down of our domestic iron and steel maintenance business following our strategic decision to exit the business. Cancellations in the Oil Gas &amp; Chemical segment consist of turnaround work transferred to a local contractor as a result of COVID-19 precautions.</w:t>
      </w:r>
    </w:p>
    <w:p>
      <w:pPr>
        <w:spacing w:after="0" w:line="1" w:lineRule="exact"/>
        <w:rPr>
          <w:rFonts w:ascii="Times New Roman" w:cs="Times New Roman" w:eastAsia="Times New Roman" w:hAnsi="Times New Roman"/>
          <w:sz w:val="16"/>
          <w:szCs w:val="16"/>
          <w:color w:val="auto"/>
        </w:rPr>
      </w:pPr>
    </w:p>
    <w:p>
      <w:pPr>
        <w:ind w:left="580" w:hanging="329"/>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project awards by revenue recognized.</w:t>
      </w:r>
    </w:p>
    <w:p>
      <w:pPr>
        <w:spacing w:after="0" w:line="3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impact of the COVID-19 pandemic and current market uncertainty, our customers have remained cautious with their spending levels. Therefore, we have seen deferrals in award dates across the business and lengthening award cycles. In the Oil Gas &amp; Chemical segment, we saw a shift in the timing of turnarounds and lower levels of maintenance work. The updated start dates on many of the delayed activities is uncertain and will depend on the needs of our clients, safety guidelines, and the market. See Item 1A, Risk Factors Related to our Business, for more information about the risks we face as a result of the COVID-19 pandemic.</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Project awards in all segments are cyclical and are typically the result of a sales process that can take several months to complete. Backlog volatility may increase for some segments from time to time when individual project awards are less frequent, but more significant. We expect to recognize approximately 72% of our total backlog reported as of June 30, 2020 as revenue within fiscal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Other Factors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factors impacting operating results in all segments come from decreased work volumes during holidays,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overhead cost structure is generally fixed. Significant fluctuations in revenue volumes usually leads to over or under recovery of fixed overhead costs, which can have a material impact on our gross margin and profitability.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Sources and Availability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Steel plate and steel pipe are key materials used by the Company. Supplies of these materials are available throughout the United States and globally from numerous sources. We anticipate that adequate amounts of these materials will be available in the foreseeable future. However, the price, quantity, and the delivery schedules of these materials could change rapidly due to various factors, including producer capacity, the level of imports, worldwide demand, tariffs on imported goods and other market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Typically our contracts require us to indemnify our customers for injury, damage or loss arising from the performance of our services and provide warranties for materials.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There can be no assurance that our insurance and the additional insurance coverage provided by our subcontractors will fully protect us against a valid claim or loss under the contracts with our customers.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2020, the Company had approximately 2,900 employees of which approximately 850 were employed in non-field positions and 2,050 were employed in field or shop positions. The number of employees varies significantly throughout the year because of the number, type and size of projects we have in progress at any particular time. The Covid-19 pandemic has negatively impacted the volume of our work and as a result, the number of employees is significantly lower than in normal periods where employee counts can range from 4,000 to 5,000.</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subsidiaries include both merit and union companies. The union businesses operate under collective bargaining agreements with various unions representing different groups of our employees. Union agreements provide union employees with benefits including health and welfare, pension, training programs and competitive compensation plans. We have not experienced any strikes or work stoppages in recent years. We maintain health and welfare, retirement and training programs for our merit employees and administrative personnel.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Technology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Matrix Service Company’s subsidiaries have several patents and patents pending, and continue to pursue new ideas and innovations to better serve our customers in several areas of our business. The Flex-A-Span® and Flex-A-Seal® trademarks are utilized to market the Company’s unique seals for floating roof tanks. The FastFroth® trademark is utilized to market the Company’s unique industrial cleaning process. Our patented RS 1000 Tank Mixer controls sludge build-up in crude oil tanks through resuspension. The Flexible Fluid Containment System patent covers a system that captures and contains flue leaking from pipe and valve connections. The Flex-A-Swivel patent refers to our unique pipe swivel joint assembly. Our patent for Spacerless or Geocomposite Double Bottom for Storage Tanks relates to a replacement bottom with leak detection and containment that allows for the retrofitting of an existing tank while minimizing the loss of capacity. The patent for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Training Tank for Personnel Entry, Exit and Rescue relates to a training device that can be used to train personnel on equipment that is made to simulate confined space scenarios.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holds a perpetual license to use various patents and technologies related to LNG storage tanks, liquid nitrogen/liquid oxygen storage tanks, liquid petroleum gas storage tanks and thermal vacuum chambers.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Company’s intellectual property is not its main business, we believe that the ability to use these patents and technology enables us to expand our presence in the markets we serve and minimizes the development costs typically associated with organic growth.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 Regulations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are subject to regulation by the U.S. Occupational Safety and Health Administration (“OSHA”) and Mine Safety and Health Administration (“MSHA”), the U.S. Department of Transportation, and to regulation under state laws and by the Canadian Workers’ Compensation Board and its Workplace Health, Safety and Compensation Commission. Regulations promulgated by these agencies require employers and independent contractors to implement work practices, medical surveillance systems and personnel protection programs to protect employees from workplace hazards and exposure to hazardous chemicals and materials. In recognition of the potential for accidents within various scopes of work, these agencies have enacted strict and comprehensive safety regulations. The Company has established and consistently reinforces and monitors compliance with comprehensive programs intended to ensure that it complies with all applicable health and safety regulations to protect the safety of its workers, subcontractors and customers. While the Company believes that it operates safely and prudently, there can be no assurance that accidents will not occur or that the Company will not incur substantial liability in connection with the operation of its businesses. In order to minimize the financial exposure resulting from potential accidents associated with the Company's work, the Company maintains liability insurance to limit losses that could result from our work.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we have an obligation to better the world in which we live and work – to do today’s work in a manner that advances and protects tomorrow’s world for future generations. Across our organization, from our project sites to our offices, the Company is committed to environmental stewardship and to continuously seeking better, more sustainable ways to perform our work in existing and new markets, including renewables.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operations and the operations of its customers are subject to extensive and changing environmental laws and regulations. These laws and regulations relate primarily to air and water pollutants and the management and disposal of hazardous materials. The Company is exposed to potential liability for personal injury or property damage caused by any release, spill, exposure or other accident involving such pollutants, substances or hazardous materials.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order to limit costs incurred as a result of environmental exposure, the Company maintains contractor’s pollution liability insurance that covers liability that may be incurred as a result of accidental releases of hazardous materials.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believes that it is currently in compliance, in all material aspects, with all applicable environmental laws and regulations. The Company does not expect any material charges in subsequent periods relating to environmental conditions that currently exist and does not currently foresee any significant future capital spending relating to environmental matters.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1"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color w:val="auto"/>
        </w:rPr>
        <w:t>The following risk factors should be considered with the other information included in this Annual Report on Form 10-K. As we operate in a continuously changing environment, other risk factors may emerge which could have a material adverse effect on our results of operations, financial condition and cash flow.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Related to Our Business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recent COVID-19 pandemic and related economic repercussions have had, and are expected to continue to have, a significant impact on our business, and depending on the duration of the pandemic and its effect on the oil and gas and other industries, could have a material adverse effect on our business, liquidity, results of operations and financial condition.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COVID-19 pandemic and related economic repercussions have created significant volatility, uncertainty, and turmoil in the industries we serve. These events have directly affected our business and have exacerbated the potential negative impact from many of the other risk factors described in this section, including those relating to our customers’ capital spending and trends in oil and natural gas prices.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Given the nature and significance of the events described above, we are not able to enumerate all potential risks to our business; however, we believe potential impacts of these recent events include, but are not limited to:</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 to our supply chain for raw materials essential to our business;</w:t>
      </w:r>
    </w:p>
    <w:p>
      <w:pPr>
        <w:spacing w:after="0" w:line="25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from customers, suppliers and other third parties arguing that their non-performance under our contracts with them is permitted as a result of force majeure or other reasons;</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challenges, including impacts related to delayed customer payments and payment defaults associated with customer liquidity issues and bankruptcies;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need to preserve liquidity, which could result in a delay or change in our capital investment plan;</w:t>
      </w:r>
    </w:p>
    <w:p>
      <w:pPr>
        <w:spacing w:after="0" w:line="25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issues, as digital technologies may become more vulnerable and experience a higher rate of cyberattacks in the current environment of remote connectivity;</w:t>
      </w:r>
    </w:p>
    <w:p>
      <w:pPr>
        <w:spacing w:after="0" w:line="188"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 and possible loss contingencies related to COVID-19 and its impact, including with respect to commercial contracts, employee matters and insurance arrangements;</w:t>
      </w:r>
    </w:p>
    <w:p>
      <w:pPr>
        <w:spacing w:after="0" w:line="18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our workforce to adjust to market conditions, including severance payments, retention issues, and an inability to hire employees when market conditions improve;</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rationalization of our portfolio of real estate facilities, including exit of leases and facility closures to align with expected activity and workforce capacity;</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asset impairments, including an impairment of the carrying value of our goodwill or other intangible assets, along with other accounting charges as demand for our services and products decreases;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infections and quarantining of our employees and the personnel of our customers, suppliers and other third parties in areas in which we operate;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undertaken by national, regional and local governments and health officials to contain the virus or treat its effects;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structural shift in the global economy as a result of changes in the way people work, travel and interact, or in connection with a global recession.</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dynamic nature of these events, we cannot reasonably estimate the period of time that the COVID-19 pandemic and related market conditions will persist, the full extent of the impact they will have on our business, financial condition, results of operations or cash flows or the pace or extent of any subsequent recovery.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confluence of events described above may have a significant impact on our business, and depending on the duration of the pandemic and its effect on the industries we serve, could have, a material adverse effect on our business, liquidity, consolidated results of operations and consolidated financial condition. For more information, see “Management’s Discussion and Analysis of Financial Condition and Results of Operations, Results of Operations - Operational Update.”</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Unsatisfactory safety performance may subject us to penalties, affect customer relationships, result in higher operating costs, negatively impact employee morale and result in higher employee turnover.</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projects are conducted at a variety of sites including construction sites and industrial facilities. With each location, hazards are part of the day to day exposures that we must manage on a continuous basis to ensure our employees return home from work the same way they arrived. We understand that everyone plays a role with safety and everyone can make a difference with their active participation. With our proactive approach, our strategy is to identify the exposures and correct them before they result in an incident whether that involves an injury, damage or destruction of property, plant and equipment or an environmental impact. We are intensely focused on maintaining a strong safety culture and strive for zero incidents.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taken what we believe are appropriate precautions to adequately train and equip our employees, we have experienced serious accidents, including fatalities, in the past and may experience additional accidents in the future. Serious accidents may subject us to penalties, civil litigation or criminal prosecution. Claims for damages to persons, including claims for bodily injury or loss of life, could result in costs and liabilities, which could materially and adversely affect our financial condition, results of operations or cash flows. Poor safety performance could also jeopardize our relationships with our customers and increase our insurance premiums.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could be negatively impacted if we are not able to maintain appropriate utilization of our workforce.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extent to which we utilize our workforce affects our profitability. If we under utilize our workforce, our project gross margins and overall profitability suffer in the short-term. If we over utilize our workforce, we may negatively impact safety, employee satisfaction and project execution, which could result in a decline in future project awards. The utilization of our workforce is impacted by numerous factors including:</w:t>
      </w:r>
    </w:p>
    <w:p>
      <w:pPr>
        <w:spacing w:after="0" w:line="12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the headcount requirements for various operating units based upon our forecast of the demand for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talent base and manage attrition;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productivity;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schedule our portfolio of projects to efficiently utilize our employees and minimize downtime between project assignments;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invest time and resources into functions such as training, business development, employee recruiting, and sales that are not chargeable to customer projects.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inability to attract and retain qualified personnel, and in particular, engineers, project managers, and skilled craft workers, could impact our ability to perform on our contracts, which could harm our business and impair our future revenue and profitability.</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attract and retain qualified engineers, project managers, skilled craftsmen and other experienced professionals in accordance with our needs is an important factor in our ability to maintain profitability and grow our business. The market for these professionals is competitive, particularly during periods of economic growth when the supply is limited. We cannot provide any assurance that we will be successful in our efforts to retain or attract qualified personnel when needed. Therefore, when we anticipate or experience growing demand for our services, we may incur additional cost to maintain a professional staff in excess of our current contract needs in an effort to have sufficient qualified personnel available to address this anticipated demand. If we do incur additional compensation and benefit costs, our customer contracts may not allow us to pass through these costs.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Competent and experienced engineers, project managers, and craft workers are especially critical to the profitable performance of our contracts, particularly on our fixed-price contracts where superior design and execution of the project can result in profits greater than originally estimated or where inferior design and project execution can reduce or eliminate estimated profits or even result in a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project managers are involved in most aspects of contracting and contract execution including:</w:t>
      </w:r>
    </w:p>
    <w:p>
      <w:pPr>
        <w:spacing w:after="0" w:line="171" w:lineRule="exact"/>
        <w:rPr>
          <w:sz w:val="20"/>
          <w:szCs w:val="20"/>
          <w:color w:val="auto"/>
        </w:rPr>
      </w:pPr>
    </w:p>
    <w:p>
      <w:pPr>
        <w:ind w:left="660" w:right="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supervising the bidding process, including providing estimates of significant cost components, such as material and equipment needs, and the size, productivity and composition of the workforce;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contracts;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supervising project performance, including performance by our employees, subcontractors and other third-party suppliers and vendors;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costs for completion of contracts that is used to estimate amounts that can be reported as revenue and earnings on the contract under the percentage-of-completion method of accounting;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requests for change orders and the final terms of approved change orders; and</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documenting claims by us for increased costs incurred due to the failure of customers, subcontractors and other third-party suppliers of equipment and materials to perform on a timely basis and in accordance with contract terms.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depend upon the award of new contracts and the timing of those awards.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 is derived primarily from contracts awarded on a project-by-project basis. Generally, it is difficult to predict whether and when we will be awarded a new contract due to lengthy and complex bidding and selection processes, changes in existing or forecasted market conditions, customers' access to financing, governmental regulations, permitting and environmental matters. Because our revenue are derived from contract awards, our results of operations and cash flows can fluctuate materially from period to period.</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uncertainty associated with the timing of contract awards may reduce our short-term profitability as we balance our current capacity with expectations of future contract awards. If an expected contract award is delayed or not received, we could incur costs to maintain an idle workforce that may have a material adverse effect on our results of operations. Alternatively, we may decide that our long-term interests are best served by reducing our workforce and incurring increased costs associated with severance and termination benefits, which also could have a material adverse effect on our results of operations in the period incurred. Reducing our workforce could also impact our results of operations if we are unable to adequately staff projects that are awarded subsequent to a workforce reduction.</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and services is cyclical and is vulnerable to the level of capital and maintenance spending of our customers and to downturns in the industries and markets we serve, as well as conditions in the general economy.</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demand for our products and services depends upon the existence of construction and maintenance projects primarily in the midstream and downstream petroleum, power and other heavy industries in the United States and Canada. Therefore, it is likely that our business will continue to be cyclical in nature and vulnerable to general downturns in the United States, Canadian and world economies and changes in commodity prices, which could adversely affect the demand for our products and services.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availability of engineering and construction projects is dependent upon economic conditions in the oil, gas, petrochemical, industrial, and power industries, and specifically, the level of capital expenditures on energy infrastructure. A prolonged period of relatively low commodity prices in North America has had an adverse impact on the level of capital expenditures of our customers and/or their ability to finance these expenditures. Our failure to obtain projects, the delay of project awards, the cancellation of projects or delays in the execution of contracts has resulted and may continue to result in under-utilization of our resources, which could adversely impact our revenue, margins, operating results and cash flow. There are numerous factors beyond our control that influence the level of maintenance and capital expenditures of our customers, including:</w:t>
      </w:r>
    </w:p>
    <w:p>
      <w:pPr>
        <w:spacing w:after="0" w:line="13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or projected commodity prices, including oil, gas, power and mineral prices;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refining margins;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oil, gas and electricity;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oil, gas, industrial and power companies to generate, access and deploy capital;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exploration, production and transportation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incentives, including those for alternative energy projects;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restraints on the rates that power companies may charge their customers;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national and international political and economic conditions.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and profitability may be adversely affected by a reduced level of activity in the hydrocarbon industry.</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recent years, demand from the worldwide hydrocarbon industry has been a significant generator of our revenue. Numerous factors influence capital expenditure decisions in the hydrocarbon industry, including, but not limited to, the following:</w:t>
      </w:r>
    </w:p>
    <w:p>
      <w:pPr>
        <w:spacing w:after="0" w:line="10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projected oil and gas prices;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exploration, extraction, production and transportation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refining margins;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rate, size and location of new oil and gas reserves;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challenges and advances;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export hydrocarbon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hydrocarbon production;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alternative energy sources, including wind and solar;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taxes, price controls, and laws and regulations.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aforementioned factors are beyond our control and could have a material adverse effect on our results of operations and on our financial position or cash flow.</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volume of storage related projects are influenced by the overall forward market for crude oil, and certain market conditions may adversely affect financial and operating results.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results may be influenced by the overall forward market for crude oil. A “contango” market (meaning that the price of crude oil for future delivery is higher than the current price) is associated with greater demand for crude oil storage capacity, because a party can simultaneously purchase crude oil at current prices for storage and sell at higher prices for future delivery. A “backwardated” market (meaning that the price of crude oil for future delivery is lower than the current price) is associated with lower demand for crude oil storage capacity, because a party can capture a premium for prompt delivery of crude oil rather than storing it for future sale. A prolonged backwardated market or other adverse market conditions could have an adverse impact on demand for new storage related construction. Finally, higher absolute levels of crude oil prices increase the costs of financing and insuring crude oil in storage, which negatively affects storage economics. As a result, the overall forward market for crude oil may have an adverse effect on our business, results of operations and financial condition.</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contracts could expose us to unforeseen costs and costs not within our control, which may not be recoverable and could adversely affect our results of operations and financial condition.</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amount of our work is performed under fixed price contracts. Under fixed-price contracts, we agree to perform the contract for a fixed-price and, as a result, can improve our expected profit by superior execution, productivity, workplace safety and other factors resulting in cost savings. However, we could incur cost overruns above the approved contract price, which may not be recoverable. Under certain incentive fixed-price contracts, we may agree to share with a customer a portion of any savings we generate while the customer agrees to bear a portion of any increased costs we may incur up to a negotiated ceiling. To the extent costs exceed the negotiated ceiling price, we may be required to absorb some or all of the cost overruns.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Fixed-price contract prices are established based largely upon estimates and assumptions relating to project scope and specifications, personnel and productivity, material needs, and site conditions. These estimates and assumptions may prove inaccurate or conditions may change due to factors out of our control, resulting in cost overruns, which we may be required to absorb and which could have a material adverse effect on our business, financial condition and results of operations. In addition, our profits from these contracts could decrease or we could experience losses if we incur difficulties in performing the contracts or are unable to secure fixed-pricing commitments from our manufacturers, suppliers and subcontractors at the time we enter into fixed-price contracts with our customers.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cost-plus and time-and-material contracts, we perform our services in return for payment of our agreed upon reimbursable costs plus a profit. The profit component is typically expressed in the contract either as a percentage of the reimbursable costs we actually incur or is factored into the rates we charge for labor or for the cost of equipment and materials, if any, we are required to provide. Our profit could be negatively impacted if our actual costs exceed the estimated costs utilized to establish the billing rates included in the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in providing services in excess of original project scope without having an approved change order.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commencement of a contract, we may perform, without the benefit of an approved change order from the customer, additional services requested by the customer that were not contemplated in our contract price for various reasons, including customer changes or incomplete or inaccurate engineering, changes in project specifications and other similar information provided to us by the customer. Our construction contracts generally require the customer to compensate us for additional work or expenses incurred under these circumstances.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failure to obtain adequate compensation for these matters could require us to record in the current period an adjustment to revenue and profit recognized in prior periods under the percentage-of-completion accounting method. Any such adjustments, if substantial, could have a material adverse effect on our results of operations and financial condition, particularly for the period in which such adjustments are made. We can provide no assurance that we will be successful in obtaining, through negotiation, arbitration, litigation or otherwise, approved change orders in an amount adequate to compensate us for our additional work or expenses.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percentage-of-completion accounting for fixed-price contracts and our reporting of profits for cost-plus contracts prior to contract completion could result in a reduction or elimination of previously reported profits.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 are recognized using the percentage-of-completion method of accounting. Under percentage-of-completion accounting, contract revenue and earnings are recognized ratably over the contract term based on the proportion of actual costs incurred to total estimated costs. In addition, some contracts contain penalty provisions for failure to achieve certain milestones, schedules or performance standards. We review our estimates of contract revenue, costs and profitability on a monthly basis. As a result, we may adjust our estimates on one or more occasions as a result of changes in cost estimates, change orders to the original contract, or claims against the customer for increased costs incurred by us due to customer-induced delays and other factors.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estimates of costs to complete fixed price contracts indicate a loss, a provision is made through a contract write-down for the total loss anticipated in the period the loss is determined. Contract profit estimates are also adjusted, on a percentage of completion basis, in the fiscal period in which it is determined that an adjustment is required. No restatements are made to prior periods. Further, a number of our contracts contain various cost and performance incentives and penalties that impact the earnings we realize from our contracts, and adjustments related to these incentives and penalties are recorded on a percentage of completion basis in the period when estimable and probable.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requirements of the percentage-of-completion method of accounting, the possibility exists that we could have estimated and reported a profit on a contract over several prior periods and later determine, as a result of additional information, that all or a portion of such previously estimated and reported profits were overstated. If this occurs, the full aggregate amount of the overstatement will be reported for the period in which such change in estimate occurs.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Actual results could differ from the estimates and assumptions that we use to prepare our financial statements.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prepare financial statements in conformity with generally accepted accounting principles, management is required to make estimates and assumptions, as of the date of the financial statements, which affect the reported values of assets, liabilities, revenue and expenses and disclosures of contingent assets and liabilities. Areas requiring significant estimation by our management include:</w:t>
      </w:r>
    </w:p>
    <w:p>
      <w:pPr>
        <w:spacing w:after="0" w:line="36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costs and application of percentage-of-completion accounting;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uncollectible receivables from customers for invoiced amounts;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collectibility of unpriced change orders and claims against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income taxes and related valuation allowances;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recoverability of goodwill and intangible assets;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assets acquired and liabilities assumed in connection with business combinations;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for estimated liabilities, including litigation and insurance reserves.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actual results could materially differ from these estimates.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Domestic and Foreign trade tariffs could raise the price and reduce the availability of raw materials to us, which could negatively impact our operating results and financial condition.</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Domestic and foreign trade tariffs could raise the price and reduce the availability of raw materials such as steel plate and steel pipe, which are key materials used by us. Supplies of these materials are available throughout the United States and globally from numerous sources. We anticipate that adequate amounts of these materials will be available in the foreseeable future. However, if trade tariffs should significantly impact the price and availability of these materials, we could experience lower gross margins, operational inefficiencies and project delays.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credit risk from customers. If we experience delays and/or defaults in customer payments, we could suffer liquidity problems or we could be unable to recover amounts owed to us.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our contracts, at times we commit resources to customer projects prior to receiving payments from customers in amounts sufficient to cover expenditures on these projects as they are incurred. Many of our fixed-price or cost-plus contracts require us to satisfy specified progress milestones or performance standards in order to receive a payment. Under these types of arrangements, we may incur significant costs for labor, equipment and supplies prior to receipt of payment. If the customer fails or refuses to pay us for any reason, there is no assurance we will be able to collect amounts due to us for costs previously incurred. In some cases, we may find it necessary to terminate subcontracts with suppliers engaged by us to assist in performing a contract, and we may incur costs or penalties for canceling our commitments to them. Delays in customer payments require an investment in working capital. If we are unable to collect amounts owed to us under our contracts, we may be required to record a charge against previously recognized earnings related to the project, and our liquidity, financial condition and results of operations could be adversely affected.</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may result in significant transaction expenses, and unidentified liabilities and risks associated with entering new markets. We may also be unable to profitably integrate and operate these businesses.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lack sufficient management, financial and other resources to successfully integrate future acquisitions, including acquisitions in markets where we have not previously operated. Any future acquisitions may result in significant transaction expenses, unexpected liabilities and other risks in addition to the integration and consolidation risks.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make any future acquisitions, we will likely assume liabilities of the acquired business or have exposure to contingent liabilities that may not be adequately covered by insurance or indemnification, if any, from the former owners of the acquired business. These potential liabilities could have a material adverse effect on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integrate our acquisitions, which could adversely impact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be able to successfully complete our ongoing integration of the operations, personnel and technology from our acquisitions. Because of their size and complexity, if we fail to complete our integration efforts successfully, we may experience interruptions in our business activities, a decrease in the quality of our services, a deterioration in our employee and customer relationships, and harm to our reputation, all of which could have a material adverse effect on our business, financial condition and results of operations. Our integration activities have required significant attention from management, which potentially decreases the time that management may devote to serve existing customers, attract new customers and develop new services and strategies. We may also experience difficulties in combining corporate cultures, maintaining employee morale and retaining key employees. The integration efforts may also impose substantial demands on our operations or other projects. We will have to actively strive to demonstrate to our existing customers that these integrations have not resulted in adverse changes in our standards or business focus. Our acquisitions have involved a significant capital commitment, and the return that we achieve on any capital invested may be less than the return achieved on our other projects or investments. There will be challenges in consolidating and rationalizing information technology platforms and administrative infrastructures. In addition, any delays or increased costs of integrating acquired companies could adversely affect our operations, financial results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growth opportunities, operating margins and synergies that are anticipated from acquisitions.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benefits we expect to achieve as a result of an acquisition will depend, in part, on our ability to realize the anticipated growth opportunities, operating margins and synergies. Our success in realizing these growth opportunities, operating margins and synergies, and the timing of this realization, depends on the successful integration of the acquired business and operations with our existing business and operations. Even if we are able to integrate existing and acquired businesses successfully, this integration may not result in the realization of the full benefits of the growth opportunities, operating margins and synergies we currently expect within the anticipated time frame or at all. Accordingly, the benefits from an acquisition may be offset by costs incurred or delays in integrating the companies, which could cause our revenue assumptions and operating margin to be inaccurate.</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for working capital, capital expenditures and/or acquisitions, and we may not be able to do so on favorable terms or at all, which would impair our ability to operate our business or achieve our strategic plan.</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cash flow from operations, together with available borrowings under our senior secured revolving credit facility, are insufficient to make future investments, acquisitions or provide needed working capital, we may require additional financing from other sources. Our ability to obtain such additional financing in the future will depend in part upon prevailing capital market conditions, as well as conditions in our business and our operating results; and those factors may affect our efforts to arrange additional financing on terms that are satisfactory to us. If adequate funds are not available, or are not available on acceptable terms, we may not be able to make future investments, take advantage of acquisitions or other opportunities, or respond to competitive challenges.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each of our business segments, which may have a material adverse effect on our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competition in all areas of our business from regional, national and international competitors. Our competitors range from small, family-owned businesses to well-established, well-financed entities, both privately and publicly held, including many large engineering and construction companies and specialty contractors. We compete primarily on the basis of price, customer satisfaction, safety performance and programs, quality of our products and services, and schedule. As a result, an increase in the level of competition in one or more markets may result in lower operating margins than we have recently experienced.</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backlog is subject to unexpected fluctuations, adjustments and cancellations and does not include the full value of our long-term maintenance contracts, and therefore, may not be a reliable indicator of our future earnings.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Backlog may not be a reliable indicator of our future performance. We cannot guarantee that the revenue projected in our backlog will be realized or profitable. Projects may remain in our backlog for an extended period of time. In addition, project cancellations or scope adjustments may occur from time to time with respect to contracts included in our backlog that could reduce the dollar amount of our backlog and the revenue and profits that we actually earn. Many of our contracts have termination rights. Therefore, project adjustments may occur from time to time to contracts in our backlog.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of our significant customers could adversely affect us.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or more customers have in the past and may in the future contribute a material portion of our revenue in any one year. Because these significant customers generally contract with us for specific projects or for specific periods of time, we may lose these customers from year to year as the projects or maintenance contracts are completed. The loss of business from any one of these customers could have a material adverse effect on our business or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events, including those associated with our strategic plan, could negatively affect our liquidity position.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 provide no assurance that we will have sufficient earnings from operations or the credit capacity to meet all of our future cash needs should we encounter significant working capital requirements or incur significant acquisition costs. Insufficient earnings from operations, significant working capital requirements, and contract disputes have in the past, and could in the future, reduce availability under our senior secured revolving credit facility.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difficult work sites and environments, which may adversely affect our overall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perform our work under a variety of conditions, including, but not limited to, difficult terrain, difficult site conditions and busy urban centers where delivery of materials and availability of labor may be impacted. Performing work under these conditions can slow our progress, potentially causing us to incur contractual liability to our customers. These difficult conditions may also cause us to incur additional, unanticipated costs that we might not be able to pass on to our customers.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susceptible to severe weather conditions as a result of climate change or otherwise, which may harm our business and financial results.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 may be adversely affected by severe weather in areas where we have significant operations. Repercussions of severe weather conditions may include:</w:t>
      </w:r>
    </w:p>
    <w:p>
      <w:pPr>
        <w:spacing w:after="0" w:line="10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of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performance schedules in accordance with contracts and potential liability for liquidated damages;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injuries or fatalities;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related damage to our facilities;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information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receive machinery, equipment and materials at jobsites;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productivity.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frequency and severity of severe weather conditions may be enhanced by present and future changes to our climate.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senior secured revolving credit facility imposes restrictions that may limit business alternatives.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senior secured revolving credit facility contains covenants that restrict or limit our ability to incur additional debt, acquire or dispose of assets, repurchase equity, or make certain distributions, including dividends. In addition, our senior secured revolving credit facility requires that we comply with a number of financial covenants. These covenants and restrictions may impact our ability to effectively execute operating and strategic plans and our operating performance may not be sufficient to comply with the required covenants. Additionally, availability under the credit facility is dependent upon profitable operating results. If results deteriorate, availability under the credit facility is reduced.</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failure to comply with one or more of the covenants in our senior secured revolving credit facility could result in an event of default. We can provide no assurance that a default could be remedied, or that our creditors would grant a waiver or amend the terms of the senior secured revolving credit facility. If an event of default occurs, our lenders could elect to declare all amounts outstanding under the facility to be immediately due and payable, terminate all commitments, refuse to extend further credit, and require us to provide cash to collateralize any outstanding letters of credit. If an event of default occurs and the lenders under the senior secured revolving credit facility accelerate the maturity of any loans or other debt outstanding, we may not have sufficient liquidity to repay amounts outstanding under the existing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contribute to multiemployer plans that could result in liabilities to us if those plans are terminated or if we withdraw from those plans.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contribute to several multiemployer pension plans for employees covered by collective bargaining agreements. These plans are not administered by us and contributions are determined in accordance with provisions of negotiated labor contracts. The Employee Retirement Income Security Act of 1974, as amended by the Multiemployer Pension Plan Amendments Act of 1980, imposes certain liabilities upon employers who are contributors to a multiemployer plan in the event of the employer’s withdrawal from, or upon termination of, such plan. If we terminate or withdraw from a multiemployer pension plan, we could be required to make significant cash contributions to fund that plan's unfunded vested benefit, which could materially and adversely affect our financial condition and results of operations; however, we are not currently able to determine the net assets and actuarial present value of the multiemployer pension plans’ unfunded vested benefits allocable to us, if any, and we are not presently aware of the amounts, if any, for which we may be contingently liable if we were to withdraw from any of these plans. In addition, if the funding level of any of these multiemployer plans becomes classified as “critical status” under the Pension Protection Act of 2006, we could be required to make significant additional contributions to those plans.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for future periods may be affected by impairment charges.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we have grown in part through acquisitions, goodwill and other acquired intangible assets represent a substantial portion of our assets. We perform annual goodwill impairment reviews in the fourth quarter of every fiscal year. In addition, we perform an impairment review whenever events or changes in circumstances indicate the carrying value of goodwill or an intangible or fixed asset may not be recoverable. In fiscal 2020, we had $40.0 million of goodwill and other intangible asset impairments, of which $1.5 million was reported as restructuring costs. As of June 30, 2020, we had $8.8 million of amortizing intangible assets and $60.4 million of non-amortizing goodwill representing 1.7% and 11.7% of our total assets, respectively.</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and are likely to continue to be involved in legal proceedings, which will increase our costs and, if adversely determined, could have a material effect on our financial condition, results of operations, cash flows and liquidity.</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a defendant in legal proceedings arising from the operation of our business, and it is reasonable to expect that we would be named in future actions. Many of the actions against us arise out of the normal course of performing services on project sites, and include workers’ compensation claims, personal injury claims and contract disputes with our customers. From time to time, we are also named as a defendant for actions involving the violation of federal and state labor laws related to employment practices, wages and benefits. We may also be a plaintiff in legal proceedings against customers seeking to recover payment of contractual amounts due to us as well as claims for increased costs incurred by us resulting from, among other things, services performed by us at the request of a customer that are in excess of original project scope that are later disputed by the customer and customer-caused delays in our contract performance.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insurance against operating hazards in amounts that we believe are customary in our industry. However, our insurance policies include deductibles and certain coverage exclusions, so we cannot provide assurance that we are adequately insured against all of the risks associated with the conduct of our business. A successful claim brought against us in excess of, or outside of, our insurance coverage could have a material adverse effect on our financial condition, results of operations, cash flows and liquidity.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Litigation, regardless of its outcome, is expensive, typically diverts the efforts of our management away from operations for varying periods of time, and can disrupt or otherwise adversely impact our relationships with current or potential customers, subcontractors and suppliers. Payment and claim disputes with customers may also cause us to incur increased interest costs resulting from incurring indebtedness under our revolving line of credit or receiving less interest income resulting from fewer funds invested due to the failure to receive payment for disputed claims and accounts.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projects expose us to potential professional liability, product liability, pollution liability, warranty and other claims, which could be expensive, damage our reputation and harm our business. We may not be able to obtain or maintain adequate insurance to cover these claims.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perform construction and maintenance services at large industrial facilities where accidents or system failures can be disastrous and costly. Any catastrophic occurrence in excess of our insurance limits at locations engineered or constructed by us or where our products are installed or services performed could result in significant professional liability, product liability, warranty and other claims against us by our customers, including claims for cost overruns and the failure of the project to meet contractually specified milestones or performance standards. Further, the rendering of our services on these projects could expose us to risks and claims by third parties and governmental agencies for personal injuries, property damage and environmental matters, among others. Any claim, regardless of its merit or eventual outcome, could result in substantial costs, divert management’s attention and create negative publicity, particularly for claims relating to environmental matters where the amount of the claim could be extremely large. We may not be able to or may choose not to obtain or maintain insurance coverage for the types of claims described above. If we are unable to obtain insurance at an acceptable cost or otherwise protect against the claims described above, we will be exposed to significant liabilities, which may materially and adversely affect our financial condition and results of operations.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Employee, subcontractor or partner misconduct or our overall failure to comply with laws or regulations could harm our reputation, damage our relationships with customers, reduce our revenue and profits, and subject us to criminal and civil enforcement actions.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Misconduct, fraud, non-compliance with applicable laws and regulations, or other improper activities by one of our employees, subcontractors or partners could have a significant negative impact on our business and reputation. Such misconduct could include the failure to comply with safety standards, laws and regulations, customer requirements, regulations pertaining to the internal controls over financial reporting, environmental laws and any other applicable laws or regulations. The precautions we take to prevent and detect these activities may not be effective, since our internal controls are subject to inherent limitations, including human error, the possibility that controls could be circumvented or become inadequate because of changed conditions, and fraud.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failure to comply with applicable laws or regulations or acts of misconduct could subject us to fines and penalties, harm our reputation, damage our relationships with customers, reduce our revenue and profits and subject us to criminal and civil enforcement actions.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factors and changes in laws and regulations could increase our costs and liabilities.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operations are subject to environmental laws and regulations, including those concerning emissions into the air; discharges into waterways; generation, storage, handling, treatment and disposal of hazardous material and wastes; and health and safety.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projects often involve highly regulated materials, including hazardous wastes. Environmental laws and regulations generally impose limitations and standards for regulated materials and require us to obtain permits and comply with various other requirements. The improper characterization, handling, or disposal of regulated materials or any other failure by us to comply with federal, state and local environmental laws and regulations or associated environmental permits could subject us to the assessment of administrative, civil and criminal penalties, the imposition of investigatory or remedial obligations, or the issuance of injunctions that could restrict or prevent our ability to operate our business and complete contracted projects.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under the Comprehensive Environmental Response, Compensation and Liability Act of 1980 (“CERCLA”), and comparable state and foreign laws, we may be required to investigate and remediate regulated materials. CERCLA and the comparable state laws typically impose liability without regard to whether a company knew of or caused the release, and liability for the entire cost of clean-up can be imposed upon any responsible party.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numerous other laws and regulations including those related to business registrations and licenses, environment, workplace, employment, health and safety. These laws and regulations are complex, change frequently and could become more stringent in the future. It is impossible to predict the effect on us of any future changes to these laws and regulations. We can provide no absolute assurance that our operations will continue to comply with future laws and regulations or that the costs to comply with these laws and regulations and/or a failure to comply with these laws will not significantly adversely affect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legislation or regulations restricting emissions of “greenhouse gases” could result in reduced demand for our services and products.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has been an increased focus in the last several years on climate change in response to findings that emissions of carbon dioxide, methane and other greenhouse gases present an endangerment to public health and the environment. As a result, there have been a variety of regulatory developments, proposals or requirements and legislative initiatives that have been introduced in the U.S. (and other parts of the world) that are focused on restricting the emission of greenhouse gases. The adoption of new or more stringent legislation or regulatory programs limiting greenhouse gas emissions from customers for whom we provide services could affect demand for our products and services. Further, some scientists have concluded that increasing greenhouse gas concentrations in the atmosphere may produce physical effects, such as increased severity and frequency of storms, droughts, floods and other climate events. Such climate events have the potential to adversely affect our operations or those of our customers, which in turn could have a negative effect on us.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or outage in our operational systems or cyber security attacks on any of our systems, or those of third parties, may adversely affect our financial results.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become more reliant on technology to help increase efficiency in our business. We use numerous technologies to help run our operations, and this may subject our business to increased risks. Any cyber security attack that affects our facilities, our systems, our customers and any of our financial data could have a material adverse effect on our business. In addition, a cyber-attack on our customer and employee data may result in a financial loss, including potential fines for failure to safeguard data, and may negatively impact our reputation. Third-party systems on which we rely could also suffer system failure. Any of these occurrences could disrupt our business, result in potential liability or reputational damage or otherwise have an adverse effect on our financial results.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experienced cybersecurity threats to our information technology infrastructure and have experienced cyber-attacks, attempts to breach our systems and other similar incidents. Such prior events have not had a material impact on our financial condition, results of operations or liquidity. However, future threats could cause harm to our business and our reputation, as well as negatively impact our results of operations materially. Our insurance coverage may not be adequate to cover all the costs related to cyber-attacks or disruptions resulting from such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security breach resulting in the unauthorized use or disclosure of certain personal information could put individuals at risk of identity theft and financial or other harm and result in costs to the Company in investigation, remediation, legal defense and in liability to parties who are financially harmed. We may incur significant costs to protect against the threat of information security breaches or to respond to or alleviate problems caused by such breaches. For example, laws may require notification to regulators, clients or employees and enlisting credit monitoring or identity theft protection in the event of a privacy breach. A cybersecurity attack could also be directed at our systems and result in interruptions in our operations or delivery of services to our clients and their customers. Furthermore, a material security breach could cause us to lose revenue, lose clients or cause damage to our reputation.</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reduce organizational risk from cybersecurity threats, the Company has undertaken several initiatives in recent years. We strengthened our identity and access management capabilities by requiring multi-factor authentication, increased the threat detection efficiencies within our security information and event management capacity, and completed projects designed to reduce our organization's external attack surface. In addition, in the area of security awareness and training, we have updated our foundational curriculum, established mandatory recurring training requirements, and commenced periodic phishing campaign assessments.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internally and externally developed software applications and systems to support critical functions including project management, estimating, scheduling, human resources, accounting, and financial reporting. Any sudden loss, disruption or unexpected costs to maintain these systems could significantly increase our operational expense as well as disrupt the management of our business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various software systems to conduct our critical operating and administrative functions. We depend on our software vendors to provide long-term software maintenance support for our information systems. Software vendors may decide to discontinue further development, integration or long-term software maintenance support for our information systems, in which case we may need to abandon one or more of our current information systems and migrate some or all of our project management, human resources, estimating, scheduling, accounting and financial information to other systems, thus increasing our operational expense as well as disrupting the management of our business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U.S. Foreign Corrupt Practices Act and similar worldwide anti-bribery laws.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 Foreign Corrupt Practices Act and similar anti-bribery laws in other jurisdictions generally prohibit companies and their intermediaries from making improper payments to officials or others for the purpose of obtaining or retaining business. Our policies mandate compliance with these anti-bribery laws. We operate in parts of the world that have experienced corruption to some degree and, in certain circumstances, strict compliance with anti-bribery laws may conflict with local customs and practices. We train our personnel concerning anti-bribery laws and issues, and we also inform our customers, vendors, and others who work for us or on our behalf that they must comply with anti-bribery law requirements. We also have procedures and controls in place to monitor compliance. We cannot assure that our internal controls and procedures always will protect us from the possible reckless or criminal acts committed by our employees or agents. If we are found to be liable for anti-bribery law violations (either due to our own acts or our inadvertence, or due to the acts or inadvertence of others including our partners, agents, subcontractors or suppliers), we could suffer from criminal or civil penalties or other sanctions, including contract cancellations or debarment, and loss of reputation, any of which could have a material adverse effect on our business. Litigation or investigations relating to alleged or suspected violations of anti-bribery laws, even if ultimately such litigation or investigations demonstrate that we did not violate anti-bribery laws, could be costly and could divert management's attention away from other aspects of our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political and other risks associated with international operations could adversely affect our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portion of our operations are conducted outside the United States, and accordingly, our business is subject to risks associated with doing business internationally, including changes in foreign currency exchange rates, instability in political or economic conditions, difficulty in repatriating cash proceeds, differing employee relations, differing regulatory environments, trade protection measures, and difficulty in administering and enforcing corporate policies which may be different than the normal business practices of local cultures.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Related to Our Common Stock</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common stock, which is listed on the NASDAQ Global Select Market, has experienced significant price and volume fluctuations. These fluctuations could continue in the future, and our stockholders may not be able to resell their shares of common stock at or above the purchase price paid.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may change significantly in response to various factors and events beyond our control, including the following:</w:t>
      </w:r>
    </w:p>
    <w:p>
      <w:pPr>
        <w:spacing w:after="0" w:line="17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factors described in this Item 1A;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our customers’ industries;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the security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concentration of ownership of our common stock in the hands of a small number of institutional investors;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shortfall in operating revenue or net income from that expected by securities analysts and investors; and</w:t>
      </w:r>
    </w:p>
    <w:p>
      <w:pPr>
        <w:spacing w:after="0" w:line="171"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performance or the financial performance of our competitors or companies in our industry.</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Some companies that have volatile market prices for their securities have been subject to security class action suits filed against them. If a suit were to be filed against us, regardless of the outcome, it could result in substantial costs and a diversion of our management’s attention and resources. This could have a material adverse effect on our business,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may depress our stock price.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otherwise, either by us, a member of management or a major stockholder, or the perception that these sales could occur, could depress the market price of our common stock and impair our ability to raise capital through the sale of additional equity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equity securities, which could lead to dilution of our issued and outstanding stock.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issuance of additional common stock, restricted stock units or securities convertible into our common stock could result in dilution of the ownership interest held by existing stockholders. We are authorized to issue, without stockholder approval 5,000,000 shares of preferred stock, par value $0.01 per share, in one or more series, which may give other stockholders dividend, conversion, voting, and liquidation rights, among other rights, which may be superior to the rights of holders of our common stock. In addition, we are authorized to issue, without stockholder approval, a significant number of additional shares of our common stock and securities convertible into either common stock or preferred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activists could cause a disruption to our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activist investor may indicate disagreement with our strategic direction or capital allocation policies and may seek representation on our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Our business, operating results or financial condition could be adversely affected and may result in, among other things:</w:t>
      </w:r>
    </w:p>
    <w:p>
      <w:pPr>
        <w:spacing w:after="0" w:line="234" w:lineRule="exact"/>
        <w:rPr>
          <w:sz w:val="20"/>
          <w:szCs w:val="20"/>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costs, including increased legal expenses, insurance, administrative expenses and associated costs incurred in connection with director election contests;</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our future direction, which could result in the loss of potential business opportunities and could make it more difficult to attract, retain, or motivate qualified personnel, and strain relationships with investors and customers; and</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or delay in our ability to effectively execute our current business strategy and to implement new strategies.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properties of Matrix Service Company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80" w:type="dxa"/>
            <w:vAlign w:val="bottom"/>
          </w:tcPr>
          <w:p>
            <w:pPr>
              <w:spacing w:after="0"/>
              <w:rPr>
                <w:sz w:val="16"/>
                <w:szCs w:val="16"/>
                <w:color w:val="auto"/>
              </w:rPr>
            </w:pPr>
          </w:p>
        </w:tc>
        <w:tc>
          <w:tcPr>
            <w:tcW w:w="29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Description of Facility</w:t>
            </w:r>
          </w:p>
        </w:tc>
        <w:tc>
          <w:tcPr>
            <w:tcW w:w="380" w:type="dxa"/>
            <w:vAlign w:val="bottom"/>
          </w:tcPr>
          <w:p>
            <w:pPr>
              <w:spacing w:after="0"/>
              <w:rPr>
                <w:sz w:val="16"/>
                <w:szCs w:val="16"/>
                <w:color w:val="auto"/>
              </w:rPr>
            </w:pPr>
          </w:p>
        </w:tc>
        <w:tc>
          <w:tcPr>
            <w:tcW w:w="22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8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0" w:type="dxa"/>
            <w:vAlign w:val="bottom"/>
          </w:tcPr>
          <w:p>
            <w:pPr>
              <w:spacing w:after="0"/>
              <w:rPr>
                <w:sz w:val="1"/>
                <w:szCs w:val="1"/>
                <w:color w:val="auto"/>
              </w:rPr>
            </w:pPr>
          </w:p>
        </w:tc>
      </w:tr>
      <w:tr>
        <w:trPr>
          <w:trHeight w:val="222"/>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2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Tulsa, Oklahoma</w:t>
            </w: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headquarters and regional office</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segments</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c>
          <w:tcPr>
            <w:tcW w:w="0" w:type="dxa"/>
            <w:vAlign w:val="bottom"/>
          </w:tcPr>
          <w:p>
            <w:pPr>
              <w:spacing w:after="0"/>
              <w:rPr>
                <w:sz w:val="1"/>
                <w:szCs w:val="1"/>
                <w:color w:val="auto"/>
              </w:rPr>
            </w:pPr>
          </w:p>
        </w:tc>
      </w:tr>
      <w:tr>
        <w:trPr>
          <w:trHeight w:val="216"/>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Bellingham, Washington</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 fabrication facility and</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Oil Gas &amp; Chemical, Storage</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Solutions, Industrial</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40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Catoosa, Oklahoma</w:t>
            </w:r>
          </w:p>
        </w:tc>
        <w:tc>
          <w:tcPr>
            <w:tcW w:w="334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Fabrication facilities, regional office and</w:t>
            </w:r>
          </w:p>
        </w:tc>
        <w:tc>
          <w:tcPr>
            <w:tcW w:w="260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Oil Gas &amp; Chemical, Storage</w:t>
            </w:r>
          </w:p>
        </w:tc>
        <w:tc>
          <w:tcPr>
            <w:tcW w:w="118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Leased &amp;</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6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Solutions, Industrial</w:t>
            </w:r>
          </w:p>
        </w:tc>
        <w:tc>
          <w:tcPr>
            <w:tcW w:w="11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6"/>
                <w:szCs w:val="16"/>
                <w:color w:val="auto"/>
                <w:w w:val="93"/>
              </w:rPr>
              <w:t xml:space="preserve">Owned </w:t>
            </w:r>
            <w:r>
              <w:rPr>
                <w:rFonts w:ascii="Times New Roman" w:cs="Times New Roman" w:eastAsia="Times New Roman" w:hAnsi="Times New Roman"/>
                <w:sz w:val="21"/>
                <w:szCs w:val="21"/>
                <w:color w:val="auto"/>
                <w:w w:val="93"/>
                <w:vertAlign w:val="superscript"/>
              </w:rPr>
              <w:t>(1)</w:t>
            </w:r>
          </w:p>
        </w:tc>
        <w:tc>
          <w:tcPr>
            <w:tcW w:w="0" w:type="dxa"/>
            <w:vAlign w:val="bottom"/>
          </w:tcPr>
          <w:p>
            <w:pPr>
              <w:spacing w:after="0"/>
              <w:rPr>
                <w:sz w:val="1"/>
                <w:szCs w:val="1"/>
                <w:color w:val="auto"/>
              </w:rPr>
            </w:pPr>
          </w:p>
        </w:tc>
      </w:tr>
      <w:tr>
        <w:trPr>
          <w:trHeight w:val="61"/>
        </w:trPr>
        <w:tc>
          <w:tcPr>
            <w:tcW w:w="31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3340" w:type="dxa"/>
            <w:vAlign w:val="bottom"/>
            <w:tcBorders>
              <w:bottom w:val="single" w:sz="8" w:color="CCEEFF"/>
            </w:tcBorders>
            <w:gridSpan w:val="2"/>
            <w:vMerge w:val="continue"/>
            <w:shd w:val="clear" w:color="auto" w:fill="CCEEFF"/>
          </w:tcPr>
          <w:p>
            <w:pPr>
              <w:spacing w:after="0"/>
              <w:rPr>
                <w:sz w:val="5"/>
                <w:szCs w:val="5"/>
                <w:color w:val="auto"/>
              </w:rPr>
            </w:pPr>
          </w:p>
        </w:tc>
        <w:tc>
          <w:tcPr>
            <w:tcW w:w="2600" w:type="dxa"/>
            <w:vAlign w:val="bottom"/>
            <w:tcBorders>
              <w:bottom w:val="single" w:sz="8" w:color="CCEEFF"/>
            </w:tcBorders>
            <w:gridSpan w:val="2"/>
            <w:vMerge w:val="continue"/>
            <w:shd w:val="clear" w:color="auto" w:fill="CCEEFF"/>
          </w:tcPr>
          <w:p>
            <w:pPr>
              <w:spacing w:after="0"/>
              <w:rPr>
                <w:sz w:val="5"/>
                <w:szCs w:val="5"/>
                <w:color w:val="auto"/>
              </w:rPr>
            </w:pPr>
          </w:p>
        </w:tc>
        <w:tc>
          <w:tcPr>
            <w:tcW w:w="1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Columbus, Ohio</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 segments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Eddystone, Pennsylvania</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 fabrication facility and</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segments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Houston, Texas</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offices and warehouse</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Oil Gas &amp; Chemical, Storage</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 &amp;</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Solutions, Industrial</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Metairie, Louisiana</w:t>
            </w: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segments</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c>
          <w:tcPr>
            <w:tcW w:w="0" w:type="dxa"/>
            <w:vAlign w:val="bottom"/>
          </w:tcPr>
          <w:p>
            <w:pPr>
              <w:spacing w:after="0"/>
              <w:rPr>
                <w:sz w:val="1"/>
                <w:szCs w:val="1"/>
                <w:color w:val="auto"/>
              </w:rPr>
            </w:pPr>
          </w:p>
        </w:tc>
      </w:tr>
      <w:tr>
        <w:trPr>
          <w:trHeight w:val="216"/>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Norco, California</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Storage Solutions, Oil Gas &amp;</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Chemical</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Orange, California</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Fabrication facility, regional office and</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Oil Gas &amp; Chemical, Storage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 &amp;</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Solutions, Industrial</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c>
          <w:tcPr>
            <w:tcW w:w="0" w:type="dxa"/>
            <w:vAlign w:val="bottom"/>
          </w:tcPr>
          <w:p>
            <w:pPr>
              <w:spacing w:after="0"/>
              <w:rPr>
                <w:sz w:val="1"/>
                <w:szCs w:val="1"/>
                <w:color w:val="auto"/>
              </w:rPr>
            </w:pPr>
          </w:p>
        </w:tc>
      </w:tr>
      <w:tr>
        <w:trPr>
          <w:trHeight w:val="224"/>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Pittsburgh, Pennsylvania</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 segments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Rahway, New Jersey</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Electrical Infrastructure, Oil Gas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&amp; Chemical, Industrial</w:t>
            </w: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Temperance, Michigan</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Storage Solutions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Tucson, Arizona</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 Storage Solutions, Oil</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Gas &amp; Chemical</w:t>
            </w: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Burlington, Ontario, Canada</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Electrical Infrastructure,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 Storage Solutions</w:t>
            </w: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Calgary, Alberta, Canada</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Storage Solutions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Leduc, Alberta, Canada</w:t>
            </w: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Storage Solutions</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c>
          <w:tcPr>
            <w:tcW w:w="0" w:type="dxa"/>
            <w:vAlign w:val="bottom"/>
          </w:tcPr>
          <w:p>
            <w:pPr>
              <w:spacing w:after="0"/>
              <w:rPr>
                <w:sz w:val="1"/>
                <w:szCs w:val="1"/>
                <w:color w:val="auto"/>
              </w:rPr>
            </w:pPr>
          </w:p>
        </w:tc>
      </w:tr>
      <w:tr>
        <w:trPr>
          <w:trHeight w:val="22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Sarnia, Ontario, Canada</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Storage Solutions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Paju-si, Gyeonggi-do, South Korea</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Fabrication facility, regional office and</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Storage Solutions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Sydney, New South Wales, Australia</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Storage Solutions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969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60" w:hanging="309"/>
        <w:spacing w:after="0"/>
        <w:tabs>
          <w:tab w:leader="none" w:pos="5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facilities were constructed by the Company on land acquired through ground leases with renewal options.</w:t>
      </w:r>
    </w:p>
    <w:p>
      <w:pPr>
        <w:spacing w:after="0" w:line="2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locations listed above, Matrix has smaller regional locations and temporary office facilities at numerous customer locations throughout the United States and Canada.</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1503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owner of any mines, but as a result of our performing services or construction at mine sites as an independent contractor, we may be considered an "operator" within the meaning of the Mine Act.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concerning mine safety violations or other regulatory matters required to be disclosed in this annual report under Section 1503(a) of the Dodd-Frank Act and Item 104 of Regulation S-K is included in Exhibit 95 to this Annual Report on Form 10-K.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trading symbol "MTRX". Substantially all of our stockholders maintain their shares in "street name" accounts and are not individually stockholders of record. As of July 31, 2020, there were 19 holders of record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paid cash dividends on our common stock, and the terms of our Credit Agreement (see Item 8. Financial Statements and Supplementary Data, Note 5 - Debt for more information about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Credit Agreement limits the Company's purchases of its equity securities to $30.0 million in any calendar year. The table below sets forth the information with respect to purchases made by the Company of its common stock during the fourth quarter of the fiscal year ended June 30, 2020:</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7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7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8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7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18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(C)</w:t>
            </w:r>
          </w:p>
        </w:tc>
        <w:tc>
          <w:tcPr>
            <w:tcW w:w="0" w:type="dxa"/>
            <w:vAlign w:val="bottom"/>
          </w:tcPr>
          <w:p>
            <w:pPr>
              <w:spacing w:after="0"/>
              <w:rPr>
                <w:sz w:val="1"/>
                <w:szCs w:val="1"/>
                <w:color w:val="auto"/>
              </w:rPr>
            </w:pPr>
          </w:p>
        </w:tc>
      </w:tr>
      <w:tr>
        <w:trPr>
          <w:trHeight w:val="235"/>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April 1 to April 30, 2020</w:t>
            </w: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Share Repurchase Program </w:t>
            </w:r>
            <w:r>
              <w:rPr>
                <w:rFonts w:ascii="Times New Roman" w:cs="Times New Roman" w:eastAsia="Times New Roman" w:hAnsi="Times New Roman"/>
                <w:sz w:val="23"/>
                <w:szCs w:val="23"/>
                <w:color w:val="auto"/>
                <w:vertAlign w:val="superscript"/>
              </w:rPr>
              <w:t>(A)</w:t>
            </w: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1,349,037</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Employee Transactions </w:t>
            </w:r>
            <w:r>
              <w:rPr>
                <w:rFonts w:ascii="Times New Roman" w:cs="Times New Roman" w:eastAsia="Times New Roman" w:hAnsi="Times New Roman"/>
                <w:sz w:val="23"/>
                <w:szCs w:val="23"/>
                <w:color w:val="auto"/>
                <w:vertAlign w:val="superscript"/>
              </w:rPr>
              <w:t>(B)</w:t>
            </w:r>
          </w:p>
        </w:tc>
        <w:tc>
          <w:tcPr>
            <w:tcW w:w="17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May 1 to May 31, 2020</w:t>
            </w: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Share Repurchase Program </w:t>
            </w:r>
            <w:r>
              <w:rPr>
                <w:rFonts w:ascii="Times New Roman" w:cs="Times New Roman" w:eastAsia="Times New Roman" w:hAnsi="Times New Roman"/>
                <w:sz w:val="23"/>
                <w:szCs w:val="23"/>
                <w:color w:val="auto"/>
                <w:vertAlign w:val="superscript"/>
              </w:rPr>
              <w:t>(A)</w:t>
            </w:r>
          </w:p>
        </w:tc>
        <w:tc>
          <w:tcPr>
            <w:tcW w:w="17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1,349,037</w:t>
            </w:r>
          </w:p>
        </w:tc>
        <w:tc>
          <w:tcPr>
            <w:tcW w:w="0" w:type="dxa"/>
            <w:vAlign w:val="bottom"/>
          </w:tcPr>
          <w:p>
            <w:pPr>
              <w:spacing w:after="0"/>
              <w:rPr>
                <w:sz w:val="1"/>
                <w:szCs w:val="1"/>
                <w:color w:val="auto"/>
              </w:rPr>
            </w:pPr>
          </w:p>
        </w:tc>
      </w:tr>
      <w:tr>
        <w:trPr>
          <w:trHeight w:val="270"/>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Employee Transactions </w:t>
            </w:r>
            <w:r>
              <w:rPr>
                <w:rFonts w:ascii="Times New Roman" w:cs="Times New Roman" w:eastAsia="Times New Roman" w:hAnsi="Times New Roman"/>
                <w:sz w:val="23"/>
                <w:szCs w:val="23"/>
                <w:color w:val="auto"/>
                <w:vertAlign w:val="superscript"/>
              </w:rPr>
              <w:t>(B)</w:t>
            </w: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1 to June 30, 2020</w:t>
            </w:r>
          </w:p>
        </w:tc>
        <w:tc>
          <w:tcPr>
            <w:tcW w:w="1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Share Repurchase Program </w:t>
            </w:r>
            <w:r>
              <w:rPr>
                <w:rFonts w:ascii="Times New Roman" w:cs="Times New Roman" w:eastAsia="Times New Roman" w:hAnsi="Times New Roman"/>
                <w:sz w:val="23"/>
                <w:szCs w:val="23"/>
                <w:color w:val="auto"/>
                <w:vertAlign w:val="superscript"/>
              </w:rPr>
              <w:t>(A)</w:t>
            </w: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1,349,037</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Employee Transactions </w:t>
            </w:r>
            <w:r>
              <w:rPr>
                <w:rFonts w:ascii="Times New Roman" w:cs="Times New Roman" w:eastAsia="Times New Roman" w:hAnsi="Times New Roman"/>
                <w:sz w:val="23"/>
                <w:szCs w:val="23"/>
                <w:color w:val="auto"/>
                <w:vertAlign w:val="superscript"/>
              </w:rPr>
              <w:t>(B)</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340" w:type="dxa"/>
            <w:vAlign w:val="bottom"/>
            <w:shd w:val="clear" w:color="auto" w:fill="CCEEFF"/>
          </w:tcPr>
          <w:p>
            <w:pPr>
              <w:spacing w:after="0"/>
              <w:rPr>
                <w:sz w:val="23"/>
                <w:szCs w:val="23"/>
                <w:color w:val="auto"/>
              </w:rPr>
            </w:pPr>
          </w:p>
        </w:tc>
        <w:tc>
          <w:tcPr>
            <w:tcW w:w="188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969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0" w:hanging="329"/>
        <w:spacing w:after="0"/>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purchased under our stock buyback program.</w:t>
      </w:r>
    </w:p>
    <w:p>
      <w:pPr>
        <w:spacing w:after="0" w:line="17"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withheld to satisfy the employee’s tax withholding obligation that is incurred upon the vesting of deferred shares granted under the Company’s stock incentive plans.</w:t>
      </w:r>
    </w:p>
    <w:p>
      <w:pPr>
        <w:spacing w:after="0" w:line="1" w:lineRule="exact"/>
        <w:rPr>
          <w:rFonts w:ascii="Times New Roman" w:cs="Times New Roman" w:eastAsia="Times New Roman" w:hAnsi="Times New Roman"/>
          <w:sz w:val="14"/>
          <w:szCs w:val="14"/>
          <w:color w:val="auto"/>
        </w:rPr>
      </w:pPr>
    </w:p>
    <w:p>
      <w:pPr>
        <w:ind w:left="580" w:right="20" w:hanging="329"/>
        <w:spacing w:after="0" w:line="247" w:lineRule="auto"/>
        <w:tabs>
          <w:tab w:leader="none" w:pos="56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6, 2018, the Board of Directors approved a new stock buyback program (the “November 2018 Program”), which replaced the December 2016 Program. Under the November 2018 Program, the Company may repurchase common stock of the Company up to a maximum of $30.0 million per calendar year provided that the aggregate number of shares repurchased may not exceed 10%, or approximately 2.7 million, of the Company's shares outstanding as of November 6, 2018. The November 2018 Program will continue unless and until it is modified or revoked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graph compares, for the period from June 30, 2015 to June 30, 2020, the cumulative stockholder return on our common stock with the cumulative total return of the NASDAQ Composite Index and the S&amp;P Construction &amp; Engineering Index. The graph below assumes an investment of $100 (with reinvestment of all dividends) in our common stock, the NASDAQ Composite Index and the S&amp;P Construction &amp; Engineering Index on June 30, 2015 and tracks their relative performance through June 30, 2020. The stock price performance reflected in the following graph is not necessarily indicative of future stock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351155</wp:posOffset>
            </wp:positionV>
            <wp:extent cx="5863590" cy="4157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63590" cy="415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96"/>
        </w:trPr>
        <w:tc>
          <w:tcPr>
            <w:tcW w:w="35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9"/>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Matrix Service Company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51.15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126.14</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213.32</w:t>
            </w: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Construction &amp; Engineering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107.80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r>
      <w:tr>
        <w:trPr>
          <w:trHeight w:val="878"/>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percentages and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49"/>
        </w:trPr>
        <w:tc>
          <w:tcPr>
            <w:tcW w:w="3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17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2"/>
                <w:szCs w:val="12"/>
                <w:color w:val="auto"/>
              </w:rPr>
            </w:pPr>
          </w:p>
        </w:tc>
      </w:tr>
      <w:tr>
        <w:trPr>
          <w:trHeight w:val="195"/>
        </w:trPr>
        <w:tc>
          <w:tcPr>
            <w:tcW w:w="3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auto"/>
            </w:tcBorders>
          </w:tcPr>
          <w:p>
            <w:pPr>
              <w:spacing w:after="0"/>
              <w:rPr>
                <w:sz w:val="16"/>
                <w:szCs w:val="16"/>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1,100,938</w:t>
            </w: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1,416,680</w:t>
            </w:r>
          </w:p>
        </w:tc>
        <w:tc>
          <w:tcPr>
            <w:tcW w:w="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1,091,553</w:t>
            </w: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1,197,509</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1,311,917</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998,762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1,284,729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999,617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1,116,506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1,185,926</w:t>
            </w:r>
          </w:p>
        </w:tc>
        <w:tc>
          <w:tcPr>
            <w:tcW w:w="18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102,176</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91,936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125,991</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86,276</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76,144</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85,109</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impairments and restructuring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41"/>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52,525</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40,882</w:t>
            </w:r>
          </w:p>
        </w:tc>
        <w:tc>
          <w:tcPr>
            <w:tcW w:w="18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 %</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25,537</w:t>
            </w:r>
          </w:p>
        </w:tc>
        <w:tc>
          <w:tcPr>
            <w:tcW w:w="18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41"/>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5"/>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Matrix Service</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28,863</w:t>
            </w:r>
          </w:p>
        </w:tc>
        <w:tc>
          <w:tcPr>
            <w:tcW w:w="180" w:type="dxa"/>
            <w:vAlign w:val="bottom"/>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share-basic</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share-diluted</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159,213</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141,811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139,654</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129,416</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517,310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633,394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558,033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586,030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564,967</w:t>
            </w:r>
          </w:p>
        </w:tc>
        <w:tc>
          <w:tcPr>
            <w:tcW w:w="18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13,939</w:t>
            </w:r>
          </w:p>
        </w:tc>
        <w:tc>
          <w:tcPr>
            <w:tcW w:w="18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(used) by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44,085</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33,587</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758,465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1,098,349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1,218,596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682,273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868,672</w:t>
            </w:r>
          </w:p>
        </w:tc>
        <w:tc>
          <w:tcPr>
            <w:tcW w:w="1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090909"/>
        </w:rPr>
        <w:t>Refer to the Results of Operations section included in Item 7 of this Annual Report on Form 10-K for a discussion of the operating results for the fiscal year ended 2020 in comparison to the fiscal year ended 2019.</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consolidated financial statements, which have been prepared in accordance with accounting principles generally accepted in the United States (“GAAP”). GAAP represents a comprehensive set of accounting and disclosure rules and requirements, the application of which requires management judgments and estimates including, in certain circumstances, choices between acceptable GAAP alternatives. The preparation of these consolidated financial statements requires management to make estimates and assumptions that affect the reported amounts of assets and liabilities and disclosure of contingent assets and liabilities, if any, at the date of the financial statements, and the reported amounts of revenue and expenses during the reporting period. We base our estimates on historical experience and various other assumptions that are believed to be reasonable under the circumstances. Actual results could differ from these estimates under different assumptions or conditions. Note 1- Summary of Significant Accounting Policies of the Notes to Consolidated Financial Statements included in Part II, Item 8 - Financial Statements and Supplementary Data in this Annual Report on Form 10-K, contains a comprehensive summary of our significant accounting policies. The following is a discussion of our most critical accounting policies, estimates, judgments and uncertainties that are inherent in our application of GAAP.</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Information about our Contracts with Customers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 comes from contracts to provide engineering, procurement, fabrication and construction, repair and maintenance and other services. Our engineering, procurement and fabrication and construction services are usually provided in association with capital projects, which commonly are fixed price contracts and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be in excess of one year for capital projects.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Contract Identification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one single contract. This evaluation requires judgment and could change the timing of the amount of revenue and profit recorded for a given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Performance Obligations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Contract Price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 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Assign Contract Price to Performance Obligations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as Performance Obligations are Satisfied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revenue for contracts with our customers as we satisfy the contracts' performance obligations. We recognize revenue on performance obligations associated with fixed price contracts for engineering, procurement, fabrication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the revenue accounting standards,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The Company does not sell separate warranties.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 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 price contracts indicate a loss, a provision is made through a contract write-down for the total loss anticipated.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Orders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 of the Notes to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 of the Notes to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Unpriced Change Orders and Claims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 included revenue for unpriced change orders and claims of $14.5 million at June 30, 2020 and $10.1 million at June 30, 2019. The amounts ultimately realized may be significantly different than the recorded amounts resulting in a material adjustment to future earnings. Generally, collection of amounts related to unpriced change orders and claims is expected within twelve months. However, customers may not pay these amounts until final resolution of related claims, and accordingly, collection of these amounts may extend beyond one year.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Contingencies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legal actions, claims, and other contingencies arise in the normal course of our business. Contingencies are recorded in the consolidated financial statements, or are otherwise disclosed, in accordance with Accounting Standard Codification ("ASC") Topic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costs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 which is a level below our reportable segments.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perform our annual impairment test in the fourth quarter of each fiscal year, or in between annual tests whenever events or changes in circumstances indicate the carrying value of goodwill may not be recoverable,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carrying values of our reporting units to our market capitalization.</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second quarter of fiscal 2020, the Company concluded that a goodwill impairment indicator existed in the Electrical Infrastructure segment based on the recent history of depressed gross margins and the second quarter’s downward acceleration of revenue and gross margin. Accordingly, the Company performed an interim impairment test as of December 31, 2019, reflecting updated revenue and gross margin assumptions, and concluded that the reporting unit's $24.9 million of goodwill was fully impaired. Additionally, the Company concluded that a goodwill impairment indicator existed for an Industrial segment reporting unit based on several second quarter events. These events included the deterioration of our relationship with a significant customer in the iron and steel industry in the second quarter. As a result, the customer canceled other previously awarded work and the Company is expecting little to no new business from this customer in the foreseeable future. Accordingly, the Company performed an interim impairment test as of December 31, 2019 and concluded that the reporting unit's $8.0 million of goodwill was fully impaired.</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fiscal 2020, the Company concluded that goodwill impairment indicators existed based on the uncertainties caused by the COVID-19 pandemic and the significant decline in the price of crude oil. These uncertainties resulted in lowered revenue expectations for the remainder of fiscal 2020 and fiscal 2021 and led to significant volatility in the Company's stock price. Accordingly, the Company performed an interim test as of March 31, 2020, which did not result in any additional impairments.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performed its annual goodwill impairment test as of May 31, 2020, which resulted in no impairment. The fiscal 2020 test indicated that three reporting units with a combined total of $14.2 million of goodwill as of June 30, 2020 were at higher risk of future impairment than others. If the Company's view of project opportunities or gross margins deteriorates, particularly for the higher risk reporting units, then the Company may be required to record a material impairment of goodwill.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considered the amount of headroom for each reporting unit when determining whether an impairment existed. The amount of headroom varies by reporting unit. Our significant assumptions, including revenue growth rates, gross margins, discount rate and other factors may change in the future based on the changing economic and competitive environment in which we operate. Assuming that all other components of our fair value estimate remain unchanged, a change in the following assumptions would have the following effect on headroom:</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60" w:type="dxa"/>
            <w:vAlign w:val="bottom"/>
            <w:gridSpan w:val="3"/>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Headroom Sensitivity Analysis</w:t>
            </w:r>
          </w:p>
        </w:tc>
        <w:tc>
          <w:tcPr>
            <w:tcW w:w="1520" w:type="dxa"/>
            <w:vAlign w:val="bottom"/>
          </w:tcPr>
          <w:p>
            <w:pPr>
              <w:spacing w:after="0"/>
              <w:rPr>
                <w:sz w:val="18"/>
                <w:szCs w:val="18"/>
                <w:color w:val="auto"/>
              </w:rPr>
            </w:pPr>
          </w:p>
        </w:tc>
      </w:tr>
      <w:tr>
        <w:trPr>
          <w:trHeight w:val="33"/>
        </w:trPr>
        <w:tc>
          <w:tcPr>
            <w:tcW w:w="3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7"/>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Headroom if Revenue</w:t>
            </w:r>
          </w:p>
        </w:tc>
        <w:tc>
          <w:tcPr>
            <w:tcW w:w="17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Headroom if Gross</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Headroom if</w:t>
            </w:r>
          </w:p>
        </w:tc>
      </w:tr>
      <w:tr>
        <w:trPr>
          <w:trHeight w:val="203"/>
        </w:trPr>
        <w:tc>
          <w:tcPr>
            <w:tcW w:w="3040" w:type="dxa"/>
            <w:vAlign w:val="bottom"/>
          </w:tcPr>
          <w:p>
            <w:pPr>
              <w:spacing w:after="0"/>
              <w:rPr>
                <w:sz w:val="17"/>
                <w:szCs w:val="17"/>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Goodwill as of June</w:t>
            </w:r>
          </w:p>
        </w:tc>
        <w:tc>
          <w:tcPr>
            <w:tcW w:w="16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Growth Rate</w:t>
            </w:r>
          </w:p>
        </w:tc>
        <w:tc>
          <w:tcPr>
            <w:tcW w:w="17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Margin</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Discount Rate</w:t>
            </w:r>
          </w:p>
        </w:tc>
      </w:tr>
      <w:tr>
        <w:trPr>
          <w:trHeight w:val="203"/>
        </w:trPr>
        <w:tc>
          <w:tcPr>
            <w:tcW w:w="3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30, 2020</w:t>
            </w:r>
          </w:p>
        </w:tc>
        <w:tc>
          <w:tcPr>
            <w:tcW w:w="16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Declines by 100 Basis</w:t>
            </w:r>
          </w:p>
        </w:tc>
        <w:tc>
          <w:tcPr>
            <w:tcW w:w="17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Declines by 100 Basis</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Increases by 100</w:t>
            </w:r>
          </w:p>
        </w:tc>
      </w:tr>
      <w:tr>
        <w:trPr>
          <w:trHeight w:val="212"/>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Baseline Headroom</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Points</w:t>
            </w:r>
          </w:p>
        </w:tc>
        <w:tc>
          <w:tcPr>
            <w:tcW w:w="17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Points</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Basis Points</w:t>
            </w:r>
          </w:p>
        </w:tc>
      </w:tr>
      <w:tr>
        <w:trPr>
          <w:trHeight w:val="33"/>
        </w:trPr>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Reporting Unit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6,112</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740" w:type="dxa"/>
            <w:vAlign w:val="bottom"/>
            <w:tcBorders>
              <w:bottom w:val="single" w:sz="8" w:color="CCEEFF"/>
            </w:tcBorders>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color w:val="auto"/>
              </w:rPr>
              <w:t>-28%</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4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Reporting Unit 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3,914</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74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rPr>
              <w:t>-17%</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r>
      <w:tr>
        <w:trPr>
          <w:trHeight w:val="27"/>
        </w:trPr>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Reporting Unit 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4,130</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37%</w:t>
            </w:r>
          </w:p>
        </w:tc>
        <w:tc>
          <w:tcPr>
            <w:tcW w:w="1740" w:type="dxa"/>
            <w:vAlign w:val="bottom"/>
            <w:tcBorders>
              <w:bottom w:val="single" w:sz="8" w:color="CCEEFF"/>
            </w:tcBorders>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color w:val="auto"/>
              </w:rPr>
              <w:t>-19%</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26%</w:t>
            </w:r>
          </w:p>
        </w:tc>
      </w:tr>
      <w:tr>
        <w:trPr>
          <w:trHeight w:val="24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reporting units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46,213</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 to 228%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 to 209%</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 to 167%</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 to 191%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lease arrangements for real estate, construction equipment and information technology equipment in the normal course of business. The Company determines if an arrangement is or contains a lease at inception of the arrangement. An arrangement is determined to be a lease if it conveys the right to control the use of identified property and equipment for a period of time in exchange for consideration. Operating lease right-of-use assets are recognized as the present value of future lease payments over the lease term as of the commencement date, plus any lease payments made prior to commencement, and less any lease incentives received. Operating lease liabilities are recognized as the present value of the future lease payments over the lease term as of the commencement date. Operating lease expense is recognized based on the undiscounted future lease payments over the remaining lease term on a straight-line basis. Lease expense related to short-term leases is recognized on a straight-line basis over the lease term.</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Determinations with respect to lease term (including any renewals and terminations), incremental borrowing rate used to discount lease payments, variable lease expense and future lease payments require the use of judgment based on the facts and circumstances related to each lease. The Company considers various factors, including economic incentives, intent, past history and business need, to determine the likelihood that a renewal option will be exercised.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are evaluated for impairment in accordance with our policy for impairment of long-lived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2016-13, Financial Instruments - Credit Losses (Topic 326): Measurement of Credit Losses on Financial Instruments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16, 2016, the Financial Accounting Standards Board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Previous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adopted the standard on July 1, 2020 with no material impact to its estimate of the allowance for uncollectible accounts.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2020, we operated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Electrical Infrastructure segment consists of power delivery services provided to investor owned utilities, including construction of new substations, upgrades of existing substations, short-run transmission line installations, distribution upgrades and maintenance, as well as emergency and storm restoration services. We also provide construction and maintenance services to a variety of power generation facilities, such as combined cycle plants and other natural gas fired power stations.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Oil Gas &amp; Chemical segment serves customers primarily in the downstream and midstream petroleum industries who are engaged in refining crude oil and processing, fractionating, and marketing of natural gas and natural gas liquids. We also perform work in the petrochemical, and sulfur extraction, recovery and processing markets. Our services include plant maintenance, turnarounds, engineering and capital construction. We also offer industrial cleaning services, including hydro-blasting, hydro-excavating, advanced chemical cleaning and vacuum services.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Storage Solutions segment consists of work related to aboveground storage tanks ("AST") and terminals. Also included in this segment are cryogenic and other specialty storage tanks and terminals including liquefied natural gas, liquid nitrogen/liquid oxygen, liquid petroleum and other specialty vessels such as spheres as well as marine structures and truck and rail loading/offloading facilities. Our services include engineering, fabrication and construction, and maintenance and repair, which includes planned and emergency services for both tanks and full terminals. Finally, we offer AST products, including geodesic domes, aluminum internal floating roofs, floating suction and skimmer systems, roof drain systems and floating roof seals.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Process and Industrial Facilities segment includes engineering, maintenance, turnarounds and capital projects for the refining, chemical and petrochemical industries; midstream natural gas processing; other industrial processing facilities including biofuels, fertilizer, and sulfur; mining and minerals infrastructure; and thermal vacuum chambers. This segment is similar to the former Oil Gas &amp; Chemical segment described above, but includes mining and minerals, thermal vacuum chambers, and work in other industrial facilities which were historically reported in the Industrial segment.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changing markets facing our clients and to better align the financial reporting of the Company with our long-term strategic growth areas, we are changing our reporting segments. Beginning in fiscal 2021, the Company’s financial results will be reported under the following three segments: Utility and Power Infrastructure; Process and Industrial Facilities; and Storage and Terminal Solutions. The services provided by each of these segments is described below.</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Utility and Power Infrastructure segment includes services provided in power delivery and power generation, as well as natural gas utility peak shaving. This segment is similar to the former Electrical Infrastructure segment described above, but includes natural gas utility peak shaving facilities that have been historically reported in the Storage Solutions segment.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Process and Industrial Facilities segment includes engineering, maintenance, turnarounds and capital projects for the refining, chemical and petrochemical industries; midstream natural gas processing; other industrial processing facilities including biofuels, fertilizer, and sulfur; mining and minerals infrastructure; and thermal vacuum chambers. This segment is similar to the former Oil Gas &amp; Chemical segment described above, but includes mining and minerals as well as thermal vacuum chambers, which were historically reported in the Industrial segment.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Storage and Terminal Solutions segment includes engineering, construction, maintenance and repair for aboveground storage tanks and terminals; LNG facilities for import/export fueling and bunkering; NGL and other specialty vessels; aboveground storage tank products; and other renewable energy storage and terminal solutions. This segment is similar to the former Storage Solutions segment described above, but does not include the natural gas utility peak shaving facilities, which will be reported as part of the Utility and Power Infrastructure segment.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work for all segments is performed in the United States, with 7.3% of revenue generated internationally during fiscal 2020, 3.4% in fiscal 2019 and 10.1% in fiscal 2018. The percentage of revenue generated internationally increased in fiscal 2020 compared to fiscal 2019 due to higher levels of work in Canada. The percentage of revenue generated internationally decreased in fiscal 2019 compared to fiscal 2018 due to the completion of a significant Canadian power generation project in our Electrical Infrastructure segment in fiscal 2018.</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period to period changes in revenue, gross profits and operating results between fiscal 2020 and fiscal 2019 are discussed below on a consolidated basis and for each segment. A discussion of results of operations changes between fiscal 2019 and fiscal 2018 is included in Item 7. Management’s Discussion and Analysis of Financial Condition and Results of Operations of our Annual Report on Form 10-K for the year ended June 30, 2019, which was filed with the SEC on September 4, 2019.</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Electrical</w:t>
            </w:r>
          </w:p>
        </w:tc>
        <w:tc>
          <w:tcPr>
            <w:tcW w:w="320" w:type="dxa"/>
            <w:vAlign w:val="bottom"/>
          </w:tcPr>
          <w:p>
            <w:pPr>
              <w:spacing w:after="0"/>
              <w:rPr>
                <w:sz w:val="13"/>
                <w:szCs w:val="13"/>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Oil Gas &amp;</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320" w:type="dxa"/>
            <w:vAlign w:val="bottom"/>
          </w:tcPr>
          <w:p>
            <w:pPr>
              <w:spacing w:after="0"/>
              <w:rPr>
                <w:sz w:val="16"/>
                <w:szCs w:val="16"/>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2020</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112,890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200,950</w:t>
            </w: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559,199</w:t>
            </w: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227,899</w:t>
            </w: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1,100,938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102,176</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(loss) %</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7,543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86,276</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impairments and restructuring costs</w:t>
            </w:r>
          </w:p>
        </w:tc>
        <w:tc>
          <w:tcPr>
            <w:tcW w:w="16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27,855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(36,503)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27,306</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(36,625)</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 %</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2019</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217,417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319,867</w:t>
            </w: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521,932</w:t>
            </w: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357,464</w:t>
            </w: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1,416,680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15,470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131,951</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11,802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94,021</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impairments and restructuring costs</w:t>
            </w:r>
          </w:p>
        </w:tc>
        <w:tc>
          <w:tcPr>
            <w:tcW w:w="16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3,668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37,930</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Variances Fiscal Year 2020 to Fiscal Year 2019</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Increase/(Decrease)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(104,527)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(118,917)</w:t>
            </w: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37,267</w:t>
            </w: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(129,565)</w:t>
            </w: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(315,742)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(16,575)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(29,775)</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impairments and restructuring costs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27,855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19,524</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52,525</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(40,171)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4"/>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Update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the COVID-19 pandemic persists, the Company's top priority has been to maintain a safe working environment for all employees, customers and business partners. We transitioned the majority of our administrative and engineering team members to remote working conditions in March 2020. At this time, we have returned to the office in select locations where predetermined criteria have been met, but the majority of our administrative and engineering team members continue to work remotely. Our project teams in coordination with our clients created work processes to integrate the guidance from governmental agencies and leading health organizations to protect the health and safety of everyone on our job sites while maintaining productivity.</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continues to be significant uncertainty regarding the near- and intermediate-term economic impacts from the COVID-19 pandemic, which has disrupted the markets we serve. As a result, the Company expanded its previously announced business improvement plan, which consisted of discretionary cost reductions, workforce reductions and closures of certain offices in order to increase the utilization of the Company's staff and bring the cost structure of the business in line with our revenue expectations.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previously announced business improvement plan was in response to underperformance in the Company's Electrical Infrastructure segment, which led to a $24.9 million impairment of goodwill during the second quarter of fiscal 2020. In addition, the Company recorded $13.6 million of goodwill and other intangible asset impairments during the second quarter of fiscal 2020 in connection with the deterioration of our relationship with a significant customer in the iron and steel industry. The Company made a strategic decision to exit the domestic iron and steel business early in the third quarter of fiscal 2020, which resulted in incurring restructuring costs to exit the business. Finally, during the second quarter of 2020, the Company placed a $2.4 million valuation allowance on a deferred tax asset that was created by net operating loss carryforwards and other tax credits in Canada, which was determined to be unrecoverable.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$14.0 million of restructuring costs in fiscal 2020 in connection with its business improvement plan, other restructuring activities, and the wind down of the domestic iron and steel business. These initiatives were substantially completed as of June 30, 2020. As a result of these actions, the Company expects to save approximately $45 million in planned annual operating costs.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more clearly depict the core profitability of the Company, the following table presents our net income and earnings per fully diluted share for fiscal 2020 after adjusting for restructuring costs, impairments, and the Canadian tax valuation allowance: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 and Diluted Earnings per Common Share</w:t>
      </w:r>
      <w:r>
        <w:rPr>
          <w:rFonts w:ascii="Times New Roman" w:cs="Times New Roman" w:eastAsia="Times New Roman" w:hAnsi="Times New Roman"/>
          <w:sz w:val="23"/>
          <w:szCs w:val="23"/>
          <w:b w:val="1"/>
          <w:bCs w:val="1"/>
          <w:color w:val="auto"/>
          <w:vertAlign w:val="superscript"/>
        </w:rPr>
        <w:t>(1)</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 Ended June 30, 2020</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5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Income Tax Effect</w:t>
            </w: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49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Charge</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of Charge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0" w:type="dxa"/>
            <w:vAlign w:val="bottom"/>
          </w:tcPr>
          <w:p>
            <w:pPr>
              <w:spacing w:after="0"/>
              <w:rPr>
                <w:sz w:val="1"/>
                <w:szCs w:val="1"/>
                <w:color w:val="auto"/>
              </w:rPr>
            </w:pPr>
          </w:p>
        </w:tc>
      </w:tr>
      <w:tr>
        <w:trPr>
          <w:trHeight w:val="201"/>
        </w:trPr>
        <w:tc>
          <w:tcPr>
            <w:tcW w:w="6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common share, as reported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62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Restructuring costs incurred</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14,010</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10,641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0.39</w:t>
            </w:r>
          </w:p>
        </w:tc>
        <w:tc>
          <w:tcPr>
            <w:tcW w:w="0" w:type="dxa"/>
            <w:vAlign w:val="bottom"/>
          </w:tcPr>
          <w:p>
            <w:pPr>
              <w:spacing w:after="0"/>
              <w:rPr>
                <w:sz w:val="1"/>
                <w:szCs w:val="1"/>
                <w:color w:val="auto"/>
              </w:rPr>
            </w:pPr>
          </w:p>
        </w:tc>
      </w:tr>
      <w:tr>
        <w:trPr>
          <w:trHeight w:val="208"/>
        </w:trPr>
        <w:tc>
          <w:tcPr>
            <w:tcW w:w="4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Electrical Infrastructure segment goodwill impairment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0.74</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62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Industrial segment goodwill and other intangible asset impairment</w:t>
            </w: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13,615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0.40</w:t>
            </w:r>
          </w:p>
        </w:tc>
        <w:tc>
          <w:tcPr>
            <w:tcW w:w="0" w:type="dxa"/>
            <w:vAlign w:val="bottom"/>
          </w:tcPr>
          <w:p>
            <w:pPr>
              <w:spacing w:after="0"/>
              <w:rPr>
                <w:sz w:val="1"/>
                <w:szCs w:val="1"/>
                <w:color w:val="auto"/>
              </w:rPr>
            </w:pPr>
          </w:p>
        </w:tc>
      </w:tr>
      <w:tr>
        <w:trPr>
          <w:trHeight w:val="207"/>
        </w:trPr>
        <w:tc>
          <w:tcPr>
            <w:tcW w:w="4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Valuation allowance placed on a deferred tax asset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198"/>
        </w:trPr>
        <w:tc>
          <w:tcPr>
            <w:tcW w:w="40" w:type="dxa"/>
            <w:vAlign w:val="bottom"/>
            <w:tcBorders>
              <w:bottom w:val="single" w:sz="8" w:color="CCEEFF"/>
            </w:tcBorders>
          </w:tcPr>
          <w:p>
            <w:pPr>
              <w:spacing w:after="0"/>
              <w:rPr>
                <w:sz w:val="17"/>
                <w:szCs w:val="17"/>
                <w:color w:val="auto"/>
              </w:rPr>
            </w:pPr>
          </w:p>
        </w:tc>
        <w:tc>
          <w:tcPr>
            <w:tcW w:w="622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4"/>
                <w:szCs w:val="14"/>
                <w:color w:val="auto"/>
              </w:rPr>
              <w:t>Adjustment for dilutive effect of using basic shares for net loss</w:t>
            </w: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21"/>
        </w:trPr>
        <w:tc>
          <w:tcPr>
            <w:tcW w:w="6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 and diluted earnings per common share</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0.40</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diluted:</w:t>
            </w: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As reported</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26,621</w:t>
            </w:r>
          </w:p>
        </w:tc>
        <w:tc>
          <w:tcPr>
            <w:tcW w:w="0" w:type="dxa"/>
            <w:vAlign w:val="bottom"/>
          </w:tcPr>
          <w:p>
            <w:pPr>
              <w:spacing w:after="0"/>
              <w:rPr>
                <w:sz w:val="1"/>
                <w:szCs w:val="1"/>
                <w:color w:val="auto"/>
              </w:rPr>
            </w:pPr>
          </w:p>
        </w:tc>
      </w:tr>
      <w:tr>
        <w:trPr>
          <w:trHeight w:val="198"/>
        </w:trPr>
        <w:tc>
          <w:tcPr>
            <w:tcW w:w="40" w:type="dxa"/>
            <w:vAlign w:val="bottom"/>
            <w:tcBorders>
              <w:bottom w:val="single" w:sz="8" w:color="CCEEFF"/>
            </w:tcBorders>
          </w:tcPr>
          <w:p>
            <w:pPr>
              <w:spacing w:after="0"/>
              <w:rPr>
                <w:sz w:val="17"/>
                <w:szCs w:val="17"/>
                <w:color w:val="auto"/>
              </w:rPr>
            </w:pPr>
          </w:p>
        </w:tc>
        <w:tc>
          <w:tcPr>
            <w:tcW w:w="622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4"/>
                <w:szCs w:val="14"/>
                <w:color w:val="auto"/>
              </w:rPr>
              <w:t>Previously anti-dilutive common shares</w:t>
            </w: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226"/>
        </w:trPr>
        <w:tc>
          <w:tcPr>
            <w:tcW w:w="40" w:type="dxa"/>
            <w:vAlign w:val="bottom"/>
            <w:tcBorders>
              <w:bottom w:val="single" w:sz="8" w:color="CCEEFF"/>
            </w:tcBorders>
            <w:shd w:val="clear" w:color="auto" w:fill="CCEEFF"/>
          </w:tcPr>
          <w:p>
            <w:pPr>
              <w:spacing w:after="0"/>
              <w:rPr>
                <w:sz w:val="19"/>
                <w:szCs w:val="19"/>
                <w:color w:val="auto"/>
              </w:rPr>
            </w:pPr>
          </w:p>
        </w:tc>
        <w:tc>
          <w:tcPr>
            <w:tcW w:w="62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Adjusted weighted average common shares outstanding - diluted</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27,111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580" w:hanging="329"/>
        <w:spacing w:after="0" w:line="251" w:lineRule="auto"/>
        <w:tabs>
          <w:tab w:leader="none" w:pos="57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table presents non-GAAP financial measures of our adjusted net income and adjusted diluted earnings per common share for fiscal 2020. The most directly comparable financial measures are net loss and net loss per common share, respectively, presented in the Consolidated Statements of Income. We have presented these non-GAAP financial measures because we believe they more clearly depict the core operating results of the Company during the period presented and provide a more comparable measure of the Company's operating results to other companies considered to be in similar businesses. Since adjusted net income and adjusted diluted earnings per common share are not measures of performance calculated in accordance with GAAP, they should be considered in addition to, rather than as a substitute for, the most directly comparable GAAP financial measures.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2020 Versus Fiscal 2019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Consolidated revenue was $1.101 billion for the fiscal year ended June 30, 2020, compared to $1.417 billion in fiscal 2019. On a segment basis, consolidated revenue decreased in the Industrial, Oil Gas &amp; Chemical, and Electrical Infrastructure segments by $129.6 million, $118.9 million and $104.5 million, respectively. These decreases were partially offset by an increase in the Storage Solutions segment of $37.3 million.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gross profit was $102.2 million in fiscal 2020 compared to $132.0 million in fiscal 2019. Gross margin was 9.3% in fiscal 2020 and fiscal 2019. Gross margins in fiscal 2020 are the result of strong project execution, offset by the under recovery of construction overhead costs due to lower than anticipated revenue volumes, particularly in the fourth quarter. Fiscal 2019 was positively impacted by higher revenue volumes, which led to an over recovery of construction overhead costs.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SG&amp;A expenses were $86.3 million in fiscal 2020 compared to $94.0 million in fiscal 2019. The decrease in fiscal 2020 was primarily attributable to lower incentive compensation due to weaker operating results in the current year.and savings from executing the previously announced business improvement plan.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non-cash goodwill and other intangible asset impairments of $38.5 million during the second quarter of fiscal 2020. See Item 8. Financial Statements, Note 4 - Goodwill and other intangible assets for more information about the impairments. In addition, the Company recorded $14.0 million of restructuring costs in the third and fourth quarters of fiscal 2020 due to actions taken under our business improvement plan. See Operational Update in this Results of Operations section and Item 8. Financial Statements, Note 14 - Restructuring Costs, for more information.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was $1.6 million in fiscal 2020 and $1.3 million in fiscal 2019. The increase in interest expense was primarily due to a higher average debt balance during fiscal 2020, partially offset by lower interest rates in fiscal 2020. Interest income was $1.3 million during fiscal 2020 compared to $1.2 million in fiscal 2019 due to an increase in our average cash balance during fiscal 2020, partially offset by lower interest rates in fiscal 2020.</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effective tax rate for fiscal 2020 was 9.7% compared to 27.2% in fiscal 2019. The tax benefit for fiscal 2020 was negatively impacted by a $3.1 million of valuation allowances placed on deferred tax assets that were created by net operating loss carryforwards and other tax credits primarily in Canada, the non-deductible portion of the goodwill impairments that would have resulted in a $1.8 million reduction of income tax expense, and $1.7 million of other non-deductible expenses. These negative impacts were partially offset by $1.8 million of research and development and other tax credits. The effective tax rate in fiscal 2019 was negatively impacted by $4.5 million of valuation allowances placed on net operating loss carryforwards and foreign tax credits generated by our branch operations in Canada, and $1.2 million of non-deductible expenses. These negative impacts were largely offset by the reversal of $3.5 million of branch liabilities associated with the valuation allowances placed on our Canadian branch net operating loss carryforwards and foreign tax credits, $2.0 million of research and development and other tax credits and $0.3 million of excess tax benefits related to the vesting of stock-based compensation. A full analysis of the Company's provision for income taxes is included in Item 8. Financial Statements and Supplementary Data, Note 6 - Income Taxes.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2020, net loss was $33.1 million, or $1.24 per fully diluted share, compared to net income of $28.0 million, or $1.01 per fully diluted share, in fiscal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Electrical Infrastructure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for the Electrical Infrastructure segment decreased $104.5 million to $112.9 million in fiscal 2020 compared to $217.4 million in fiscal 2019. The decrease is primarily due to lower volumes of power delivery and power generation work. The segment gross margin (loss) was (1.0)% in fiscal 2020 compared to 7.1% in the same period last year. The fiscal 2020 segment gross loss was negatively impacted by poor execution in the first and second quarters and lower volumes throughout the year, which led to the under recovery of construction overhead costs. The segment gross margin in fiscal 2019 was negatively impacted by lower than previously forecasted margins on a limited number of power delivery projects. In fiscal 2019, we expanded our power delivery business geographically, however, the margins on this work did not meet our expectations. The fiscal 2019 segment margin was also negatively impacted when the proceeds from the settlement of a customer dispute were less than previously anticipated. The negative impacts to the fiscal 2019 segment gross margin were partially offset by strong project execution on power generation package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second quarter of fiscal 2020, the Company announced a business improvement plan for this segment. The plan included significant changes to the operations and management of the business, including changes to leadership and mid-level operational personnel, modifications to operational processes, and increased business development resources. During the second half of fiscal 2020, we implemented the planned personnel changes, added business development resources and strengthened business processes, which has led to improved project execution. However, it is still too early to assess the long-term effectiveness of the business improvement plan. Furthermore, an improvement in the operating performance of this segment will be dependent upon the effectiveness and execution of the improvement plan, the markets we serve, the spending volumes of our existing clients and other external factors.</w:t>
      </w:r>
    </w:p>
    <w:p>
      <w:pPr>
        <w:spacing w:after="0" w:line="1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of the COVID-19 pandemic, we have experienced suspensions of work at certain job sites and client proposal activity has slowed as customers manage other pandemic-related challenges. We will continue to assess conditions in the areas we serve and resume normal operations based on the needs of our clients and safety guidelines to ensure the protection of our employees and customers.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Gas &amp; Chemical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for the Oil Gas &amp; Chemical segment was $201.0 million in fiscal 2020 compared to $319.9 million in the same period a year earlier. The decrease of $118.9 million is primarily due to lower volumes of turnaround and refinery maintenance work. The segment gross margin was 7.9% in fiscal 2020 compared to 11.3% in the same period last year. The fiscal 2020 segment gross margin was negatively impacted by lower volumes, which led to the under recovery of construction overhead costs, partially offset by strong project execution. Project execution was strong in fiscal 2019 and higher volumes led to an over recovery of construction overhead costs.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short-term impact to the Company's refinery turnaround and maintenance operations as a result of the global pandemic has been significant. The impact has been exacerbated by the timing of the onset of the pandemic during what is normally a busy spring turnaround season. Although there have been project delays and temporary suspensions of planned seasonal work, in most cases the revenue volumes are moving out in time, but not eliminated. The updated start dates on many of the delayed activities are uncertain and will depend on the needs of our clients, safety guidelines, and the market.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Storage Solutions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for the Storage Solutions segment was $559.2 million in fiscal 2020 compared to $521.9 million in fiscal 2019, an increase of $37.3 million. The increase in segment revenue is primarily a result of increased tank and terminal construction work and higher levels of work in Canada. The segment gross margin was 12.9% in fiscal 2020 compared to 10.7% in fiscal 2019. The fiscal 2020 segment gross margin was positively impacted by strong project execution on large capital projects. During the first half of fiscal 2019, the segment gross margin was negatively impacted by the wind down of lower margin work awarded in a highly competitive environment and lower than previously forecasted margins on a limited number of those projects.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COVID-19 pandemic, global energy demand, and regulatory issues, we experienced short-term suspensions of work on a limited number of projects, but work on most of these projects has resumed. In addition, some project awards and starts were delayed for durations varying from a few weeks to a few quarters.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for the Industrial segment was $227.9 million in fiscal 2020 compared to $357.5 million in fiscal 2019, a decrease of $129.6 million. The decrease in revenue is primarily attributable to our strategic decision to exit the domestic iron and steel industry early in the third quarter, and lower volumes of thermal vacuum chamber work. We no longer have a continuous presence in any domestic iron and steel facility and final wind-down of the business is substantially complete. The segment gross margin was 6.8% in fiscal 2020 and fiscal 2019. The fiscal 2020 segment gross margin was negatively impacted by sharply lower volumes and under recovery of overhead costs during the second half of the year due to the wind down of the domestic iron and steel business. These negative impacts to segment gross margin were partially offset by good project execution on both capital and repair and maintenance projects during the first half of the year and a favorable project closeout on a thermal vacuum chamber project in the fourth quarter. The fiscal 2019 segment gross margin was negatively impacted by a lower than previously forecasted margin on a thermal vacuum chamber project, partially offset by improved gross margins on iron and steel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presented Adjusted EBITDA, which we define as net income (loss) before impairment of goodwill and other intangible assets, restructuring costs, interest expense, income taxes, depreciation and amortization, because it is used by the financial community as a method of measuring our performance and of evaluating the market value of companies considered to be in similar businesses. We believe that the line item on our Consolidated Statements of Income entitled “Net income (loss)” is the most directly comparable GAAP measure to Adjusted EBITDA. Since Adjusted EBITDA is not a measure of performance calculated in accordance with GAAP, it should not be considered in isolation of, or as a substitute for, net earnings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income (loss), the most directly comparable GAAP financial measure, users of this financial information should consider the type of events and transactions that are excluded. Our non-GAAP performance measure, Adjusted EBITDA, has certain material limitations as follows:</w:t>
      </w:r>
    </w:p>
    <w:p>
      <w:pPr>
        <w:spacing w:after="0" w:line="215" w:lineRule="exact"/>
        <w:rPr>
          <w:sz w:val="20"/>
          <w:szCs w:val="20"/>
          <w:color w:val="auto"/>
        </w:rPr>
      </w:pPr>
    </w:p>
    <w:p>
      <w:pPr>
        <w:ind w:left="980" w:right="160" w:hanging="324"/>
        <w:spacing w:after="0" w:line="255"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impairments to goodwill and other intangible assets. While impairments to intangible assets are non-cash expenses in the period recognized, cash or other consideration was still transferred in exchange for the intangible assets in the period of the acquisition. Any measure that excludes impairments to intangible assets has material limitations since these expenses represent the loss of an asset that was acquired in exchange for cash or other assets.</w:t>
      </w:r>
    </w:p>
    <w:p>
      <w:pPr>
        <w:spacing w:after="0" w:line="2"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restructuring costs. Restructuring costs represent material costs that were incurred by the Company and are oftentimes cash expenses. Therefore, any measure that excludes restructuring costs has material limitations.</w:t>
      </w:r>
    </w:p>
    <w:p>
      <w:pPr>
        <w:spacing w:after="0" w:line="208" w:lineRule="exact"/>
        <w:rPr>
          <w:rFonts w:ascii="Times New Roman" w:cs="Times New Roman" w:eastAsia="Times New Roman" w:hAnsi="Times New Roman"/>
          <w:sz w:val="18"/>
          <w:szCs w:val="18"/>
          <w:color w:val="auto"/>
        </w:rPr>
      </w:pPr>
    </w:p>
    <w:p>
      <w:pPr>
        <w:ind w:left="980" w:right="120" w:hanging="324"/>
        <w:spacing w:after="0" w:line="261"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interest expense. Because we have borrowed money to finance our operations and to acquire businesses, pay commitment fees to maintain our senior secured revolving credit facility, and incur fees to issue letters of credit under the senior secured revolving credit facility, interest expense is a necessary and ongoing part of our costs and has assisted us in generating revenue. Therefore, any measure that excludes interest expense has material limitations.</w:t>
      </w:r>
    </w:p>
    <w:p>
      <w:pPr>
        <w:spacing w:after="0" w:line="206"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income taxes. Because the payment of income taxes is a necessary and ongoing part of our operations, any measure that excludes income taxes has material limitations.</w:t>
      </w:r>
    </w:p>
    <w:p>
      <w:pPr>
        <w:spacing w:after="0" w:line="188"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Adjusted EBITDA to net income (loss) follows:</w:t>
      </w:r>
    </w:p>
    <w:p>
      <w:pPr>
        <w:spacing w:after="0" w:line="354"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49"/>
        </w:trPr>
        <w:tc>
          <w:tcPr>
            <w:tcW w:w="6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2"/>
                <w:szCs w:val="12"/>
                <w:color w:val="auto"/>
              </w:rPr>
            </w:pPr>
          </w:p>
        </w:tc>
        <w:tc>
          <w:tcPr>
            <w:tcW w:w="1100" w:type="dxa"/>
            <w:vAlign w:val="bottom"/>
          </w:tcPr>
          <w:p>
            <w:pPr>
              <w:jc w:val="right"/>
              <w:ind w:right="334"/>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27,982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 impairment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17,998</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2,600</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federal, state and foreign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10,430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18,224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20,347</w:t>
            </w: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57,932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28,797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liquidity as the ability to pay our liabilities as they become due, fund business operations and meet all contractual and financial obligations. Our primary sources of liquidity in fiscal 2020 were cash and cash equivalents on hand, capacity under our senior secured revolving credit facility and cash generated from operations. Cash and cash equivalents on hand at June 30, 2020 totaled $100.0 million and availability under the senior secured revolving credit facility totaled $93.4 million, resulting in total liquidity of $193.4 million.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continues to be significant uncertainty regarding the near- and intermediate-term business impacts from the COVID-19 pandemic. However, the Company entered this environment with a strong balance sheet and liquidity, which it expects to be sufficient to support its near- to intermediate-term needs. In fiscal 2020, the Company implemented steps to preserve its financial position including:</w:t>
      </w:r>
    </w:p>
    <w:p>
      <w:pPr>
        <w:spacing w:after="0" w:line="12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the business to right-size the cost structure to the expected near-term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all non-critical capital expenditures;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suspending share repurchases.</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the cost reduction efforts were appropriate given the circumstances. These reductions were significant, but did not impact our capabilities nor our ability to execute work. These reductions will enable us to be more competitive and profitable in the future and preserve liquidity.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our liquidity for the fiscal year ended June 30, 2020 (in thousands):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Liquidity as of June 30, 2019</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241,898</w:t>
            </w: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8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10,321</w:t>
            </w:r>
          </w:p>
        </w:tc>
      </w:tr>
      <w:tr>
        <w:trPr>
          <w:trHeight w:val="27"/>
        </w:trPr>
        <w:tc>
          <w:tcPr>
            <w:tcW w:w="8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credit facility capacity constraint</w:t>
            </w:r>
          </w:p>
        </w:tc>
        <w:tc>
          <w:tcPr>
            <w:tcW w:w="8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(68,541)</w:t>
            </w: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borrowings on credit facility</w:t>
            </w:r>
          </w:p>
        </w:tc>
        <w:tc>
          <w:tcPr>
            <w:tcW w:w="8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r>
      <w:tr>
        <w:trPr>
          <w:trHeight w:val="27"/>
        </w:trPr>
        <w:tc>
          <w:tcPr>
            <w:tcW w:w="8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letters of credit outstanding</w:t>
            </w:r>
          </w:p>
        </w:tc>
        <w:tc>
          <w:tcPr>
            <w:tcW w:w="8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13,618</w:t>
            </w: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of outstanding borrowings</w:t>
            </w:r>
          </w:p>
        </w:tc>
        <w:tc>
          <w:tcPr>
            <w:tcW w:w="8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7"/>
        </w:trPr>
        <w:tc>
          <w:tcPr>
            <w:tcW w:w="89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Liquidity as of June 30, 2020</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193,435</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routinely impact our short-term liquidity and that may impact our long-term liquidity include, but are not limited to:</w:t>
      </w:r>
    </w:p>
    <w:p>
      <w:pPr>
        <w:spacing w:after="0" w:line="171" w:lineRule="exact"/>
        <w:rPr>
          <w:sz w:val="20"/>
          <w:szCs w:val="20"/>
          <w:color w:val="auto"/>
        </w:rPr>
      </w:pPr>
    </w:p>
    <w:p>
      <w:pPr>
        <w:ind w:left="660" w:right="2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07" w:lineRule="exact"/>
        <w:rPr>
          <w:rFonts w:ascii="Times New Roman" w:cs="Times New Roman" w:eastAsia="Times New Roman" w:hAnsi="Times New Roman"/>
          <w:sz w:val="18"/>
          <w:szCs w:val="18"/>
          <w:color w:val="auto"/>
        </w:rPr>
      </w:pPr>
    </w:p>
    <w:p>
      <w:pPr>
        <w:ind w:left="1020" w:right="40" w:hanging="324"/>
        <w:spacing w:after="0" w:line="282" w:lineRule="auto"/>
        <w:tabs>
          <w:tab w:leader="none" w:pos="10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cost plus and fixed price customer contracts are billed based on milestones which may require us to incur significant expenditures prior to collections from our customers.</w:t>
      </w:r>
    </w:p>
    <w:p>
      <w:pPr>
        <w:spacing w:after="0" w:line="107" w:lineRule="exact"/>
        <w:rPr>
          <w:rFonts w:ascii="Times New Roman" w:cs="Times New Roman" w:eastAsia="Times New Roman" w:hAnsi="Times New Roman"/>
          <w:sz w:val="18"/>
          <w:szCs w:val="18"/>
          <w:color w:val="auto"/>
        </w:rPr>
      </w:pPr>
    </w:p>
    <w:p>
      <w:pPr>
        <w:ind w:left="1020" w:right="600" w:hanging="324"/>
        <w:spacing w:after="0" w:line="282" w:lineRule="auto"/>
        <w:tabs>
          <w:tab w:leader="none" w:pos="10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fixed price customer contracts allow for significant upfront billings at the beginning of the project, which temporarily increases liquidity near-term.</w:t>
      </w:r>
    </w:p>
    <w:p>
      <w:pPr>
        <w:spacing w:after="0" w:line="107" w:lineRule="exact"/>
        <w:rPr>
          <w:rFonts w:ascii="Times New Roman" w:cs="Times New Roman" w:eastAsia="Times New Roman" w:hAnsi="Times New Roman"/>
          <w:sz w:val="18"/>
          <w:szCs w:val="18"/>
          <w:color w:val="auto"/>
        </w:rPr>
      </w:pPr>
    </w:p>
    <w:p>
      <w:pPr>
        <w:ind w:left="1020" w:right="260" w:hanging="324"/>
        <w:spacing w:after="0" w:line="282" w:lineRule="auto"/>
        <w:tabs>
          <w:tab w:leader="none" w:pos="10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material contracts are normally billed in arrears. Therefore, we are routinely required to carry these costs until they can be billed and collected.</w:t>
      </w:r>
    </w:p>
    <w:p>
      <w:pPr>
        <w:spacing w:after="0" w:line="107" w:lineRule="exact"/>
        <w:rPr>
          <w:rFonts w:ascii="Times New Roman" w:cs="Times New Roman" w:eastAsia="Times New Roman" w:hAnsi="Times New Roman"/>
          <w:sz w:val="18"/>
          <w:szCs w:val="18"/>
          <w:color w:val="auto"/>
        </w:rPr>
      </w:pPr>
    </w:p>
    <w:p>
      <w:pPr>
        <w:ind w:left="1020" w:right="100" w:hanging="324"/>
        <w:spacing w:after="0" w:line="282" w:lineRule="auto"/>
        <w:tabs>
          <w:tab w:leader="none" w:pos="10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large construction projects may require security in the form of letters of credit or significant retentions. The timing of collection of retentions is often uncertain.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working capital.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that may impact both short and long-term liquidity include:</w:t>
      </w:r>
    </w:p>
    <w:p>
      <w:pPr>
        <w:spacing w:after="0" w:line="17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disposals of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in new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under our stock buyback program.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disputes which can be significant.</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issues, including those caused by weak commodity prices, economic slowdowns or other factors which can lead to credit deterioration of our customers.</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under our senior secured revolving credit facility and remaining in compliance with all covenants contained in the Credit Agreement.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letters of credit.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flows provided by operating activities for the fiscal year ended June 30, 2020 totaled $44.1 million. Major components of cash flows from operating activities for the year ending June 30, 2020 are as follows: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5980" w:type="dxa"/>
            <w:vAlign w:val="bottom"/>
            <w:gridSpan w:val="2"/>
          </w:tcPr>
          <w:p>
            <w:pPr>
              <w:jc w:val="right"/>
              <w:ind w:right="25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380" w:type="dxa"/>
            <w:vAlign w:val="bottom"/>
          </w:tcPr>
          <w:p>
            <w:pPr>
              <w:spacing w:after="0"/>
              <w:rPr>
                <w:sz w:val="20"/>
                <w:szCs w:val="20"/>
                <w:color w:val="auto"/>
              </w:rPr>
            </w:pPr>
          </w:p>
        </w:tc>
      </w:tr>
      <w:tr>
        <w:trPr>
          <w:trHeight w:val="220"/>
        </w:trPr>
        <w:tc>
          <w:tcPr>
            <w:tcW w:w="3680" w:type="dxa"/>
            <w:vAlign w:val="bottom"/>
          </w:tcPr>
          <w:p>
            <w:pPr>
              <w:spacing w:after="0"/>
              <w:rPr>
                <w:sz w:val="19"/>
                <w:szCs w:val="19"/>
                <w:color w:val="auto"/>
              </w:rPr>
            </w:pPr>
          </w:p>
        </w:tc>
        <w:tc>
          <w:tcPr>
            <w:tcW w:w="5980" w:type="dxa"/>
            <w:vAlign w:val="bottom"/>
            <w:gridSpan w:val="2"/>
          </w:tcPr>
          <w:p>
            <w:pPr>
              <w:jc w:val="right"/>
              <w:ind w:right="37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Pr>
          <w:p>
            <w:pPr>
              <w:spacing w:after="0"/>
              <w:rPr>
                <w:sz w:val="19"/>
                <w:szCs w:val="19"/>
                <w:color w:val="auto"/>
              </w:rPr>
            </w:pPr>
          </w:p>
        </w:tc>
      </w:tr>
      <w:tr>
        <w:trPr>
          <w:trHeight w:val="212"/>
        </w:trPr>
        <w:tc>
          <w:tcPr>
            <w:tcW w:w="36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98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(33,074)</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 impairment</w:t>
            </w:r>
          </w:p>
        </w:tc>
        <w:tc>
          <w:tcPr>
            <w:tcW w:w="5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38,515</w:t>
            </w:r>
          </w:p>
        </w:tc>
      </w:tr>
      <w:tr>
        <w:trPr>
          <w:trHeight w:val="27"/>
        </w:trPr>
        <w:tc>
          <w:tcPr>
            <w:tcW w:w="36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expenses</w:t>
            </w:r>
          </w:p>
        </w:tc>
        <w:tc>
          <w:tcPr>
            <w:tcW w:w="5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34,607</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w:t>
            </w:r>
          </w:p>
        </w:tc>
        <w:tc>
          <w:tcPr>
            <w:tcW w:w="5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w:t>
            </w:r>
          </w:p>
        </w:tc>
      </w:tr>
      <w:tr>
        <w:trPr>
          <w:trHeight w:val="27"/>
        </w:trPr>
        <w:tc>
          <w:tcPr>
            <w:tcW w:w="36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effect of changes in working capital</w:t>
            </w:r>
          </w:p>
        </w:tc>
        <w:tc>
          <w:tcPr>
            <w:tcW w:w="5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368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9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44,085</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 changes at June 30, 2020 in comparison to June 30, 2019 include the following:</w:t>
      </w:r>
    </w:p>
    <w:p>
      <w:pPr>
        <w:spacing w:after="0" w:line="171" w:lineRule="exact"/>
        <w:rPr>
          <w:sz w:val="20"/>
          <w:szCs w:val="20"/>
          <w:color w:val="auto"/>
        </w:rPr>
      </w:pPr>
    </w:p>
    <w:p>
      <w:pPr>
        <w:ind w:left="660" w:right="20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net of bad debt expense recognized during the period, decreased by $56.6 million during fiscal 2020, which increased cash flows from operating activities. The increase is primarily due to lower volumes of business and the timing of billing and collections.</w:t>
      </w:r>
    </w:p>
    <w:p>
      <w:pPr>
        <w:spacing w:after="0" w:line="107"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estimated earnings in excess of billings on uncompleted contracts ("CIE") decreased $36.5 million, which increased cash flows from operating activities. Billings on uncompleted contracts in excess of costs and estimated earnings ("BIE") decreased $41.7 million, which decreased cash flows from operating activities. CIE and BIE balances declined primarily due to lower volumes of business in the second half of the year. These balances routinely experience significant fluctuations based on the timing of when job costs are incurred and the invoicing of those job costs to the customer.</w:t>
      </w:r>
    </w:p>
    <w:p>
      <w:pPr>
        <w:spacing w:after="0" w:line="129"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and liabilities decreased $11.0 million, which increased cash flows from operating activities. The decrease is primarily related to lower retentions that are expected to be collected beyond one year in connection with large projects, partially offset by an increase in net income taxes receivable.</w:t>
      </w:r>
    </w:p>
    <w:p>
      <w:pPr>
        <w:spacing w:after="0" w:line="121"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and other accrued expenses decreased by $56.3 million, which decreased cash flows from operating activities. The variance is primarily attributable to lower volumes of business and the timing of vendor payments. These decreases were partially offset by $3.8 million of deferred payroll tax associated with the CARES Act (see Item 8. Financial Statements and Supplementary Data, Note 6 - Income Taxes).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for Investing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activities used $17.1 million of cash in the fiscal year ended June 30, 2020 primarily due to $18.5 million of capital expenditures, partially offset by $1.4 million of proceeds from asset sales. Capital expenditures consisted of: $7.4 million for transportation equipment, $5.1 million for construction and fabrication equipment, $5.0 million for software and office equipment, and $1.1 million for facilities.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by Financing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Financing activities used $16.0 million of cash in the fiscal year ended June 30, 2020 primarily due to share repurchases of $17.0 million and the repurchase of $3.5 million of Company stock for payment of withholding taxes due on equity-based compensation, partially offset by net borrowings of $4.2 million under the Company's senior secured revolving credit facility.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Revolving Credit Facility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facility includes a U.S. Dollar equivalent sublimit of $75.0 million for revolving loans denominated in Australian Dollars, Canadian Dollars, Euros and Pounds Sterling and letters of credit in Australian Dollars, Euros, and Pounds Sterling. The credit facility also includes a $200.0 million sublimit for total letters of credit.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ABR or the Adjusted LIBO Rate, in the case of revolving loans denominated in U.S. Dollars;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Canadian Prime Rate or the CDOR rate, in the case of revolving loans denominated in Canadian Dollars;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LIBO Rate, in the case of revolving loans denominated in Pounds Sterling or Australian Dollars;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EURIBO Rate, in the case of revolving loans denominated in Euros,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case, plus the Applicable Margin, which is based on the Company's Leverage Ratio, as defined in the Credit Agreement.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unused credit facility fee is between 0.25% and 0.45% based on the Leverage Ratio.</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2020, the Company was at the lowest margin tier for all categories of loans and the unused revolving credit facility fee under the Credit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includes the following covenants and borrowing limitations:</w:t>
      </w:r>
    </w:p>
    <w:p>
      <w:pPr>
        <w:spacing w:after="0" w:line="171" w:lineRule="exact"/>
        <w:rPr>
          <w:sz w:val="20"/>
          <w:szCs w:val="20"/>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Leverage Ratio, determined as of the end of each fiscal quarter, may not exceed 3.00 to 1.00. The Leverage Ratio covenant requires that Consolidated Funded Indebtedness, as defined in the Credit Agreement, as of the end of any fiscal quarter, may not exceed 3.0 times Consolidated EBITDA, as defined in the Credit Agreement, or "Covenant EBITDA," over the previous four quarters.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maintain a Fixed Charge Coverage Ratio, determined as of the end of each fiscal quarter, greater than or equal to 1.25 to 1.00. The Fixed Charge Coverage Ratio covenant requires that, as of the end of any fiscal quarter, Covenant EBITDA, after deducting capital expenditures, dividends and share repurchases, for the previous four quarters may not be less than 1.25 times the total of interest expense and cash paid for income taxes over the previous four quarters and scheduled maturities of certain indebtedness for the next four quarters.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Covenant EBITDA differs from Adjusted EBITDA, as reported under "Results of Operations - Non-GAAP Financial Measure," in Item 7 primarily because it permits the Company to:</w:t>
      </w:r>
    </w:p>
    <w:p>
      <w:pPr>
        <w:spacing w:after="0" w:line="108"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non-cash stock-based compensation expense,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pro forma EBITDA of acquired businesses as if the acquisition occurred at the beginning of the previous four quarters,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certain other extraordinary items, as defined in the Credit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 compliance with all affirmative, negative, and financial covenants under the Credit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Availability under the senior secured revolving credit facility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6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60" w:type="dxa"/>
            <w:vAlign w:val="bottom"/>
          </w:tcPr>
          <w:p>
            <w:pPr>
              <w:spacing w:after="0"/>
              <w:rPr>
                <w:sz w:val="17"/>
                <w:szCs w:val="17"/>
                <w:color w:val="auto"/>
              </w:rPr>
            </w:pPr>
          </w:p>
        </w:tc>
      </w:tr>
      <w:tr>
        <w:trPr>
          <w:trHeight w:val="255"/>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1420" w:type="dxa"/>
            <w:vAlign w:val="bottom"/>
            <w:tcBorders>
              <w:bottom w:val="single" w:sz="8" w:color="CCEEFF"/>
            </w:tcBorders>
            <w:shd w:val="clear" w:color="auto" w:fill="CCEEFF"/>
          </w:tcPr>
          <w:p>
            <w:pPr>
              <w:jc w:val="right"/>
              <w:ind w:right="123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300,000</w:t>
            </w:r>
          </w:p>
        </w:tc>
      </w:tr>
      <w:tr>
        <w:trPr>
          <w:trHeight w:val="243"/>
        </w:trPr>
        <w:tc>
          <w:tcPr>
            <w:tcW w:w="6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Capacity constraint due to the Leverage Ratio</w:t>
            </w:r>
          </w:p>
        </w:tc>
        <w:tc>
          <w:tcPr>
            <w:tcW w:w="14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162,864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94,323</w:t>
            </w: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under the senior secured revolving credit facility</w:t>
            </w:r>
          </w:p>
        </w:tc>
        <w:tc>
          <w:tcPr>
            <w:tcW w:w="1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137,136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205,677</w:t>
            </w:r>
          </w:p>
        </w:tc>
      </w:tr>
      <w:tr>
        <w:trPr>
          <w:trHeight w:val="270"/>
        </w:trPr>
        <w:tc>
          <w:tcPr>
            <w:tcW w:w="6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Letters of credit</w:t>
            </w:r>
            <w:r>
              <w:rPr>
                <w:rFonts w:ascii="Times New Roman" w:cs="Times New Roman" w:eastAsia="Times New Roman" w:hAnsi="Times New Roman"/>
                <w:sz w:val="23"/>
                <w:szCs w:val="23"/>
                <w:color w:val="auto"/>
                <w:vertAlign w:val="superscript"/>
              </w:rPr>
              <w:t>(1)</w:t>
            </w:r>
          </w:p>
        </w:tc>
        <w:tc>
          <w:tcPr>
            <w:tcW w:w="142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34,529</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48,147</w:t>
            </w:r>
          </w:p>
        </w:tc>
      </w:tr>
      <w:tr>
        <w:trPr>
          <w:trHeight w:val="270"/>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outstanding</w:t>
            </w:r>
          </w:p>
        </w:tc>
        <w:tc>
          <w:tcPr>
            <w:tcW w:w="1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9,208</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5,347</w:t>
            </w:r>
          </w:p>
        </w:tc>
      </w:tr>
      <w:tr>
        <w:trPr>
          <w:trHeight w:val="237"/>
        </w:trPr>
        <w:tc>
          <w:tcPr>
            <w:tcW w:w="6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Availability under the senior secured revolving credit facility</w:t>
            </w:r>
          </w:p>
        </w:tc>
        <w:tc>
          <w:tcPr>
            <w:tcW w:w="1420" w:type="dxa"/>
            <w:vAlign w:val="bottom"/>
            <w:tcBorders>
              <w:top w:val="single" w:sz="8" w:color="auto"/>
            </w:tcBorders>
          </w:tcPr>
          <w:p>
            <w:pPr>
              <w:jc w:val="right"/>
              <w:ind w:right="123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93,399</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152,183</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5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200" w:lineRule="exact"/>
        <w:rPr>
          <w:sz w:val="20"/>
          <w:szCs w:val="20"/>
          <w:color w:val="auto"/>
        </w:rPr>
      </w:pPr>
    </w:p>
    <w:p>
      <w:pPr>
        <w:spacing w:after="0" w:line="371" w:lineRule="exact"/>
        <w:rPr>
          <w:sz w:val="20"/>
          <w:szCs w:val="20"/>
          <w:color w:val="auto"/>
        </w:rPr>
      </w:pPr>
    </w:p>
    <w:p>
      <w:pPr>
        <w:ind w:left="580" w:right="20" w:hanging="329"/>
        <w:spacing w:after="0" w:line="282" w:lineRule="auto"/>
        <w:tabs>
          <w:tab w:leader="none" w:pos="57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Credit Agreement allows exclusion of letters of credit that support our workers' compensation programs when calculating availability under the credit facility. At June 30, 2020, there were $6.5 million of letters of credit that support our workers' compensation programs.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6, 2018, the Board of Directors approved a stock buyback program (the "November 2018 Program"), which replaced the previous program that had been in place since December 2016 and was set to expire in December 2018. Under the November 2018 Program, the Company may repurchase common stock up to a maximum of $30.0 million per calendar year provided that the aggregate number of shares repurchased may not exceed 10%, or approximately 2.7 million, of the Company's shares outstanding as of November 6, 2018. The Company may repurchase its stock from time to time in the open market at prevailing market prices or in privately negotiated transactions and is not obligated to purchase any shares. The November 2018 Program will continue unless and until it is modified or revoked by the Board of Directors. In fiscal 2020, the Company repurchased 1,047,606 shares of its common stock for $17.0 million under the November 2018 Program. There were 1,349,037 shares available for repurchase under the November 2018 Program as of June 30, 2020.</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stock buyback program, the Company may withhold shares of common stock to satisfy the tax withholding obligations upon vesting of an employee’s deferred shares. The Company withheld 181,081 and 79,111 shares of common stock during fiscal 2020 and 2019, respectively, to satisfy these obligations. These shares were returned to the Company’s pool of treasury shares. The Company has 1,746,689 treasury shares as of June 30, 2020 and intends to utilize these treasury shares in connection with equity awards under the Company’s stock incentive plans and for sales to the Employee Stock Purchase Plan.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2020, the following off-balance sheet arrangements were in place to support our ordinary course obligations: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Expiration Period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24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 w:type="dxa"/>
            <w:vAlign w:val="bottom"/>
          </w:tcPr>
          <w:p>
            <w:pPr>
              <w:spacing w:after="0"/>
              <w:rPr>
                <w:sz w:val="12"/>
                <w:szCs w:val="12"/>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More than 5</w:t>
            </w:r>
          </w:p>
        </w:tc>
        <w:tc>
          <w:tcPr>
            <w:tcW w:w="320" w:type="dxa"/>
            <w:vAlign w:val="bottom"/>
          </w:tcPr>
          <w:p>
            <w:pPr>
              <w:spacing w:after="0"/>
              <w:rPr>
                <w:sz w:val="12"/>
                <w:szCs w:val="12"/>
                <w:color w:val="auto"/>
              </w:rPr>
            </w:pPr>
          </w:p>
        </w:tc>
        <w:tc>
          <w:tcPr>
            <w:tcW w:w="104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40,991</w:t>
            </w:r>
          </w:p>
        </w:tc>
        <w:tc>
          <w:tcPr>
            <w:tcW w:w="0" w:type="dxa"/>
            <w:vAlign w:val="bottom"/>
          </w:tcPr>
          <w:p>
            <w:pPr>
              <w:spacing w:after="0"/>
              <w:rPr>
                <w:sz w:val="1"/>
                <w:szCs w:val="1"/>
                <w:color w:val="auto"/>
              </w:rPr>
            </w:pPr>
          </w:p>
        </w:tc>
      </w:tr>
      <w:tr>
        <w:trPr>
          <w:trHeight w:val="243"/>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Surety bonds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201,976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241,511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242,967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left="580" w:hanging="329"/>
        <w:spacing w:after="0" w:line="255" w:lineRule="auto"/>
        <w:tabs>
          <w:tab w:leader="none" w:pos="57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letters of credit issued under our senior secured revolving credit facility are in support of our workers’ compensation insurance programs or certain construction contracts. The letters of credit that support our workers’ compensation programs are expected to renew annually through the term of our senior secured revolving credit facility. The letters of credit that support construction contracts carry expiry dates into calendar year 2021. Our Credit Agreement allows exclusion of letters of credit that support our workers' compensation programs when calculating our compliance with the leverage ratio covenant. At June 30, 2020, there were $6.5 million of letters of credit that support our workers' compensation programs.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obligations at June 30, 2020 are summarized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Contractual Obligations by Expiration Period</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22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20" w:type="dxa"/>
            <w:vAlign w:val="bottom"/>
          </w:tcPr>
          <w:p>
            <w:pPr>
              <w:spacing w:after="0"/>
              <w:rPr>
                <w:sz w:val="12"/>
                <w:szCs w:val="12"/>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3-5 Years</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More than 5</w:t>
            </w:r>
          </w:p>
        </w:tc>
        <w:tc>
          <w:tcPr>
            <w:tcW w:w="280" w:type="dxa"/>
            <w:vAlign w:val="bottom"/>
          </w:tcPr>
          <w:p>
            <w:pPr>
              <w:spacing w:after="0"/>
              <w:rPr>
                <w:sz w:val="12"/>
                <w:szCs w:val="12"/>
                <w:color w:val="auto"/>
              </w:rPr>
            </w:pPr>
          </w:p>
        </w:tc>
        <w:tc>
          <w:tcPr>
            <w:tcW w:w="9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under senior secured revolving credit facility</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0" w:type="dxa"/>
            <w:vAlign w:val="bottom"/>
          </w:tcPr>
          <w:p>
            <w:pPr>
              <w:spacing w:after="0"/>
              <w:rPr>
                <w:sz w:val="1"/>
                <w:szCs w:val="1"/>
                <w:color w:val="auto"/>
              </w:rPr>
            </w:pPr>
          </w:p>
        </w:tc>
      </w:tr>
      <w:tr>
        <w:trPr>
          <w:trHeight w:val="27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 on debt</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33,119</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5,362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342900</wp:posOffset>
            </wp:positionV>
            <wp:extent cx="7969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80" w:right="20" w:hanging="329"/>
        <w:spacing w:after="0" w:line="282" w:lineRule="auto"/>
        <w:tabs>
          <w:tab w:leader="none" w:pos="57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total debt principal at June 30, 2020 is carried to maturity with no future borrowings or repayments and no changes to total letters of credit outstanding as of June 30, 2020. Interest payments on debt assumes the margin tier that the Company was at on June 30, 2020, which is the lowest margin tier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interest rate risk results primarily from our variable rate indebtedness under our Credit Agreement, which is influenced by movements in short-term rates. Borrowings under our $300.0 million senior secured revolving credit facility bear interest at a rate per annum equal to:</w:t>
      </w:r>
    </w:p>
    <w:p>
      <w:pPr>
        <w:spacing w:after="0" w:line="108"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ABR or the Adjusted LIBO Rate, in the case of revolving loans denominated in U.S. Dollars;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Canadian Prime Rate or the CDOR rate, in the case of revolving loans denominated in Canadian Dollars;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LIBO Rate, in the case of revolving loans denominated in Pounds Sterling or Australian Dollars;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EURIBO Rate, in the case of revolving loans denominated in Euros,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with interest rate risk at June 30, 2020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Maturity by Fiscal Year</w:t>
            </w:r>
          </w:p>
        </w:tc>
        <w:tc>
          <w:tcPr>
            <w:tcW w:w="1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Fair Value as</w:t>
            </w:r>
          </w:p>
        </w:tc>
      </w:tr>
      <w:tr>
        <w:trPr>
          <w:trHeight w:val="196"/>
        </w:trPr>
        <w:tc>
          <w:tcPr>
            <w:tcW w:w="2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0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of June 30, 2020</w:t>
            </w:r>
          </w:p>
        </w:tc>
      </w:tr>
      <w:tr>
        <w:trPr>
          <w:trHeight w:val="196"/>
        </w:trPr>
        <w:tc>
          <w:tcPr>
            <w:tcW w:w="2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5"/>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rate debt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44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9,208</w:t>
            </w:r>
          </w:p>
        </w:tc>
      </w:tr>
    </w:tbl>
    <w:p>
      <w:pPr>
        <w:spacing w:after="0" w:line="200" w:lineRule="exact"/>
        <w:rPr>
          <w:sz w:val="20"/>
          <w:szCs w:val="20"/>
          <w:color w:val="auto"/>
        </w:rPr>
      </w:pPr>
    </w:p>
    <w:p>
      <w:pPr>
        <w:spacing w:after="0" w:line="3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entered into any derivative instruments to hedge interest rate risk, but evaluates the materiality of interest rate risk exposure. An increase of 100 basis points in interest rates would not have had a material impact on the financial results of the Company for the fiscal year ended June 30,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Matrix Service Company has subsidiaries with operations in Canada and South Korea, which use the Canadian Dollar and South Korean Won, respectively, as their functional currencies. The Company also has a subsidiary with operations in Australia, but its functional currency is the U.S. Dollar since its sales are primarily denominated in U.S. Dollars.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movements in the Canadian Dollar to U.S. Dollar exchange rate have not significantly impacted the Company's results. Also, the Company does not expect exchange rate fluctuations in its South Korean and Australian operations to materially impact its financial results since these operations represent an insignificant portion of the Company's consolidated revenue and expenses. However, further growth in its Canadian, South Korean and/or Australian operations and/or significant fluctuations in the Canadian Dollar, South Korean Won and/or Australian Dollar to U.S. Dollar exchange rates could impact the Company’s financial results in the future.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has not entered into derivative instruments to hedge foreign currency risk, but periodically evaluates the materiality of our foreign currency exposure. To mitigate our risk, on occasion we convert Canadian Dollar balances into U.S. Dollars to settle U.S. Dollar amounts owed by our Canadian operations. A 10% unfavorable change in the Canadian Dollar against the U.S. Dollar would not have had a material impact on the financial results of the Company for the fiscal year ended June 30, 2020.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no direct commodity exposure, but we do have exposure to materials derived from certain commodities including steel plate, steel pipe, and copper, which are key materials used by the Company. Supplies of these materials are available throughout the United States and worldwide. We anticipate that adequate amounts of these materials will be available in the foreseeable future. However, the price, quantity, and delivery schedules of these materials could change rapidly due to various factors, including producer capacity, the level of foreign imports, worldwide demand, the imposition or removal of tariffs on imported steel and other market conditions. We mitigate these risks primarily by procuring materials upon contract execution to ensure that our purchase price approximates the costs included in the project estimate, and also by negotiating contract escalation clauses to cover unexpected costs due to fluctuations in materials derived from certain commodities.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1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Financial Statements of the Company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40" w:type="dxa"/>
            <w:vAlign w:val="bottom"/>
          </w:tcPr>
          <w:p>
            <w:pPr>
              <w:spacing w:after="0"/>
              <w:rPr>
                <w:sz w:val="24"/>
                <w:szCs w:val="24"/>
                <w:color w:val="auto"/>
              </w:rPr>
            </w:pPr>
          </w:p>
        </w:tc>
        <w:tc>
          <w:tcPr>
            <w:tcW w:w="9760" w:type="dxa"/>
            <w:vAlign w:val="bottom"/>
            <w:gridSpan w:val="9"/>
          </w:tcPr>
          <w:p>
            <w:pPr>
              <w:ind w:left="20"/>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Management’s Report on Internal Control Over Financial Reporting</w:t>
              </w:r>
            </w:hyperlink>
          </w:p>
        </w:tc>
        <w:tc>
          <w:tcPr>
            <w:tcW w:w="1080" w:type="dxa"/>
            <w:vAlign w:val="bottom"/>
          </w:tcPr>
          <w:p>
            <w:pPr>
              <w:jc w:val="right"/>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42</w:t>
              </w:r>
            </w:hyperlink>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3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w:t>
            </w:r>
          </w:p>
        </w:tc>
        <w:tc>
          <w:tcPr>
            <w:tcW w:w="5460" w:type="dxa"/>
            <w:vAlign w:val="bottom"/>
            <w:gridSpan w:val="5"/>
          </w:tcPr>
          <w:p>
            <w:pPr>
              <w:spacing w:after="0"/>
              <w:rPr>
                <w:sz w:val="21"/>
                <w:szCs w:val="21"/>
                <w:color w:val="auto"/>
              </w:rPr>
            </w:pPr>
          </w:p>
        </w:tc>
        <w:tc>
          <w:tcPr>
            <w:tcW w:w="1080" w:type="dxa"/>
            <w:vAlign w:val="bottom"/>
          </w:tcPr>
          <w:p>
            <w:pPr>
              <w:jc w:val="right"/>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43</w:t>
              </w:r>
            </w:hyperlink>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20" w:type="dxa"/>
            <w:vAlign w:val="bottom"/>
            <w:gridSpan w:val="8"/>
          </w:tcPr>
          <w:p>
            <w:pPr>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u w:val="single" w:color="auto"/>
                  <w:color w:val="0000FF"/>
                </w:rPr>
                <w:t xml:space="preserve">Consolidated Statements of Income for the Fiscal Years Ended June 30, </w:t>
              </w:r>
            </w:hyperlink>
            <w:r>
              <w:rPr>
                <w:rFonts w:ascii="Times New Roman" w:cs="Times New Roman" w:eastAsia="Times New Roman" w:hAnsi="Times New Roman"/>
                <w:sz w:val="18"/>
                <w:szCs w:val="18"/>
                <w:color w:val="0000FF"/>
              </w:rPr>
              <w:t xml:space="preserve">2020, </w:t>
            </w:r>
            <w:hyperlink w:anchor="page45">
              <w:r>
                <w:rPr>
                  <w:rFonts w:ascii="Times New Roman" w:cs="Times New Roman" w:eastAsia="Times New Roman" w:hAnsi="Times New Roman"/>
                  <w:sz w:val="18"/>
                  <w:szCs w:val="18"/>
                  <w:u w:val="single" w:color="auto"/>
                  <w:color w:val="0000FF"/>
                </w:rPr>
                <w:t xml:space="preserve">June 30, </w:t>
              </w:r>
            </w:hyperlink>
            <w:r>
              <w:rPr>
                <w:rFonts w:ascii="Times New Roman" w:cs="Times New Roman" w:eastAsia="Times New Roman" w:hAnsi="Times New Roman"/>
                <w:sz w:val="18"/>
                <w:szCs w:val="18"/>
                <w:color w:val="0000FF"/>
              </w:rPr>
              <w:t xml:space="preserve">2019, </w:t>
            </w:r>
            <w:hyperlink w:anchor="page45">
              <w:r>
                <w:rPr>
                  <w:rFonts w:ascii="Times New Roman" w:cs="Times New Roman" w:eastAsia="Times New Roman" w:hAnsi="Times New Roman"/>
                  <w:sz w:val="18"/>
                  <w:szCs w:val="18"/>
                  <w:u w:val="single" w:color="auto"/>
                  <w:color w:val="0000FF"/>
                </w:rPr>
                <w:t>and June 30, 201</w:t>
              </w:r>
            </w:hyperlink>
            <w:r>
              <w:rPr>
                <w:rFonts w:ascii="Times New Roman" w:cs="Times New Roman" w:eastAsia="Times New Roman" w:hAnsi="Times New Roman"/>
                <w:sz w:val="18"/>
                <w:szCs w:val="18"/>
                <w:color w:val="3051F2"/>
              </w:rPr>
              <w:t>8</w:t>
            </w:r>
          </w:p>
        </w:tc>
        <w:tc>
          <w:tcPr>
            <w:tcW w:w="1080" w:type="dxa"/>
            <w:vAlign w:val="bottom"/>
          </w:tcPr>
          <w:p>
            <w:pPr>
              <w:jc w:val="right"/>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45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60" w:type="dxa"/>
            <w:vAlign w:val="bottom"/>
            <w:gridSpan w:val="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20" w:type="dxa"/>
            <w:vAlign w:val="bottom"/>
            <w:gridSpan w:val="8"/>
          </w:tcPr>
          <w:p>
            <w:pPr>
              <w:spacing w:after="0"/>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Consolidated Statements of Comprehensive Income for the Fiscal Years Ended June 30, 2020, June 30, 2019, and</w:t>
              </w:r>
            </w:hyperlink>
          </w:p>
        </w:tc>
        <w:tc>
          <w:tcPr>
            <w:tcW w:w="108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46</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w:anchor="page46">
              <w:r>
                <w:rPr>
                  <w:rFonts w:ascii="Times New Roman" w:cs="Times New Roman" w:eastAsia="Times New Roman" w:hAnsi="Times New Roman"/>
                  <w:sz w:val="18"/>
                  <w:szCs w:val="18"/>
                  <w:color w:val="0000FF"/>
                  <w:w w:val="97"/>
                </w:rPr>
                <w:t>June 30, 2018</w:t>
              </w:r>
            </w:hyperlink>
          </w:p>
        </w:tc>
        <w:tc>
          <w:tcPr>
            <w:tcW w:w="7180" w:type="dxa"/>
            <w:vAlign w:val="bottom"/>
            <w:tcBorders>
              <w:top w:val="single" w:sz="8" w:color="0000FF"/>
            </w:tcBorders>
            <w:gridSpan w:val="5"/>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8"/>
          </w:tcPr>
          <w:p>
            <w:pPr>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Consolidated Balance Sheets as of June 30, 2020 and June 30, 2019</w:t>
              </w:r>
            </w:hyperlink>
          </w:p>
        </w:tc>
        <w:tc>
          <w:tcPr>
            <w:tcW w:w="1080" w:type="dxa"/>
            <w:vAlign w:val="bottom"/>
          </w:tcPr>
          <w:p>
            <w:pPr>
              <w:jc w:val="right"/>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47</w:t>
              </w:r>
            </w:hyperlink>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8"/>
          </w:tcPr>
          <w:p>
            <w:pPr>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Consolidated Statements of Cash Flows for the Fiscal Years Ended June 30, 2020, June 30, 2019, and June 30, 2018</w:t>
              </w:r>
            </w:hyperlink>
          </w:p>
        </w:tc>
        <w:tc>
          <w:tcPr>
            <w:tcW w:w="1080" w:type="dxa"/>
            <w:vAlign w:val="bottom"/>
          </w:tcPr>
          <w:p>
            <w:pPr>
              <w:jc w:val="right"/>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49</w:t>
              </w:r>
            </w:hyperlink>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20" w:type="dxa"/>
            <w:vAlign w:val="bottom"/>
            <w:gridSpan w:val="8"/>
          </w:tcPr>
          <w:p>
            <w:pPr>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Consolidated Statements of Changes in Stockholders’ Equity for the Fiscal Years Ended June 30, 2020, June 30, 2019,</w:t>
              </w:r>
            </w:hyperlink>
          </w:p>
        </w:tc>
        <w:tc>
          <w:tcPr>
            <w:tcW w:w="108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51</w:t>
              </w:r>
            </w:hyperlink>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5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and June 30, 2018</w:t>
              </w:r>
            </w:hyperlink>
          </w:p>
        </w:tc>
        <w:tc>
          <w:tcPr>
            <w:tcW w:w="9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812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8"/>
          </w:tcPr>
          <w:p>
            <w:pPr>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Notes to Consolidated Financial Statements</w:t>
              </w:r>
            </w:hyperlink>
          </w:p>
        </w:tc>
        <w:tc>
          <w:tcPr>
            <w:tcW w:w="1080" w:type="dxa"/>
            <w:vAlign w:val="bottom"/>
          </w:tcPr>
          <w:p>
            <w:pPr>
              <w:jc w:val="right"/>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52</w:t>
              </w:r>
            </w:hyperlink>
          </w:p>
        </w:tc>
        <w:tc>
          <w:tcPr>
            <w:tcW w:w="0" w:type="dxa"/>
            <w:vAlign w:val="bottom"/>
          </w:tcPr>
          <w:p>
            <w:pPr>
              <w:spacing w:after="0"/>
              <w:rPr>
                <w:sz w:val="1"/>
                <w:szCs w:val="1"/>
                <w:color w:val="auto"/>
              </w:rPr>
            </w:pPr>
          </w:p>
        </w:tc>
      </w:tr>
      <w:tr>
        <w:trPr>
          <w:trHeight w:val="283"/>
        </w:trPr>
        <w:tc>
          <w:tcPr>
            <w:tcW w:w="10100" w:type="dxa"/>
            <w:vAlign w:val="bottom"/>
            <w:gridSpan w:val="10"/>
          </w:tcPr>
          <w:p>
            <w:pPr>
              <w:ind w:left="20"/>
              <w:spacing w:after="0"/>
              <w:rPr>
                <w:rFonts w:ascii="Times New Roman" w:cs="Times New Roman" w:eastAsia="Times New Roman" w:hAnsi="Times New Roman"/>
                <w:sz w:val="18"/>
                <w:szCs w:val="18"/>
                <w:u w:val="single" w:color="auto"/>
                <w:color w:val="0000FF"/>
              </w:rPr>
            </w:pPr>
            <w:hyperlink w:anchor="page80">
              <w:r>
                <w:rPr>
                  <w:rFonts w:ascii="Times New Roman" w:cs="Times New Roman" w:eastAsia="Times New Roman" w:hAnsi="Times New Roman"/>
                  <w:sz w:val="18"/>
                  <w:szCs w:val="18"/>
                  <w:u w:val="single" w:color="auto"/>
                  <w:color w:val="0000FF"/>
                </w:rPr>
                <w:t>Quarterly Financial Data (Unaudited)</w:t>
              </w:r>
            </w:hyperlink>
          </w:p>
        </w:tc>
        <w:tc>
          <w:tcPr>
            <w:tcW w:w="1080" w:type="dxa"/>
            <w:vAlign w:val="bottom"/>
          </w:tcPr>
          <w:p>
            <w:pPr>
              <w:jc w:val="right"/>
              <w:spacing w:after="0"/>
              <w:rPr>
                <w:rFonts w:ascii="Times New Roman" w:cs="Times New Roman" w:eastAsia="Times New Roman" w:hAnsi="Times New Roman"/>
                <w:sz w:val="18"/>
                <w:szCs w:val="18"/>
                <w:u w:val="single" w:color="auto"/>
                <w:color w:val="0000FF"/>
              </w:rPr>
            </w:pPr>
            <w:hyperlink w:anchor="page80">
              <w:r>
                <w:rPr>
                  <w:rFonts w:ascii="Times New Roman" w:cs="Times New Roman" w:eastAsia="Times New Roman" w:hAnsi="Times New Roman"/>
                  <w:sz w:val="18"/>
                  <w:szCs w:val="18"/>
                  <w:u w:val="single" w:color="auto"/>
                  <w:color w:val="0000FF"/>
                </w:rPr>
                <w:t>80</w:t>
              </w:r>
            </w:hyperlink>
          </w:p>
        </w:tc>
        <w:tc>
          <w:tcPr>
            <w:tcW w:w="0" w:type="dxa"/>
            <w:vAlign w:val="bottom"/>
          </w:tcPr>
          <w:p>
            <w:pPr>
              <w:spacing w:after="0"/>
              <w:rPr>
                <w:sz w:val="1"/>
                <w:szCs w:val="1"/>
                <w:color w:val="auto"/>
              </w:rPr>
            </w:pPr>
          </w:p>
        </w:tc>
      </w:tr>
      <w:tr>
        <w:trPr>
          <w:trHeight w:val="283"/>
        </w:trPr>
        <w:tc>
          <w:tcPr>
            <w:tcW w:w="10100" w:type="dxa"/>
            <w:vAlign w:val="bottom"/>
            <w:gridSpan w:val="10"/>
          </w:tcPr>
          <w:p>
            <w:pPr>
              <w:ind w:left="20"/>
              <w:spacing w:after="0"/>
              <w:rPr>
                <w:rFonts w:ascii="Times New Roman" w:cs="Times New Roman" w:eastAsia="Times New Roman" w:hAnsi="Times New Roman"/>
                <w:sz w:val="18"/>
                <w:szCs w:val="18"/>
                <w:u w:val="single" w:color="auto"/>
                <w:color w:val="0000FF"/>
              </w:rPr>
            </w:pPr>
            <w:hyperlink w:anchor="page81">
              <w:r>
                <w:rPr>
                  <w:rFonts w:ascii="Times New Roman" w:cs="Times New Roman" w:eastAsia="Times New Roman" w:hAnsi="Times New Roman"/>
                  <w:sz w:val="18"/>
                  <w:szCs w:val="18"/>
                  <w:u w:val="single" w:color="auto"/>
                  <w:color w:val="0000FF"/>
                </w:rPr>
                <w:t>Schedule II—Valuation and Qualifying Accounts</w:t>
              </w:r>
            </w:hyperlink>
          </w:p>
        </w:tc>
        <w:tc>
          <w:tcPr>
            <w:tcW w:w="1080" w:type="dxa"/>
            <w:vAlign w:val="bottom"/>
          </w:tcPr>
          <w:p>
            <w:pPr>
              <w:jc w:val="right"/>
              <w:spacing w:after="0"/>
              <w:rPr>
                <w:rFonts w:ascii="Times New Roman" w:cs="Times New Roman" w:eastAsia="Times New Roman" w:hAnsi="Times New Roman"/>
                <w:sz w:val="18"/>
                <w:szCs w:val="18"/>
                <w:u w:val="single" w:color="auto"/>
                <w:color w:val="0000FF"/>
              </w:rPr>
            </w:pPr>
            <w:hyperlink w:anchor="page81">
              <w:r>
                <w:rPr>
                  <w:rFonts w:ascii="Times New Roman" w:cs="Times New Roman" w:eastAsia="Times New Roman" w:hAnsi="Times New Roman"/>
                  <w:sz w:val="18"/>
                  <w:szCs w:val="18"/>
                  <w:u w:val="single" w:color="auto"/>
                  <w:color w:val="0000FF"/>
                </w:rPr>
                <w:t>81</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 schedule is filed as a part of this report under Schedule II – Valuation and Qualifying Accounts for the three fiscal years ended June 30, 2020, June 30, 2019 and June 30, 2018 immediately following Quarterly Financial Data (Unaudited). All other schedules are omitted because they are not applicable or the required information is shown in the financial statements, or notes thereto, included herein.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management of Matrix Service Company and its wholly-owned subsidiaries (the “Company”) are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Internal control over financial reporting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3" w:lineRule="exact"/>
        <w:rPr>
          <w:sz w:val="20"/>
          <w:szCs w:val="20"/>
          <w:color w:val="auto"/>
        </w:rPr>
      </w:pPr>
    </w:p>
    <w:p>
      <w:pPr>
        <w:ind w:firstLine="8"/>
        <w:spacing w:after="0" w:line="260"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and cannot provide absolute assurance that all objectives will be met. Internal control over financial reporting is a process that involves diligence and is subject to lapses in judgment and human error. Internal control over financial reporting can also be circumvented by collusion or management override of controls. Because of these limitations, there is a risk that material misstatements may not be prevented or detected on a timely basis.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management assessed the effectiveness of the Company’s internal control over financial reporting as of June 30, 2020. In making this assessment, the Company’s management used the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set forth by the Committee of Sponsoring Organizations of the Treadway Commission (“COSO”) in Internal Control-Integrated Framework.</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assessment included an evaluation of such elements as the design and operating effectiveness of key financial reporting controls, process documentation, accounting policies, overall control environment and information systems control environment. Based on this assessment, the Company’s management has concluded that the Company’s internal control over financial reporting as of June 30, 2020 was effective.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has issued an attestation report on the effectiveness of the Company’s internal control over financial reporting as of June 30, 2020. Deloitte &amp; Touche LLP’s report on the Company’s internal control over financial reporting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rPr>
              <w:t>/S/ John R. Hewitt</w:t>
            </w:r>
          </w:p>
        </w:tc>
        <w:tc>
          <w:tcPr>
            <w:tcW w:w="4620" w:type="dxa"/>
            <w:vAlign w:val="bottom"/>
          </w:tcPr>
          <w:p>
            <w:pPr>
              <w:jc w:val="center"/>
              <w:ind w:left="262"/>
              <w:spacing w:after="0"/>
              <w:rPr>
                <w:sz w:val="20"/>
                <w:szCs w:val="20"/>
                <w:color w:val="auto"/>
              </w:rPr>
            </w:pPr>
            <w:r>
              <w:rPr>
                <w:rFonts w:ascii="Times New Roman" w:cs="Times New Roman" w:eastAsia="Times New Roman" w:hAnsi="Times New Roman"/>
                <w:sz w:val="18"/>
                <w:szCs w:val="18"/>
                <w:color w:val="auto"/>
              </w:rPr>
              <w:t>/S/ Kevin S. Cavanah</w:t>
            </w:r>
          </w:p>
        </w:tc>
      </w:tr>
      <w:tr>
        <w:trPr>
          <w:trHeight w:val="27"/>
        </w:trPr>
        <w:tc>
          <w:tcPr>
            <w:tcW w:w="4120" w:type="dxa"/>
            <w:vAlign w:val="bottom"/>
            <w:tcBorders>
              <w:bottom w:val="single" w:sz="8" w:color="auto"/>
            </w:tcBorders>
          </w:tcPr>
          <w:p>
            <w:pPr>
              <w:spacing w:after="0"/>
              <w:rPr>
                <w:sz w:val="2"/>
                <w:szCs w:val="2"/>
                <w:color w:val="auto"/>
              </w:rPr>
            </w:pPr>
          </w:p>
        </w:tc>
        <w:tc>
          <w:tcPr>
            <w:tcW w:w="24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186"/>
        </w:trPr>
        <w:tc>
          <w:tcPr>
            <w:tcW w:w="6600" w:type="dxa"/>
            <w:vAlign w:val="bottom"/>
            <w:gridSpan w:val="2"/>
          </w:tcPr>
          <w:p>
            <w:pPr>
              <w:jc w:val="center"/>
              <w:ind w:right="2460"/>
              <w:spacing w:after="0"/>
              <w:rPr>
                <w:sz w:val="20"/>
                <w:szCs w:val="20"/>
                <w:color w:val="auto"/>
              </w:rPr>
            </w:pPr>
            <w:r>
              <w:rPr>
                <w:rFonts w:ascii="Times New Roman" w:cs="Times New Roman" w:eastAsia="Times New Roman" w:hAnsi="Times New Roman"/>
                <w:sz w:val="14"/>
                <w:szCs w:val="14"/>
                <w:b w:val="1"/>
                <w:bCs w:val="1"/>
                <w:color w:val="auto"/>
              </w:rPr>
              <w:t>John R. Hewitt</w:t>
            </w:r>
          </w:p>
        </w:tc>
        <w:tc>
          <w:tcPr>
            <w:tcW w:w="462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Kevin S. Cavanah</w:t>
            </w:r>
          </w:p>
        </w:tc>
      </w:tr>
      <w:tr>
        <w:trPr>
          <w:trHeight w:val="203"/>
        </w:trPr>
        <w:tc>
          <w:tcPr>
            <w:tcW w:w="6600" w:type="dxa"/>
            <w:vAlign w:val="bottom"/>
            <w:gridSpan w:val="2"/>
          </w:tcPr>
          <w:p>
            <w:pPr>
              <w:jc w:val="center"/>
              <w:ind w:right="24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c>
          <w:tcPr>
            <w:tcW w:w="462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Vice President and Chief Financial Officer</w:t>
            </w: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Company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Matrix Service Company and subsidiaries (the “Company”) as of June 30, 2020,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June 30, 2020 based on criteria established in Internal Control - Integrated Framework (2013) issued by COSO.</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June 30, 2020 of the Company and our report dated September 3, 2020, expressed an unqualified opinion on those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 2020</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Company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Matrix Service Company and subsidiaries (the “Company”) as of June 30, 2020 and 2019, the related Consolidated Statements of Income, Comprehensive Income, Cash Flows and Changes in Stockholders’ Equity for each of the three years in the period ended June 30, 2020 and the related notes and schedule listed in the Index at Item 8 (collectively referred to as the "financial statements"). In our opinion, the financial statements present fairly, in all material respects, the financial position of the Company as of June 30, 2020 and 2019, and the results of its operations and its cash flows for each of the three years in the period ended June 30, 2020, in conformity with accounting principles generally accepted in the United States of America.</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June 30, 2020, based on criteria established in Internal Control - Integrated Framework (2013) issued by the Committee of Sponsoring Organizations of the Treadway Commission and our report dated September 3, 2020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 2020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12"/>
                <w:szCs w:val="12"/>
                <w:color w:val="auto"/>
              </w:rPr>
            </w:pPr>
          </w:p>
        </w:tc>
        <w:tc>
          <w:tcPr>
            <w:tcW w:w="1260" w:type="dxa"/>
            <w:vAlign w:val="bottom"/>
          </w:tcPr>
          <w:p>
            <w:pPr>
              <w:jc w:val="right"/>
              <w:ind w:right="45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6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1,416,680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1,091,553</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998,762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1,284,729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999,617</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91,936</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84,417</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 impairment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43"/>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3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(12,148)</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federal, state and foreign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3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27,982</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4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26,769</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26,769</w:t>
            </w:r>
          </w:p>
        </w:tc>
        <w:tc>
          <w:tcPr>
            <w:tcW w:w="0" w:type="dxa"/>
            <w:vAlign w:val="bottom"/>
          </w:tcPr>
          <w:p>
            <w:pPr>
              <w:spacing w:after="0"/>
              <w:rPr>
                <w:sz w:val="1"/>
                <w:szCs w:val="1"/>
                <w:color w:val="auto"/>
              </w:rPr>
            </w:pPr>
          </w:p>
        </w:tc>
      </w:tr>
      <w:tr>
        <w:trPr>
          <w:trHeight w:val="27"/>
        </w:trPr>
        <w:tc>
          <w:tcPr>
            <w:tcW w:w="6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49"/>
        </w:trPr>
        <w:tc>
          <w:tcPr>
            <w:tcW w:w="6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12"/>
                <w:szCs w:val="12"/>
                <w:color w:val="auto"/>
              </w:rPr>
            </w:pPr>
          </w:p>
        </w:tc>
        <w:tc>
          <w:tcPr>
            <w:tcW w:w="1260" w:type="dxa"/>
            <w:vAlign w:val="bottom"/>
          </w:tcPr>
          <w:p>
            <w:pPr>
              <w:jc w:val="right"/>
              <w:ind w:right="457"/>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loss (net of tax expense (benefit) of ($88), $27 and</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61"/>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($24) for the fiscal years ended June 30, 2020, 2019 and 2018, respectively)</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(11,567)</w:t>
            </w:r>
          </w:p>
        </w:tc>
      </w:tr>
      <w:tr>
        <w:trPr>
          <w:trHeight w:val="27"/>
        </w:trPr>
        <w:tc>
          <w:tcPr>
            <w:tcW w:w="6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
        </w:trPr>
        <w:tc>
          <w:tcPr>
            <w:tcW w:w="6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9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5"/>
        </w:trPr>
        <w:tc>
          <w:tcPr>
            <w:tcW w:w="7920" w:type="dxa"/>
            <w:vAlign w:val="bottom"/>
            <w:tcBorders>
              <w:bottom w:val="single" w:sz="8" w:color="CCEEFF"/>
            </w:tcBorders>
            <w:shd w:val="clear" w:color="auto" w:fill="CCEEFF"/>
          </w:tcPr>
          <w:p>
            <w:pPr>
              <w:ind w:left="36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89,715</w:t>
            </w:r>
          </w:p>
        </w:tc>
      </w:tr>
      <w:tr>
        <w:trPr>
          <w:trHeight w:val="243"/>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less allowances (2020 - $905; 2019 - $923)</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218,432</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96,083</w:t>
            </w:r>
          </w:p>
        </w:tc>
      </w:tr>
      <w:tr>
        <w:trPr>
          <w:trHeight w:val="243"/>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r>
      <w:tr>
        <w:trPr>
          <w:trHeight w:val="27"/>
        </w:trPr>
        <w:tc>
          <w:tcPr>
            <w:tcW w:w="7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417,310</w:t>
            </w: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Land and buildings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41,179</w:t>
            </w:r>
          </w:p>
        </w:tc>
      </w:tr>
      <w:tr>
        <w:trPr>
          <w:trHeight w:val="243"/>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Construction equipment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91,793</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Transportation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52,526</w:t>
            </w:r>
          </w:p>
        </w:tc>
      </w:tr>
      <w:tr>
        <w:trPr>
          <w:trHeight w:val="243"/>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Office equipment and software</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43,632</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w:t>
            </w:r>
          </w:p>
        </w:tc>
      </w:tr>
      <w:tr>
        <w:trPr>
          <w:trHeight w:val="237"/>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property, plant and equipment - at cost</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236,496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236,749</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(157,414)</w:t>
            </w:r>
          </w:p>
        </w:tc>
      </w:tr>
      <w:tr>
        <w:trPr>
          <w:trHeight w:val="237"/>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80,748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79,335</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93,368</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19,472</w:t>
            </w: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21,226</w:t>
            </w:r>
          </w:p>
        </w:tc>
      </w:tr>
      <w:tr>
        <w:trPr>
          <w:trHeight w:val="237"/>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517,310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633,394</w:t>
            </w:r>
          </w:p>
        </w:tc>
      </w:tr>
      <w:tr>
        <w:trPr>
          <w:trHeight w:val="27"/>
        </w:trPr>
        <w:tc>
          <w:tcPr>
            <w:tcW w:w="7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9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5"/>
        </w:trPr>
        <w:tc>
          <w:tcPr>
            <w:tcW w:w="7920" w:type="dxa"/>
            <w:vAlign w:val="bottom"/>
            <w:tcBorders>
              <w:bottom w:val="single" w:sz="8" w:color="CCEEFF"/>
            </w:tcBorders>
            <w:shd w:val="clear" w:color="auto" w:fill="CCEEFF"/>
          </w:tcPr>
          <w:p>
            <w:pPr>
              <w:ind w:left="25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114,647</w:t>
            </w:r>
          </w:p>
        </w:tc>
      </w:tr>
      <w:tr>
        <w:trPr>
          <w:trHeight w:val="243"/>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105,626</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38,357</w:t>
            </w:r>
          </w:p>
        </w:tc>
      </w:tr>
      <w:tr>
        <w:trPr>
          <w:trHeight w:val="243"/>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insurance</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accrued expenses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r>
      <w:tr>
        <w:trPr>
          <w:trHeight w:val="237"/>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175,947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275,499</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43"/>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Borrowings under senior secured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r>
      <w:tr>
        <w:trPr>
          <w:trHeight w:val="243"/>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7"/>
        </w:trPr>
        <w:tc>
          <w:tcPr>
            <w:tcW w:w="7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281,437</w:t>
            </w: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5"/>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stock—$.01 par value; 60,000,000 shares authorized; 27,888,217 shares issued as of June 30,</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2020 and June 30, 2019; 26,141,528 and 26,807,203 shares outstanding as of June 30, 2020 and June</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30, 2019</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137,712</w:t>
            </w:r>
          </w:p>
        </w:tc>
      </w:tr>
      <w:tr>
        <w:trPr>
          <w:trHeight w:val="243"/>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239,476</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r>
      <w:tr>
        <w:trPr>
          <w:trHeight w:val="237"/>
        </w:trPr>
        <w:tc>
          <w:tcPr>
            <w:tcW w:w="79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337,274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369,716</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treasury stock, at cost — 1,746,689 and 1,081,014 shares as of June 30, 2020 and June 30, 2019</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(17,759)</w:t>
            </w:r>
          </w:p>
        </w:tc>
      </w:tr>
      <w:tr>
        <w:trPr>
          <w:trHeight w:val="23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307,889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351,957</w:t>
            </w:r>
          </w:p>
        </w:tc>
      </w:tr>
      <w:tr>
        <w:trPr>
          <w:trHeight w:val="27"/>
        </w:trPr>
        <w:tc>
          <w:tcPr>
            <w:tcW w:w="7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517,310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633,394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49"/>
        </w:trPr>
        <w:tc>
          <w:tcPr>
            <w:tcW w:w="6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12"/>
                <w:szCs w:val="12"/>
                <w:color w:val="auto"/>
              </w:rPr>
            </w:pPr>
          </w:p>
        </w:tc>
        <w:tc>
          <w:tcPr>
            <w:tcW w:w="1260" w:type="dxa"/>
            <w:vAlign w:val="bottom"/>
          </w:tcPr>
          <w:p>
            <w:pPr>
              <w:jc w:val="right"/>
              <w:ind w:right="45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r>
      <w:tr>
        <w:trPr>
          <w:trHeight w:val="27"/>
        </w:trPr>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1"/>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 net of effects of acquisitions:</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20,347</w:t>
            </w:r>
          </w:p>
        </w:tc>
      </w:tr>
      <w:tr>
        <w:trPr>
          <w:trHeight w:val="27"/>
        </w:trPr>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Goodwill and other intangible asset impairment (Note 4)</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17,998</w:t>
            </w:r>
          </w:p>
        </w:tc>
      </w:tr>
      <w:tr>
        <w:trPr>
          <w:trHeight w:val="243"/>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8,618</w:t>
            </w:r>
          </w:p>
        </w:tc>
      </w:tr>
      <w:tr>
        <w:trPr>
          <w:trHeight w:val="27"/>
        </w:trPr>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6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 fixed asset, and other intangible asset impairments due to</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1"/>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restructuring (Note 14)</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7"/>
        </w:trPr>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Gain on disposal of business (Note 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Gain on sale of property, plant and equipment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7"/>
        </w:trPr>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Provision for uncollectible accounts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7"/>
        </w:trPr>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increasing (decreasing) cash, net of</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1"/>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from acquisitions:</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r>
      <w:tr>
        <w:trPr>
          <w:trHeight w:val="27"/>
        </w:trPr>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14,548</w:t>
            </w:r>
          </w:p>
        </w:tc>
      </w:tr>
      <w:tr>
        <w:trPr>
          <w:trHeight w:val="243"/>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7"/>
        </w:trPr>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43"/>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(25,883)</w:t>
            </w:r>
          </w:p>
        </w:tc>
      </w:tr>
      <w:tr>
        <w:trPr>
          <w:trHeight w:val="27"/>
        </w:trPr>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45,613</w:t>
            </w:r>
          </w:p>
        </w:tc>
      </w:tr>
      <w:tr>
        <w:trPr>
          <w:trHeight w:val="243"/>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7"/>
        </w:trPr>
        <w:tc>
          <w:tcPr>
            <w:tcW w:w="6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74,671</w:t>
            </w: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Proceeds from disposal of business (Note 3)</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Proceeds from asset sales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by investing activities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15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r>
      <w:tr>
        <w:trPr>
          <w:trHeight w:val="270"/>
        </w:trPr>
        <w:tc>
          <w:tcPr>
            <w:tcW w:w="52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r>
      <w:tr>
        <w:trPr>
          <w:trHeight w:val="270"/>
        </w:trPr>
        <w:tc>
          <w:tcPr>
            <w:tcW w:w="52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7"/>
        </w:trPr>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(17,116)</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(14,448)</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-505460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-162560</wp:posOffset>
            </wp:positionV>
            <wp:extent cx="713232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65" w:lineRule="exact"/>
        <w:rPr>
          <w:sz w:val="20"/>
          <w:szCs w:val="20"/>
          <w:color w:val="auto"/>
        </w:rPr>
      </w:pPr>
    </w:p>
    <w:p>
      <w:pPr>
        <w:jc w:val="center"/>
        <w:ind w:right="4740"/>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129" w:lineRule="exact"/>
        <w:rPr>
          <w:sz w:val="20"/>
          <w:szCs w:val="20"/>
          <w:color w:val="auto"/>
        </w:rPr>
      </w:pPr>
    </w:p>
    <w:p>
      <w:pPr>
        <w:jc w:val="center"/>
        <w:ind w:right="4740"/>
        <w:spacing w:after="0"/>
        <w:rPr>
          <w:sz w:val="20"/>
          <w:szCs w:val="20"/>
          <w:color w:val="auto"/>
        </w:rPr>
      </w:pPr>
      <w:r>
        <w:rPr>
          <w:rFonts w:ascii="Times New Roman" w:cs="Times New Roman" w:eastAsia="Times New Roman" w:hAnsi="Times New Roman"/>
          <w:sz w:val="18"/>
          <w:szCs w:val="18"/>
          <w:i w:val="1"/>
          <w:i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86995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020" w:space="720"/>
            <w:col w:w="650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12"/>
                <w:szCs w:val="12"/>
                <w:color w:val="auto"/>
              </w:rPr>
            </w:pPr>
          </w:p>
        </w:tc>
        <w:tc>
          <w:tcPr>
            <w:tcW w:w="1260" w:type="dxa"/>
            <w:vAlign w:val="bottom"/>
          </w:tcPr>
          <w:p>
            <w:pPr>
              <w:jc w:val="right"/>
              <w:ind w:right="45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6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5"/>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under senior secured revolving credit facility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85,317</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advances under senior secured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(130,248)</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debt amendment fees</w:t>
            </w:r>
          </w:p>
        </w:tc>
        <w:tc>
          <w:tcPr>
            <w:tcW w:w="32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market purchase of treasury shares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32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25"/>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 for payment of statutory taxes due on equity-based</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(45,312)</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20,252</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43,805</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64,057</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4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Purchases of property, plant and equipment on account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5"/>
                <w:szCs w:val="5"/>
                <w:color w:val="auto"/>
              </w:rPr>
            </w:pPr>
          </w:p>
        </w:tc>
        <w:tc>
          <w:tcPr>
            <w:tcW w:w="90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5"/>
                <w:szCs w:val="5"/>
                <w:color w:val="auto"/>
              </w:rPr>
            </w:pPr>
          </w:p>
        </w:tc>
        <w:tc>
          <w:tcPr>
            <w:tcW w:w="128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restart"/>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5"/>
                <w:szCs w:val="5"/>
                <w:color w:val="auto"/>
              </w:rPr>
            </w:pPr>
          </w:p>
        </w:tc>
        <w:tc>
          <w:tcPr>
            <w:tcW w:w="90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5"/>
                <w:szCs w:val="5"/>
                <w:color w:val="auto"/>
              </w:rPr>
            </w:pPr>
          </w:p>
        </w:tc>
        <w:tc>
          <w:tcPr>
            <w:tcW w:w="128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July 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128,419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222,974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321,809</w:t>
            </w:r>
          </w:p>
        </w:tc>
        <w:tc>
          <w:tcPr>
            <w:tcW w:w="0" w:type="dxa"/>
            <w:vAlign w:val="bottom"/>
          </w:tcPr>
          <w:p>
            <w:pPr>
              <w:spacing w:after="0"/>
              <w:rPr>
                <w:sz w:val="1"/>
                <w:szCs w:val="1"/>
                <w:color w:val="auto"/>
              </w:rPr>
            </w:pPr>
          </w:p>
        </w:tc>
      </w:tr>
      <w:tr>
        <w:trPr>
          <w:trHeight w:val="198"/>
        </w:trPr>
        <w:tc>
          <w:tcPr>
            <w:tcW w:w="4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(11,480)</w:t>
            </w:r>
          </w:p>
        </w:tc>
        <w:tc>
          <w:tcPr>
            <w:tcW w:w="0" w:type="dxa"/>
            <w:vAlign w:val="bottom"/>
          </w:tcPr>
          <w:p>
            <w:pPr>
              <w:spacing w:after="0"/>
              <w:rPr>
                <w:sz w:val="1"/>
                <w:szCs w:val="1"/>
                <w:color w:val="auto"/>
              </w:rPr>
            </w:pPr>
          </w:p>
        </w:tc>
      </w:tr>
      <w:tr>
        <w:trPr>
          <w:trHeight w:val="208"/>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8"/>
        </w:trPr>
        <w:tc>
          <w:tcPr>
            <w:tcW w:w="4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Treasury Shares sold to Employee Stock Purchase Plan (21,920 shares)</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208"/>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Exercise of stock options (31,050 shares)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98"/>
        </w:trPr>
        <w:tc>
          <w:tcPr>
            <w:tcW w:w="4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Issuance of deferred shares (253,241 shares)</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4740" w:type="dxa"/>
            <w:vAlign w:val="bottom"/>
            <w:shd w:val="clear" w:color="auto" w:fill="CCEEFF"/>
          </w:tcPr>
          <w:p>
            <w:pPr>
              <w:ind w:left="340"/>
              <w:spacing w:after="0" w:line="158" w:lineRule="exact"/>
              <w:rPr>
                <w:sz w:val="20"/>
                <w:szCs w:val="20"/>
                <w:color w:val="auto"/>
              </w:rPr>
            </w:pPr>
            <w:r>
              <w:rPr>
                <w:rFonts w:ascii="Times New Roman" w:cs="Times New Roman" w:eastAsia="Times New Roman" w:hAnsi="Times New Roman"/>
                <w:sz w:val="14"/>
                <w:szCs w:val="14"/>
                <w:color w:val="auto"/>
              </w:rPr>
              <w:t>Treasury shares repurchased to satisfy tax withholding obligations</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0" w:type="dxa"/>
            <w:vAlign w:val="bottom"/>
          </w:tcPr>
          <w:p>
            <w:pPr>
              <w:spacing w:after="0"/>
              <w:rPr>
                <w:sz w:val="1"/>
                <w:szCs w:val="1"/>
                <w:color w:val="auto"/>
              </w:rPr>
            </w:pPr>
          </w:p>
        </w:tc>
      </w:tr>
      <w:tr>
        <w:trPr>
          <w:trHeight w:val="107"/>
        </w:trPr>
        <w:tc>
          <w:tcPr>
            <w:tcW w:w="474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(52,950 shares)</w:t>
            </w:r>
          </w:p>
        </w:tc>
        <w:tc>
          <w:tcPr>
            <w:tcW w:w="14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474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8,618</w:t>
            </w:r>
          </w:p>
        </w:tc>
        <w:tc>
          <w:tcPr>
            <w:tcW w:w="0" w:type="dxa"/>
            <w:vAlign w:val="bottom"/>
          </w:tcPr>
          <w:p>
            <w:pPr>
              <w:spacing w:after="0"/>
              <w:rPr>
                <w:sz w:val="1"/>
                <w:szCs w:val="1"/>
                <w:color w:val="auto"/>
              </w:rPr>
            </w:pPr>
          </w:p>
        </w:tc>
      </w:tr>
      <w:tr>
        <w:trPr>
          <w:trHeight w:val="201"/>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June 30, 2018</w:t>
            </w: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132,198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211,494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318,843</w:t>
            </w:r>
          </w:p>
        </w:tc>
        <w:tc>
          <w:tcPr>
            <w:tcW w:w="0" w:type="dxa"/>
            <w:vAlign w:val="bottom"/>
          </w:tcPr>
          <w:p>
            <w:pPr>
              <w:spacing w:after="0"/>
              <w:rPr>
                <w:sz w:val="1"/>
                <w:szCs w:val="1"/>
                <w:color w:val="auto"/>
              </w:rPr>
            </w:pPr>
          </w:p>
        </w:tc>
      </w:tr>
      <w:tr>
        <w:trPr>
          <w:trHeight w:val="198"/>
        </w:trPr>
        <w:tc>
          <w:tcPr>
            <w:tcW w:w="4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27,982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27,982</w:t>
            </w:r>
          </w:p>
        </w:tc>
        <w:tc>
          <w:tcPr>
            <w:tcW w:w="0" w:type="dxa"/>
            <w:vAlign w:val="bottom"/>
          </w:tcPr>
          <w:p>
            <w:pPr>
              <w:spacing w:after="0"/>
              <w:rPr>
                <w:sz w:val="1"/>
                <w:szCs w:val="1"/>
                <w:color w:val="auto"/>
              </w:rPr>
            </w:pPr>
          </w:p>
        </w:tc>
      </w:tr>
      <w:tr>
        <w:trPr>
          <w:trHeight w:val="208"/>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198"/>
        </w:trPr>
        <w:tc>
          <w:tcPr>
            <w:tcW w:w="4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Treasury Shares sold to Employee Stock Purchase Plan (15,812 shares)</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208"/>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Exercise of stock options (12,500 shares)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98"/>
        </w:trPr>
        <w:tc>
          <w:tcPr>
            <w:tcW w:w="4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Issuance of deferred shares (314,711 shares)</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4740" w:type="dxa"/>
            <w:vAlign w:val="bottom"/>
            <w:shd w:val="clear" w:color="auto" w:fill="CCEEFF"/>
          </w:tcPr>
          <w:p>
            <w:pPr>
              <w:ind w:left="340"/>
              <w:spacing w:after="0" w:line="158" w:lineRule="exact"/>
              <w:rPr>
                <w:sz w:val="20"/>
                <w:szCs w:val="20"/>
                <w:color w:val="auto"/>
              </w:rPr>
            </w:pPr>
            <w:r>
              <w:rPr>
                <w:rFonts w:ascii="Times New Roman" w:cs="Times New Roman" w:eastAsia="Times New Roman" w:hAnsi="Times New Roman"/>
                <w:sz w:val="14"/>
                <w:szCs w:val="14"/>
                <w:color w:val="auto"/>
              </w:rPr>
              <w:t>Treasury shares repurchased to satisfy tax withholding obligations (79,111</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0" w:type="dxa"/>
            <w:vAlign w:val="bottom"/>
          </w:tcPr>
          <w:p>
            <w:pPr>
              <w:spacing w:after="0"/>
              <w:rPr>
                <w:sz w:val="1"/>
                <w:szCs w:val="1"/>
                <w:color w:val="auto"/>
              </w:rPr>
            </w:pPr>
          </w:p>
        </w:tc>
      </w:tr>
      <w:tr>
        <w:trPr>
          <w:trHeight w:val="107"/>
        </w:trPr>
        <w:tc>
          <w:tcPr>
            <w:tcW w:w="474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474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Open market purchases of treasury shares (310,532 shares)</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(5,190)</w:t>
            </w:r>
          </w:p>
        </w:tc>
        <w:tc>
          <w:tcPr>
            <w:tcW w:w="0" w:type="dxa"/>
            <w:vAlign w:val="bottom"/>
          </w:tcPr>
          <w:p>
            <w:pPr>
              <w:spacing w:after="0"/>
              <w:rPr>
                <w:sz w:val="1"/>
                <w:szCs w:val="1"/>
                <w:color w:val="auto"/>
              </w:rPr>
            </w:pPr>
          </w:p>
        </w:tc>
      </w:tr>
      <w:tr>
        <w:trPr>
          <w:trHeight w:val="207"/>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11,908</w:t>
            </w:r>
          </w:p>
        </w:tc>
        <w:tc>
          <w:tcPr>
            <w:tcW w:w="0" w:type="dxa"/>
            <w:vAlign w:val="bottom"/>
          </w:tcPr>
          <w:p>
            <w:pPr>
              <w:spacing w:after="0"/>
              <w:rPr>
                <w:sz w:val="1"/>
                <w:szCs w:val="1"/>
                <w:color w:val="auto"/>
              </w:rPr>
            </w:pPr>
          </w:p>
        </w:tc>
      </w:tr>
      <w:tr>
        <w:trPr>
          <w:trHeight w:val="19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June 30, 2019</w:t>
            </w: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137,712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239,476</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(17,759)</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351,957</w:t>
            </w:r>
          </w:p>
        </w:tc>
        <w:tc>
          <w:tcPr>
            <w:tcW w:w="0" w:type="dxa"/>
            <w:vAlign w:val="bottom"/>
          </w:tcPr>
          <w:p>
            <w:pPr>
              <w:spacing w:after="0"/>
              <w:rPr>
                <w:sz w:val="1"/>
                <w:szCs w:val="1"/>
                <w:color w:val="auto"/>
              </w:rPr>
            </w:pPr>
          </w:p>
        </w:tc>
      </w:tr>
      <w:tr>
        <w:trPr>
          <w:trHeight w:val="208"/>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(33,074)</w:t>
            </w:r>
          </w:p>
        </w:tc>
        <w:tc>
          <w:tcPr>
            <w:tcW w:w="0" w:type="dxa"/>
            <w:vAlign w:val="bottom"/>
          </w:tcPr>
          <w:p>
            <w:pPr>
              <w:spacing w:after="0"/>
              <w:rPr>
                <w:sz w:val="1"/>
                <w:szCs w:val="1"/>
                <w:color w:val="auto"/>
              </w:rPr>
            </w:pPr>
          </w:p>
        </w:tc>
      </w:tr>
      <w:tr>
        <w:trPr>
          <w:trHeight w:val="197"/>
        </w:trPr>
        <w:tc>
          <w:tcPr>
            <w:tcW w:w="4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208"/>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Treasury Shares Sold to Employee Stock Purchase Plan (20,733 shares)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98"/>
        </w:trPr>
        <w:tc>
          <w:tcPr>
            <w:tcW w:w="4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Issuance of deferred shares (542,279 shares)</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4740" w:type="dxa"/>
            <w:vAlign w:val="bottom"/>
            <w:shd w:val="clear" w:color="auto" w:fill="CCEEFF"/>
          </w:tcPr>
          <w:p>
            <w:pPr>
              <w:ind w:left="340"/>
              <w:spacing w:after="0" w:line="158" w:lineRule="exact"/>
              <w:rPr>
                <w:sz w:val="20"/>
                <w:szCs w:val="20"/>
                <w:color w:val="auto"/>
              </w:rPr>
            </w:pPr>
            <w:r>
              <w:rPr>
                <w:rFonts w:ascii="Times New Roman" w:cs="Times New Roman" w:eastAsia="Times New Roman" w:hAnsi="Times New Roman"/>
                <w:sz w:val="14"/>
                <w:szCs w:val="14"/>
                <w:color w:val="auto"/>
              </w:rPr>
              <w:t>Treasury shares repurchased to satisfy tax withholding obligations</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w:t>
            </w:r>
          </w:p>
        </w:tc>
        <w:tc>
          <w:tcPr>
            <w:tcW w:w="0" w:type="dxa"/>
            <w:vAlign w:val="bottom"/>
          </w:tcPr>
          <w:p>
            <w:pPr>
              <w:spacing w:after="0"/>
              <w:rPr>
                <w:sz w:val="1"/>
                <w:szCs w:val="1"/>
                <w:color w:val="auto"/>
              </w:rPr>
            </w:pPr>
          </w:p>
        </w:tc>
      </w:tr>
      <w:tr>
        <w:trPr>
          <w:trHeight w:val="107"/>
        </w:trPr>
        <w:tc>
          <w:tcPr>
            <w:tcW w:w="474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(181,081 shares)</w:t>
            </w:r>
          </w:p>
        </w:tc>
        <w:tc>
          <w:tcPr>
            <w:tcW w:w="14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474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Open market purchases of treasury shares (1,047,606 shares)</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(17,045)</w:t>
            </w:r>
          </w:p>
        </w:tc>
        <w:tc>
          <w:tcPr>
            <w:tcW w:w="0" w:type="dxa"/>
            <w:vAlign w:val="bottom"/>
          </w:tcPr>
          <w:p>
            <w:pPr>
              <w:spacing w:after="0"/>
              <w:rPr>
                <w:sz w:val="1"/>
                <w:szCs w:val="1"/>
                <w:color w:val="auto"/>
              </w:rPr>
            </w:pPr>
          </w:p>
        </w:tc>
      </w:tr>
      <w:tr>
        <w:trPr>
          <w:trHeight w:val="207"/>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9,877</w:t>
            </w:r>
          </w:p>
        </w:tc>
        <w:tc>
          <w:tcPr>
            <w:tcW w:w="0" w:type="dxa"/>
            <w:vAlign w:val="bottom"/>
          </w:tcPr>
          <w:p>
            <w:pPr>
              <w:spacing w:after="0"/>
              <w:rPr>
                <w:sz w:val="1"/>
                <w:szCs w:val="1"/>
                <w:color w:val="auto"/>
              </w:rPr>
            </w:pPr>
          </w:p>
        </w:tc>
      </w:tr>
      <w:tr>
        <w:trPr>
          <w:trHeight w:val="19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June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138,966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206,402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(29,385)</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(8,373)</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307,889</w:t>
            </w:r>
          </w:p>
        </w:tc>
        <w:tc>
          <w:tcPr>
            <w:tcW w:w="0" w:type="dxa"/>
            <w:vAlign w:val="bottom"/>
          </w:tcPr>
          <w:p>
            <w:pPr>
              <w:spacing w:after="0"/>
              <w:rPr>
                <w:sz w:val="1"/>
                <w:szCs w:val="1"/>
                <w:color w:val="auto"/>
              </w:rPr>
            </w:pPr>
          </w:p>
        </w:tc>
      </w:tr>
      <w:tr>
        <w:trPr>
          <w:trHeight w:val="25"/>
        </w:trPr>
        <w:tc>
          <w:tcPr>
            <w:tcW w:w="4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Basis of Presentation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and include the accounts of Matrix Service Company and its subsidiaries (“Matrix” or the “Company”), all of which are wholly owned. Intercompany transactions and balances have been eliminated in consolidation.</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operates in the United States, Canada, South Korea and Australia. The Company’s reportable segments are Electrical Infrastructure, Oil Gas &amp; Chemical, Storage Solutions and Industrial.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amounts reported in the financial statements and accompanying notes. We believe the most significant estimates and judgments are associated with revenue recognition, the recoverability tests that must be periodically performed with respect to our goodwill and other intangible assets, valuation reserves on our accounts receivable and deferred tax assets, and the estimation of loss contingencies, including liabilities associated with litigation and with the self-insured retentions on our insurance programs. Actual results could materially differ from those estimates.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Leases Standard</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Under this guidance, lessees are required to recognize virtually all leases on the balance sheet as a right-of-use asset and an associated operating lease liability or finance lease liability. The right-of-use asset represents the lessee's right to use, or control the use of, a specified asset for the specified lease term. The lease liability represents the lessee's obligation to make lease payments arising from the lease, measured on a discounted basis. Based on certain characteristics, leases are classified as operating leases or finance leases. Operating lease liabilities and right-of-use assets are adjusted to result in a single straight-line lease expense over the life of the lease. Finance lease liabilities and right-of-use assets, which contain provisions similar to capital leases under the prior accounting standards, result in the recognition of interest expense on the lease liability and amortization expense on the right-of-use asset over the term of the lease.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 2019, the Company adopted the standard using the modified retrospective method. The modified retrospective method permits the Company to record right-of-use assets and lease liabilities for existing leases as of the date of adoption rather than at the beginning of the earliest period presented. The Company recorded operating lease right-of-use assets of $24.6 million and operating lease liabilities of $25.8 million as of July 1, 2019. The adoption of the standard did not have a material impact on the Company’s retained earnings, Condensed Consolidated Statements of Income or Condensed Consolidated Statements of Cash Flows. Financial results reported in prior periods are unchanged and reflect the prior lease accounting standards in place at the time.</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elected the package of practical expedients permitted under the transition guidance for the new standard, which among other things, allowed the Company to carry forward the historical lease classification of its existing leases. All of the Company's existing leases were classified as operating leases prior to adoption and have retained this classification after adoption. In addition, the Company elected not to utilize the hindsight practical expedient to determine the lease term for existing leases at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Accounting Policy</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lease arrangements for real estate, construction equipment and information technology equipment in the normal course of business. The Company determines if an arrangement is or contains a lease at inception of the arrangement. An arrangement is determined to be a lease if it conveys the right to control the use of identified property and equipment for a period of time in exchange for consideration. Operating lease right-of-use assets are recognized as the present value of future lease payments over the lease term as of the commencement date, plus any lease payments made prior to commencement, and less any lease incentives received. Operating lease liabilities are recognized as the present value of the future lease payments over the lease term as of the commencement date. Operating lease expense is recognized based on the undiscounted future lease payments over the remaining lease term on a straight-line basis. Lease expense related to short-term leases is recognized on a straight-line basis over the lease term.</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Determinations with respect to lease term (including any renewals and terminations), incremental borrowing rate used to discount lease payments, variable lease expense and future lease payments require the use of judgment based on the facts and circumstances related to each lease. The Company considers various factors, including economic incentives, intent, past history and business need, to determine the likelihood that a renewal option will be exercised.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are evaluated for impairment in accordance with our policy for impairment of long-lived assets.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Information about our Contracts with Customers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 comes from contracts to provide engineering, procurement, fabrication and construction, repair and maintenance and other services. Our engineering, procurement and fabrication and construction services are usually provided in association with capital projects, which commonly are fixed price contracts and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be in excess of one year for capital projects.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Contract Identification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one single contract. This evaluation requires judgment and could change the timing of the amount of revenue and profit recorded for a given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Performance Obligations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Contract Price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 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Assign Contract Price to Performance Obligations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as Performance Obligations are Satisfied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revenue for contracts with our customers as we satisfy the contracts' performance obligations. We recognize revenue on performance obligations associated with fixed price contracts for engineering, procurement, fabrication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the revenue accounting standards,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The Company does not sell separate warranties.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 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 price contracts indicate a loss, a provision is made through a contract write-down for the total loss anticipated.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Orders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includes as cash equivalents all investments with original maturities of three months or less which are readily convertible into cash. We have cash on deposit at June 30, 2020 with banks in the United States, Canada, South Korea and Australia in excess of Federal Deposit Insurance Corporation ("FDIC"), Canada Deposit Insurance Corporation ("CDIC"), Korea Deposit Insurance Corporation ("KDIC") and Financial Claims Scheme ("FCS") protection limits, respectively. The United States Dollar equivalent of Canadian, South Korean and Australian deposits totaled $13.5 million as of June 30, 2020.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Accounts receivable are carried on a gross basis, less the allowance for uncollectible accounts. The Company’s customers consist primarily of major integrated oil companies, independent refiners and marketers, power companies, petrochemical companies, pipeline companies, mining companies, contractors and engineering firms. The Company is exposed to the risk of individual customer defaults or depressed cycles in our customers’ industries. To mitigate this risk many of our contracts require payment as projects progress or advance payment in some circumstances. In addition, in most cases the Company can place liens against the property, plant or equipment constructed or terminate the contract if a material contract default occurs. Management estimates the allowance for uncollectible accounts based on existing economic conditions, the financial condition of its customers and the amount and age of past due accounts. Accounts are written off against the allowance for uncollectible accounts only after all reasonable collection attempts have been exhausted.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Retentions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 retentions collectible beyond one year are included in Other assets in the Consolidated Balance Sheets. Accounts payable retentions are generally settled within one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legal actions, claims and other contingencies arise in the normal course of our business. Contingencies are recorded in the consolidated financial statements, or are otherwise disclosed, in accordance with ASC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costs are expensed as incurred.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consist primarily of steel plate and pipe and aluminum coil and extrusions. Cost is determined primarily using the average cost method and inventories are stated at the lower of cost or net realizable value.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lives of the depreciable assets. Depreciable lives are as follows: buildings —40 years, construction equipment—3 to 15 years, transportation equipment—3 to 5 years, and office equipment and software—3 to 10 years. Leasehold improvements are amortized over the shorter of the useful life of the asset or the lease term.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long-lived assets for impairment when events or changes in circumstances indicate, in management’s judgment, that the carrying value of such assets used in operations may not be recoverable. The determination of whether an impairment has occurred is based on management’s estimate of undiscounted future cash flows attributable to the assets as compared to the carrying value of the assets. If an impairment has occurred, the amount of the impairment recognized is determined by estimating the fair value of the assets and, to the extent the carrying value exceeds the fair value of the assets, recording a loss provision.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assets identified to be disposed of in the future, the carrying value of the assets are compared to the estimated fair value less the cost of disposal to determine if an impairment has occurred. Until the assets are disposed of, an estimate of the fair value is redetermined when related events or circumstances change.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 which is a level below our reportable segments.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perform our annual impairment test in the fourth quarter of each fiscal year, or in between annual tests whenever events or changes in circumstances indicate the carrying value of goodwill may not be recoverable,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carrying values of our reporting units to our market capitalization.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Intangible assets that have finite useful lives are amortized by the straight-line method over their useful lives ranging from 6 years to 15 years. A finite intangible asset is considered impaired when its carrying amount is not recoverable and exceeds the asset's fair value. The carrying amount is deemed unrecoverable if it is greater than the sum of undiscounted cash flows expected to result from use and eventual disposition of the asset. An impairment loss is equal to the excess of the carrying amount over the fair value of the asset. If quoted market prices are not available, the fair values of the intangible assets are based on present values of expected future cash flows or royalties avoided using discount rates commensurate with the risks involved.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Reserves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insurance coverage for various aspects of our operations. However, we retain exposure to potential losses through the use of deductibles, coverage limits and self-insured retentions. We establish reserves for claims using a combination of actuarially determined estimates and case-by-case evaluations of the underlying claim data and update our evaluations as further information becomes known. Judgments and assumptions are inherent in our reserve accruals; as a result, changes in assumptions or claims experience could result in changes to these estimates in the future. If actual results of claim settlements are different than the amounts estimated we may be exposed to future gains and losses that could be material.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issued stock options and nonvested deferred share awards under its long-term incentive compensation plans. The fair value of these awards is calculated at grant date. The fair value of time-based, nonvested deferred shares is the value of the Company’s common stock at the grant date. The fair value of market-based nonvested deferred shares is based on several factors, including the probability that the market condition specified in the grant will be achieved, which is calculated using a Monte Carlo model. The fair value of stock options is determined based on the Black-Scholes option pricing model. For all stock-based awards, expense is recognized over the requisite service period with forfeitures recorded as they occur.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functional currencies of the Company’s operations in Canada, South Korea and Australia are the Canadian Dollar, South Korean Won and U.S. Dollar, respectively. The functional currency of the Company's Australian operations is the U.S. Dollar since its sales are primarily denominated in that currency. For subsidiaries with operations using a foreign functional currency, assets and liabilities are translated at the year-end exchange rates and the income statement accounts are translated at average exchange rates throughout the year. Translation gains and losses are reported in Accumulated Other Comprehensive Income (Loss), net of tax, in the Consolidated Statements of Changes in Stockholders’ Equity and in Other Comprehensive Income (Loss) in the Consolidated Statements of Comprehensive Income. Translation gains and losses are reversed from Accumulated Other Comprehensive Income (Loss) and are recognized in current period income in the event the Company disposes of an entity with accumulated translation gains or losses. Transaction gains and losses are reported as a component of Other income (expense) in the Consolidated Statements of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2016-13, Financial Instruments - Credit Losses (Topic 326): Measurement of Credit Losses on Financial Instruments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16, 2016, the Financial Accounting Standards Board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Previous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adopted the standard on July 1, 2020 with no material impact to its estimate of the allowance for uncollectible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$566.4 million of remaining performance obligations yet to be satisfied as of June 30, 2020. The Company expects to recognize approximately $429.0 million of its remaining performance obligations as revenue within the next twelve months.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Contract terms with customers include the timing of billing and payment, which usually differs from the timing of revenue recognition. As a result, we carry contract assets and liabilities in our balance sheet. These contract assets and liabilities are calculated on a contract-by-contract basis and reported on a net basis at the end of each period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3"/>
                <w:szCs w:val="13"/>
                <w:color w:val="auto"/>
              </w:rPr>
            </w:pPr>
          </w:p>
        </w:tc>
        <w:tc>
          <w:tcPr>
            <w:tcW w:w="108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6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(36,535)</w:t>
            </w:r>
          </w:p>
        </w:tc>
        <w:tc>
          <w:tcPr>
            <w:tcW w:w="0" w:type="dxa"/>
            <w:vAlign w:val="bottom"/>
          </w:tcPr>
          <w:p>
            <w:pPr>
              <w:spacing w:after="0"/>
              <w:rPr>
                <w:sz w:val="1"/>
                <w:szCs w:val="1"/>
                <w:color w:val="auto"/>
              </w:rPr>
            </w:pP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41,737</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difference between the beginning and ending balances of the Company's CIE and BIE primarily results from the timing of revenue recognized relative to its billings. The amount of revenue recognized during the twelve months ended June 30, 2020 that was included in the prior period BIE balance was $104.4 million. This revenue consists primarily of work performed during the period on contracts with customers that had advance billings.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Progress billings in accounts receivable at June 30, 2020 and June 30, 2019 included retentions to be collected within one year of $37.3 million and $21.9 million, respectively. Contract retentions collectible beyond one year are included in other assets in the Consolidated Balance Sheets and totaled $1.6 million as of June 30, 2020 and $17.7 million as of June 30, 2019.</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disaggregated by reportable segment is presented in Note 13 - Segment Information. The following series of tables presents revenue disaggregated by geographic area where the work was performed and by contract type: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Disaggregation:</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49"/>
        </w:trPr>
        <w:tc>
          <w:tcPr>
            <w:tcW w:w="6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12"/>
                <w:szCs w:val="12"/>
                <w:color w:val="auto"/>
              </w:rPr>
            </w:pPr>
          </w:p>
        </w:tc>
        <w:tc>
          <w:tcPr>
            <w:tcW w:w="1260" w:type="dxa"/>
            <w:vAlign w:val="bottom"/>
          </w:tcPr>
          <w:p>
            <w:pPr>
              <w:jc w:val="right"/>
              <w:ind w:right="456"/>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6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5"/>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1,367,844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981,292</w:t>
            </w: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104,208</w:t>
            </w:r>
          </w:p>
        </w:tc>
      </w:tr>
      <w:tr>
        <w:trPr>
          <w:trHeight w:val="27"/>
        </w:trPr>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r>
      <w:tr>
        <w:trPr>
          <w:trHeight w:val="26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1,100,938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1,416,680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1,091,553</w:t>
            </w:r>
          </w:p>
        </w:tc>
      </w:tr>
      <w:tr>
        <w:trPr>
          <w:trHeight w:val="20"/>
        </w:trPr>
        <w:tc>
          <w:tcPr>
            <w:tcW w:w="6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Type Disaggregation:</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49"/>
        </w:trPr>
        <w:tc>
          <w:tcPr>
            <w:tcW w:w="6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12"/>
                <w:szCs w:val="12"/>
                <w:color w:val="auto"/>
              </w:rPr>
            </w:pPr>
          </w:p>
        </w:tc>
        <w:tc>
          <w:tcPr>
            <w:tcW w:w="1260" w:type="dxa"/>
            <w:vAlign w:val="bottom"/>
          </w:tcPr>
          <w:p>
            <w:pPr>
              <w:jc w:val="right"/>
              <w:ind w:right="457"/>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6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5"/>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 contracts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685,559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588,039</w:t>
            </w: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and materials and other cost reimbursable contracts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503,514</w:t>
            </w:r>
          </w:p>
        </w:tc>
      </w:tr>
      <w:tr>
        <w:trPr>
          <w:trHeight w:val="27"/>
        </w:trPr>
        <w:tc>
          <w:tcPr>
            <w:tcW w:w="6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1,100,938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1,416,680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1,091,553</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Typically, the Company assumes more risk with fixed-price contracts since increases in cost to perform the work may not be recoverable. However, these types of contracts typically offer higher profits than time and materials and other cost reimbursable contracts when completed at or below the costs originally estimated. The profitability of time and materials and other cost reimbursable contracts is typically lower than fixed-price contracts and is usually less volatile than fixed-price contracts since the profit component is factored into the rates charged for labor, equipment and materials, or is expressed in the contract as a percentage of the reimbursable costs incurred.</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mix of revenue by contract type shifted since the third quarter of fiscal 2020 due to the Company's strategic initiative to exit the domestic iron and steel industry, which was comprised primarily of time and materials and other cost reimbursable contracts.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3—Acquisitions and Disposals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Process Heating Business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2018, the Company sold non-core assets associated with a business that marketed process heating equipment for $3.9 million in cash, including $0.2 million of customary final post-closing adjustments paid in October 2018. The Company recognized a gain of $0.4 million on the sale, which was included in Other in the Consolidated Statements of Income. The revenue and operating results of the business, which were included in the Oil Gas &amp; Chemical segment, were not material.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4—Goodwill and Other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segment are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Electrical</w:t>
            </w:r>
          </w:p>
        </w:tc>
        <w:tc>
          <w:tcPr>
            <w:tcW w:w="24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Oil Gas &amp;</w:t>
            </w:r>
          </w:p>
        </w:tc>
        <w:tc>
          <w:tcPr>
            <w:tcW w:w="24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4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June 30, 2017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113,501</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Translation adjustment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balance at June 30, 2018</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96,162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 of business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7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Translation adjustment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4"/>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June 30, 2019</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93,368</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6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balance at June 30, 2020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30,829</w:t>
            </w:r>
          </w:p>
        </w:tc>
        <w:tc>
          <w:tcPr>
            <w:tcW w:w="120" w:type="dxa"/>
            <w:vAlign w:val="bottom"/>
          </w:tcPr>
          <w:p>
            <w:pPr>
              <w:spacing w:after="0"/>
              <w:rPr>
                <w:sz w:val="22"/>
                <w:szCs w:val="22"/>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16,567</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12,973</w:t>
            </w:r>
          </w:p>
        </w:tc>
        <w:tc>
          <w:tcPr>
            <w:tcW w:w="1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274320</wp:posOffset>
            </wp:positionV>
            <wp:extent cx="7969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580" w:hanging="329"/>
        <w:spacing w:after="0" w:line="253" w:lineRule="auto"/>
        <w:tabs>
          <w:tab w:leader="none" w:pos="57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jc w:val="both"/>
        <w:ind w:left="580" w:hanging="329"/>
        <w:spacing w:after="0" w:line="249" w:lineRule="auto"/>
        <w:tabs>
          <w:tab w:leader="none" w:pos="57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2018, the Company disposed of a business that marketed process heating equipment. See Note 3 - Acquisitions and Disposals for more information about the disposal. The business disposed of constituted its own reporting unit and the amount of goodwill written off was all of the goodwill assigned to that reporting unit. None of the goodwill was considered impaired since the Company recorded a gain on the disposal.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performed its annual goodwill impairment test as of May 31, 2020, which resulted in no impairment. The fiscal 2020 test indicated that three reporting units with a combined total of $14.2 million of goodwill as of June 30, 2020 were at higher risk of future impairment than others. If the Company's view of project opportunities or gross margins deteriorates, particularly for the higher risk reporting units, then the Company may be required to record a material impairment of goodwill.</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fiscal 2020, the Company concluded that goodwill impairment indicators existed based on the uncertainties caused by the COVID-19 pandemic and the significant decline in the price of crude oil. These uncertainties resulted in lowered revenue expectations for the remainder of fiscal 2020 and fiscal 2021 and led to significant volatility in the Company's stock price. Accordingly, the Company performed an interim test as of March 31, 2020, which did not result in any additional impairments.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second quarter of fiscal 2020, the Company concluded that a goodwill impairment indicator existed in the Electrical Infrastructure segment based on the recent history of depressed gross margins and the second quarter’s downward acceleration of revenue and gross margin. Accordingly, the Company performed an interim impairment test as of December 31, 2019, reflecting updated revenue and gross margin assumptions, and concluded that the reporting unit's $24.9 million of goodwill was fully impaired. Additionally, the Company concluded that a goodwill impairment indicator existed for an Industrial segment reporting unit based on several second quarter events. These events included the deterioration of our relationship with a significant customer in the iron and steel industry in the second quarter. As a result, the customer canceled other previously awarded work and the Company is expecting little to no new business from this customer in the foreseeable future. Accordingly, the Company performed an interim impairment test as of December 31, 2019 and concluded that the reporting unit's $8.0 million of goodwill was fully impaired.</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2018, the Company recorded a $17.3 million impairment of goodwill included in the Electrical Infrastructure segment. The impairment was triggered by lower financial projections as a result of the Company's decision to shift its strategy away from EPC power generation projects to smaller, individual packages that better fit the Company's strategy and risk profile, and sluggish maintenance and capital spending by some key clients in our Northeast and Mid-Atlantic high voltage markets.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each reporting unit was derived primarily by utilizing a discounted cash flow analysis. The key assumptions used are described in Note 1 - Summary of Significant Accounting Policies, Goodwill.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fourth quarter of fiscal 2020, the Company fully impaired a customer relationship intangible asset with a net book value of $1.2 million. The customer relationship primarily related to services which were impacted by the Company's performance improvement plan (see Note 14 - Restructuring Costs). As a result, the customer relationship intangible asset was no longer recoverable. As of June 30, 2020, this intangible asset had a remaining useful life of approximately 2 years, a gross carrying amount of $6.3 million and accumulated amortization of $5.1 million. The impairment is included in the restructuring costs caption in the Consolidated Statements of Income.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Also in the fourth quarter of fiscal 2020, the Company fully impaired a customer relationship intangible asset with a net book value of $0.4 million in connection with the closure of an underperforming operating unit. The closure was part the Company's performance improvement plan (see Note 14 - Restructuring Costs). As of June 30, 2020, this intangible asset had a remaining useful life of approximately 4 years, a gross carrying amount of $0.9 million and accumulated amortization of $0.5 million. The impairment is included in the restructuring costs caption in the Consolidated Statements of Income.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fiscal 2020, in connection with the factors disclosed for the Industrial segment goodwill impairment above, the Company fully impaired a customer relationship with a net book value of $5.6 million. As of December 31, 2019, this intangible asset had a remaining useful life of 9 years, a gross carrying amount of $9.4 million and accumulated amortization of $3.8 million. The impairment is included within the goodwill and other intangible asset impairment caption in the Consolidated Statements of Income.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fiscal 2018, the Company recorded a $0.7 million impairment to a customer relationship intangible asset associated with an acquisition that was completed in fiscal 2013. The impairment was triggered by lower than anticipated revenue and operating income. The impairment is included in the Oil Gas &amp; Chemical segment and is presented within the goodwill and other intangible asset impairment caption in the Consolidated Statements of Income.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the carrying value of other intangible assets is as follows: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At June 30, 2020</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28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0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9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10 to 15</w:t>
            </w: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based</w:t>
            </w:r>
          </w:p>
        </w:tc>
        <w:tc>
          <w:tcPr>
            <w:tcW w:w="40" w:type="dxa"/>
            <w:vAlign w:val="bottom"/>
          </w:tcPr>
          <w:p>
            <w:pPr>
              <w:spacing w:after="0"/>
              <w:rPr>
                <w:sz w:val="21"/>
                <w:szCs w:val="21"/>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to 15</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21,840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25,872</w:t>
            </w:r>
          </w:p>
        </w:tc>
        <w:tc>
          <w:tcPr>
            <w:tcW w:w="10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5"/>
        </w:trPr>
        <w:tc>
          <w:tcPr>
            <w:tcW w:w="4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At June 30, 2019</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28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10 to 15</w:t>
            </w: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based</w:t>
            </w:r>
          </w:p>
        </w:tc>
        <w:tc>
          <w:tcPr>
            <w:tcW w:w="40" w:type="dxa"/>
            <w:vAlign w:val="bottom"/>
          </w:tcPr>
          <w:p>
            <w:pPr>
              <w:spacing w:after="0"/>
              <w:rPr>
                <w:sz w:val="21"/>
                <w:szCs w:val="21"/>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6 to 15</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18,657</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19,472</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Amortization expense totaled $3.4 million, $3.3 million, and $4.8 million in fiscal 2020, 2019, and 2018, respectively. We estimate that future amortization of other intangible assets will be as follows (in thousands):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 year ending:</w:t>
            </w: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9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2021</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r>
      <w:tr>
        <w:trPr>
          <w:trHeight w:val="27"/>
        </w:trPr>
        <w:tc>
          <w:tcPr>
            <w:tcW w:w="9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7"/>
        </w:trPr>
        <w:tc>
          <w:tcPr>
            <w:tcW w:w="9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7"/>
        </w:trPr>
        <w:tc>
          <w:tcPr>
            <w:tcW w:w="96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amortization expense</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5—Debt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facility includes a U.S. Dollar equivalent sublimit of $75.0 million for revolving loans denominated in Australian Dollars, Canadian Dollars, Euros and Pounds Sterling and letters of credit in Australian Dollars, Euros, and Pounds Sterling. The credit facility also includes a $200.0 million sublimit for total letters of credit.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ABR or the Adjusted LIBO Rate, in the case of revolving loans denominated in U.S. Dollars;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Canadian Prime Rate or the CDOR rate, in the case of revolving loans denominated in Canadian Dollars;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LIBO Rate, in the case of revolving loans denominated in Pounds Sterling or Australian Dollars;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EURIBO Rate, in the case of revolving loans denominated in Euros,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unused credit facility fee is between 0.25% and 0.45% based on the Leverage Ratio.</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2020, the Company was at the lowest margin tier for all categories of loans and the unused revolving credit facility fee under the Credit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includes the following covenants and borrowing limitations:</w:t>
      </w:r>
    </w:p>
    <w:p>
      <w:pPr>
        <w:spacing w:after="0" w:line="171" w:lineRule="exact"/>
        <w:rPr>
          <w:sz w:val="20"/>
          <w:szCs w:val="20"/>
          <w:color w:val="auto"/>
        </w:rPr>
      </w:pPr>
    </w:p>
    <w:p>
      <w:pPr>
        <w:jc w:val="both"/>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Leverage Ratio, determined as of the end of each fiscal quarter, may not exceed 3.00 to 1.00. The Leverage Ratio covenant requires that Consolidated Funded Indebtedness, as defined in the Credit Agreement, as of the end of any fiscal quarter, may not exceed 3.0 times Consolidated EBITDA, as defined in the Credit Agreement, or "Covenant EBITDA," over the previous four quarters.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maintain a Fixed Charge Coverage Ratio, determined as of the end of each fiscal quarter, greater than or equal to 1.25 to 1.00. The Fixed Charge Coverage Ratio covenant requires that, as of the end of any fiscal quarter, Covenant EBITDA, after deducting capital expenditures, dividends and share repurchases, for the previous four quarters may not be less than 1.25 times the total of interest expense and cash paid for income taxes over the previous four quarters and scheduled maturities of certain indebtedness for the next four quarters.</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 compliance with all affirmative, negative, and financial covenants under the Credit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Availability under the senior secured revolving credit facility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12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7"/>
                <w:szCs w:val="17"/>
                <w:color w:val="auto"/>
              </w:rPr>
            </w:pPr>
          </w:p>
        </w:tc>
      </w:tr>
      <w:tr>
        <w:trPr>
          <w:trHeight w:val="255"/>
        </w:trPr>
        <w:tc>
          <w:tcPr>
            <w:tcW w:w="7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300,000</w:t>
            </w:r>
          </w:p>
        </w:tc>
      </w:tr>
      <w:tr>
        <w:trPr>
          <w:trHeight w:val="243"/>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Capacity constraint due to the Leverage Ratio</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162,864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94,323</w:t>
            </w: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7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under the senior secured revolving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205,677</w:t>
            </w:r>
          </w:p>
        </w:tc>
      </w:tr>
      <w:tr>
        <w:trPr>
          <w:trHeight w:val="243"/>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48,147</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5,347</w:t>
            </w:r>
          </w:p>
        </w:tc>
      </w:tr>
      <w:tr>
        <w:trPr>
          <w:trHeight w:val="263"/>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Availability under the senior secured revolving credit facility</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93,399</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152,183</w:t>
            </w:r>
          </w:p>
        </w:tc>
      </w:tr>
      <w:tr>
        <w:trPr>
          <w:trHeight w:val="21"/>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0" w:lineRule="exact"/>
        <w:rPr>
          <w:sz w:val="20"/>
          <w:szCs w:val="20"/>
          <w:color w:val="auto"/>
        </w:rPr>
      </w:pPr>
    </w:p>
    <w:p>
      <w:pPr>
        <w:spacing w:after="0" w:line="371" w:lineRule="exact"/>
        <w:rPr>
          <w:sz w:val="20"/>
          <w:szCs w:val="20"/>
          <w:color w:val="auto"/>
        </w:rPr>
      </w:pPr>
    </w:p>
    <w:p>
      <w:pPr>
        <w:ind w:left="580" w:right="20" w:hanging="329"/>
        <w:spacing w:after="0" w:line="282" w:lineRule="auto"/>
        <w:tabs>
          <w:tab w:leader="none" w:pos="57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Credit Agreement allows exclusion of letters of credit that support our workers' compensation programs when calculating availability under the credit facility. At June 30, 2020, there were $6.5 million of letters of credit that support our workers' compensation programs.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 senior secured revolving credit facility approximates its fair value at each balance sheet date.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6—Income Taxes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Coronavirus Aid, Relief, and Economic Security Act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(the "CARES Act") was signed into law. The purpose of the CARES Act was to provide $2.2 trillion in funding to fight the COVID-19 pandemic and provide economic relief in the form of tax relief, government loans and grants. The CARES Act contains the following key provisions which affect income taxes:</w:t>
      </w:r>
    </w:p>
    <w:p>
      <w:pPr>
        <w:spacing w:after="0" w:line="203" w:lineRule="exact"/>
        <w:rPr>
          <w:sz w:val="20"/>
          <w:szCs w:val="20"/>
          <w:color w:val="auto"/>
        </w:rPr>
      </w:pPr>
    </w:p>
    <w:p>
      <w:pPr>
        <w:ind w:left="660" w:right="5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the 80% of taxable income limitations by allowing corporations to fully utilize net operating loss carryforwards to offset taxable income in 2018, 2019, or 2020 and reinstating it for tax years after 2020;</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net operating losses generated in 2018, 2019 or 2020 to be carried back five years;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net interest expense deduction limit to 50% of adjusted taxable income from 30% for the 2019 and 2020 tax years;</w:t>
      </w:r>
    </w:p>
    <w:p>
      <w:pPr>
        <w:spacing w:after="0" w:line="252"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taxpayers with alternative minimum tax credits to claim a refund for the entire amount of the credit instead of recovering the credit through refunds over a period of years, as required by the 2017 Tax Cuts and Jobs Act; and</w:t>
      </w:r>
    </w:p>
    <w:p>
      <w:pPr>
        <w:spacing w:after="0" w:line="18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entities to deduct more of their charitable cash contributions made during calendar year 2020 by increasing the taxable income limitation to 25% from 10%.</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provisions in the CARES Act have not had a material impact on the Company as of June 30, 2020.</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CARES Act also provides certain payroll tax credits and allows companies to defer payroll tax that would otherwise be due from enactment through December 31, 2020. The Company has recognized $0.8 million of payroll tax credits during fiscal 2020 and has deferred $3.8 million of payroll tax as of June 30, 2020. The payroll tax credits are included as a reduction of selling, general and administrative expenses in the Consolidated Statements of Income and the deferred payroll taxes are included within other liabilities in the Consolidated Balance Sheets. The Company must repay half of the deferred payroll tax by December 31, 2021 and the remainder by December 31, 2022.</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also received $1.1 million of subsidies in Canada during fiscal 2020 as part the Canada Emergency Wage Subsidy program, which was designed to compensate Canadian employers whose business has been affected by the COVID-19 pandemic. These subsidies are included as a reduction of selling, general and administrative expenses in the Consolidated Statements of Income.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pretax income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49"/>
        </w:trPr>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1260" w:type="dxa"/>
            <w:vAlign w:val="bottom"/>
          </w:tcPr>
          <w:p>
            <w:pPr>
              <w:jc w:val="right"/>
              <w:ind w:right="437"/>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6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5"/>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46,032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(7,620)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(9,492)</w:t>
            </w:r>
          </w:p>
        </w:tc>
      </w:tr>
      <w:tr>
        <w:trPr>
          <w:trHeight w:val="27"/>
        </w:trPr>
        <w:tc>
          <w:tcPr>
            <w:tcW w:w="6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38,412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(12,148)</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the provision for income tax expense (benefit)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49"/>
        </w:trPr>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1260" w:type="dxa"/>
            <w:vAlign w:val="bottom"/>
          </w:tcPr>
          <w:p>
            <w:pPr>
              <w:jc w:val="right"/>
              <w:ind w:right="433"/>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6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5"/>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
        </w:trPr>
        <w:tc>
          <w:tcPr>
            <w:tcW w:w="6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7"/>
        </w:trPr>
        <w:tc>
          <w:tcPr>
            <w:tcW w:w="6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43"/>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7"/>
        </w:trPr>
        <w:tc>
          <w:tcPr>
            <w:tcW w:w="6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r>
      <w:tr>
        <w:trPr>
          <w:trHeight w:val="237"/>
        </w:trPr>
        <w:tc>
          <w:tcPr>
            <w:tcW w:w="63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7"/>
        </w:trPr>
        <w:tc>
          <w:tcPr>
            <w:tcW w:w="6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63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between the expected income tax provision applying the domestic federal statutory tax rate and the reported income tax provision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49"/>
        </w:trPr>
        <w:tc>
          <w:tcPr>
            <w:tcW w:w="6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2"/>
                <w:szCs w:val="12"/>
                <w:color w:val="auto"/>
              </w:rPr>
            </w:pPr>
          </w:p>
        </w:tc>
        <w:tc>
          <w:tcPr>
            <w:tcW w:w="108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6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5"/>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provision (benefit) for federal income taxes at the statutory rate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247</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non-deductible goodwill</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2,342</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without tax benefit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1,100</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1,173</w:t>
            </w:r>
          </w:p>
        </w:tc>
      </w:tr>
      <w:tr>
        <w:trPr>
          <w:trHeight w:val="27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Reversal of branch liability</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tax expense (benefit) on 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511</w:t>
            </w:r>
          </w:p>
        </w:tc>
      </w:tr>
      <w:tr>
        <w:trPr>
          <w:trHeight w:val="27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of deferred taxes</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and other tax credits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differential</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7"/>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federal, state and foreign income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308610</wp:posOffset>
            </wp:positionV>
            <wp:extent cx="7969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0" w:hanging="329"/>
        <w:spacing w:after="0" w:line="253" w:lineRule="auto"/>
        <w:tabs>
          <w:tab w:leader="none" w:pos="57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2020, the Company impaired $32.9 million of goodwill, which included $8.6 million of non-deductible goodwill. In fiscal 2018, the Company impaired $17.3 million of goodwill, which included $8.3 million of non-deductible goodwill. See Note 4 - Goodwill and Other Intangible Assets for more information about the impairments.</w:t>
      </w:r>
    </w:p>
    <w:p>
      <w:pPr>
        <w:jc w:val="both"/>
        <w:ind w:left="580" w:hanging="329"/>
        <w:spacing w:after="0" w:line="241" w:lineRule="auto"/>
        <w:tabs>
          <w:tab w:leader="none" w:pos="57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2020, the Company placed $3.1 million of valuation allowances on net operating loss carryforwards and foreign tax credits primarily related to Canada. In fiscal 2019, the Company placed $4.5 million of valuation allowances on net operating loss carryforwards and foreign tax credits generated by its branch operations in Canada, which will likely not be utilized prior to their expiration. These valuation allowances were largely offset by the reversal $3.5 million of branch liabilities associated with the Canadian net operating loss carryforwards and foreign tax credits.</w:t>
      </w:r>
    </w:p>
    <w:p>
      <w:pPr>
        <w:spacing w:after="0" w:line="1"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represents the remeasurement of deferred taxes in connection with Tax Cuts and Jobs Act.</w:t>
      </w:r>
    </w:p>
    <w:p>
      <w:pPr>
        <w:sectPr>
          <w:pgSz w:w="11900" w:h="16838" w:orient="portrait"/>
          <w:cols w:equalWidth="0" w:num="1">
            <w:col w:w="11240"/>
          </w:cols>
          <w:pgMar w:left="320" w:top="360" w:right="339" w:bottom="785"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785"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components of the Company’s deferred tax assets and liabilities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Pr>
          <w:p>
            <w:pPr>
              <w:jc w:val="center"/>
              <w:ind w:right="41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600" w:type="dxa"/>
            <w:vAlign w:val="bottom"/>
          </w:tcPr>
          <w:p>
            <w:pPr>
              <w:spacing w:after="0"/>
              <w:rPr>
                <w:sz w:val="16"/>
                <w:szCs w:val="16"/>
                <w:color w:val="auto"/>
              </w:rPr>
            </w:pPr>
          </w:p>
        </w:tc>
        <w:tc>
          <w:tcPr>
            <w:tcW w:w="1140" w:type="dxa"/>
            <w:vAlign w:val="bottom"/>
            <w:tcBorders>
              <w:bottom w:val="single" w:sz="8" w:color="auto"/>
            </w:tcBorders>
            <w:gridSpan w:val="2"/>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1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Warranty reserve</w:t>
            </w:r>
          </w:p>
        </w:tc>
        <w:tc>
          <w:tcPr>
            <w:tcW w:w="114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Bad debt reserve</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Paid-time-off accrual</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Insurance reserve</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Legal reserve</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 benefit and credit carryforwards</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compensation and pension</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compensation expense on nonvested deferred shares</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losses</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reserve</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over book depreciation</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over book (book over tax) amortization</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Branch future liability</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 holdbacks and other</w:t>
            </w:r>
          </w:p>
        </w:tc>
        <w:tc>
          <w:tcPr>
            <w:tcW w:w="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w:t>
            </w:r>
          </w:p>
        </w:tc>
        <w:tc>
          <w:tcPr>
            <w:tcW w:w="114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As reported in the Consolidated Balance Sheets: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6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7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jc w:val="center"/>
              <w:ind w:right="39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600" w:type="dxa"/>
            <w:vAlign w:val="bottom"/>
          </w:tcPr>
          <w:p>
            <w:pPr>
              <w:spacing w:after="0"/>
              <w:rPr>
                <w:sz w:val="16"/>
                <w:szCs w:val="16"/>
                <w:color w:val="auto"/>
              </w:rPr>
            </w:pPr>
          </w:p>
        </w:tc>
        <w:tc>
          <w:tcPr>
            <w:tcW w:w="1140" w:type="dxa"/>
            <w:vAlign w:val="bottom"/>
            <w:gridSpan w:val="2"/>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jc w:val="center"/>
              <w:ind w:right="3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w:t>
            </w:r>
          </w:p>
        </w:tc>
        <w:tc>
          <w:tcPr>
            <w:tcW w:w="114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and tax credit carryforwards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state net operating loss carryforwards, state tax credit carryforwards, federal foreign tax credit carryforwards, foreign net operating loss carryforwards and foreign tax credit carryforwards. The valuation allowance at June 30, 2020 and June 30, 2019 reduces the recognized tax benefit of these carryforwards to an amount that is more likely than not to be realized. These carryforwards will generally expire as shown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 Carryforwards</w:t>
            </w:r>
          </w:p>
        </w:tc>
        <w:tc>
          <w:tcPr>
            <w:tcW w:w="456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color w:val="auto"/>
              </w:rPr>
              <w:t>Expiration Period</w:t>
            </w:r>
          </w:p>
        </w:tc>
        <w:tc>
          <w:tcPr>
            <w:tcW w:w="1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Amount (in thousands)</w:t>
            </w:r>
          </w:p>
        </w:tc>
      </w:tr>
      <w:tr>
        <w:trPr>
          <w:trHeight w:val="249"/>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net operating losses</w:t>
            </w:r>
          </w:p>
        </w:tc>
        <w:tc>
          <w:tcPr>
            <w:tcW w:w="4560" w:type="dxa"/>
            <w:vAlign w:val="bottom"/>
            <w:tcBorders>
              <w:bottom w:val="single" w:sz="8" w:color="CCEEFF"/>
            </w:tcBorders>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June 2024 to June 2040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19,676</w:t>
            </w: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net operating losses</w:t>
            </w:r>
          </w:p>
        </w:tc>
        <w:tc>
          <w:tcPr>
            <w:tcW w:w="45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June 2029 to June 2040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24,618</w:t>
            </w:r>
          </w:p>
        </w:tc>
      </w:tr>
    </w:tbl>
    <w:p>
      <w:pPr>
        <w:spacing w:after="0" w:line="200" w:lineRule="exact"/>
        <w:rPr>
          <w:sz w:val="20"/>
          <w:szCs w:val="20"/>
          <w:color w:val="auto"/>
        </w:rPr>
      </w:pPr>
    </w:p>
    <w:p>
      <w:pPr>
        <w:sectPr>
          <w:pgSz w:w="11900" w:h="16838" w:orient="portrait"/>
          <w:cols w:equalWidth="0" w:num="1">
            <w:col w:w="11240"/>
          </w:cols>
          <w:pgMar w:left="320" w:top="360" w:right="339" w:bottom="933"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933"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Tax Credit Carryforwards</w:t>
            </w:r>
          </w:p>
        </w:tc>
        <w:tc>
          <w:tcPr>
            <w:tcW w:w="462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4"/>
                <w:szCs w:val="14"/>
                <w:b w:val="1"/>
                <w:bCs w:val="1"/>
                <w:color w:val="auto"/>
              </w:rPr>
              <w:t>Expiration Period</w:t>
            </w:r>
          </w:p>
        </w:tc>
        <w:tc>
          <w:tcPr>
            <w:tcW w:w="1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 (in thousands)</w:t>
            </w: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 credits</w:t>
            </w:r>
          </w:p>
        </w:tc>
        <w:tc>
          <w:tcPr>
            <w:tcW w:w="4620" w:type="dxa"/>
            <w:vAlign w:val="bottom"/>
            <w:tcBorders>
              <w:bottom w:val="single" w:sz="8" w:color="CCEEFF"/>
            </w:tcBorders>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June 2032 to June 2035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foreign tax credits</w:t>
            </w:r>
          </w:p>
        </w:tc>
        <w:tc>
          <w:tcPr>
            <w:tcW w:w="46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June 2021 to June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7"/>
        </w:trPr>
        <w:tc>
          <w:tcPr>
            <w:tcW w:w="38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credits</w:t>
            </w:r>
          </w:p>
        </w:tc>
        <w:tc>
          <w:tcPr>
            <w:tcW w:w="462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June 2035 to June 2040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7"/>
        </w:trPr>
        <w:tc>
          <w:tcPr>
            <w:tcW w:w="384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general, it is the practice and intention of the Company to reinvest the earnings of its foreign subsidiaries in its foreign operations. We do not provide for outside basis differences under the indefinite reinvestment assertion of ASC 740-30.</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files tax returns in multiple domestic and foreign taxing jurisdictions. With a few exceptions, the Company is no longer subject to examination by taxing authorities through fiscal 2015. At June 30, 2020, the Company updated its evaluation of its open tax years in all known jurisdictions. As of June 30, 2020, we have a $0.5 million liability for unrecognized tax positions and the payment of related interest and penalties. We treat the related interest and penalties as income tax expense. Due to the uncertainties related to these tax matters, we are unable to make a reasonably reliable estimate as to when cash settlement with a taxing authority will occur.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Reserves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Unpriced Change Orders and Claims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2020 and June 30, 2019, costs and estimated earnings in excess of billings on uncompleted contracts included revenue for unpriced change orders and claims of $14.5 million and $10.1 million, respectively. The amounts ultimately realized may be significantly different than the recorded amounts resulting in a material adjustment to future earnings. Generally, collection of amounts related to unpriced change orders and claims is expected within twelve months. However, customers may not pay these amounts until final resolution of related claims, and accordingly, collection of these amounts may extend beyond one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2020, the Company commenced litigation in an effort to collect $17.8 million in accounts receivable from an iron and steel customer following the deterioration of the relationship in the second quarter of fiscal 2020. Based on the terms of the contract with this customer, the Company is entitled to collect the full amount owed under the contract. However, the timing of collection is uncertain.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are participants in various legal actions. It is the opinion of management that none of the other known legal actions, including a contract dispute with a customer involving the construction of a crude terminal, will have a material impact on the Company’s financial position, results of operations or liquidity.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lease arrangements for real estate, construction equipment and information technology equipment in the normal course of business. Real estate leases accounted for approximately 87% of all right-of-use assets as of June 30, 2020. Most real estate and information technology equipment leases generally have fixed payments that follow an agreed upon payment schedule and have remaining lease terms ranging from less than a year to 16 years. Construction equipment leases generally have "month-to-month" lease terms that automatically renew as long as the equipment remains in use.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$3.2 million of impairments to right-of-use assets related to leased office space that was closed in connection with the Company's restructuring activities, see Note 14 – Restructuring Costs for additional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in the Consolidated Statements of Income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0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June 30, 2020</w:t>
            </w:r>
          </w:p>
        </w:tc>
      </w:tr>
      <w:tr>
        <w:trPr>
          <w:trHeight w:val="230"/>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Lease expense</w:t>
            </w:r>
          </w:p>
        </w:tc>
        <w:tc>
          <w:tcPr>
            <w:tcW w:w="6960" w:type="dxa"/>
            <w:vAlign w:val="bottom"/>
          </w:tcPr>
          <w:p>
            <w:pPr>
              <w:ind w:left="1880"/>
              <w:spacing w:after="0"/>
              <w:rPr>
                <w:sz w:val="20"/>
                <w:szCs w:val="20"/>
                <w:color w:val="auto"/>
              </w:rPr>
            </w:pPr>
            <w:r>
              <w:rPr>
                <w:rFonts w:ascii="Times New Roman" w:cs="Times New Roman" w:eastAsia="Times New Roman" w:hAnsi="Times New Roman"/>
                <w:sz w:val="18"/>
                <w:szCs w:val="18"/>
                <w:b w:val="1"/>
                <w:bCs w:val="1"/>
                <w:color w:val="auto"/>
              </w:rPr>
              <w:t>Location of Expense in Statements of Income</w:t>
            </w:r>
          </w:p>
        </w:tc>
        <w:tc>
          <w:tcPr>
            <w:tcW w:w="260" w:type="dxa"/>
            <w:vAlign w:val="bottom"/>
          </w:tcPr>
          <w:p>
            <w:pPr>
              <w:spacing w:after="0"/>
              <w:rPr>
                <w:sz w:val="19"/>
                <w:szCs w:val="19"/>
                <w:color w:val="auto"/>
              </w:rPr>
            </w:pPr>
          </w:p>
        </w:tc>
        <w:tc>
          <w:tcPr>
            <w:tcW w:w="1680" w:type="dxa"/>
            <w:vAlign w:val="bottom"/>
          </w:tcPr>
          <w:p>
            <w:pPr>
              <w:jc w:val="center"/>
              <w:ind w:right="179"/>
              <w:spacing w:after="0"/>
              <w:rPr>
                <w:sz w:val="20"/>
                <w:szCs w:val="20"/>
                <w:color w:val="auto"/>
              </w:rPr>
            </w:pPr>
            <w:r>
              <w:rPr>
                <w:rFonts w:ascii="Times New Roman" w:cs="Times New Roman" w:eastAsia="Times New Roman" w:hAnsi="Times New Roman"/>
                <w:sz w:val="14"/>
                <w:szCs w:val="14"/>
                <w:color w:val="auto"/>
              </w:rPr>
              <w:t>(in thousands)</w:t>
            </w: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2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69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revenue and selling, general and administrative expenses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w:t>
            </w:r>
          </w:p>
        </w:tc>
      </w:tr>
      <w:tr>
        <w:trPr>
          <w:trHeight w:val="270"/>
        </w:trPr>
        <w:tc>
          <w:tcPr>
            <w:tcW w:w="23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r>
              <w:rPr>
                <w:rFonts w:ascii="Times New Roman" w:cs="Times New Roman" w:eastAsia="Times New Roman" w:hAnsi="Times New Roman"/>
                <w:sz w:val="23"/>
                <w:szCs w:val="23"/>
                <w:color w:val="auto"/>
                <w:vertAlign w:val="superscript"/>
              </w:rPr>
              <w:t>(1)</w:t>
            </w:r>
          </w:p>
        </w:tc>
        <w:tc>
          <w:tcPr>
            <w:tcW w:w="69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37,371</w:t>
            </w:r>
          </w:p>
        </w:tc>
      </w:tr>
      <w:tr>
        <w:trPr>
          <w:trHeight w:val="288"/>
        </w:trPr>
        <w:tc>
          <w:tcPr>
            <w:tcW w:w="2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expense</w:t>
            </w:r>
          </w:p>
        </w:tc>
        <w:tc>
          <w:tcPr>
            <w:tcW w:w="69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tcPr>
          <w:p>
            <w:pPr>
              <w:spacing w:after="0"/>
              <w:rPr>
                <w:sz w:val="9"/>
                <w:szCs w:val="9"/>
                <w:color w:val="auto"/>
              </w:rPr>
            </w:pPr>
          </w:p>
        </w:tc>
      </w:tr>
    </w:tbl>
    <w:p>
      <w:pPr>
        <w:spacing w:after="0" w:line="85" w:lineRule="exact"/>
        <w:rPr>
          <w:sz w:val="20"/>
          <w:szCs w:val="20"/>
          <w:color w:val="auto"/>
        </w:rPr>
      </w:pPr>
    </w:p>
    <w:p>
      <w:pPr>
        <w:ind w:left="560" w:hanging="309"/>
        <w:spacing w:after="0"/>
        <w:tabs>
          <w:tab w:leader="none" w:pos="5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lease expense of construction equipment that is subject to month-to-month rental agreements with expected rental durations of less than one year.</w:t>
      </w:r>
    </w:p>
    <w:p>
      <w:pPr>
        <w:spacing w:after="0" w:line="200" w:lineRule="exact"/>
        <w:rPr>
          <w:sz w:val="20"/>
          <w:szCs w:val="20"/>
          <w:color w:val="auto"/>
        </w:rPr>
      </w:pPr>
    </w:p>
    <w:p>
      <w:pPr>
        <w:spacing w:after="0" w:line="29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future undiscounted lease payments, as reconciled to the discounted operating lease liabilities presented in the Company's Condensed Consolidated Balance Sheets,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June 30, 2020</w:t>
            </w:r>
          </w:p>
        </w:tc>
      </w:tr>
      <w:tr>
        <w:trPr>
          <w:trHeight w:val="252"/>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Maturity Analysis:</w:t>
            </w: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(in thousands)</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r>
      <w:tr>
        <w:trPr>
          <w:trHeight w:val="27"/>
        </w:trPr>
        <w:tc>
          <w:tcPr>
            <w:tcW w:w="9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r>
      <w:tr>
        <w:trPr>
          <w:trHeight w:val="27"/>
        </w:trPr>
        <w:tc>
          <w:tcPr>
            <w:tcW w:w="9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9,630</w:t>
            </w:r>
          </w:p>
        </w:tc>
      </w:tr>
      <w:tr>
        <w:trPr>
          <w:trHeight w:val="27"/>
        </w:trPr>
        <w:tc>
          <w:tcPr>
            <w:tcW w:w="9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operating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33,119</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w:t>
            </w:r>
          </w:p>
        </w:tc>
      </w:tr>
      <w:tr>
        <w:trPr>
          <w:trHeight w:val="27"/>
        </w:trPr>
        <w:tc>
          <w:tcPr>
            <w:tcW w:w="9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present value of future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27,565</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w:t>
            </w:r>
          </w:p>
        </w:tc>
      </w:tr>
      <w:tr>
        <w:trPr>
          <w:trHeight w:val="27"/>
        </w:trPr>
        <w:tc>
          <w:tcPr>
            <w:tcW w:w="9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8"/>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19,997</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weighted average remaining operating lease term and weighted average discount rate as of June 30, 2020:</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4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years</w:t>
            </w: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p>
      <w:pPr>
        <w:spacing w:after="0" w:line="57" w:lineRule="exact"/>
        <w:rPr>
          <w:sz w:val="20"/>
          <w:szCs w:val="20"/>
          <w:color w:val="auto"/>
        </w:rPr>
      </w:pPr>
    </w:p>
    <w:p>
      <w:pPr>
        <w:jc w:val="center"/>
        <w:ind w:left="942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42" w:lineRule="exact"/>
        <w:rPr>
          <w:sz w:val="20"/>
          <w:szCs w:val="20"/>
          <w:color w:val="auto"/>
        </w:rPr>
      </w:pPr>
    </w:p>
    <w:p>
      <w:pPr>
        <w:jc w:val="center"/>
        <w:ind w:left="9420"/>
        <w:spacing w:after="0"/>
        <w:rPr>
          <w:sz w:val="20"/>
          <w:szCs w:val="20"/>
          <w:color w:val="auto"/>
        </w:rPr>
      </w:pPr>
      <w:r>
        <w:rPr>
          <w:rFonts w:ascii="Times New Roman" w:cs="Times New Roman" w:eastAsia="Times New Roman" w:hAnsi="Times New Roman"/>
          <w:sz w:val="14"/>
          <w:szCs w:val="14"/>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24765</wp:posOffset>
            </wp:positionV>
            <wp:extent cx="11398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37"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63" w:lineRule="exact"/>
        <w:rPr>
          <w:sz w:val="20"/>
          <w:szCs w:val="20"/>
          <w:color w:val="auto"/>
        </w:rPr>
      </w:pPr>
    </w:p>
    <w:p>
      <w:pPr>
        <w:ind w:left="340"/>
        <w:spacing w:after="0"/>
        <w:tabs>
          <w:tab w:leader="none" w:pos="9440" w:val="left"/>
          <w:tab w:leader="none" w:pos="10640" w:val="left"/>
        </w:tabs>
        <w:rPr>
          <w:sz w:val="20"/>
          <w:szCs w:val="20"/>
          <w:color w:val="auto"/>
        </w:rPr>
      </w:pPr>
      <w:r>
        <w:rPr>
          <w:rFonts w:ascii="Times New Roman" w:cs="Times New Roman" w:eastAsia="Times New Roman" w:hAnsi="Times New Roman"/>
          <w:sz w:val="18"/>
          <w:szCs w:val="18"/>
          <w:color w:val="auto"/>
        </w:rPr>
        <w:t>Operating lease payments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12,798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p>
      <w:pPr>
        <w:spacing w:after="0" w:line="63" w:lineRule="exact"/>
        <w:rPr>
          <w:sz w:val="20"/>
          <w:szCs w:val="20"/>
          <w:color w:val="auto"/>
        </w:rPr>
      </w:pPr>
    </w:p>
    <w:p>
      <w:pPr>
        <w:ind w:left="340"/>
        <w:spacing w:after="0"/>
        <w:tabs>
          <w:tab w:leader="none" w:pos="9440" w:val="left"/>
          <w:tab w:leader="none" w:pos="10640" w:val="left"/>
        </w:tabs>
        <w:rPr>
          <w:sz w:val="20"/>
          <w:szCs w:val="20"/>
          <w:color w:val="auto"/>
        </w:rPr>
      </w:pPr>
      <w:r>
        <w:rPr>
          <w:rFonts w:ascii="Times New Roman" w:cs="Times New Roman" w:eastAsia="Times New Roman" w:hAnsi="Times New Roman"/>
          <w:sz w:val="18"/>
          <w:szCs w:val="18"/>
          <w:color w:val="auto"/>
        </w:rPr>
        <w:t>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36,984</w:t>
      </w:r>
    </w:p>
    <w:p>
      <w:pPr>
        <w:spacing w:after="0" w:line="3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2020, the Company received leasehold improvements of $2.5 million from a lessor as a tenant incentive. This incentive is considered to be a non-cash investing activity.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9—Stockholders’ Equity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5.0 million shares of preferred stock authorized, none of which was issued or outstanding at June 30, 2020 or June 30, 2019.</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6, 2018, the Board of Directors approved a stock buyback program (the "November 2018 Program"), which replaced the previous program that had been in place since December 2016 and was set to expire in December 2018. Under the November 2018 Program, the Company may repurchase common stock up to a maximum of $30.0 million per calendar year provided that the aggregate number of shares repurchased may not exceed 10%, or approximately 2.7 million, of the Company's shares outstanding as of November 6, 2018. The Company may repurchase its stock from time to time in the open market at prevailing market prices or in privately negotiated transactions and is not obligated to purchase any shares. The November 2018 Program will continue unless and until it is modified or revoked by the Board of Directors. In fiscal 2020, the Company repurchased 1,047,606 shares of its common stock for $17.0 million under the November 2018 Program. There were 1,349,037 shares available for repurchase under the November 2018 Program as of June 30, 2020.</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stock buyback program, the Company may withhold shares of common stock to satisfy the tax withholding obligations upon vesting of an employee’s deferred shares. The Company withheld 181,081 and 79,111 shares of common stock during fiscal 2020 and 2019, respectively, to satisfy these obligations. These shares were returned to the Company’s pool of treasury shares. The Company has 1,746,689 treasury shares as of June 30, 2020 and intends to utilize these treasury shares in connection with equity awards under the Company’s stock incentive plans and for sales to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10—Stock-Based Compensation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stock-based compensation expense for the fiscal years ended June 30, 2020, June 30, 2019, and June 30, 2018 was $9.9 million, $11.9 million and $8.6 million, respectively. Measured but unrecognized stock-based compensation expense at June 30, 2020 was $11.9 million, all of which related to nonvested deferred shares which are expected to be recognized as expense over a weighted average period of 1.6 years. The Company recognized excess tax expense of $0.2 million and $0.5 million related to stock-based compensation vesting for the fiscal years ended June 30, 2020 and 2018, respectively. The Company recognized excess tax benefits of $0.3 million for the fiscal year ended June 30, 2019 related to stock-based compensation vesting.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Information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2018, the Company's stockholders approved the Matrix Service Company 2018 Stock and Incentive Compensation Plan (the "2018 Plan"), which provides stock-based and cash-based incentives for officers, directors and other key employees. Stock options, restricted stock, restricted stock units, stock appreciation rights, performance shares and cash-based awards can be issued under this plan. Upon approval of the 2018 Plan, the 2016 Stock and Incentive Compensation Plan ("2016 Plan") was frozen with the exception of normal vesting and other activity associated with awards previously granted under the 2016 Plan. The 2016 Plan was preceded by the 2012 Stock Incentive Plan ("2012 Plan"), which was frozen upon approval of the 2016 Plan with the exception of normal vesting, forfeiture and other activity associated with awards previously granted under the 2012 Plan. Shares awarded under either the 2016 Plan or the 2012 Plan that are subsequently forfeited or net settled for tax withholding purposes are returned to the treasury share pool and become available for grant under the 2018 Plan. The 2012 Plan was preceded by the 2004 Stock Incentive Plan ("2004 Plan"), which was frozen upon approval of the 2012 Plan with the exception of normal vesting, forfeiture and other activity associated with awards previously granted under the 2004 Plan.</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Awards totaling 1,600,000 shares have been authorized under the 2018 Plan. There were 1,473,424 shares available for grant under the 2018 Plan as of June 30, 2020.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are granted at the market value of the Company’s common stock on the grant date and expire after 10 years. The Company’s policy is to issue shares upon the exercise of stock options from its treasury shares, if available. The Company did not award any new stock options in fiscal years 2020, 2019, or 2018.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and related information for the fiscal year ended June 30, 2020 is as follows: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56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40" w:type="dxa"/>
            <w:vAlign w:val="bottom"/>
          </w:tcPr>
          <w:p>
            <w:pPr>
              <w:spacing w:after="0"/>
              <w:rPr>
                <w:sz w:val="13"/>
                <w:szCs w:val="13"/>
                <w:color w:val="auto"/>
              </w:rPr>
            </w:pP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3"/>
                <w:szCs w:val="13"/>
                <w:color w:val="auto"/>
              </w:rPr>
            </w:pPr>
          </w:p>
        </w:tc>
        <w:tc>
          <w:tcPr>
            <w:tcW w:w="138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5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0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2019</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53,700</w:t>
            </w:r>
          </w:p>
        </w:tc>
        <w:tc>
          <w:tcPr>
            <w:tcW w:w="16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vMerge w:val="continue"/>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53,700</w:t>
            </w:r>
          </w:p>
        </w:tc>
        <w:tc>
          <w:tcPr>
            <w:tcW w:w="16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at June 30, 2020</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53,700</w:t>
            </w: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June 30,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53,700</w:t>
            </w:r>
          </w:p>
        </w:tc>
        <w:tc>
          <w:tcPr>
            <w:tcW w:w="16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was $0.1 million and $0.3 million during fiscal year 2019 and fiscal 2018, respectively. No stock options were exercised in fiscal 2020.</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Nonvested Deferred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issued nonvested deferred shares under the following types of arrangements:</w:t>
      </w:r>
    </w:p>
    <w:p>
      <w:pPr>
        <w:spacing w:after="0" w:line="252" w:lineRule="exact"/>
        <w:rPr>
          <w:sz w:val="20"/>
          <w:szCs w:val="20"/>
          <w:color w:val="auto"/>
        </w:rPr>
      </w:pPr>
    </w:p>
    <w:p>
      <w:pPr>
        <w:ind w:left="660" w:right="120" w:hanging="328"/>
        <w:spacing w:after="0" w:line="258"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awards—Employee awards generally vest in four equal annual installments beginning one year after the grant date. Beginning in fiscal 2019, the award agreements contain a provision that accelerates the vesting for retirement eligible participants and participants that become retirement eligible during the vesting period and who elect to retire more than one year after the date of the award. The award is forfeited if retirement occurs before the first anniversary of the award. Settlement still occurs on the normal vesting schedules. Director awards vest one year after the grant date.</w:t>
      </w:r>
    </w:p>
    <w:p>
      <w:pPr>
        <w:spacing w:after="0" w:line="210"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Market-based awards—These awards are in the form of performance units which vest 3 years after the grant date only if the Company’s common stock achieves certain levels of total shareholder return when compared to the total shareholder return of a peer group of companies as selected by the Compensation Committee of the Board of Directors. The payout can range from zero to 200% of the original award depending on the Company's relative total shareholder return during the performance period. These awards are settled in stock. As of June 30, 2020, there are approximately 232,000, 170,000, and 200,000 performance units that are scheduled to vest in fiscal 2021, fiscal 2022, and fiscal 2023, respectively, assuming target performance.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awards vest upon the death or disability of the participant or upon a change of control of the Company.</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grant date fair value of the time-based awards is determined by the market value of the Company's common stock on the grant date. The grant date fair value of stock options is determined based on the Black-Scholes option pricing model. The grant date fair value of the market-based awards is calculated using a Monte Carlo model. For the fiscal 2020 grant, the model estimated the fair value of the award based on approximately 100,000 simulations of the future prices of the Company's common stock compared to the future prices of the common stock of its peer companies based on historical volatilities. The model also took into account the expected dividends over the performance period of those peer companies which pay cash dividends.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deferred share activity for the fiscal year ended June 30, 2020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1980" w:type="dxa"/>
            <w:vAlign w:val="bottom"/>
            <w:vMerge w:val="restart"/>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 per</w:t>
            </w:r>
          </w:p>
        </w:tc>
        <w:tc>
          <w:tcPr>
            <w:tcW w:w="0" w:type="dxa"/>
            <w:vAlign w:val="bottom"/>
          </w:tcPr>
          <w:p>
            <w:pPr>
              <w:spacing w:after="0"/>
              <w:rPr>
                <w:sz w:val="1"/>
                <w:szCs w:val="1"/>
                <w:color w:val="auto"/>
              </w:rPr>
            </w:pPr>
          </w:p>
        </w:tc>
      </w:tr>
      <w:tr>
        <w:trPr>
          <w:trHeight w:val="195"/>
        </w:trPr>
        <w:tc>
          <w:tcPr>
            <w:tcW w:w="7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shares at June 30, 2019</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1,459,511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granted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490,322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vested and released</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(542,279)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canceled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(172,636)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shares at June 30, 2020</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1,234,918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602,148 and 715,539 deferred shares granted in fiscal 2019 and 2018 with average grant date fair values of $25.10 and $13.64 per share, respectively. There were 314,711 and 253,241 deferred shares that vested and were released in fiscal 2019 and 2018 with weighted average fair values of $16.23 and $19.60 per share,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11—Earnings per Common Share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earnings per share (“EPS”) is calculated based on the weighted average shares outstanding during the period. Diluted earnings per share includes the dilutive effect of employee and director stock options and nonvested deferred shares. Stock options are considered dilutive whenever the exercise price is less than the average market price of the stock during the period and antidilutive whenever the exercise price exceeds the average market price of the common stock during the period. Nonvested deferred shares are considered dilutive (antidilutive) whenever the average market value of the shares during the period exceeds (is less than) the sum of the related average unamortized compensation expense during the period plus the related hypothetical estimated excess tax benefit that will be realized when the shares vest. Stock options and nonvested deferred shares are considered antidilutive in the event we report a net loss.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basic and diluted EPS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2"/>
                <w:szCs w:val="12"/>
                <w:color w:val="auto"/>
              </w:rPr>
            </w:pPr>
          </w:p>
        </w:tc>
        <w:tc>
          <w:tcPr>
            <w:tcW w:w="1200" w:type="dxa"/>
            <w:vAlign w:val="bottom"/>
          </w:tcPr>
          <w:p>
            <w:pPr>
              <w:jc w:val="right"/>
              <w:ind w:right="454"/>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6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6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60" w:type="dxa"/>
            <w:vAlign w:val="bottom"/>
            <w:gridSpan w:val="6"/>
          </w:tcPr>
          <w:p>
            <w:pPr>
              <w:jc w:val="center"/>
              <w:ind w:left="79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26,769</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2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26,769</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nonvested deferred shares</w:t>
            </w:r>
          </w:p>
        </w:tc>
        <w:tc>
          <w:tcPr>
            <w:tcW w:w="3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26,769</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2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securities are considered antidilutive and have been excluded from the calculation of diluted earnings (loss) per share:</w:t>
      </w:r>
    </w:p>
    <w:p>
      <w:pPr>
        <w:spacing w:after="0" w:line="21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Fiscal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24765</wp:posOffset>
            </wp:positionV>
            <wp:extent cx="3025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8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5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152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64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 of shares)</w:t>
            </w:r>
          </w:p>
        </w:tc>
        <w:tc>
          <w:tcPr>
            <w:tcW w:w="1520" w:type="dxa"/>
            <w:vAlign w:val="bottom"/>
            <w:tcBorders>
              <w:top w:val="single" w:sz="8" w:color="auto"/>
            </w:tcBorders>
          </w:tcPr>
          <w:p>
            <w:pPr>
              <w:spacing w:after="0"/>
              <w:rPr>
                <w:sz w:val="17"/>
                <w:szCs w:val="17"/>
                <w:color w:val="auto"/>
              </w:rPr>
            </w:pPr>
          </w:p>
        </w:tc>
      </w:tr>
      <w:tr>
        <w:trPr>
          <w:trHeight w:val="255"/>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deferred shares</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21"/>
                <w:szCs w:val="21"/>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7"/>
        </w:trPr>
        <w:tc>
          <w:tcPr>
            <w:tcW w:w="64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9"/>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0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12—Employee Benefit Plans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sponsors defined contribution savings plans for all eligible employees meeting length of service requirements. Under the primary plan, participants may contribute an amount up to 25% of pretax annual compensation subject to certain limitations. The Company matches 100% of the first 3% of employee contributions and 50% of the next 2% of employee contributions. The Company matching contributions vest immediately.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matching contributions were $6.2 million in each of the fiscal years ended June 30, 2020 and 2019 and $5.8 million for the fiscal year ended June 30, 2018.</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Multiemployer Pension Plans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contributes to various union sponsored multiemployer benefit plans in the U.S. and Canada. Benefits under these plans are generally based on compensation levels and years of service.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Company, the financial risks of participating in multiemployer plans are different from single-employer plans in the following respects:</w:t>
      </w:r>
    </w:p>
    <w:p>
      <w:pPr>
        <w:spacing w:after="0" w:line="171"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 multiemployer plan by one employer may be used to provide benefits to employees of other participating employers.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discontinues contributions to a plan, the unfunded obligations of the plan may be borne by the remaining participating employers.</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chooses to stop participating in a plan, a withdrawal liability may be created based on the unfunded vested benefits for all employees in the plan.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federal legislation regarding multiemployer pension plans, in the event of a withdrawal from a plan or plan termination, companies are required to continue funding their proportionate share of such plan’s unfunded vested benefits. We are a participant in multiple union sponsored multiemployer plans, and, as a plan participant, our potential obligation could be significant. The amount of the potential obligation is not currently ascertainable because the information required to determine such amount is not identifiable or readily available.</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participation in significant plans for the fiscal year ended June 30, 2020 is outlined in the table below. The “EIN/Pension Plan Number” column provides the Employer Identification Number (“EIN”) and the three digit plan number. The zone status is based on the latest information that the Company received from the plan and is certified by the plan’s actuary. Plans in the red zone are generally less than 65 percent funded, plans in the yellow zone are generally less than 80 percent funded, and plans in the green zone are generally at least 80 percent funded. The “FIP/RP Status Pending/Implemented” column indicates plans for which a financial improvement plan (“FIP”) or a rehabilitation plan (“RP”) is either pending or has been implemented. The “Surcharge Imposed” column includes plans in a red zone status that require a payment of a surcharge in excess of regular contributions. The last column lists the expiration date of the collective-bargaining agreement to which the plan is subject.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spacing w:after="0" w:line="191" w:lineRule="auto"/>
        <w:framePr w:w="540" w:h="128" w:wrap="auto" w:vAnchor="page" w:hAnchor="page" w:x="5600" w:y="2118"/>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FIP/RP</w:t>
      </w:r>
    </w:p>
    <w:p>
      <w:pPr>
        <w:spacing w:after="0" w:line="191" w:lineRule="auto"/>
        <w:framePr w:w="460" w:h="128" w:wrap="auto" w:vAnchor="page" w:hAnchor="page" w:x="5640" w:y="2266"/>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Status</w:t>
      </w:r>
    </w:p>
    <w:p>
      <w:pPr>
        <w:spacing w:after="0" w:line="191" w:lineRule="auto"/>
        <w:framePr w:w="760" w:h="128" w:wrap="auto" w:vAnchor="page" w:hAnchor="page" w:x="5500" w:y="2415"/>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Pending or</w:t>
      </w:r>
    </w:p>
    <w:p>
      <w:pPr>
        <w:spacing w:after="0" w:line="191" w:lineRule="auto"/>
        <w:framePr w:w="900" w:h="128" w:wrap="auto" w:vAnchor="page" w:hAnchor="page" w:x="5420" w:y="2563"/>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Implemented</w:t>
      </w:r>
    </w:p>
    <w:p>
      <w:pPr>
        <w:spacing w:after="0" w:line="195" w:lineRule="auto"/>
        <w:framePr w:w="740" w:h="112" w:wrap="auto" w:vAnchor="page" w:hAnchor="page" w:x="5500" w:y="3052"/>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Implemented</w:t>
      </w:r>
    </w:p>
    <w:p>
      <w:pPr>
        <w:spacing w:after="0" w:line="195" w:lineRule="auto"/>
        <w:framePr w:w="740" w:h="112" w:wrap="auto" w:vAnchor="page" w:hAnchor="page" w:x="5500" w:y="3376"/>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Implemented</w:t>
      </w:r>
    </w:p>
    <w:p>
      <w:pPr>
        <w:spacing w:after="0" w:line="195" w:lineRule="auto"/>
        <w:framePr w:w="260" w:h="112" w:wrap="auto" w:vAnchor="page" w:hAnchor="page" w:x="5740" w:y="370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NA</w:t>
      </w:r>
    </w:p>
    <w:p>
      <w:pPr>
        <w:spacing w:after="0" w:line="195" w:lineRule="auto"/>
        <w:framePr w:w="260" w:h="112" w:wrap="auto" w:vAnchor="page" w:hAnchor="page" w:x="5740" w:y="3983"/>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NA</w:t>
      </w:r>
    </w:p>
    <w:p>
      <w:pPr>
        <w:spacing w:after="0" w:line="195" w:lineRule="auto"/>
        <w:framePr w:w="260" w:h="112" w:wrap="auto" w:vAnchor="page" w:hAnchor="page" w:x="5740" w:y="4213"/>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NA</w:t>
      </w:r>
    </w:p>
    <w:p>
      <w:pPr>
        <w:spacing w:after="0" w:line="195" w:lineRule="auto"/>
        <w:framePr w:w="740" w:h="112" w:wrap="auto" w:vAnchor="page" w:hAnchor="page" w:x="5500" w:y="4469"/>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Implemented</w:t>
      </w:r>
    </w:p>
    <w:p>
      <w:pPr>
        <w:spacing w:after="0" w:line="195" w:lineRule="auto"/>
        <w:framePr w:w="740" w:h="112" w:wrap="auto" w:vAnchor="page" w:hAnchor="page" w:x="5500" w:y="4793"/>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Implemented</w:t>
      </w:r>
    </w:p>
    <w:p>
      <w:pPr>
        <w:spacing w:after="0" w:line="195" w:lineRule="auto"/>
        <w:framePr w:w="260" w:h="112" w:wrap="auto" w:vAnchor="page" w:hAnchor="page" w:x="5740" w:y="5077"/>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NA</w:t>
      </w:r>
    </w:p>
    <w:p>
      <w:pPr>
        <w:spacing w:after="0" w:line="195" w:lineRule="auto"/>
        <w:framePr w:w="260" w:h="112" w:wrap="auto" w:vAnchor="page" w:hAnchor="page" w:x="5740" w:y="5374"/>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NA</w:t>
      </w:r>
    </w:p>
    <w:p>
      <w:pPr>
        <w:spacing w:after="0" w:line="195" w:lineRule="auto"/>
        <w:framePr w:w="260" w:h="112" w:wrap="auto" w:vAnchor="page" w:hAnchor="page" w:x="5740" w:y="5698"/>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NA</w:t>
      </w:r>
    </w:p>
    <w:p>
      <w:pPr>
        <w:spacing w:after="0" w:line="195" w:lineRule="auto"/>
        <w:framePr w:w="740" w:h="112" w:wrap="auto" w:vAnchor="page" w:hAnchor="page" w:x="5500" w:y="6022"/>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Implemented</w:t>
      </w:r>
    </w:p>
    <w:p>
      <w:pPr>
        <w:spacing w:after="0" w:line="195" w:lineRule="auto"/>
        <w:framePr w:w="260" w:h="112" w:wrap="auto" w:vAnchor="page" w:hAnchor="page" w:x="5740" w:y="6346"/>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NA</w:t>
      </w:r>
    </w:p>
    <w:p>
      <w:pPr>
        <w:spacing w:after="0" w:line="195" w:lineRule="auto"/>
        <w:framePr w:w="260" w:h="112" w:wrap="auto" w:vAnchor="page" w:hAnchor="page" w:x="5740" w:y="667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NA</w:t>
      </w:r>
    </w:p>
    <w:p>
      <w:pPr>
        <w:spacing w:after="0" w:line="195" w:lineRule="auto"/>
        <w:framePr w:w="260" w:h="112" w:wrap="auto" w:vAnchor="page" w:hAnchor="page" w:x="5740" w:y="7061"/>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NA</w:t>
      </w:r>
    </w:p>
    <w:p>
      <w:pPr>
        <w:spacing w:after="0" w:line="195" w:lineRule="auto"/>
        <w:framePr w:w="260" w:h="112" w:wrap="auto" w:vAnchor="page" w:hAnchor="page" w:x="5740" w:y="7453"/>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NA</w:t>
      </w:r>
    </w:p>
    <w:p>
      <w:pPr>
        <w:spacing w:after="0" w:line="195" w:lineRule="auto"/>
        <w:framePr w:w="740" w:h="112" w:wrap="auto" w:vAnchor="page" w:hAnchor="page" w:x="5500" w:y="7777"/>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Implemented</w:t>
      </w:r>
    </w:p>
    <w:p>
      <w:pPr>
        <w:spacing w:after="0" w:line="195" w:lineRule="auto"/>
        <w:framePr w:w="260" w:h="112" w:wrap="auto" w:vAnchor="page" w:hAnchor="page" w:x="5740" w:y="8087"/>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NA</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52" w:lineRule="exact"/>
        <w:rPr>
          <w:rFonts w:ascii="Times New Roman" w:cs="Times New Roman" w:eastAsia="Times New Roman" w:hAnsi="Times New Roman"/>
          <w:sz w:val="12"/>
          <w:szCs w:val="12"/>
          <w:b w:val="1"/>
          <w:bCs w:val="1"/>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ectPr>
          <w:pgSz w:w="11900" w:h="16838" w:orient="portrait"/>
          <w:cols w:equalWidth="0" w:num="1">
            <w:col w:w="11200"/>
          </w:cols>
          <w:pgMar w:left="340" w:top="360" w:right="359" w:bottom="1440" w:gutter="0" w:footer="0" w:header="0"/>
        </w:sectPr>
      </w:pPr>
    </w:p>
    <w:p>
      <w:pPr>
        <w:spacing w:after="0" w:line="200" w:lineRule="exact"/>
        <w:rPr>
          <w:rFonts w:ascii="Times New Roman" w:cs="Times New Roman" w:eastAsia="Times New Roman" w:hAnsi="Times New Roman"/>
          <w:sz w:val="12"/>
          <w:szCs w:val="12"/>
          <w:b w:val="1"/>
          <w:bCs w:val="1"/>
          <w:color w:val="auto"/>
        </w:rPr>
      </w:pPr>
    </w:p>
    <w:p>
      <w:pPr>
        <w:spacing w:after="0" w:line="200" w:lineRule="exact"/>
        <w:rPr>
          <w:rFonts w:ascii="Times New Roman" w:cs="Times New Roman" w:eastAsia="Times New Roman" w:hAnsi="Times New Roman"/>
          <w:sz w:val="12"/>
          <w:szCs w:val="12"/>
          <w:b w:val="1"/>
          <w:bCs w:val="1"/>
          <w:color w:val="auto"/>
        </w:rPr>
      </w:pPr>
    </w:p>
    <w:p>
      <w:pPr>
        <w:spacing w:after="0" w:line="200" w:lineRule="exact"/>
        <w:rPr>
          <w:rFonts w:ascii="Times New Roman" w:cs="Times New Roman" w:eastAsia="Times New Roman" w:hAnsi="Times New Roman"/>
          <w:sz w:val="12"/>
          <w:szCs w:val="12"/>
          <w:b w:val="1"/>
          <w:bCs w:val="1"/>
          <w:color w:val="auto"/>
        </w:rPr>
      </w:pPr>
    </w:p>
    <w:p>
      <w:pPr>
        <w:spacing w:after="0" w:line="200" w:lineRule="exact"/>
        <w:rPr>
          <w:rFonts w:ascii="Times New Roman" w:cs="Times New Roman" w:eastAsia="Times New Roman" w:hAnsi="Times New Roman"/>
          <w:sz w:val="12"/>
          <w:szCs w:val="12"/>
          <w:b w:val="1"/>
          <w:bCs w:val="1"/>
          <w:color w:val="auto"/>
        </w:rPr>
      </w:pPr>
    </w:p>
    <w:p>
      <w:pPr>
        <w:spacing w:after="0" w:line="200" w:lineRule="exact"/>
        <w:rPr>
          <w:rFonts w:ascii="Times New Roman" w:cs="Times New Roman" w:eastAsia="Times New Roman" w:hAnsi="Times New Roman"/>
          <w:sz w:val="12"/>
          <w:szCs w:val="12"/>
          <w:b w:val="1"/>
          <w:bCs w:val="1"/>
          <w:color w:val="auto"/>
        </w:rPr>
      </w:pPr>
    </w:p>
    <w:p>
      <w:pPr>
        <w:spacing w:after="0" w:line="200" w:lineRule="exact"/>
        <w:rPr>
          <w:rFonts w:ascii="Times New Roman" w:cs="Times New Roman" w:eastAsia="Times New Roman" w:hAnsi="Times New Roman"/>
          <w:sz w:val="12"/>
          <w:szCs w:val="12"/>
          <w:b w:val="1"/>
          <w:bCs w:val="1"/>
          <w:color w:val="auto"/>
        </w:rPr>
      </w:pPr>
    </w:p>
    <w:p>
      <w:pPr>
        <w:spacing w:after="0" w:line="330" w:lineRule="exact"/>
        <w:rPr>
          <w:rFonts w:ascii="Times New Roman" w:cs="Times New Roman" w:eastAsia="Times New Roman" w:hAnsi="Times New Roman"/>
          <w:sz w:val="12"/>
          <w:szCs w:val="12"/>
          <w:b w:val="1"/>
          <w:bCs w:val="1"/>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Pension Fund</w:t>
      </w:r>
    </w:p>
    <w:p>
      <w:pPr>
        <w:spacing w:after="0" w:line="20" w:lineRule="exact"/>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10883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244" w:lineRule="exact"/>
        <w:rPr>
          <w:rFonts w:ascii="Times New Roman" w:cs="Times New Roman" w:eastAsia="Times New Roman" w:hAnsi="Times New Roman"/>
          <w:sz w:val="12"/>
          <w:szCs w:val="12"/>
          <w:b w:val="1"/>
          <w:bCs w:val="1"/>
          <w:color w:val="auto"/>
        </w:rPr>
      </w:pPr>
    </w:p>
    <w:p>
      <w:pPr>
        <w:ind w:right="440"/>
        <w:spacing w:after="0" w:line="280" w:lineRule="auto"/>
        <w:rPr>
          <w:sz w:val="20"/>
          <w:szCs w:val="20"/>
          <w:color w:val="auto"/>
        </w:rPr>
      </w:pPr>
      <w:r>
        <w:rPr>
          <w:rFonts w:ascii="Times New Roman" w:cs="Times New Roman" w:eastAsia="Times New Roman" w:hAnsi="Times New Roman"/>
          <w:sz w:val="12"/>
          <w:szCs w:val="12"/>
          <w:color w:val="auto"/>
        </w:rPr>
        <w:t>Boilermaker-Blacksmith National Pension Trust</w:t>
      </w:r>
    </w:p>
    <w:p>
      <w:pPr>
        <w:spacing w:after="0" w:line="2" w:lineRule="exact"/>
        <w:rPr>
          <w:rFonts w:ascii="Times New Roman" w:cs="Times New Roman" w:eastAsia="Times New Roman" w:hAnsi="Times New Roman"/>
          <w:sz w:val="12"/>
          <w:szCs w:val="12"/>
          <w:b w:val="1"/>
          <w:bCs w:val="1"/>
          <w:color w:val="auto"/>
        </w:rPr>
      </w:pPr>
    </w:p>
    <w:p>
      <w:pPr>
        <w:ind w:right="40"/>
        <w:spacing w:after="0"/>
        <w:rPr>
          <w:sz w:val="20"/>
          <w:szCs w:val="20"/>
          <w:color w:val="auto"/>
        </w:rPr>
      </w:pPr>
      <w:r>
        <w:rPr>
          <w:rFonts w:ascii="Times New Roman" w:cs="Times New Roman" w:eastAsia="Times New Roman" w:hAnsi="Times New Roman"/>
          <w:sz w:val="13"/>
          <w:szCs w:val="13"/>
          <w:color w:val="auto"/>
        </w:rPr>
        <w:t>Joint Pension Fund Local Union 164 IBEW</w:t>
      </w:r>
    </w:p>
    <w:p>
      <w:pPr>
        <w:spacing w:after="0" w:line="25" w:lineRule="exact"/>
        <w:rPr>
          <w:rFonts w:ascii="Times New Roman" w:cs="Times New Roman" w:eastAsia="Times New Roman" w:hAnsi="Times New Roman"/>
          <w:sz w:val="12"/>
          <w:szCs w:val="12"/>
          <w:b w:val="1"/>
          <w:bCs w:val="1"/>
          <w:color w:val="auto"/>
        </w:rPr>
      </w:pPr>
    </w:p>
    <w:p>
      <w:pPr>
        <w:ind w:right="260"/>
        <w:spacing w:after="0" w:line="280" w:lineRule="auto"/>
        <w:rPr>
          <w:sz w:val="20"/>
          <w:szCs w:val="20"/>
          <w:color w:val="auto"/>
        </w:rPr>
      </w:pPr>
      <w:r>
        <w:rPr>
          <w:rFonts w:ascii="Times New Roman" w:cs="Times New Roman" w:eastAsia="Times New Roman" w:hAnsi="Times New Roman"/>
          <w:sz w:val="12"/>
          <w:szCs w:val="12"/>
          <w:color w:val="auto"/>
        </w:rPr>
        <w:t>Joint Pension Fund of Local Union No 102 IBEW</w:t>
      </w:r>
    </w:p>
    <w:p>
      <w:pPr>
        <w:spacing w:after="0" w:line="29" w:lineRule="exact"/>
        <w:rPr>
          <w:rFonts w:ascii="Times New Roman" w:cs="Times New Roman" w:eastAsia="Times New Roman" w:hAnsi="Times New Roman"/>
          <w:sz w:val="12"/>
          <w:szCs w:val="12"/>
          <w:b w:val="1"/>
          <w:bCs w:val="1"/>
          <w:color w:val="auto"/>
        </w:rPr>
      </w:pPr>
    </w:p>
    <w:p>
      <w:pPr>
        <w:spacing w:after="0"/>
        <w:rPr>
          <w:sz w:val="20"/>
          <w:szCs w:val="20"/>
          <w:color w:val="auto"/>
        </w:rPr>
      </w:pPr>
      <w:r>
        <w:rPr>
          <w:rFonts w:ascii="Times New Roman" w:cs="Times New Roman" w:eastAsia="Times New Roman" w:hAnsi="Times New Roman"/>
          <w:sz w:val="13"/>
          <w:szCs w:val="13"/>
          <w:color w:val="auto"/>
        </w:rPr>
        <w:t>IBEW Local 456 Pension Plan</w:t>
      </w:r>
    </w:p>
    <w:p>
      <w:pPr>
        <w:spacing w:after="0" w:line="67" w:lineRule="exact"/>
        <w:rPr>
          <w:rFonts w:ascii="Times New Roman" w:cs="Times New Roman" w:eastAsia="Times New Roman" w:hAnsi="Times New Roman"/>
          <w:sz w:val="12"/>
          <w:szCs w:val="12"/>
          <w:b w:val="1"/>
          <w:bCs w:val="1"/>
          <w:color w:val="auto"/>
        </w:rPr>
      </w:pPr>
    </w:p>
    <w:p>
      <w:pPr>
        <w:spacing w:after="0"/>
        <w:rPr>
          <w:sz w:val="20"/>
          <w:szCs w:val="20"/>
          <w:color w:val="auto"/>
        </w:rPr>
      </w:pPr>
      <w:r>
        <w:rPr>
          <w:rFonts w:ascii="Times New Roman" w:cs="Times New Roman" w:eastAsia="Times New Roman" w:hAnsi="Times New Roman"/>
          <w:sz w:val="13"/>
          <w:szCs w:val="13"/>
          <w:color w:val="auto"/>
        </w:rPr>
        <w:t>Local 351 IBEW Pension Plan</w:t>
      </w:r>
    </w:p>
    <w:p>
      <w:pPr>
        <w:spacing w:after="0" w:line="53" w:lineRule="exact"/>
        <w:rPr>
          <w:rFonts w:ascii="Times New Roman" w:cs="Times New Roman" w:eastAsia="Times New Roman" w:hAnsi="Times New Roman"/>
          <w:sz w:val="12"/>
          <w:szCs w:val="12"/>
          <w:b w:val="1"/>
          <w:bCs w:val="1"/>
          <w:color w:val="auto"/>
        </w:rPr>
      </w:pPr>
    </w:p>
    <w:p>
      <w:pPr>
        <w:spacing w:after="0"/>
        <w:rPr>
          <w:sz w:val="20"/>
          <w:szCs w:val="20"/>
          <w:color w:val="auto"/>
        </w:rPr>
      </w:pPr>
      <w:r>
        <w:rPr>
          <w:rFonts w:ascii="Times New Roman" w:cs="Times New Roman" w:eastAsia="Times New Roman" w:hAnsi="Times New Roman"/>
          <w:sz w:val="13"/>
          <w:szCs w:val="13"/>
          <w:color w:val="auto"/>
        </w:rPr>
        <w:t>Steamfitters Local Union No 420 Pension Plan</w:t>
      </w:r>
    </w:p>
    <w:p>
      <w:pPr>
        <w:spacing w:after="0" w:line="25" w:lineRule="exact"/>
        <w:rPr>
          <w:rFonts w:ascii="Times New Roman" w:cs="Times New Roman" w:eastAsia="Times New Roman" w:hAnsi="Times New Roman"/>
          <w:sz w:val="12"/>
          <w:szCs w:val="12"/>
          <w:b w:val="1"/>
          <w:bCs w:val="1"/>
          <w:color w:val="auto"/>
        </w:rPr>
      </w:pPr>
    </w:p>
    <w:p>
      <w:pPr>
        <w:ind w:right="100"/>
        <w:spacing w:after="0"/>
        <w:rPr>
          <w:sz w:val="20"/>
          <w:szCs w:val="20"/>
          <w:color w:val="auto"/>
        </w:rPr>
      </w:pPr>
      <w:r>
        <w:rPr>
          <w:rFonts w:ascii="Times New Roman" w:cs="Times New Roman" w:eastAsia="Times New Roman" w:hAnsi="Times New Roman"/>
          <w:sz w:val="13"/>
          <w:szCs w:val="13"/>
          <w:color w:val="auto"/>
        </w:rPr>
        <w:t>IBEW Local Union 98 Pension Plan</w:t>
      </w:r>
    </w:p>
    <w:p>
      <w:pPr>
        <w:spacing w:after="0" w:line="52" w:lineRule="exact"/>
        <w:rPr>
          <w:rFonts w:ascii="Times New Roman" w:cs="Times New Roman" w:eastAsia="Times New Roman" w:hAnsi="Times New Roman"/>
          <w:sz w:val="12"/>
          <w:szCs w:val="12"/>
          <w:b w:val="1"/>
          <w:bCs w:val="1"/>
          <w:color w:val="auto"/>
        </w:rPr>
      </w:pPr>
    </w:p>
    <w:p>
      <w:pPr>
        <w:spacing w:after="0"/>
        <w:rPr>
          <w:sz w:val="20"/>
          <w:szCs w:val="20"/>
          <w:color w:val="auto"/>
        </w:rPr>
      </w:pPr>
      <w:r>
        <w:rPr>
          <w:rFonts w:ascii="Times New Roman" w:cs="Times New Roman" w:eastAsia="Times New Roman" w:hAnsi="Times New Roman"/>
          <w:sz w:val="13"/>
          <w:szCs w:val="13"/>
          <w:color w:val="auto"/>
        </w:rPr>
        <w:t>Indiana Laborers Pension Fund</w:t>
      </w:r>
    </w:p>
    <w:p>
      <w:pPr>
        <w:spacing w:after="0" w:line="80" w:lineRule="exact"/>
        <w:rPr>
          <w:rFonts w:ascii="Times New Roman" w:cs="Times New Roman" w:eastAsia="Times New Roman" w:hAnsi="Times New Roman"/>
          <w:sz w:val="12"/>
          <w:szCs w:val="12"/>
          <w:b w:val="1"/>
          <w:bCs w:val="1"/>
          <w:color w:val="auto"/>
        </w:rPr>
      </w:pPr>
    </w:p>
    <w:p>
      <w:pPr>
        <w:ind w:right="300"/>
        <w:spacing w:after="0" w:line="280" w:lineRule="auto"/>
        <w:rPr>
          <w:sz w:val="20"/>
          <w:szCs w:val="20"/>
          <w:color w:val="auto"/>
        </w:rPr>
      </w:pPr>
      <w:r>
        <w:rPr>
          <w:rFonts w:ascii="Times New Roman" w:cs="Times New Roman" w:eastAsia="Times New Roman" w:hAnsi="Times New Roman"/>
          <w:sz w:val="12"/>
          <w:szCs w:val="12"/>
          <w:color w:val="auto"/>
        </w:rPr>
        <w:t>Iron Workers Mid-America Pension Plan, Local 395</w:t>
      </w:r>
    </w:p>
    <w:p>
      <w:pPr>
        <w:spacing w:after="0" w:line="2" w:lineRule="exact"/>
        <w:rPr>
          <w:rFonts w:ascii="Times New Roman" w:cs="Times New Roman" w:eastAsia="Times New Roman" w:hAnsi="Times New Roman"/>
          <w:sz w:val="12"/>
          <w:szCs w:val="12"/>
          <w:b w:val="1"/>
          <w:bCs w:val="1"/>
          <w:color w:val="auto"/>
        </w:rPr>
      </w:pPr>
    </w:p>
    <w:p>
      <w:pPr>
        <w:ind w:right="180"/>
        <w:spacing w:after="0"/>
        <w:rPr>
          <w:sz w:val="20"/>
          <w:szCs w:val="20"/>
          <w:color w:val="auto"/>
        </w:rPr>
      </w:pPr>
      <w:r>
        <w:rPr>
          <w:rFonts w:ascii="Times New Roman" w:cs="Times New Roman" w:eastAsia="Times New Roman" w:hAnsi="Times New Roman"/>
          <w:sz w:val="13"/>
          <w:szCs w:val="13"/>
          <w:color w:val="auto"/>
        </w:rPr>
        <w:t>Pipe Fitters Retirement Fund, Local 597</w:t>
      </w:r>
    </w:p>
    <w:p>
      <w:pPr>
        <w:spacing w:after="0" w:line="25" w:lineRule="exact"/>
        <w:rPr>
          <w:rFonts w:ascii="Times New Roman" w:cs="Times New Roman" w:eastAsia="Times New Roman" w:hAnsi="Times New Roman"/>
          <w:sz w:val="12"/>
          <w:szCs w:val="12"/>
          <w:b w:val="1"/>
          <w:bCs w:val="1"/>
          <w:color w:val="auto"/>
        </w:rPr>
      </w:pPr>
    </w:p>
    <w:p>
      <w:pPr>
        <w:ind w:right="120"/>
        <w:spacing w:after="0" w:line="280" w:lineRule="auto"/>
        <w:rPr>
          <w:sz w:val="20"/>
          <w:szCs w:val="20"/>
          <w:color w:val="auto"/>
        </w:rPr>
      </w:pPr>
      <w:r>
        <w:rPr>
          <w:rFonts w:ascii="Times New Roman" w:cs="Times New Roman" w:eastAsia="Times New Roman" w:hAnsi="Times New Roman"/>
          <w:sz w:val="12"/>
          <w:szCs w:val="12"/>
          <w:color w:val="auto"/>
        </w:rPr>
        <w:t>Iron Workers Pension Plan of Western Pennsylvania, Local 3</w:t>
      </w:r>
    </w:p>
    <w:p>
      <w:pPr>
        <w:spacing w:after="0" w:line="2" w:lineRule="exact"/>
        <w:rPr>
          <w:rFonts w:ascii="Times New Roman" w:cs="Times New Roman" w:eastAsia="Times New Roman" w:hAnsi="Times New Roman"/>
          <w:sz w:val="12"/>
          <w:szCs w:val="12"/>
          <w:b w:val="1"/>
          <w:bCs w:val="1"/>
          <w:color w:val="auto"/>
        </w:rPr>
      </w:pPr>
    </w:p>
    <w:p>
      <w:pPr>
        <w:ind w:right="300"/>
        <w:spacing w:after="0"/>
        <w:rPr>
          <w:sz w:val="20"/>
          <w:szCs w:val="20"/>
          <w:color w:val="auto"/>
        </w:rPr>
      </w:pPr>
      <w:r>
        <w:rPr>
          <w:rFonts w:ascii="Times New Roman" w:cs="Times New Roman" w:eastAsia="Times New Roman" w:hAnsi="Times New Roman"/>
          <w:sz w:val="13"/>
          <w:szCs w:val="13"/>
          <w:color w:val="auto"/>
        </w:rPr>
        <w:t>Iron Workers Pension Plan, Local 55</w:t>
      </w:r>
    </w:p>
    <w:p>
      <w:pPr>
        <w:spacing w:after="0" w:line="25" w:lineRule="exact"/>
        <w:rPr>
          <w:rFonts w:ascii="Times New Roman" w:cs="Times New Roman" w:eastAsia="Times New Roman" w:hAnsi="Times New Roman"/>
          <w:sz w:val="12"/>
          <w:szCs w:val="12"/>
          <w:b w:val="1"/>
          <w:bCs w:val="1"/>
          <w:color w:val="auto"/>
        </w:rPr>
      </w:pPr>
    </w:p>
    <w:p>
      <w:pPr>
        <w:spacing w:after="0"/>
        <w:rPr>
          <w:sz w:val="20"/>
          <w:szCs w:val="20"/>
          <w:color w:val="auto"/>
        </w:rPr>
      </w:pPr>
      <w:r>
        <w:rPr>
          <w:rFonts w:ascii="Times New Roman" w:cs="Times New Roman" w:eastAsia="Times New Roman" w:hAnsi="Times New Roman"/>
          <w:sz w:val="13"/>
          <w:szCs w:val="13"/>
          <w:color w:val="auto"/>
        </w:rPr>
        <w:t>National Electrical Benefit Fund, Locals 488 and 126</w:t>
      </w:r>
    </w:p>
    <w:p>
      <w:pPr>
        <w:spacing w:after="0" w:line="25" w:lineRule="exact"/>
        <w:rPr>
          <w:rFonts w:ascii="Times New Roman" w:cs="Times New Roman" w:eastAsia="Times New Roman" w:hAnsi="Times New Roman"/>
          <w:sz w:val="12"/>
          <w:szCs w:val="12"/>
          <w:b w:val="1"/>
          <w:bCs w:val="1"/>
          <w:color w:val="auto"/>
        </w:rPr>
      </w:pPr>
    </w:p>
    <w:p>
      <w:pPr>
        <w:ind w:right="80"/>
        <w:spacing w:after="0" w:line="232" w:lineRule="auto"/>
        <w:rPr>
          <w:sz w:val="20"/>
          <w:szCs w:val="20"/>
          <w:color w:val="auto"/>
        </w:rPr>
      </w:pPr>
      <w:r>
        <w:rPr>
          <w:rFonts w:ascii="Times New Roman" w:cs="Times New Roman" w:eastAsia="Times New Roman" w:hAnsi="Times New Roman"/>
          <w:sz w:val="13"/>
          <w:szCs w:val="13"/>
          <w:color w:val="auto"/>
        </w:rPr>
        <w:t>Connecticut Plumbers and Pipefitters Pension Fund, Local 777</w:t>
      </w:r>
    </w:p>
    <w:p>
      <w:pPr>
        <w:spacing w:after="0" w:line="25" w:lineRule="exact"/>
        <w:rPr>
          <w:rFonts w:ascii="Times New Roman" w:cs="Times New Roman" w:eastAsia="Times New Roman" w:hAnsi="Times New Roman"/>
          <w:sz w:val="12"/>
          <w:szCs w:val="12"/>
          <w:b w:val="1"/>
          <w:bCs w:val="1"/>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Northwestern Ohio Plumbers and Pipefitters Pension, Local 50</w:t>
      </w:r>
    </w:p>
    <w:p>
      <w:pPr>
        <w:spacing w:after="0" w:line="2" w:lineRule="exact"/>
        <w:rPr>
          <w:rFonts w:ascii="Times New Roman" w:cs="Times New Roman" w:eastAsia="Times New Roman" w:hAnsi="Times New Roman"/>
          <w:sz w:val="12"/>
          <w:szCs w:val="12"/>
          <w:b w:val="1"/>
          <w:bCs w:val="1"/>
          <w:color w:val="auto"/>
        </w:rPr>
      </w:pPr>
    </w:p>
    <w:p>
      <w:pPr>
        <w:ind w:right="80"/>
        <w:spacing w:after="0"/>
        <w:rPr>
          <w:sz w:val="20"/>
          <w:szCs w:val="20"/>
          <w:color w:val="auto"/>
        </w:rPr>
      </w:pPr>
      <w:r>
        <w:rPr>
          <w:rFonts w:ascii="Times New Roman" w:cs="Times New Roman" w:eastAsia="Times New Roman" w:hAnsi="Times New Roman"/>
          <w:sz w:val="13"/>
          <w:szCs w:val="13"/>
          <w:color w:val="auto"/>
        </w:rPr>
        <w:t>Ohio Carpenters' Pension Fund, Locals 1090 and 351</w:t>
      </w:r>
    </w:p>
    <w:p>
      <w:pPr>
        <w:spacing w:after="0" w:line="79" w:lineRule="exact"/>
        <w:rPr>
          <w:rFonts w:ascii="Times New Roman" w:cs="Times New Roman" w:eastAsia="Times New Roman" w:hAnsi="Times New Roman"/>
          <w:sz w:val="12"/>
          <w:szCs w:val="12"/>
          <w:b w:val="1"/>
          <w:bCs w:val="1"/>
          <w:color w:val="auto"/>
        </w:rPr>
      </w:pPr>
    </w:p>
    <w:p>
      <w:pPr>
        <w:spacing w:after="0"/>
        <w:rPr>
          <w:sz w:val="20"/>
          <w:szCs w:val="20"/>
          <w:color w:val="auto"/>
        </w:rPr>
      </w:pPr>
      <w:r>
        <w:rPr>
          <w:rFonts w:ascii="Times New Roman" w:cs="Times New Roman" w:eastAsia="Times New Roman" w:hAnsi="Times New Roman"/>
          <w:sz w:val="13"/>
          <w:szCs w:val="13"/>
          <w:color w:val="auto"/>
        </w:rPr>
        <w:t>IBEW Local 654 Pension Plan</w:t>
      </w:r>
    </w:p>
    <w:p>
      <w:pPr>
        <w:spacing w:after="0" w:line="20" w:lineRule="exact"/>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column">
              <wp:posOffset>-6985</wp:posOffset>
            </wp:positionH>
            <wp:positionV relativeFrom="paragraph">
              <wp:posOffset>782320</wp:posOffset>
            </wp:positionV>
            <wp:extent cx="7969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 w:lineRule="exact"/>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br w:type="column"/>
      </w:r>
    </w:p>
    <w:p>
      <w:pPr>
        <w:spacing w:after="0" w:line="200" w:lineRule="exact"/>
        <w:rPr>
          <w:rFonts w:ascii="Times New Roman" w:cs="Times New Roman" w:eastAsia="Times New Roman" w:hAnsi="Times New Roman"/>
          <w:sz w:val="12"/>
          <w:szCs w:val="12"/>
          <w:b w:val="1"/>
          <w:bCs w:val="1"/>
          <w:color w:val="auto"/>
        </w:rPr>
      </w:pPr>
    </w:p>
    <w:p>
      <w:pPr>
        <w:spacing w:after="0" w:line="200" w:lineRule="exact"/>
        <w:rPr>
          <w:rFonts w:ascii="Times New Roman" w:cs="Times New Roman" w:eastAsia="Times New Roman" w:hAnsi="Times New Roman"/>
          <w:sz w:val="12"/>
          <w:szCs w:val="12"/>
          <w:b w:val="1"/>
          <w:bCs w:val="1"/>
          <w:color w:val="auto"/>
        </w:rPr>
      </w:pPr>
    </w:p>
    <w:p>
      <w:pPr>
        <w:spacing w:after="0" w:line="200" w:lineRule="exact"/>
        <w:rPr>
          <w:rFonts w:ascii="Times New Roman" w:cs="Times New Roman" w:eastAsia="Times New Roman" w:hAnsi="Times New Roman"/>
          <w:sz w:val="12"/>
          <w:szCs w:val="12"/>
          <w:b w:val="1"/>
          <w:bCs w:val="1"/>
          <w:color w:val="auto"/>
        </w:rPr>
      </w:pPr>
    </w:p>
    <w:p>
      <w:pPr>
        <w:spacing w:after="0" w:line="200" w:lineRule="exact"/>
        <w:rPr>
          <w:rFonts w:ascii="Times New Roman" w:cs="Times New Roman" w:eastAsia="Times New Roman" w:hAnsi="Times New Roman"/>
          <w:sz w:val="12"/>
          <w:szCs w:val="12"/>
          <w:b w:val="1"/>
          <w:bCs w:val="1"/>
          <w:color w:val="auto"/>
        </w:rPr>
      </w:pPr>
    </w:p>
    <w:p>
      <w:pPr>
        <w:spacing w:after="0" w:line="200" w:lineRule="exact"/>
        <w:rPr>
          <w:rFonts w:ascii="Times New Roman" w:cs="Times New Roman" w:eastAsia="Times New Roman" w:hAnsi="Times New Roman"/>
          <w:sz w:val="12"/>
          <w:szCs w:val="12"/>
          <w:b w:val="1"/>
          <w:bCs w:val="1"/>
          <w:color w:val="auto"/>
        </w:rPr>
      </w:pPr>
    </w:p>
    <w:p>
      <w:pPr>
        <w:spacing w:after="0" w:line="362" w:lineRule="exact"/>
        <w:rPr>
          <w:rFonts w:ascii="Times New Roman" w:cs="Times New Roman" w:eastAsia="Times New Roman" w:hAnsi="Times New Roman"/>
          <w:sz w:val="12"/>
          <w:szCs w:val="12"/>
          <w:b w:val="1"/>
          <w:bCs w:val="1"/>
          <w:color w:val="auto"/>
        </w:rPr>
      </w:pPr>
    </w:p>
    <w:p>
      <w:pPr>
        <w:ind w:firstLine="26"/>
        <w:spacing w:after="0" w:line="264" w:lineRule="auto"/>
        <w:rPr>
          <w:sz w:val="20"/>
          <w:szCs w:val="20"/>
          <w:color w:val="auto"/>
        </w:rPr>
      </w:pPr>
      <w:r>
        <w:rPr>
          <w:rFonts w:ascii="Times New Roman" w:cs="Times New Roman" w:eastAsia="Times New Roman" w:hAnsi="Times New Roman"/>
          <w:sz w:val="14"/>
          <w:szCs w:val="14"/>
          <w:b w:val="1"/>
          <w:bCs w:val="1"/>
          <w:color w:val="auto"/>
        </w:rPr>
        <w:t>EIN/Pension Plan Number</w:t>
      </w:r>
    </w:p>
    <w:p>
      <w:pPr>
        <w:spacing w:after="0" w:line="20" w:lineRule="exact"/>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column">
              <wp:posOffset>-107315</wp:posOffset>
            </wp:positionH>
            <wp:positionV relativeFrom="paragraph">
              <wp:posOffset>-2540</wp:posOffset>
            </wp:positionV>
            <wp:extent cx="7372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67" w:lineRule="exact"/>
        <w:rPr>
          <w:rFonts w:ascii="Times New Roman" w:cs="Times New Roman" w:eastAsia="Times New Roman" w:hAnsi="Times New Roman"/>
          <w:sz w:val="12"/>
          <w:szCs w:val="12"/>
          <w:b w:val="1"/>
          <w:bCs w:val="1"/>
          <w:color w:val="auto"/>
        </w:rPr>
      </w:pPr>
    </w:p>
    <w:p>
      <w:pPr>
        <w:jc w:val="center"/>
        <w:spacing w:after="0"/>
        <w:rPr>
          <w:sz w:val="20"/>
          <w:szCs w:val="20"/>
          <w:color w:val="auto"/>
        </w:rPr>
      </w:pPr>
      <w:r>
        <w:rPr>
          <w:rFonts w:ascii="Times New Roman" w:cs="Times New Roman" w:eastAsia="Times New Roman" w:hAnsi="Times New Roman"/>
          <w:sz w:val="12"/>
          <w:szCs w:val="12"/>
          <w:color w:val="auto"/>
        </w:rPr>
        <w:t>48-6168020/001</w:t>
      </w:r>
    </w:p>
    <w:p>
      <w:pPr>
        <w:spacing w:after="0" w:line="186" w:lineRule="exact"/>
        <w:rPr>
          <w:rFonts w:ascii="Times New Roman" w:cs="Times New Roman" w:eastAsia="Times New Roman" w:hAnsi="Times New Roman"/>
          <w:sz w:val="12"/>
          <w:szCs w:val="12"/>
          <w:b w:val="1"/>
          <w:bCs w:val="1"/>
          <w:color w:val="auto"/>
        </w:rPr>
      </w:pPr>
    </w:p>
    <w:p>
      <w:pPr>
        <w:jc w:val="center"/>
        <w:spacing w:after="0"/>
        <w:rPr>
          <w:sz w:val="20"/>
          <w:szCs w:val="20"/>
          <w:color w:val="auto"/>
        </w:rPr>
      </w:pPr>
      <w:r>
        <w:rPr>
          <w:rFonts w:ascii="Times New Roman" w:cs="Times New Roman" w:eastAsia="Times New Roman" w:hAnsi="Times New Roman"/>
          <w:sz w:val="12"/>
          <w:szCs w:val="12"/>
          <w:color w:val="auto"/>
        </w:rPr>
        <w:t>22-6031199/001</w:t>
      </w:r>
    </w:p>
    <w:p>
      <w:pPr>
        <w:spacing w:after="0" w:line="186" w:lineRule="exact"/>
        <w:rPr>
          <w:rFonts w:ascii="Times New Roman" w:cs="Times New Roman" w:eastAsia="Times New Roman" w:hAnsi="Times New Roman"/>
          <w:sz w:val="12"/>
          <w:szCs w:val="12"/>
          <w:b w:val="1"/>
          <w:bCs w:val="1"/>
          <w:color w:val="auto"/>
        </w:rPr>
      </w:pPr>
    </w:p>
    <w:p>
      <w:pPr>
        <w:jc w:val="center"/>
        <w:spacing w:after="0"/>
        <w:rPr>
          <w:sz w:val="20"/>
          <w:szCs w:val="20"/>
          <w:color w:val="auto"/>
        </w:rPr>
      </w:pPr>
      <w:r>
        <w:rPr>
          <w:rFonts w:ascii="Times New Roman" w:cs="Times New Roman" w:eastAsia="Times New Roman" w:hAnsi="Times New Roman"/>
          <w:sz w:val="12"/>
          <w:szCs w:val="12"/>
          <w:color w:val="auto"/>
        </w:rPr>
        <w:t>22-1615726/001</w:t>
      </w:r>
    </w:p>
    <w:p>
      <w:pPr>
        <w:spacing w:after="0" w:line="146" w:lineRule="exact"/>
        <w:rPr>
          <w:rFonts w:ascii="Times New Roman" w:cs="Times New Roman" w:eastAsia="Times New Roman" w:hAnsi="Times New Roman"/>
          <w:sz w:val="12"/>
          <w:szCs w:val="12"/>
          <w:b w:val="1"/>
          <w:bCs w:val="1"/>
          <w:color w:val="auto"/>
        </w:rPr>
      </w:pPr>
    </w:p>
    <w:p>
      <w:pPr>
        <w:spacing w:after="0"/>
        <w:rPr>
          <w:sz w:val="20"/>
          <w:szCs w:val="20"/>
          <w:color w:val="auto"/>
        </w:rPr>
      </w:pPr>
      <w:r>
        <w:rPr>
          <w:rFonts w:ascii="Times New Roman" w:cs="Times New Roman" w:eastAsia="Times New Roman" w:hAnsi="Times New Roman"/>
          <w:sz w:val="12"/>
          <w:szCs w:val="12"/>
          <w:color w:val="auto"/>
        </w:rPr>
        <w:t>22-6238995/001</w:t>
      </w:r>
    </w:p>
    <w:p>
      <w:pPr>
        <w:spacing w:after="0" w:line="92" w:lineRule="exact"/>
        <w:rPr>
          <w:rFonts w:ascii="Times New Roman" w:cs="Times New Roman" w:eastAsia="Times New Roman" w:hAnsi="Times New Roman"/>
          <w:sz w:val="12"/>
          <w:szCs w:val="12"/>
          <w:b w:val="1"/>
          <w:bCs w:val="1"/>
          <w:color w:val="auto"/>
        </w:rPr>
      </w:pPr>
    </w:p>
    <w:p>
      <w:pPr>
        <w:spacing w:after="0"/>
        <w:rPr>
          <w:sz w:val="20"/>
          <w:szCs w:val="20"/>
          <w:color w:val="auto"/>
        </w:rPr>
      </w:pPr>
      <w:r>
        <w:rPr>
          <w:rFonts w:ascii="Times New Roman" w:cs="Times New Roman" w:eastAsia="Times New Roman" w:hAnsi="Times New Roman"/>
          <w:sz w:val="12"/>
          <w:szCs w:val="12"/>
          <w:color w:val="auto"/>
        </w:rPr>
        <w:t>22-3417366/001</w:t>
      </w:r>
    </w:p>
    <w:p>
      <w:pPr>
        <w:spacing w:after="0" w:line="119" w:lineRule="exact"/>
        <w:rPr>
          <w:rFonts w:ascii="Times New Roman" w:cs="Times New Roman" w:eastAsia="Times New Roman" w:hAnsi="Times New Roman"/>
          <w:sz w:val="12"/>
          <w:szCs w:val="12"/>
          <w:b w:val="1"/>
          <w:bCs w:val="1"/>
          <w:color w:val="auto"/>
        </w:rPr>
      </w:pPr>
    </w:p>
    <w:p>
      <w:pPr>
        <w:jc w:val="center"/>
        <w:spacing w:after="0"/>
        <w:rPr>
          <w:sz w:val="20"/>
          <w:szCs w:val="20"/>
          <w:color w:val="auto"/>
        </w:rPr>
      </w:pPr>
      <w:r>
        <w:rPr>
          <w:rFonts w:ascii="Times New Roman" w:cs="Times New Roman" w:eastAsia="Times New Roman" w:hAnsi="Times New Roman"/>
          <w:sz w:val="12"/>
          <w:szCs w:val="12"/>
          <w:color w:val="auto"/>
        </w:rPr>
        <w:t>23-2004424/001</w:t>
      </w:r>
    </w:p>
    <w:p>
      <w:pPr>
        <w:spacing w:after="0" w:line="186" w:lineRule="exact"/>
        <w:rPr>
          <w:rFonts w:ascii="Times New Roman" w:cs="Times New Roman" w:eastAsia="Times New Roman" w:hAnsi="Times New Roman"/>
          <w:sz w:val="12"/>
          <w:szCs w:val="12"/>
          <w:b w:val="1"/>
          <w:bCs w:val="1"/>
          <w:color w:val="auto"/>
        </w:rPr>
      </w:pPr>
    </w:p>
    <w:p>
      <w:pPr>
        <w:jc w:val="center"/>
        <w:spacing w:after="0"/>
        <w:rPr>
          <w:sz w:val="20"/>
          <w:szCs w:val="20"/>
          <w:color w:val="auto"/>
        </w:rPr>
      </w:pPr>
      <w:r>
        <w:rPr>
          <w:rFonts w:ascii="Times New Roman" w:cs="Times New Roman" w:eastAsia="Times New Roman" w:hAnsi="Times New Roman"/>
          <w:sz w:val="12"/>
          <w:szCs w:val="12"/>
          <w:color w:val="auto"/>
        </w:rPr>
        <w:t>23-1990722/001</w:t>
      </w:r>
    </w:p>
    <w:p>
      <w:pPr>
        <w:spacing w:after="0" w:line="146" w:lineRule="exact"/>
        <w:rPr>
          <w:rFonts w:ascii="Times New Roman" w:cs="Times New Roman" w:eastAsia="Times New Roman" w:hAnsi="Times New Roman"/>
          <w:sz w:val="12"/>
          <w:szCs w:val="12"/>
          <w:b w:val="1"/>
          <w:bCs w:val="1"/>
          <w:color w:val="auto"/>
        </w:rPr>
      </w:pPr>
    </w:p>
    <w:p>
      <w:pPr>
        <w:jc w:val="center"/>
        <w:spacing w:after="0"/>
        <w:rPr>
          <w:sz w:val="20"/>
          <w:szCs w:val="20"/>
          <w:color w:val="auto"/>
        </w:rPr>
      </w:pPr>
      <w:r>
        <w:rPr>
          <w:rFonts w:ascii="Times New Roman" w:cs="Times New Roman" w:eastAsia="Times New Roman" w:hAnsi="Times New Roman"/>
          <w:sz w:val="12"/>
          <w:szCs w:val="12"/>
          <w:color w:val="auto"/>
        </w:rPr>
        <w:t>35-6027150/001</w:t>
      </w:r>
    </w:p>
    <w:p>
      <w:pPr>
        <w:spacing w:after="0" w:line="159" w:lineRule="exact"/>
        <w:rPr>
          <w:rFonts w:ascii="Times New Roman" w:cs="Times New Roman" w:eastAsia="Times New Roman" w:hAnsi="Times New Roman"/>
          <w:sz w:val="12"/>
          <w:szCs w:val="12"/>
          <w:b w:val="1"/>
          <w:bCs w:val="1"/>
          <w:color w:val="auto"/>
        </w:rPr>
      </w:pPr>
    </w:p>
    <w:p>
      <w:pPr>
        <w:jc w:val="center"/>
        <w:spacing w:after="0"/>
        <w:rPr>
          <w:sz w:val="20"/>
          <w:szCs w:val="20"/>
          <w:color w:val="auto"/>
        </w:rPr>
      </w:pPr>
      <w:r>
        <w:rPr>
          <w:rFonts w:ascii="Times New Roman" w:cs="Times New Roman" w:eastAsia="Times New Roman" w:hAnsi="Times New Roman"/>
          <w:sz w:val="12"/>
          <w:szCs w:val="12"/>
          <w:color w:val="auto"/>
        </w:rPr>
        <w:t>36-6488227/001</w:t>
      </w:r>
    </w:p>
    <w:p>
      <w:pPr>
        <w:spacing w:after="0" w:line="186" w:lineRule="exact"/>
        <w:rPr>
          <w:rFonts w:ascii="Times New Roman" w:cs="Times New Roman" w:eastAsia="Times New Roman" w:hAnsi="Times New Roman"/>
          <w:sz w:val="12"/>
          <w:szCs w:val="12"/>
          <w:b w:val="1"/>
          <w:bCs w:val="1"/>
          <w:color w:val="auto"/>
        </w:rPr>
      </w:pPr>
    </w:p>
    <w:p>
      <w:pPr>
        <w:jc w:val="center"/>
        <w:spacing w:after="0"/>
        <w:rPr>
          <w:sz w:val="20"/>
          <w:szCs w:val="20"/>
          <w:color w:val="auto"/>
        </w:rPr>
      </w:pPr>
      <w:r>
        <w:rPr>
          <w:rFonts w:ascii="Times New Roman" w:cs="Times New Roman" w:eastAsia="Times New Roman" w:hAnsi="Times New Roman"/>
          <w:sz w:val="12"/>
          <w:szCs w:val="12"/>
          <w:color w:val="auto"/>
        </w:rPr>
        <w:t>62-6105084/001</w:t>
      </w:r>
    </w:p>
    <w:p>
      <w:pPr>
        <w:spacing w:after="0" w:line="186" w:lineRule="exact"/>
        <w:rPr>
          <w:rFonts w:ascii="Times New Roman" w:cs="Times New Roman" w:eastAsia="Times New Roman" w:hAnsi="Times New Roman"/>
          <w:sz w:val="12"/>
          <w:szCs w:val="12"/>
          <w:b w:val="1"/>
          <w:bCs w:val="1"/>
          <w:color w:val="auto"/>
        </w:rPr>
      </w:pPr>
    </w:p>
    <w:p>
      <w:pPr>
        <w:jc w:val="center"/>
        <w:spacing w:after="0"/>
        <w:rPr>
          <w:sz w:val="20"/>
          <w:szCs w:val="20"/>
          <w:color w:val="auto"/>
        </w:rPr>
      </w:pPr>
      <w:r>
        <w:rPr>
          <w:rFonts w:ascii="Times New Roman" w:cs="Times New Roman" w:eastAsia="Times New Roman" w:hAnsi="Times New Roman"/>
          <w:sz w:val="12"/>
          <w:szCs w:val="12"/>
          <w:color w:val="auto"/>
        </w:rPr>
        <w:t>25-1283169/001</w:t>
      </w:r>
    </w:p>
    <w:p>
      <w:pPr>
        <w:spacing w:after="0" w:line="186" w:lineRule="exact"/>
        <w:rPr>
          <w:rFonts w:ascii="Times New Roman" w:cs="Times New Roman" w:eastAsia="Times New Roman" w:hAnsi="Times New Roman"/>
          <w:sz w:val="12"/>
          <w:szCs w:val="12"/>
          <w:b w:val="1"/>
          <w:bCs w:val="1"/>
          <w:color w:val="auto"/>
        </w:rPr>
      </w:pPr>
    </w:p>
    <w:p>
      <w:pPr>
        <w:jc w:val="center"/>
        <w:spacing w:after="0"/>
        <w:rPr>
          <w:sz w:val="20"/>
          <w:szCs w:val="20"/>
          <w:color w:val="auto"/>
        </w:rPr>
      </w:pPr>
      <w:r>
        <w:rPr>
          <w:rFonts w:ascii="Times New Roman" w:cs="Times New Roman" w:eastAsia="Times New Roman" w:hAnsi="Times New Roman"/>
          <w:sz w:val="12"/>
          <w:szCs w:val="12"/>
          <w:color w:val="auto"/>
        </w:rPr>
        <w:t>34-6682351/001</w:t>
      </w:r>
    </w:p>
    <w:p>
      <w:pPr>
        <w:spacing w:after="0" w:line="186" w:lineRule="exact"/>
        <w:rPr>
          <w:rFonts w:ascii="Times New Roman" w:cs="Times New Roman" w:eastAsia="Times New Roman" w:hAnsi="Times New Roman"/>
          <w:sz w:val="12"/>
          <w:szCs w:val="12"/>
          <w:b w:val="1"/>
          <w:bCs w:val="1"/>
          <w:color w:val="auto"/>
        </w:rPr>
      </w:pPr>
    </w:p>
    <w:p>
      <w:pPr>
        <w:jc w:val="center"/>
        <w:spacing w:after="0"/>
        <w:rPr>
          <w:sz w:val="20"/>
          <w:szCs w:val="20"/>
          <w:color w:val="auto"/>
        </w:rPr>
      </w:pPr>
      <w:r>
        <w:rPr>
          <w:rFonts w:ascii="Times New Roman" w:cs="Times New Roman" w:eastAsia="Times New Roman" w:hAnsi="Times New Roman"/>
          <w:sz w:val="12"/>
          <w:szCs w:val="12"/>
          <w:color w:val="auto"/>
        </w:rPr>
        <w:t>53-0181657/001</w:t>
      </w:r>
    </w:p>
    <w:p>
      <w:pPr>
        <w:spacing w:after="0" w:line="254" w:lineRule="exact"/>
        <w:rPr>
          <w:rFonts w:ascii="Times New Roman" w:cs="Times New Roman" w:eastAsia="Times New Roman" w:hAnsi="Times New Roman"/>
          <w:sz w:val="12"/>
          <w:szCs w:val="12"/>
          <w:b w:val="1"/>
          <w:bCs w:val="1"/>
          <w:color w:val="auto"/>
        </w:rPr>
      </w:pPr>
    </w:p>
    <w:p>
      <w:pPr>
        <w:jc w:val="center"/>
        <w:spacing w:after="0"/>
        <w:rPr>
          <w:sz w:val="20"/>
          <w:szCs w:val="20"/>
          <w:color w:val="auto"/>
        </w:rPr>
      </w:pPr>
      <w:r>
        <w:rPr>
          <w:rFonts w:ascii="Times New Roman" w:cs="Times New Roman" w:eastAsia="Times New Roman" w:hAnsi="Times New Roman"/>
          <w:sz w:val="12"/>
          <w:szCs w:val="12"/>
          <w:color w:val="auto"/>
        </w:rPr>
        <w:t>06-6050353/001</w:t>
      </w:r>
    </w:p>
    <w:p>
      <w:pPr>
        <w:spacing w:after="0" w:line="254" w:lineRule="exact"/>
        <w:rPr>
          <w:rFonts w:ascii="Times New Roman" w:cs="Times New Roman" w:eastAsia="Times New Roman" w:hAnsi="Times New Roman"/>
          <w:sz w:val="12"/>
          <w:szCs w:val="12"/>
          <w:b w:val="1"/>
          <w:bCs w:val="1"/>
          <w:color w:val="auto"/>
        </w:rPr>
      </w:pPr>
    </w:p>
    <w:p>
      <w:pPr>
        <w:jc w:val="center"/>
        <w:spacing w:after="0"/>
        <w:rPr>
          <w:sz w:val="20"/>
          <w:szCs w:val="20"/>
          <w:color w:val="auto"/>
        </w:rPr>
      </w:pPr>
      <w:r>
        <w:rPr>
          <w:rFonts w:ascii="Times New Roman" w:cs="Times New Roman" w:eastAsia="Times New Roman" w:hAnsi="Times New Roman"/>
          <w:sz w:val="12"/>
          <w:szCs w:val="12"/>
          <w:color w:val="auto"/>
        </w:rPr>
        <w:t>34-6502487/001</w:t>
      </w:r>
    </w:p>
    <w:p>
      <w:pPr>
        <w:spacing w:after="0" w:line="186" w:lineRule="exact"/>
        <w:rPr>
          <w:rFonts w:ascii="Times New Roman" w:cs="Times New Roman" w:eastAsia="Times New Roman" w:hAnsi="Times New Roman"/>
          <w:sz w:val="12"/>
          <w:szCs w:val="12"/>
          <w:b w:val="1"/>
          <w:bCs w:val="1"/>
          <w:color w:val="auto"/>
        </w:rPr>
      </w:pPr>
    </w:p>
    <w:p>
      <w:pPr>
        <w:jc w:val="center"/>
        <w:spacing w:after="0"/>
        <w:rPr>
          <w:sz w:val="20"/>
          <w:szCs w:val="20"/>
          <w:color w:val="auto"/>
        </w:rPr>
      </w:pPr>
      <w:r>
        <w:rPr>
          <w:rFonts w:ascii="Times New Roman" w:cs="Times New Roman" w:eastAsia="Times New Roman" w:hAnsi="Times New Roman"/>
          <w:sz w:val="12"/>
          <w:szCs w:val="12"/>
          <w:color w:val="auto"/>
        </w:rPr>
        <w:t>34-6574360/001</w:t>
      </w:r>
    </w:p>
    <w:p>
      <w:pPr>
        <w:spacing w:after="0" w:line="173" w:lineRule="exact"/>
        <w:rPr>
          <w:rFonts w:ascii="Times New Roman" w:cs="Times New Roman" w:eastAsia="Times New Roman" w:hAnsi="Times New Roman"/>
          <w:sz w:val="12"/>
          <w:szCs w:val="12"/>
          <w:b w:val="1"/>
          <w:bCs w:val="1"/>
          <w:color w:val="auto"/>
        </w:rPr>
      </w:pPr>
    </w:p>
    <w:p>
      <w:pPr>
        <w:jc w:val="center"/>
        <w:spacing w:after="0"/>
        <w:rPr>
          <w:sz w:val="20"/>
          <w:szCs w:val="20"/>
          <w:color w:val="auto"/>
        </w:rPr>
      </w:pPr>
      <w:r>
        <w:rPr>
          <w:rFonts w:ascii="Times New Roman" w:cs="Times New Roman" w:eastAsia="Times New Roman" w:hAnsi="Times New Roman"/>
          <w:sz w:val="12"/>
          <w:szCs w:val="12"/>
          <w:color w:val="auto"/>
        </w:rPr>
        <w:t>23-6538183/001</w:t>
      </w:r>
    </w:p>
    <w:p>
      <w:pPr>
        <w:spacing w:after="0" w:line="20" w:lineRule="exact"/>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br w:type="column"/>
      </w:r>
    </w:p>
    <w:p>
      <w:pPr>
        <w:spacing w:after="0" w:line="200" w:lineRule="exact"/>
        <w:rPr>
          <w:rFonts w:ascii="Times New Roman" w:cs="Times New Roman" w:eastAsia="Times New Roman" w:hAnsi="Times New Roman"/>
          <w:sz w:val="12"/>
          <w:szCs w:val="12"/>
          <w:b w:val="1"/>
          <w:bCs w:val="1"/>
          <w:color w:val="auto"/>
        </w:rPr>
      </w:pPr>
    </w:p>
    <w:p>
      <w:pPr>
        <w:spacing w:after="0" w:line="200" w:lineRule="exact"/>
        <w:rPr>
          <w:rFonts w:ascii="Times New Roman" w:cs="Times New Roman" w:eastAsia="Times New Roman" w:hAnsi="Times New Roman"/>
          <w:sz w:val="12"/>
          <w:szCs w:val="12"/>
          <w:b w:val="1"/>
          <w:bCs w:val="1"/>
          <w:color w:val="auto"/>
        </w:rPr>
      </w:pPr>
    </w:p>
    <w:p>
      <w:pPr>
        <w:spacing w:after="0" w:line="200" w:lineRule="exact"/>
        <w:rPr>
          <w:rFonts w:ascii="Times New Roman" w:cs="Times New Roman" w:eastAsia="Times New Roman" w:hAnsi="Times New Roman"/>
          <w:sz w:val="12"/>
          <w:szCs w:val="12"/>
          <w:b w:val="1"/>
          <w:bCs w:val="1"/>
          <w:color w:val="auto"/>
        </w:rPr>
      </w:pPr>
    </w:p>
    <w:p>
      <w:pPr>
        <w:spacing w:after="0" w:line="370" w:lineRule="exact"/>
        <w:rPr>
          <w:rFonts w:ascii="Times New Roman" w:cs="Times New Roman" w:eastAsia="Times New Roman" w:hAnsi="Times New Roman"/>
          <w:sz w:val="12"/>
          <w:szCs w:val="12"/>
          <w:b w:val="1"/>
          <w:bCs w:val="1"/>
          <w:color w:val="auto"/>
        </w:rPr>
      </w:pPr>
    </w:p>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Pension</w:t>
      </w:r>
    </w:p>
    <w:p>
      <w:pPr>
        <w:jc w:val="center"/>
        <w:ind w:right="680"/>
        <w:spacing w:after="0" w:line="229" w:lineRule="auto"/>
        <w:rPr>
          <w:sz w:val="20"/>
          <w:szCs w:val="20"/>
          <w:color w:val="auto"/>
        </w:rPr>
      </w:pPr>
      <w:r>
        <w:rPr>
          <w:rFonts w:ascii="Times New Roman" w:cs="Times New Roman" w:eastAsia="Times New Roman" w:hAnsi="Times New Roman"/>
          <w:sz w:val="14"/>
          <w:szCs w:val="14"/>
          <w:b w:val="1"/>
          <w:bCs w:val="1"/>
          <w:color w:val="auto"/>
        </w:rPr>
        <w:t>Protection Act</w:t>
      </w:r>
    </w:p>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Zone Status</w:t>
      </w:r>
    </w:p>
    <w:p>
      <w:pPr>
        <w:spacing w:after="0" w:line="20" w:lineRule="exact"/>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11144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44" w:lineRule="exact"/>
        <w:rPr>
          <w:rFonts w:ascii="Times New Roman" w:cs="Times New Roman" w:eastAsia="Times New Roman" w:hAnsi="Times New Roman"/>
          <w:sz w:val="12"/>
          <w:szCs w:val="12"/>
          <w:b w:val="1"/>
          <w:bCs w:val="1"/>
          <w:color w:val="auto"/>
        </w:rPr>
      </w:pPr>
    </w:p>
    <w:tbl>
      <w:tblPr>
        <w:tblLayout w:type="fixed"/>
        <w:tblInd w:w="0" w:type="dxa"/>
        <w:tblCellMar>
          <w:top w:w="0" w:type="dxa"/>
          <w:left w:w="0" w:type="dxa"/>
          <w:bottom w:w="0" w:type="dxa"/>
          <w:right w:w="0" w:type="dxa"/>
        </w:tblCellMar>
      </w:tblPr>
      <w:tr>
        <w:trPr>
          <w:trHeight w:val="195"/>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442"/>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Yellow</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Red</w:t>
            </w:r>
          </w:p>
        </w:tc>
        <w:tc>
          <w:tcPr>
            <w:tcW w:w="0" w:type="dxa"/>
            <w:vAlign w:val="bottom"/>
          </w:tcPr>
          <w:p>
            <w:pPr>
              <w:spacing w:after="0"/>
              <w:rPr>
                <w:sz w:val="1"/>
                <w:szCs w:val="1"/>
                <w:color w:val="auto"/>
              </w:rPr>
            </w:pPr>
          </w:p>
        </w:tc>
      </w:tr>
      <w:tr>
        <w:trPr>
          <w:trHeight w:val="246"/>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Described below</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3"/>
              </w:rPr>
              <w:t>Yellow</w:t>
            </w:r>
          </w:p>
        </w:tc>
        <w:tc>
          <w:tcPr>
            <w:tcW w:w="0" w:type="dxa"/>
            <w:vAlign w:val="bottom"/>
          </w:tcPr>
          <w:p>
            <w:pPr>
              <w:spacing w:after="0"/>
              <w:rPr>
                <w:sz w:val="1"/>
                <w:szCs w:val="1"/>
                <w:color w:val="auto"/>
              </w:rPr>
            </w:pPr>
          </w:p>
        </w:tc>
      </w:tr>
      <w:tr>
        <w:trPr>
          <w:trHeight w:val="78"/>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8"/>
                <w:szCs w:val="8"/>
                <w:color w:val="auto"/>
                <w:w w:val="85"/>
              </w:rPr>
              <w:t>(2)</w:t>
            </w: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00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8"/>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0" w:type="dxa"/>
            <w:vAlign w:val="bottom"/>
          </w:tcPr>
          <w:p>
            <w:pPr>
              <w:spacing w:after="0"/>
              <w:rPr>
                <w:sz w:val="1"/>
                <w:szCs w:val="1"/>
                <w:color w:val="auto"/>
              </w:rPr>
            </w:pPr>
          </w:p>
        </w:tc>
      </w:tr>
      <w:tr>
        <w:trPr>
          <w:trHeight w:val="246"/>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Described below</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0" w:type="dxa"/>
            <w:vAlign w:val="bottom"/>
          </w:tcPr>
          <w:p>
            <w:pPr>
              <w:spacing w:after="0"/>
              <w:rPr>
                <w:sz w:val="1"/>
                <w:szCs w:val="1"/>
                <w:color w:val="auto"/>
              </w:rPr>
            </w:pPr>
          </w:p>
        </w:tc>
      </w:tr>
      <w:tr>
        <w:trPr>
          <w:trHeight w:val="103"/>
        </w:trPr>
        <w:tc>
          <w:tcPr>
            <w:tcW w:w="10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85"/>
              </w:rPr>
              <w:t>(2)</w:t>
            </w: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0" w:type="dxa"/>
            <w:vAlign w:val="bottom"/>
          </w:tcPr>
          <w:p>
            <w:pPr>
              <w:spacing w:after="0"/>
              <w:rPr>
                <w:sz w:val="1"/>
                <w:szCs w:val="1"/>
                <w:color w:val="auto"/>
              </w:rPr>
            </w:pPr>
          </w:p>
        </w:tc>
      </w:tr>
      <w:tr>
        <w:trPr>
          <w:trHeight w:val="257"/>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Red</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Red</w:t>
            </w:r>
          </w:p>
        </w:tc>
        <w:tc>
          <w:tcPr>
            <w:tcW w:w="0" w:type="dxa"/>
            <w:vAlign w:val="bottom"/>
          </w:tcPr>
          <w:p>
            <w:pPr>
              <w:spacing w:after="0"/>
              <w:rPr>
                <w:sz w:val="1"/>
                <w:szCs w:val="1"/>
                <w:color w:val="auto"/>
              </w:rPr>
            </w:pPr>
          </w:p>
        </w:tc>
      </w:tr>
      <w:tr>
        <w:trPr>
          <w:trHeight w:val="324"/>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Red</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Red</w:t>
            </w:r>
          </w:p>
        </w:tc>
        <w:tc>
          <w:tcPr>
            <w:tcW w:w="0" w:type="dxa"/>
            <w:vAlign w:val="bottom"/>
          </w:tcPr>
          <w:p>
            <w:pPr>
              <w:spacing w:after="0"/>
              <w:rPr>
                <w:sz w:val="1"/>
                <w:szCs w:val="1"/>
                <w:color w:val="auto"/>
              </w:rPr>
            </w:pPr>
          </w:p>
        </w:tc>
      </w:tr>
      <w:tr>
        <w:trPr>
          <w:trHeight w:val="227"/>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Described below</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0" w:type="dxa"/>
            <w:vAlign w:val="bottom"/>
          </w:tcPr>
          <w:p>
            <w:pPr>
              <w:spacing w:after="0"/>
              <w:rPr>
                <w:sz w:val="1"/>
                <w:szCs w:val="1"/>
                <w:color w:val="auto"/>
              </w:rPr>
            </w:pPr>
          </w:p>
        </w:tc>
      </w:tr>
      <w:tr>
        <w:trPr>
          <w:trHeight w:val="105"/>
        </w:trPr>
        <w:tc>
          <w:tcPr>
            <w:tcW w:w="10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85"/>
              </w:rPr>
              <w:t>(2)</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Described below</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0" w:type="dxa"/>
            <w:vAlign w:val="bottom"/>
          </w:tcPr>
          <w:p>
            <w:pPr>
              <w:spacing w:after="0"/>
              <w:rPr>
                <w:sz w:val="1"/>
                <w:szCs w:val="1"/>
                <w:color w:val="auto"/>
              </w:rPr>
            </w:pPr>
          </w:p>
        </w:tc>
      </w:tr>
      <w:tr>
        <w:trPr>
          <w:trHeight w:val="78"/>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8"/>
                <w:szCs w:val="8"/>
                <w:color w:val="auto"/>
                <w:w w:val="85"/>
              </w:rPr>
              <w:t>(2)</w:t>
            </w: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100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8"/>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0" w:type="dxa"/>
            <w:vAlign w:val="bottom"/>
          </w:tcPr>
          <w:p>
            <w:pPr>
              <w:spacing w:after="0"/>
              <w:rPr>
                <w:sz w:val="1"/>
                <w:szCs w:val="1"/>
                <w:color w:val="auto"/>
              </w:rPr>
            </w:pPr>
          </w:p>
        </w:tc>
      </w:tr>
      <w:tr>
        <w:trPr>
          <w:trHeight w:val="246"/>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Described below</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3"/>
              </w:rPr>
              <w:t>Yellow</w:t>
            </w:r>
          </w:p>
        </w:tc>
        <w:tc>
          <w:tcPr>
            <w:tcW w:w="0" w:type="dxa"/>
            <w:vAlign w:val="bottom"/>
          </w:tcPr>
          <w:p>
            <w:pPr>
              <w:spacing w:after="0"/>
              <w:rPr>
                <w:sz w:val="1"/>
                <w:szCs w:val="1"/>
                <w:color w:val="auto"/>
              </w:rPr>
            </w:pPr>
          </w:p>
        </w:tc>
      </w:tr>
      <w:tr>
        <w:trPr>
          <w:trHeight w:val="78"/>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8"/>
                <w:szCs w:val="8"/>
                <w:color w:val="auto"/>
                <w:w w:val="85"/>
              </w:rPr>
              <w:t>(2)</w:t>
            </w: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00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Described below</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Described</w:t>
            </w:r>
          </w:p>
        </w:tc>
        <w:tc>
          <w:tcPr>
            <w:tcW w:w="0" w:type="dxa"/>
            <w:vAlign w:val="bottom"/>
          </w:tcPr>
          <w:p>
            <w:pPr>
              <w:spacing w:after="0"/>
              <w:rPr>
                <w:sz w:val="1"/>
                <w:szCs w:val="1"/>
                <w:color w:val="auto"/>
              </w:rPr>
            </w:pPr>
          </w:p>
        </w:tc>
      </w:tr>
      <w:tr>
        <w:trPr>
          <w:trHeight w:val="164"/>
        </w:trPr>
        <w:tc>
          <w:tcPr>
            <w:tcW w:w="10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85"/>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 xml:space="preserve">below </w:t>
            </w:r>
            <w:r>
              <w:rPr>
                <w:rFonts w:ascii="Times New Roman" w:cs="Times New Roman" w:eastAsia="Times New Roman" w:hAnsi="Times New Roman"/>
                <w:sz w:val="8"/>
                <w:szCs w:val="8"/>
                <w:color w:val="auto"/>
                <w:w w:val="99"/>
              </w:rPr>
              <w:t>(2)</w:t>
            </w:r>
          </w:p>
        </w:tc>
        <w:tc>
          <w:tcPr>
            <w:tcW w:w="0" w:type="dxa"/>
            <w:vAlign w:val="bottom"/>
          </w:tcPr>
          <w:p>
            <w:pPr>
              <w:spacing w:after="0"/>
              <w:rPr>
                <w:sz w:val="1"/>
                <w:szCs w:val="1"/>
                <w:color w:val="auto"/>
              </w:rPr>
            </w:pPr>
          </w:p>
        </w:tc>
      </w:tr>
      <w:tr>
        <w:trPr>
          <w:trHeight w:val="252"/>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0" w:type="dxa"/>
            <w:vAlign w:val="bottom"/>
          </w:tcPr>
          <w:p>
            <w:pPr>
              <w:spacing w:after="0"/>
              <w:rPr>
                <w:sz w:val="1"/>
                <w:szCs w:val="1"/>
                <w:color w:val="auto"/>
              </w:rPr>
            </w:pPr>
          </w:p>
        </w:tc>
      </w:tr>
      <w:tr>
        <w:trPr>
          <w:trHeight w:val="313"/>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Described below</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0" w:type="dxa"/>
            <w:vAlign w:val="bottom"/>
          </w:tcPr>
          <w:p>
            <w:pPr>
              <w:spacing w:after="0"/>
              <w:rPr>
                <w:sz w:val="1"/>
                <w:szCs w:val="1"/>
                <w:color w:val="auto"/>
              </w:rPr>
            </w:pPr>
          </w:p>
        </w:tc>
      </w:tr>
      <w:tr>
        <w:trPr>
          <w:trHeight w:val="78"/>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8"/>
                <w:szCs w:val="8"/>
                <w:color w:val="auto"/>
                <w:w w:val="85"/>
              </w:rPr>
              <w:t>(2)</w:t>
            </w: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100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7"/>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Described below</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0" w:type="dxa"/>
            <w:vAlign w:val="bottom"/>
          </w:tcPr>
          <w:p>
            <w:pPr>
              <w:spacing w:after="0"/>
              <w:rPr>
                <w:sz w:val="1"/>
                <w:szCs w:val="1"/>
                <w:color w:val="auto"/>
              </w:rPr>
            </w:pPr>
          </w:p>
        </w:tc>
      </w:tr>
      <w:tr>
        <w:trPr>
          <w:trHeight w:val="78"/>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8"/>
                <w:szCs w:val="8"/>
                <w:color w:val="auto"/>
                <w:w w:val="85"/>
              </w:rPr>
              <w:t>(2)</w:t>
            </w: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100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8"/>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Red</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Red</w:t>
            </w:r>
          </w:p>
        </w:tc>
        <w:tc>
          <w:tcPr>
            <w:tcW w:w="0" w:type="dxa"/>
            <w:vAlign w:val="bottom"/>
          </w:tcPr>
          <w:p>
            <w:pPr>
              <w:spacing w:after="0"/>
              <w:rPr>
                <w:sz w:val="1"/>
                <w:szCs w:val="1"/>
                <w:color w:val="auto"/>
              </w:rPr>
            </w:pPr>
          </w:p>
        </w:tc>
      </w:tr>
      <w:tr>
        <w:trPr>
          <w:trHeight w:val="218"/>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Described below</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Described</w:t>
            </w:r>
          </w:p>
        </w:tc>
        <w:tc>
          <w:tcPr>
            <w:tcW w:w="0" w:type="dxa"/>
            <w:vAlign w:val="bottom"/>
          </w:tcPr>
          <w:p>
            <w:pPr>
              <w:spacing w:after="0"/>
              <w:rPr>
                <w:sz w:val="1"/>
                <w:szCs w:val="1"/>
                <w:color w:val="auto"/>
              </w:rPr>
            </w:pPr>
          </w:p>
        </w:tc>
      </w:tr>
      <w:tr>
        <w:trPr>
          <w:trHeight w:val="164"/>
        </w:trPr>
        <w:tc>
          <w:tcPr>
            <w:tcW w:w="10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85"/>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 xml:space="preserve">below </w:t>
            </w:r>
            <w:r>
              <w:rPr>
                <w:rFonts w:ascii="Times New Roman" w:cs="Times New Roman" w:eastAsia="Times New Roman" w:hAnsi="Times New Roman"/>
                <w:sz w:val="8"/>
                <w:szCs w:val="8"/>
                <w:color w:val="auto"/>
                <w:w w:val="99"/>
              </w:rPr>
              <w:t>(2)</w:t>
            </w: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column">
              <wp:posOffset>-1962785</wp:posOffset>
            </wp:positionH>
            <wp:positionV relativeFrom="paragraph">
              <wp:posOffset>-3395345</wp:posOffset>
            </wp:positionV>
            <wp:extent cx="7106285"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6285" cy="20574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-2983865</wp:posOffset>
            </wp:positionV>
            <wp:extent cx="7106285"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6285" cy="20574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-2615565</wp:posOffset>
            </wp:positionV>
            <wp:extent cx="7106285" cy="1200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-2289810</wp:posOffset>
            </wp:positionV>
            <wp:extent cx="7106285"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6285" cy="20574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-1920875</wp:posOffset>
            </wp:positionV>
            <wp:extent cx="7106285"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6285" cy="20574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-1509395</wp:posOffset>
            </wp:positionV>
            <wp:extent cx="7106285"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6285" cy="20574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-1097915</wp:posOffset>
            </wp:positionV>
            <wp:extent cx="7106285" cy="205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6285" cy="20574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-600710</wp:posOffset>
            </wp:positionV>
            <wp:extent cx="7106285" cy="2057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6285" cy="20574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-189230</wp:posOffset>
            </wp:positionV>
            <wp:extent cx="710628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6285" cy="188595"/>
                    </a:xfrm>
                    <a:prstGeom prst="rect">
                      <a:avLst/>
                    </a:prstGeom>
                    <a:noFill/>
                  </pic:spPr>
                </pic:pic>
              </a:graphicData>
            </a:graphic>
          </wp:anchor>
        </w:drawing>
        <w:drawing>
          <wp:anchor simplePos="0" relativeHeight="251657728" behindDoc="1" locked="0" layoutInCell="0" allowOverlap="1">
            <wp:simplePos x="0" y="0"/>
            <wp:positionH relativeFrom="column">
              <wp:posOffset>1182370</wp:posOffset>
            </wp:positionH>
            <wp:positionV relativeFrom="paragraph">
              <wp:posOffset>-3532505</wp:posOffset>
            </wp:positionV>
            <wp:extent cx="7543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ind w:left="20" w:right="240"/>
        <w:spacing w:after="0" w:line="392" w:lineRule="auto"/>
        <w:rPr>
          <w:sz w:val="20"/>
          <w:szCs w:val="20"/>
          <w:color w:val="auto"/>
        </w:rPr>
      </w:pPr>
      <w:r>
        <w:rPr>
          <w:rFonts w:ascii="Times New Roman" w:cs="Times New Roman" w:eastAsia="Times New Roman" w:hAnsi="Times New Roman"/>
          <w:sz w:val="13"/>
          <w:szCs w:val="13"/>
          <w:color w:val="auto"/>
        </w:rPr>
        <w:t>Contributions to other multiemployer plans Total contributions made</w:t>
      </w:r>
    </w:p>
    <w:p>
      <w:pPr>
        <w:spacing w:after="0" w:line="20" w:lineRule="exact"/>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column">
              <wp:posOffset>-1962785</wp:posOffset>
            </wp:positionH>
            <wp:positionV relativeFrom="paragraph">
              <wp:posOffset>-194945</wp:posOffset>
            </wp:positionV>
            <wp:extent cx="7106285"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 w:lineRule="exact"/>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br w:type="column"/>
      </w:r>
    </w:p>
    <w:p>
      <w:pPr>
        <w:spacing w:after="0" w:line="200" w:lineRule="exact"/>
        <w:rPr>
          <w:rFonts w:ascii="Times New Roman" w:cs="Times New Roman" w:eastAsia="Times New Roman" w:hAnsi="Times New Roman"/>
          <w:sz w:val="12"/>
          <w:szCs w:val="12"/>
          <w:b w:val="1"/>
          <w:bCs w:val="1"/>
          <w:color w:val="auto"/>
        </w:rPr>
      </w:pPr>
    </w:p>
    <w:p>
      <w:pPr>
        <w:spacing w:after="0" w:line="200" w:lineRule="exact"/>
        <w:rPr>
          <w:rFonts w:ascii="Times New Roman" w:cs="Times New Roman" w:eastAsia="Times New Roman" w:hAnsi="Times New Roman"/>
          <w:sz w:val="12"/>
          <w:szCs w:val="12"/>
          <w:b w:val="1"/>
          <w:bCs w:val="1"/>
          <w:color w:val="auto"/>
        </w:rPr>
      </w:pPr>
    </w:p>
    <w:p>
      <w:pPr>
        <w:spacing w:after="0" w:line="200" w:lineRule="exact"/>
        <w:rPr>
          <w:rFonts w:ascii="Times New Roman" w:cs="Times New Roman" w:eastAsia="Times New Roman" w:hAnsi="Times New Roman"/>
          <w:sz w:val="12"/>
          <w:szCs w:val="12"/>
          <w:b w:val="1"/>
          <w:bCs w:val="1"/>
          <w:color w:val="auto"/>
        </w:rPr>
      </w:pPr>
    </w:p>
    <w:p>
      <w:pPr>
        <w:spacing w:after="0" w:line="304" w:lineRule="exact"/>
        <w:rPr>
          <w:rFonts w:ascii="Times New Roman" w:cs="Times New Roman" w:eastAsia="Times New Roman" w:hAnsi="Times New Roman"/>
          <w:sz w:val="12"/>
          <w:szCs w:val="12"/>
          <w:b w:val="1"/>
          <w:bCs w:val="1"/>
          <w:color w:val="auto"/>
        </w:rPr>
      </w:pPr>
    </w:p>
    <w:p>
      <w:pPr>
        <w:spacing w:after="0" w:line="1" w:lineRule="exact"/>
        <w:rPr>
          <w:rFonts w:ascii="Times New Roman" w:cs="Times New Roman" w:eastAsia="Times New Roman" w:hAnsi="Times New Roman"/>
          <w:sz w:val="1"/>
          <w:szCs w:val="1"/>
          <w:b w:val="1"/>
          <w:b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940" w:type="dxa"/>
            <w:vAlign w:val="bottom"/>
            <w:gridSpan w:val="6"/>
            <w:vMerge w:val="restart"/>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Company Contributions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1940" w:type="dxa"/>
            <w:vAlign w:val="bottom"/>
            <w:gridSpan w:val="6"/>
            <w:vMerge w:val="continue"/>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Collective-</w:t>
            </w: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Surcharge</w:t>
            </w:r>
          </w:p>
        </w:tc>
        <w:tc>
          <w:tcPr>
            <w:tcW w:w="10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Bargaining</w:t>
            </w:r>
          </w:p>
        </w:tc>
        <w:tc>
          <w:tcPr>
            <w:tcW w:w="0" w:type="dxa"/>
            <w:vAlign w:val="bottom"/>
          </w:tcPr>
          <w:p>
            <w:pPr>
              <w:spacing w:after="0"/>
              <w:rPr>
                <w:sz w:val="1"/>
                <w:szCs w:val="1"/>
                <w:color w:val="auto"/>
              </w:rPr>
            </w:pPr>
          </w:p>
        </w:tc>
      </w:tr>
      <w:tr>
        <w:trPr>
          <w:trHeight w:val="28"/>
        </w:trPr>
        <w:tc>
          <w:tcPr>
            <w:tcW w:w="180" w:type="dxa"/>
            <w:vAlign w:val="bottom"/>
          </w:tcPr>
          <w:p>
            <w:pPr>
              <w:spacing w:after="0"/>
              <w:rPr>
                <w:sz w:val="2"/>
                <w:szCs w:val="2"/>
                <w:color w:val="auto"/>
              </w:rPr>
            </w:pPr>
          </w:p>
        </w:tc>
        <w:tc>
          <w:tcPr>
            <w:tcW w:w="64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Imposed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0" w:type="dxa"/>
            <w:vAlign w:val="bottom"/>
          </w:tcPr>
          <w:p>
            <w:pPr>
              <w:spacing w:after="0"/>
              <w:rPr>
                <w:sz w:val="1"/>
                <w:szCs w:val="1"/>
                <w:color w:val="auto"/>
              </w:rPr>
            </w:pPr>
          </w:p>
        </w:tc>
      </w:tr>
      <w:tr>
        <w:trPr>
          <w:trHeight w:val="191"/>
        </w:trPr>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12,434</w:t>
            </w:r>
          </w:p>
        </w:tc>
        <w:tc>
          <w:tcPr>
            <w:tcW w:w="120" w:type="dxa"/>
            <w:vAlign w:val="bottom"/>
          </w:tcPr>
          <w:p>
            <w:pPr>
              <w:spacing w:after="0"/>
              <w:rPr>
                <w:sz w:val="21"/>
                <w:szCs w:val="21"/>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8,525</w:t>
            </w:r>
          </w:p>
        </w:tc>
        <w:tc>
          <w:tcPr>
            <w:tcW w:w="100" w:type="dxa"/>
            <w:vAlign w:val="bottom"/>
          </w:tcPr>
          <w:p>
            <w:pPr>
              <w:spacing w:after="0"/>
              <w:rPr>
                <w:sz w:val="21"/>
                <w:szCs w:val="21"/>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 xml:space="preserve">Described below </w:t>
            </w:r>
            <w:r>
              <w:rPr>
                <w:rFonts w:ascii="Times New Roman" w:cs="Times New Roman" w:eastAsia="Times New Roman" w:hAnsi="Times New Roman"/>
                <w:sz w:val="8"/>
                <w:szCs w:val="8"/>
                <w:color w:val="auto"/>
                <w:w w:val="97"/>
              </w:rPr>
              <w:t>(1)</w:t>
            </w: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2,391</w:t>
            </w:r>
          </w:p>
        </w:tc>
        <w:tc>
          <w:tcPr>
            <w:tcW w:w="1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5/31/2021</w:t>
            </w: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2,489</w:t>
            </w:r>
          </w:p>
        </w:tc>
        <w:tc>
          <w:tcPr>
            <w:tcW w:w="1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5/31/2022</w:t>
            </w:r>
          </w:p>
        </w:tc>
        <w:tc>
          <w:tcPr>
            <w:tcW w:w="0" w:type="dxa"/>
            <w:vAlign w:val="bottom"/>
          </w:tcPr>
          <w:p>
            <w:pPr>
              <w:spacing w:after="0"/>
              <w:rPr>
                <w:sz w:val="1"/>
                <w:szCs w:val="1"/>
                <w:color w:val="auto"/>
              </w:rPr>
            </w:pPr>
          </w:p>
        </w:tc>
      </w:tr>
      <w:tr>
        <w:trPr>
          <w:trHeight w:val="284"/>
        </w:trPr>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6,005</w:t>
            </w:r>
          </w:p>
        </w:tc>
        <w:tc>
          <w:tcPr>
            <w:tcW w:w="1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5/31/2021</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1,187</w:t>
            </w:r>
          </w:p>
        </w:tc>
        <w:tc>
          <w:tcPr>
            <w:tcW w:w="100" w:type="dxa"/>
            <w:vAlign w:val="bottom"/>
          </w:tcPr>
          <w:p>
            <w:pPr>
              <w:spacing w:after="0"/>
              <w:rPr>
                <w:sz w:val="19"/>
                <w:szCs w:val="19"/>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12/4/2021</w:t>
            </w: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1,558</w:t>
            </w:r>
          </w:p>
        </w:tc>
        <w:tc>
          <w:tcPr>
            <w:tcW w:w="100" w:type="dxa"/>
            <w:vAlign w:val="bottom"/>
          </w:tcPr>
          <w:p>
            <w:pPr>
              <w:spacing w:after="0"/>
              <w:rPr>
                <w:sz w:val="22"/>
                <w:szCs w:val="22"/>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 xml:space="preserve">Described below </w:t>
            </w:r>
            <w:r>
              <w:rPr>
                <w:rFonts w:ascii="Times New Roman" w:cs="Times New Roman" w:eastAsia="Times New Roman" w:hAnsi="Times New Roman"/>
                <w:sz w:val="8"/>
                <w:szCs w:val="8"/>
                <w:color w:val="auto"/>
                <w:w w:val="97"/>
              </w:rPr>
              <w:t>(3)</w:t>
            </w: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1,106</w:t>
            </w:r>
          </w:p>
        </w:tc>
        <w:tc>
          <w:tcPr>
            <w:tcW w:w="1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 xml:space="preserve">Described below </w:t>
            </w:r>
            <w:r>
              <w:rPr>
                <w:rFonts w:ascii="Times New Roman" w:cs="Times New Roman" w:eastAsia="Times New Roman" w:hAnsi="Times New Roman"/>
                <w:sz w:val="8"/>
                <w:szCs w:val="8"/>
                <w:color w:val="auto"/>
                <w:w w:val="97"/>
              </w:rPr>
              <w:t>(3)</w:t>
            </w:r>
          </w:p>
        </w:tc>
        <w:tc>
          <w:tcPr>
            <w:tcW w:w="0" w:type="dxa"/>
            <w:vAlign w:val="bottom"/>
          </w:tcPr>
          <w:p>
            <w:pPr>
              <w:spacing w:after="0"/>
              <w:rPr>
                <w:sz w:val="1"/>
                <w:szCs w:val="1"/>
                <w:color w:val="auto"/>
              </w:rPr>
            </w:pPr>
          </w:p>
        </w:tc>
      </w:tr>
      <w:tr>
        <w:trPr>
          <w:trHeight w:val="284"/>
        </w:trPr>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3,542</w:t>
            </w:r>
          </w:p>
        </w:tc>
        <w:tc>
          <w:tcPr>
            <w:tcW w:w="1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 xml:space="preserve">Described below </w:t>
            </w:r>
            <w:r>
              <w:rPr>
                <w:rFonts w:ascii="Times New Roman" w:cs="Times New Roman" w:eastAsia="Times New Roman" w:hAnsi="Times New Roman"/>
                <w:sz w:val="8"/>
                <w:szCs w:val="8"/>
                <w:color w:val="auto"/>
                <w:w w:val="97"/>
              </w:rPr>
              <w:t>(3)</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4,412</w:t>
            </w:r>
          </w:p>
        </w:tc>
        <w:tc>
          <w:tcPr>
            <w:tcW w:w="1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5/31/2024</w:t>
            </w: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3,682</w:t>
            </w:r>
          </w:p>
        </w:tc>
        <w:tc>
          <w:tcPr>
            <w:tcW w:w="1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 xml:space="preserve">Described below </w:t>
            </w:r>
            <w:r>
              <w:rPr>
                <w:rFonts w:ascii="Times New Roman" w:cs="Times New Roman" w:eastAsia="Times New Roman" w:hAnsi="Times New Roman"/>
                <w:sz w:val="8"/>
                <w:szCs w:val="8"/>
                <w:color w:val="auto"/>
                <w:w w:val="97"/>
              </w:rPr>
              <w:t>(4)</w:t>
            </w: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1,539</w:t>
            </w:r>
          </w:p>
        </w:tc>
        <w:tc>
          <w:tcPr>
            <w:tcW w:w="1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5/1/2021</w:t>
            </w: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6/30/2024</w:t>
            </w: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824</w:t>
            </w:r>
          </w:p>
        </w:tc>
        <w:tc>
          <w:tcPr>
            <w:tcW w:w="1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1/1/2023</w:t>
            </w:r>
          </w:p>
        </w:tc>
        <w:tc>
          <w:tcPr>
            <w:tcW w:w="0" w:type="dxa"/>
            <w:vAlign w:val="bottom"/>
          </w:tcPr>
          <w:p>
            <w:pPr>
              <w:spacing w:after="0"/>
              <w:rPr>
                <w:sz w:val="1"/>
                <w:szCs w:val="1"/>
                <w:color w:val="auto"/>
              </w:rPr>
            </w:pPr>
          </w:p>
        </w:tc>
      </w:tr>
      <w:tr>
        <w:trPr>
          <w:trHeight w:val="392"/>
        </w:trPr>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6/1/2021</w:t>
            </w:r>
          </w:p>
        </w:tc>
        <w:tc>
          <w:tcPr>
            <w:tcW w:w="0" w:type="dxa"/>
            <w:vAlign w:val="bottom"/>
          </w:tcPr>
          <w:p>
            <w:pPr>
              <w:spacing w:after="0"/>
              <w:rPr>
                <w:sz w:val="1"/>
                <w:szCs w:val="1"/>
                <w:color w:val="auto"/>
              </w:rPr>
            </w:pPr>
          </w:p>
        </w:tc>
      </w:tr>
      <w:tr>
        <w:trPr>
          <w:trHeight w:val="391"/>
        </w:trPr>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3/31/2022</w:t>
            </w: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318</w:t>
            </w:r>
          </w:p>
        </w:tc>
        <w:tc>
          <w:tcPr>
            <w:tcW w:w="1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4/30/2021</w:t>
            </w:r>
          </w:p>
        </w:tc>
        <w:tc>
          <w:tcPr>
            <w:tcW w:w="0" w:type="dxa"/>
            <w:vAlign w:val="bottom"/>
          </w:tcPr>
          <w:p>
            <w:pPr>
              <w:spacing w:after="0"/>
              <w:rPr>
                <w:sz w:val="1"/>
                <w:szCs w:val="1"/>
                <w:color w:val="auto"/>
              </w:rPr>
            </w:pPr>
          </w:p>
        </w:tc>
      </w:tr>
      <w:tr>
        <w:trPr>
          <w:trHeight w:val="310"/>
        </w:trPr>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1,620</w:t>
            </w:r>
          </w:p>
        </w:tc>
        <w:tc>
          <w:tcPr>
            <w:tcW w:w="1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6/3/2023</w:t>
            </w:r>
          </w:p>
        </w:tc>
        <w:tc>
          <w:tcPr>
            <w:tcW w:w="0" w:type="dxa"/>
            <w:vAlign w:val="bottom"/>
          </w:tcPr>
          <w:p>
            <w:pPr>
              <w:spacing w:after="0"/>
              <w:rPr>
                <w:sz w:val="1"/>
                <w:szCs w:val="1"/>
                <w:color w:val="auto"/>
              </w:rPr>
            </w:pPr>
          </w:p>
        </w:tc>
      </w:tr>
      <w:tr>
        <w:trPr>
          <w:trHeight w:val="253"/>
        </w:trPr>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9,172</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15,019</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15,152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37,403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64,386</w:t>
            </w:r>
          </w:p>
        </w:tc>
        <w:tc>
          <w:tcPr>
            <w:tcW w:w="12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54,724</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51" w:lineRule="exact"/>
        <w:rPr>
          <w:rFonts w:ascii="Times New Roman" w:cs="Times New Roman" w:eastAsia="Times New Roman" w:hAnsi="Times New Roman"/>
          <w:sz w:val="12"/>
          <w:szCs w:val="12"/>
          <w:b w:val="1"/>
          <w:bCs w:val="1"/>
          <w:color w:val="auto"/>
        </w:rPr>
      </w:pPr>
    </w:p>
    <w:p>
      <w:pPr>
        <w:sectPr>
          <w:pgSz w:w="11900" w:h="16838" w:orient="portrait"/>
          <w:cols w:equalWidth="0" w:num="4">
            <w:col w:w="1680" w:space="300"/>
            <w:col w:w="820" w:space="280"/>
            <w:col w:w="2440" w:space="720"/>
            <w:col w:w="4960"/>
          </w:cols>
          <w:pgMar w:left="340" w:top="360" w:right="359" w:bottom="1440" w:gutter="0" w:footer="0" w:header="0"/>
          <w:type w:val="continuous"/>
        </w:sectPr>
      </w:pPr>
    </w:p>
    <w:p>
      <w:pPr>
        <w:spacing w:after="0" w:line="200" w:lineRule="exact"/>
        <w:rPr>
          <w:rFonts w:ascii="Times New Roman" w:cs="Times New Roman" w:eastAsia="Times New Roman" w:hAnsi="Times New Roman"/>
          <w:sz w:val="12"/>
          <w:szCs w:val="12"/>
          <w:b w:val="1"/>
          <w:bCs w:val="1"/>
          <w:color w:val="auto"/>
        </w:rPr>
      </w:pPr>
    </w:p>
    <w:p>
      <w:pPr>
        <w:spacing w:after="0" w:line="200" w:lineRule="exact"/>
        <w:rPr>
          <w:rFonts w:ascii="Times New Roman" w:cs="Times New Roman" w:eastAsia="Times New Roman" w:hAnsi="Times New Roman"/>
          <w:sz w:val="12"/>
          <w:szCs w:val="12"/>
          <w:b w:val="1"/>
          <w:bCs w:val="1"/>
          <w:color w:val="auto"/>
        </w:rPr>
      </w:pPr>
    </w:p>
    <w:p>
      <w:pPr>
        <w:spacing w:after="0" w:line="392" w:lineRule="exact"/>
        <w:rPr>
          <w:rFonts w:ascii="Times New Roman" w:cs="Times New Roman" w:eastAsia="Times New Roman" w:hAnsi="Times New Roman"/>
          <w:sz w:val="12"/>
          <w:szCs w:val="12"/>
          <w:b w:val="1"/>
          <w:bCs w:val="1"/>
          <w:color w:val="auto"/>
        </w:rPr>
      </w:pPr>
    </w:p>
    <w:p>
      <w:pPr>
        <w:ind w:left="440" w:right="100" w:hanging="331"/>
        <w:spacing w:after="0" w:line="249" w:lineRule="auto"/>
        <w:tabs>
          <w:tab w:leader="none" w:pos="4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employees are members of several Boilermaker unions that participate in the Boilermaker-Blacksmith National Pension Trust. The most significant of these unions are Boilermakers Locals 549, 85, 92, 374, 363, and 128, which have collective bargaining agreements that expire on September 30, 2020, April 30, 2021, September 30, 2020, December 31, 2022, December 31, 2020 and April 30, 2022, respectively.</w:t>
      </w:r>
    </w:p>
    <w:p>
      <w:pPr>
        <w:ind w:left="440" w:hanging="331"/>
        <w:spacing w:after="0" w:line="241" w:lineRule="auto"/>
        <w:tabs>
          <w:tab w:leader="none" w:pos="4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Local 164 IBEW Pension Plan, Local 456 IBEW Pension Plan, Indiana Laborers Pension Fund, Local 395 Iron Workers Mid-America Pension Plan, Local 3 Iron Workers Pension Plan of Western Pennsylvania, Iron Workers Pension Plan Local 55, Local 777 Connecticut Plumbers and Pipefitters Pension Fund, Local 50 Northwestern Ohio Plumbers and Pipefitters Pension, and Local 654 IBEW Pension Plan, the Company has not received a funding notification that covers the Company's fiscal year 2020 during the preparation of this Form 10-K.</w:t>
      </w:r>
    </w:p>
    <w:p>
      <w:pPr>
        <w:spacing w:after="0" w:line="1" w:lineRule="exact"/>
        <w:rPr>
          <w:rFonts w:ascii="Times New Roman" w:cs="Times New Roman" w:eastAsia="Times New Roman" w:hAnsi="Times New Roman"/>
          <w:sz w:val="14"/>
          <w:szCs w:val="14"/>
          <w:color w:val="auto"/>
        </w:rPr>
      </w:pPr>
    </w:p>
    <w:p>
      <w:pPr>
        <w:ind w:left="44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Local 55 Iron Workers Pension Plan and Local 654 IBEW Pension Plan, the Company has not received a funding notification that covers the Company's fiscal year 2019 either. Under Federal pension law, if a multiemployer pension plan is determined to be in critical or endangered status, the plan must provide notice of this status to participants, beneficiaries, the bargaining parties, the Pension Benefit Guaranty Corporation, and the Department of Labor. The Company also observed that these plans have not submitted any Critical or Endangered Status Notices to the Department of Labor for calendar years that we have not received notification. The Critical or Endangered Status Notices can be accessed at https://www.dol.gov/agencies/ebsa/about-ebsa/our-activities/public-disclosure/critical-status-notices.</w:t>
      </w:r>
    </w:p>
    <w:p>
      <w:pPr>
        <w:spacing w:after="0" w:line="1" w:lineRule="exact"/>
        <w:rPr>
          <w:rFonts w:ascii="Times New Roman" w:cs="Times New Roman" w:eastAsia="Times New Roman" w:hAnsi="Times New Roman"/>
          <w:sz w:val="14"/>
          <w:szCs w:val="14"/>
          <w:color w:val="auto"/>
        </w:rPr>
      </w:pPr>
    </w:p>
    <w:p>
      <w:pPr>
        <w:ind w:left="420" w:hanging="311"/>
        <w:spacing w:after="0"/>
        <w:tabs>
          <w:tab w:leader="none" w:pos="4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of the filing of this Form 10-K, the Company's collective bargaining agreements have expired for these unions and no new agreements are in place.</w:t>
      </w:r>
    </w:p>
    <w:p>
      <w:pPr>
        <w:spacing w:after="0" w:line="1" w:lineRule="exact"/>
        <w:rPr>
          <w:rFonts w:ascii="Times New Roman" w:cs="Times New Roman" w:eastAsia="Times New Roman" w:hAnsi="Times New Roman"/>
          <w:sz w:val="14"/>
          <w:szCs w:val="14"/>
          <w:color w:val="auto"/>
        </w:rPr>
      </w:pPr>
    </w:p>
    <w:p>
      <w:pPr>
        <w:ind w:left="420" w:hanging="311"/>
        <w:spacing w:after="0"/>
        <w:tabs>
          <w:tab w:leader="none" w:pos="4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collective bargaining agreement with Pipe Fitters Local 597 does not have an expiration date. The agreement was last renegotiated in 2019.</w:t>
      </w:r>
    </w:p>
    <w:p>
      <w:pPr>
        <w:spacing w:after="0" w:line="200" w:lineRule="exact"/>
        <w:rPr>
          <w:rFonts w:ascii="Times New Roman" w:cs="Times New Roman" w:eastAsia="Times New Roman" w:hAnsi="Times New Roman"/>
          <w:sz w:val="12"/>
          <w:szCs w:val="12"/>
          <w:b w:val="1"/>
          <w:bCs w:val="1"/>
          <w:color w:val="auto"/>
        </w:rPr>
      </w:pPr>
    </w:p>
    <w:p>
      <w:pPr>
        <w:spacing w:after="0" w:line="200" w:lineRule="exact"/>
        <w:rPr>
          <w:rFonts w:ascii="Times New Roman" w:cs="Times New Roman" w:eastAsia="Times New Roman" w:hAnsi="Times New Roman"/>
          <w:sz w:val="12"/>
          <w:szCs w:val="12"/>
          <w:b w:val="1"/>
          <w:bCs w:val="1"/>
          <w:color w:val="auto"/>
        </w:rPr>
      </w:pPr>
    </w:p>
    <w:p>
      <w:pPr>
        <w:spacing w:after="0" w:line="200" w:lineRule="exact"/>
        <w:rPr>
          <w:rFonts w:ascii="Times New Roman" w:cs="Times New Roman" w:eastAsia="Times New Roman" w:hAnsi="Times New Roman"/>
          <w:sz w:val="12"/>
          <w:szCs w:val="12"/>
          <w:b w:val="1"/>
          <w:bCs w:val="1"/>
          <w:color w:val="auto"/>
        </w:rPr>
      </w:pPr>
    </w:p>
    <w:p>
      <w:pPr>
        <w:spacing w:after="0" w:line="388" w:lineRule="exact"/>
        <w:rPr>
          <w:rFonts w:ascii="Times New Roman" w:cs="Times New Roman" w:eastAsia="Times New Roman" w:hAnsi="Times New Roman"/>
          <w:sz w:val="12"/>
          <w:szCs w:val="12"/>
          <w:b w:val="1"/>
          <w:bCs w:val="1"/>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Matrix Service Company 2011 Employee Stock Purchase Plan (“ESPP”) was effective January 1, 2011. The ESPP allows employees to purchase shares through payroll deductions and members of the Board of Directors to purchase shares from amounts withheld from their cash retainers. Share purchases are limited to an aggregate market value of no greater than $60,000 per calendar year per participant and are purchased from the Company at the current market value with no discount to the participant. Contributions are with after tax earnings and are accumulated in non-interest bearing accounts for quarterly purchases of company stock. Upon the purchase of shares, the participants receive all stockholder rights including dividend and voting rights, and are permitted to sell their shares at any time. The Company has made 1,000,000 shares available under the ESPP. The ESPP can be terminated at any time at the discretion of the Board of Directors and will automatically terminate on January 2, 2021. Shares are issued from Treasury Stock under the ESPP. There were 20,733 shares issued in fiscal 2020, 15,812 shares in fiscal 2019, and 21,920 shares in fiscal 2018.</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13—Segment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2020, we operated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Electrical Infrastructure segment consists of power delivery services provided to investor owned utilities, including construction of new substations, upgrades of existing substations, short-run transmission line installations, distribution upgrades and maintenance, as well as emergency and storm restoration services. We also provide construction and maintenance services to a variety of power generation facilities, such as combined cycle plants and other natural gas fired power stations.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Oil Gas &amp; Chemical segment serves customers primarily in the downstream and midstream petroleum industries who are engaged in refining crude oil and processing, fractionating, and marketing of natural gas and natural gas liquids. We also perform work in the petrochemical, and sulfur extraction, recovery and processing markets. Our services include plant maintenance, turnarounds, engineering and capital construction. We also offer industrial cleaning services, including hydro-blasting, hydro-excavating, advanced chemical cleaning and vacuum services.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Storage Solutions segment consists of work related to aboveground storage tanks ("AST") and terminals. Also included in this segment are cryogenic and other specialty storage tanks and terminals including liquefied natural gas, liquid nitrogen/liquid oxygen, liquid petroleum and other specialty vessels such as spheres as well as marine structures and truck and rail loading/offloading facilities. Our services include engineering, fabrication and construction, and maintenance and repair, which includes planned and emergency services for both tanks and full terminals. Finally, we offer AST products, including geodesic domes, aluminum internal floating roofs, floating suction and skimmer systems, roof drain systems and floating roof seals.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Process and Industrial Facilities segment includes engineering, maintenance, turnarounds and capital projects for the refining, chemical and petrochemical industries; midstream natural gas processing; other industrial processing facilities including biofuels, fertilizer, and sulfur; mining and minerals infrastructure; and thermal vacuum chambers. This segment is similar to the former Oil Gas &amp; Chemical segment described above, but includes mining and minerals, thermal vacuum chambers, and work in other industrial facilities which were historically reported in the Industrial segment.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changing markets facing our clients and to better align the financial reporting of the Company with our long-term strategic growth areas, we are changing our reporting segments. Beginning in fiscal 2021, the Company’s financial results will be reported under the following three segments: Utility and Power Infrastructure; Process and Industrial Facilities; and Storage and Terminal Solutions. The services provided by each of these segments is described below.</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Utility and Power Infrastructure segment includes services provided in power delivery and power generation, as well as natural gas utility peak shaving. This segment is similar to the former Electrical Infrastructure segment described above, but includes natural gas utility peak shaving facilities that have been historically reported in the Storage Solutions segment.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Process and Industrial Facilities segment includes engineering, maintenance, turnarounds and capital projects for the refining, chemical and petrochemical industries; midstream natural gas processing; other industrial processing facilities including biofuels, fertilizer, and sulfur; mining and minerals infrastructure; and thermal vacuum chambers. This segment is similar to the former Oil Gas &amp; Chemical segment described above, but includes mining and minerals as well as thermal vacuum chambers, which were historically reported in the Industrial segment.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Storage and Terminal Solutions segment includes engineering, construction, maintenance and repair for aboveground storage tanks and terminals; LNG facilities for import/export fueling and bunkering; NGL and other specialty vessels; aboveground storage tank products; and other renewable energy storage and terminal solutions. This segment is similar to the former Storage Solutions segment described above, but does not include the natural gas utility peak shaving facilities, which will be reported as part of the Utility and Power Infrastructure segment.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performance and allocates resources based on operating income. The accounting policies of the reportable segments are the same as those described in the summary of significant accounting policies. Intersegment sales and transfers are recorded at cost; therefore, no intercompany profit or loss is recognized.</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assets consist primarily of accounts receivable, costs and estimated earnings in excess of billings on uncompleted contracts, property, plant and equipment,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Electrical</w:t>
            </w:r>
          </w:p>
        </w:tc>
        <w:tc>
          <w:tcPr>
            <w:tcW w:w="180" w:type="dxa"/>
            <w:vAlign w:val="bottom"/>
          </w:tcPr>
          <w:p>
            <w:pPr>
              <w:spacing w:after="0"/>
              <w:rPr>
                <w:sz w:val="13"/>
                <w:szCs w:val="13"/>
                <w:color w:val="auto"/>
              </w:rPr>
            </w:pP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Oil Gas &amp;</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3"/>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60" w:type="dxa"/>
            <w:vAlign w:val="bottom"/>
          </w:tcPr>
          <w:p>
            <w:pPr>
              <w:spacing w:after="0"/>
              <w:rPr>
                <w:sz w:val="13"/>
                <w:szCs w:val="13"/>
                <w:color w:val="auto"/>
              </w:rPr>
            </w:pPr>
          </w:p>
        </w:tc>
        <w:tc>
          <w:tcPr>
            <w:tcW w:w="11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80" w:type="dxa"/>
            <w:vAlign w:val="bottom"/>
          </w:tcPr>
          <w:p>
            <w:pPr>
              <w:spacing w:after="0"/>
              <w:rPr>
                <w:sz w:val="16"/>
                <w:szCs w:val="16"/>
                <w:color w:val="auto"/>
              </w:rPr>
            </w:pPr>
          </w:p>
        </w:tc>
        <w:tc>
          <w:tcPr>
            <w:tcW w:w="9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June 30, 2020</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112,890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203,404</w:t>
            </w: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562,439</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228,827</w:t>
            </w:r>
          </w:p>
        </w:tc>
        <w:tc>
          <w:tcPr>
            <w:tcW w:w="960" w:type="dxa"/>
            <w:vAlign w:val="bottom"/>
            <w:gridSpan w:val="3"/>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1,107,560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revenue</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112,890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200,950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559,199</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227,899</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1,100,938</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impairments and restructuring</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19,524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(36,625)</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96,010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74,041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203,291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19,957</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124,011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2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June 30, 2019</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217,417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322,065</w:t>
            </w: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524,330</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357,464</w:t>
            </w:r>
          </w:p>
        </w:tc>
        <w:tc>
          <w:tcPr>
            <w:tcW w:w="960" w:type="dxa"/>
            <w:vAlign w:val="bottom"/>
            <w:gridSpan w:val="3"/>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1,421,276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revenue</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217,417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319,867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521,932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357,464</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1,416,680</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131,951</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impairments and restructuring</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37,930</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155,880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91,959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90,336</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106,307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2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June 30, 2018</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255,931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324,546</w:t>
            </w: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319,106</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198,155</w:t>
            </w:r>
          </w:p>
        </w:tc>
        <w:tc>
          <w:tcPr>
            <w:tcW w:w="960" w:type="dxa"/>
            <w:vAlign w:val="bottom"/>
            <w:gridSpan w:val="3"/>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1,097,738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revenue</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255,931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322,772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314,696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198,154</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1,091,553</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91,936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impairments and restructuring</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(10,479)</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111,064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149,695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58,816</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77,251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558,033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Geographical information is as follows: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9"/>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164,056</w:t>
            </w:r>
          </w:p>
        </w:tc>
        <w:tc>
          <w:tcPr>
            <w:tcW w:w="820" w:type="dxa"/>
            <w:vAlign w:val="bottom"/>
            <w:tcBorders>
              <w:bottom w:val="single" w:sz="8" w:color="CCEEFF"/>
            </w:tcBorders>
            <w:gridSpan w:val="3"/>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193,472</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5,659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10,110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12,435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12,502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182,150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57"/>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216,084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987"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987" w:gutter="0" w:footer="0" w:header="0"/>
          <w:type w:val="continuous"/>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Significant Customers: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Significant Customers as a Percentage of Segment Revenue</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Electrical</w:t>
            </w:r>
          </w:p>
        </w:tc>
        <w:tc>
          <w:tcPr>
            <w:tcW w:w="13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Oil Gas &amp;</w:t>
            </w:r>
          </w:p>
        </w:tc>
        <w:tc>
          <w:tcPr>
            <w:tcW w:w="126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Storage</w:t>
            </w:r>
          </w:p>
        </w:tc>
        <w:tc>
          <w:tcPr>
            <w:tcW w:w="11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0" w:type="dxa"/>
            <w:vAlign w:val="bottom"/>
          </w:tcPr>
          <w:p>
            <w:pPr>
              <w:spacing w:after="0"/>
              <w:rPr>
                <w:sz w:val="1"/>
                <w:szCs w:val="1"/>
                <w:color w:val="auto"/>
              </w:rPr>
            </w:pPr>
          </w:p>
        </w:tc>
      </w:tr>
      <w:tr>
        <w:trPr>
          <w:trHeight w:val="194"/>
        </w:trPr>
        <w:tc>
          <w:tcPr>
            <w:tcW w:w="45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June 30, 2020</w:t>
            </w: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one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two</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three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four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five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six</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seven</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eight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nine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ten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eleven</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twelve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thirteen</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June 30, 2019</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one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two</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10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three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four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five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six</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seven</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eight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nine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ten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eleven</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June 30, 2018</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one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two</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1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three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four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0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five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six</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seven</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eight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nine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ten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6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14—Restructuring Costs</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2020, the Company announced a business improvement plan for the Electrical Infrastructure segment and its strategic initiative to exit the domestic iron and steel industry. Planned activities under the business improvement plan and the wind down of the domestic iron and steel industry were expanded in the second half of the year due to lower revenue in fiscal 2020 and uncertainties caused by the COVID-19 pandemic.</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business improvement plan consisted of discretionary cost reductions, workforce reductions and closures of certain offices in order to increase the utilization of the Company's staff and bring the cost structure of the business in line with the near-term revenue expectation. The restructuring costs are primarily comprised of severance and personnel-related costs related to reductions in workforce and impairments of operating lease right-of-use assets, other intangible assets and other fixed assets related to the closure of certain offices. The Company incurred $14.0 million of restructuring costs in fiscal 2020 and has substantially completed its business improvement plan and the wind down of the domestic iron and steel business as of June 30, 2020.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costs incurred are classified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95"/>
        </w:trPr>
        <w:tc>
          <w:tcPr>
            <w:tcW w:w="9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June 30, 2020</w:t>
            </w:r>
          </w:p>
        </w:tc>
      </w:tr>
      <w:tr>
        <w:trPr>
          <w:trHeight w:val="196"/>
        </w:trPr>
        <w:tc>
          <w:tcPr>
            <w:tcW w:w="9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jc w:val="center"/>
              <w:ind w:right="172"/>
              <w:spacing w:after="0"/>
              <w:rPr>
                <w:sz w:val="20"/>
                <w:szCs w:val="20"/>
                <w:color w:val="auto"/>
              </w:rPr>
            </w:pPr>
            <w:r>
              <w:rPr>
                <w:rFonts w:ascii="Times New Roman" w:cs="Times New Roman" w:eastAsia="Times New Roman" w:hAnsi="Times New Roman"/>
                <w:sz w:val="14"/>
                <w:szCs w:val="14"/>
                <w:color w:val="auto"/>
              </w:rPr>
              <w:t>(in thousands)</w:t>
            </w:r>
          </w:p>
        </w:tc>
      </w:tr>
      <w:tr>
        <w:trPr>
          <w:trHeight w:val="255"/>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Electrical Infrastructure</w:t>
            </w:r>
          </w:p>
        </w:tc>
        <w:tc>
          <w:tcPr>
            <w:tcW w:w="2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costs and other benefits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7"/>
        </w:trPr>
        <w:tc>
          <w:tcPr>
            <w:tcW w:w="9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costs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 impairments</w:t>
            </w: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7"/>
        </w:trPr>
        <w:tc>
          <w:tcPr>
            <w:tcW w:w="9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9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Electrical Infrastructure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Oil Gas &amp; Chemical</w:t>
            </w:r>
          </w:p>
        </w:tc>
        <w:tc>
          <w:tcPr>
            <w:tcW w:w="2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9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costs and other benefits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costs</w:t>
            </w: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r>
      <w:tr>
        <w:trPr>
          <w:trHeight w:val="27"/>
        </w:trPr>
        <w:tc>
          <w:tcPr>
            <w:tcW w:w="9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 impairments</w:t>
            </w:r>
          </w:p>
        </w:tc>
        <w:tc>
          <w:tcPr>
            <w:tcW w:w="2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7"/>
        </w:trPr>
        <w:tc>
          <w:tcPr>
            <w:tcW w:w="9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Oil Gas &amp; Chemical</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w:t>
            </w:r>
          </w:p>
        </w:tc>
      </w:tr>
      <w:tr>
        <w:trPr>
          <w:trHeight w:val="27"/>
        </w:trPr>
        <w:tc>
          <w:tcPr>
            <w:tcW w:w="9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Storage Solutions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costs and other benefits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7"/>
        </w:trPr>
        <w:tc>
          <w:tcPr>
            <w:tcW w:w="9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costs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 impairments</w:t>
            </w: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9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Storage Solutions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Industrial</w:t>
            </w:r>
          </w:p>
        </w:tc>
        <w:tc>
          <w:tcPr>
            <w:tcW w:w="2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9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costs and other benefits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w:t>
            </w: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costs</w:t>
            </w: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7"/>
        </w:trPr>
        <w:tc>
          <w:tcPr>
            <w:tcW w:w="9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 impairments</w:t>
            </w:r>
          </w:p>
        </w:tc>
        <w:tc>
          <w:tcPr>
            <w:tcW w:w="2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Industrial</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w:t>
            </w:r>
          </w:p>
        </w:tc>
      </w:tr>
      <w:tr>
        <w:trPr>
          <w:trHeight w:val="27"/>
        </w:trPr>
        <w:tc>
          <w:tcPr>
            <w:tcW w:w="9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89"/>
        </w:trPr>
        <w:tc>
          <w:tcPr>
            <w:tcW w:w="91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14,010</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Costs by Type:</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severance costs and other benefits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w:t>
            </w:r>
          </w:p>
        </w:tc>
      </w:tr>
      <w:tr>
        <w:trPr>
          <w:trHeight w:val="27"/>
        </w:trPr>
        <w:tc>
          <w:tcPr>
            <w:tcW w:w="9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facility costs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intangible asset impairments</w:t>
            </w: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7"/>
        </w:trPr>
        <w:tc>
          <w:tcPr>
            <w:tcW w:w="9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88"/>
        </w:trPr>
        <w:tc>
          <w:tcPr>
            <w:tcW w:w="9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14,010</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79" w:name="page80"/>
    <w:bookmarkEnd w:id="79"/>
    <w:p>
      <w:pPr>
        <w:jc w:val="center"/>
        <w:ind w:left="2800"/>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is a reconciliation of the beginning and ending restructuring reserve balance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June 30, 2019</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Restructuring costs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Non-cash restructuring costs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74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June 30, 2020</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152400</wp:posOffset>
            </wp:positionV>
            <wp:extent cx="7969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319" w:lineRule="exact"/>
        <w:rPr>
          <w:sz w:val="20"/>
          <w:szCs w:val="20"/>
          <w:color w:val="auto"/>
        </w:rPr>
      </w:pPr>
    </w:p>
    <w:p>
      <w:pPr>
        <w:ind w:left="560" w:hanging="309"/>
        <w:spacing w:after="0"/>
        <w:tabs>
          <w:tab w:leader="none" w:pos="5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restructuring reserve is included within other accrued expenses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14,010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(5,215)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(6,392)</w:t>
      </w:r>
    </w:p>
    <w:p>
      <w:pPr>
        <w:spacing w:after="0" w:line="7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2,403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60325</wp:posOffset>
            </wp:positionV>
            <wp:extent cx="13201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ectPr>
          <w:pgSz w:w="11900" w:h="16838" w:orient="portrait"/>
          <w:cols w:equalWidth="0" w:num="2">
            <w:col w:w="8460" w:space="720"/>
            <w:col w:w="2020"/>
          </w:cols>
          <w:pgMar w:left="320" w:top="360" w:right="37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Quarterly Financial Data (Unaudited)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Fiscal Years Ended June 30, 2020 and June 30, 2019</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80" w:type="dxa"/>
            <w:vAlign w:val="bottom"/>
          </w:tcPr>
          <w:p>
            <w:pPr>
              <w:spacing w:after="0"/>
              <w:rPr>
                <w:sz w:val="13"/>
                <w:szCs w:val="13"/>
                <w:color w:val="auto"/>
              </w:rPr>
            </w:pPr>
          </w:p>
        </w:tc>
        <w:tc>
          <w:tcPr>
            <w:tcW w:w="13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60" w:type="dxa"/>
            <w:vAlign w:val="bottom"/>
          </w:tcPr>
          <w:p>
            <w:pPr>
              <w:spacing w:after="0"/>
              <w:rPr>
                <w:sz w:val="13"/>
                <w:szCs w:val="13"/>
                <w:color w:val="auto"/>
              </w:rPr>
            </w:pPr>
          </w:p>
        </w:tc>
        <w:tc>
          <w:tcPr>
            <w:tcW w:w="12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60" w:type="dxa"/>
            <w:vAlign w:val="bottom"/>
          </w:tcPr>
          <w:p>
            <w:pPr>
              <w:spacing w:after="0"/>
              <w:rPr>
                <w:sz w:val="13"/>
                <w:szCs w:val="13"/>
                <w:color w:val="auto"/>
              </w:rPr>
            </w:pPr>
          </w:p>
        </w:tc>
        <w:tc>
          <w:tcPr>
            <w:tcW w:w="11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195"/>
        </w:trPr>
        <w:tc>
          <w:tcPr>
            <w:tcW w:w="5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196"/>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80" w:type="dxa"/>
            <w:vAlign w:val="bottom"/>
            <w:gridSpan w:val="3"/>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2020</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338,097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318,677</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248,327</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195,837</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32,465</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30,001</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20,477</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19,233</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impairments and restructuring costs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38,515</w:t>
            </w:r>
          </w:p>
        </w:tc>
        <w:tc>
          <w:tcPr>
            <w:tcW w:w="3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6,559</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7,451</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8,774</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(31,679)</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6,151</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(28,008)</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0.23</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0.22</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2019</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318,511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340,568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358,887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398,714</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23,421</w:t>
            </w:r>
          </w:p>
        </w:tc>
        <w:tc>
          <w:tcPr>
            <w:tcW w:w="280" w:type="dxa"/>
            <w:vAlign w:val="bottom"/>
          </w:tcPr>
          <w:p>
            <w:pPr>
              <w:spacing w:after="0"/>
              <w:rPr>
                <w:sz w:val="21"/>
                <w:szCs w:val="21"/>
                <w:color w:val="auto"/>
              </w:rPr>
            </w:pP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27,886</w:t>
            </w:r>
          </w:p>
        </w:tc>
        <w:tc>
          <w:tcPr>
            <w:tcW w:w="3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36,906</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43,738</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2,220</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5,527</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12,794</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17,389</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2,305</w:t>
            </w:r>
          </w:p>
        </w:tc>
        <w:tc>
          <w:tcPr>
            <w:tcW w:w="280" w:type="dxa"/>
            <w:vAlign w:val="bottom"/>
          </w:tcPr>
          <w:p>
            <w:pPr>
              <w:spacing w:after="0"/>
              <w:rPr>
                <w:sz w:val="21"/>
                <w:szCs w:val="21"/>
                <w:color w:val="auto"/>
              </w:rPr>
            </w:pP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3,932</w:t>
            </w:r>
          </w:p>
        </w:tc>
        <w:tc>
          <w:tcPr>
            <w:tcW w:w="3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8,933</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12,812</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tcPr>
          <w:p>
            <w:pPr>
              <w:spacing w:after="0"/>
              <w:rPr>
                <w:sz w:val="21"/>
                <w:szCs w:val="21"/>
                <w:color w:val="auto"/>
              </w:rPr>
            </w:pP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0.15</w:t>
            </w:r>
          </w:p>
        </w:tc>
        <w:tc>
          <w:tcPr>
            <w:tcW w:w="3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0.33</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0.14</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0.33</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7"/>
        </w:trPr>
        <w:tc>
          <w:tcPr>
            <w:tcW w:w="5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797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324"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The sum of earnings per share for the four quarters may not equal the total earnings per share for the year due to changes in the average number of common shares outstanding and rounding.</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5"/>
          </w:tcPr>
          <w:p>
            <w:pPr>
              <w:jc w:val="center"/>
              <w:ind w:left="54"/>
              <w:spacing w:after="0"/>
              <w:rPr>
                <w:sz w:val="20"/>
                <w:szCs w:val="20"/>
                <w:color w:val="auto"/>
              </w:rPr>
            </w:pPr>
            <w:r>
              <w:rPr>
                <w:rFonts w:ascii="Times New Roman" w:cs="Times New Roman" w:eastAsia="Times New Roman" w:hAnsi="Times New Roman"/>
                <w:sz w:val="18"/>
                <w:szCs w:val="18"/>
                <w:b w:val="1"/>
                <w:bCs w:val="1"/>
                <w:color w:val="auto"/>
                <w:w w:val="99"/>
              </w:rPr>
              <w:t>Matrix Service Company</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gridSpan w:val="11"/>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Schedule II—Valuation and Qualifying Accounts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gridSpan w:val="10"/>
          </w:tcPr>
          <w:p>
            <w:pPr>
              <w:jc w:val="center"/>
              <w:ind w:left="133"/>
              <w:spacing w:after="0"/>
              <w:rPr>
                <w:sz w:val="20"/>
                <w:szCs w:val="20"/>
                <w:color w:val="auto"/>
              </w:rPr>
            </w:pPr>
            <w:r>
              <w:rPr>
                <w:rFonts w:ascii="Times New Roman" w:cs="Times New Roman" w:eastAsia="Times New Roman" w:hAnsi="Times New Roman"/>
                <w:sz w:val="18"/>
                <w:szCs w:val="18"/>
                <w:b w:val="1"/>
                <w:bCs w:val="1"/>
                <w:color w:val="auto"/>
                <w:w w:val="99"/>
              </w:rPr>
              <w:t>June 30, 2020, June 30, 2019, and June 30, 2018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5"/>
          </w:tcPr>
          <w:p>
            <w:pPr>
              <w:jc w:val="center"/>
              <w:ind w:left="34"/>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7"/>
        </w:trPr>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COL. C</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COL. A</w:t>
            </w:r>
          </w:p>
        </w:tc>
        <w:tc>
          <w:tcPr>
            <w:tcW w:w="12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COL. B</w:t>
            </w:r>
          </w:p>
        </w:tc>
        <w:tc>
          <w:tcPr>
            <w:tcW w:w="120" w:type="dxa"/>
            <w:vAlign w:val="bottom"/>
          </w:tcPr>
          <w:p>
            <w:pPr>
              <w:spacing w:after="0"/>
              <w:rPr>
                <w:sz w:val="18"/>
                <w:szCs w:val="18"/>
                <w:color w:val="auto"/>
              </w:rPr>
            </w:pPr>
          </w:p>
        </w:tc>
        <w:tc>
          <w:tcPr>
            <w:tcW w:w="208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14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COL. D</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COL. E</w:t>
            </w:r>
          </w:p>
        </w:tc>
        <w:tc>
          <w:tcPr>
            <w:tcW w:w="0" w:type="dxa"/>
            <w:vAlign w:val="bottom"/>
          </w:tcPr>
          <w:p>
            <w:pPr>
              <w:spacing w:after="0"/>
              <w:rPr>
                <w:sz w:val="1"/>
                <w:szCs w:val="1"/>
                <w:color w:val="auto"/>
              </w:rPr>
            </w:pPr>
          </w:p>
        </w:tc>
      </w:tr>
      <w:tr>
        <w:trPr>
          <w:trHeight w:val="33"/>
        </w:trPr>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240" w:type="dxa"/>
            <w:vAlign w:val="bottom"/>
            <w:gridSpan w:val="3"/>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24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8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195"/>
        </w:trPr>
        <w:tc>
          <w:tcPr>
            <w:tcW w:w="1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16"/>
                <w:szCs w:val="16"/>
                <w:color w:val="auto"/>
              </w:rPr>
            </w:pPr>
          </w:p>
        </w:tc>
        <w:tc>
          <w:tcPr>
            <w:tcW w:w="11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Describe</w:t>
            </w:r>
          </w:p>
        </w:tc>
        <w:tc>
          <w:tcPr>
            <w:tcW w:w="14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Describe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35"/>
        </w:trPr>
        <w:tc>
          <w:tcPr>
            <w:tcW w:w="34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2020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43"/>
        </w:trPr>
        <w:tc>
          <w:tcPr>
            <w:tcW w:w="34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Valuation reserve for deferred tax assets</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3,062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4,220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4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2019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4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Valuation reserve for deferred tax assets</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4,594</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0" w:type="dxa"/>
            <w:vAlign w:val="bottom"/>
          </w:tcPr>
          <w:p>
            <w:pPr>
              <w:spacing w:after="0"/>
              <w:rPr>
                <w:sz w:val="1"/>
                <w:szCs w:val="1"/>
                <w:color w:val="auto"/>
              </w:rPr>
            </w:pPr>
          </w:p>
        </w:tc>
      </w:tr>
      <w:tr>
        <w:trPr>
          <w:trHeight w:val="237"/>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4,599</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4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2018</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0" w:type="dxa"/>
            <w:vAlign w:val="bottom"/>
          </w:tcPr>
          <w:p>
            <w:pPr>
              <w:spacing w:after="0"/>
              <w:rPr>
                <w:sz w:val="1"/>
                <w:szCs w:val="1"/>
                <w:color w:val="auto"/>
              </w:rPr>
            </w:pPr>
          </w:p>
        </w:tc>
      </w:tr>
      <w:tr>
        <w:trPr>
          <w:trHeight w:val="243"/>
        </w:trPr>
        <w:tc>
          <w:tcPr>
            <w:tcW w:w="34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Valuation reserve for deferred tax assets</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4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260" w:type="dxa"/>
            <w:vAlign w:val="bottom"/>
            <w:tcBorders>
              <w:bottom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580" w:hanging="329"/>
        <w:spacing w:after="0" w:line="253" w:lineRule="auto"/>
        <w:tabs>
          <w:tab w:leader="none" w:pos="577"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a $0.6 million reserve that was recognized as bad debt expense and ultimately settled and written off within fiscal 2020 and $0.3 million of payments received on a balance that was fully reserved.</w:t>
      </w:r>
    </w:p>
    <w:p>
      <w:pPr>
        <w:ind w:left="560" w:hanging="309"/>
        <w:spacing w:after="0"/>
        <w:tabs>
          <w:tab w:leader="none" w:pos="5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foreign currency exchange rate differences for the portion of the valuation allowance on net operating loss and tax credit carryforwards in foreign jurisdictions.</w:t>
      </w:r>
    </w:p>
    <w:p>
      <w:pPr>
        <w:spacing w:after="0" w:line="1"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a $5.2 million reversal of a previous reserved account receivable balance that was fully settled with an agreement with the customer.</w:t>
      </w:r>
    </w:p>
    <w:p>
      <w:pPr>
        <w:spacing w:after="0" w:line="1" w:lineRule="exact"/>
        <w:rPr>
          <w:rFonts w:ascii="Times New Roman" w:cs="Times New Roman" w:eastAsia="Times New Roman" w:hAnsi="Times New Roman"/>
          <w:sz w:val="14"/>
          <w:szCs w:val="14"/>
          <w:color w:val="auto"/>
        </w:rPr>
      </w:pPr>
    </w:p>
    <w:p>
      <w:pPr>
        <w:ind w:left="580" w:right="40" w:hanging="329"/>
        <w:spacing w:after="0" w:line="241" w:lineRule="auto"/>
        <w:tabs>
          <w:tab w:leader="none" w:pos="577"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the deferred tax asset of $0.8 million created by a stock-based compensation award with a market condition that was fully reserved in fiscal 2018. In fiscal 2019, upon the final determination that the award would not vest, the Company wrote off the deferred tax asset against the reserve. The remaining balance relates to $0.5 million of fully reserved tax credits that expired in fiscal 2019.</w:t>
      </w:r>
    </w:p>
    <w:p>
      <w:pPr>
        <w:spacing w:after="0" w:line="1"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the reversal of reserved account receivable that was fully settled with cash and future backlog.</w:t>
      </w:r>
    </w:p>
    <w:p>
      <w:pPr>
        <w:spacing w:after="0" w:line="1" w:lineRule="exact"/>
        <w:rPr>
          <w:rFonts w:ascii="Times New Roman" w:cs="Times New Roman" w:eastAsia="Times New Roman" w:hAnsi="Times New Roman"/>
          <w:sz w:val="14"/>
          <w:szCs w:val="14"/>
          <w:color w:val="auto"/>
        </w:rPr>
      </w:pPr>
    </w:p>
    <w:p>
      <w:pPr>
        <w:ind w:left="580" w:hanging="329"/>
        <w:spacing w:after="0" w:line="258" w:lineRule="auto"/>
        <w:tabs>
          <w:tab w:leader="none" w:pos="567"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$0.8 million of stock-based compensation expense recognized in fiscal 2018 that was not deductible for tax purposes due to not meeting a market condition vesting requirement and to $0.3 million of foreign tax credits that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380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June 30, 2020. Based on the foregoing, our Chief Executive Officer and Chief Financial Officer concluded that our disclosure controls and procedures were effective at the reasonable assurance level at June 30, 2020.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“Management’s Report on Internal Control over Financial Reporting” set forth in Item 8, Financial Statements and Supplementary Data of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during the fourth quarter of fiscal 2020 that materially affected, or are reasonably likely to materially affect, our internal control over financial reporting despite the fact that many of our employees worked remotely due to the COVID-19 pandemic. We are continually monitoring and assessing the effects of the pandemic on our internal controls to minimize the impact to their design and operating effectiveness.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with respect to the Company’s directors and corporate governance is incorporated herein by reference to the sections entitled “Proposal Number 1: Election of Directors” and “Corporate Governance and Board Matters” in the Company’s definitive Proxy Statement for the 2020 Annual Meeting of Stockholders (“Proxy Statement”). The information required by this item with respect to the Company’s executive officers is incorporated herein by reference to the section entitled “Executive Officer Information” in the Proxy Statement.</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adopted a Code of Business Conduct and Ethics applicable to all directors, officers and employees, including the principal executive officer, principal financial officer and principal accounting officer of the Company. In addition, we have adopted Corporate Governance Guidelines for the Board of Directors and Charters for the Audit, Compensation and Nominating and Corporate Governance Committees of the Board of Directors. The current version of these corporate governance documents is publicly available in the “Investors” section of the Company’s website at </w:t>
      </w:r>
      <w:r>
        <w:rPr>
          <w:rFonts w:ascii="Times New Roman" w:cs="Times New Roman" w:eastAsia="Times New Roman" w:hAnsi="Times New Roman"/>
          <w:sz w:val="18"/>
          <w:szCs w:val="18"/>
          <w:u w:val="single" w:color="auto"/>
          <w:color w:val="auto"/>
        </w:rPr>
        <w:t>matrixservicecompany.com</w:t>
      </w:r>
      <w:r>
        <w:rPr>
          <w:rFonts w:ascii="Times New Roman" w:cs="Times New Roman" w:eastAsia="Times New Roman" w:hAnsi="Times New Roman"/>
          <w:sz w:val="18"/>
          <w:szCs w:val="18"/>
          <w:color w:val="auto"/>
        </w:rPr>
        <w:t xml:space="preserve"> under “Corporate Governance.” If we make any substantive amendments to the Code of Business Conduct and Ethics, or grant any waivers, including implicit waivers, from the Code of Business Conduct and Ethics applicable to the principal executive officer, principal financial officer or principal accounting officer, or any person performing similar functions, we will disclose such amendment or waiver on our website or in a report on Form 8-K.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“Director Compensation,” "Compensation Discussion and Analysis" and “Executive Officer Compensation” in the Proxy Statement.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“Securities Authorized for Issuance Under Executive Compensation Plans” and “Security Ownership of Certain Beneficial Owners and Management” in the Proxy Statement.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"Corporate Governance and Board Matters" and “Certain Relationships and Related Transactions” in the Proxy Statement.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“Fees of Independent Registered Public Accounting Firm” and “Audit Committee Pre-Approval Policy” in the Proxy Statement.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(1) Financial Statements of the Company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statements and supplementary data are filed as a part of this report under “Item 8—Financial Statements and Supplementary Data” in this Annual Report on Form 10-K:</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Financial Statements of the Company</w:t>
            </w:r>
          </w:p>
        </w:tc>
        <w:tc>
          <w:tcPr>
            <w:tcW w:w="1100" w:type="dxa"/>
            <w:vAlign w:val="bottom"/>
          </w:tcPr>
          <w:p>
            <w:pPr>
              <w:spacing w:after="0"/>
              <w:rPr>
                <w:sz w:val="20"/>
                <w:szCs w:val="20"/>
                <w:color w:val="auto"/>
              </w:rPr>
            </w:pPr>
          </w:p>
        </w:tc>
      </w:tr>
      <w:tr>
        <w:trPr>
          <w:trHeight w:val="311"/>
        </w:trPr>
        <w:tc>
          <w:tcPr>
            <w:tcW w:w="320" w:type="dxa"/>
            <w:vAlign w:val="bottom"/>
          </w:tcPr>
          <w:p>
            <w:pPr>
              <w:spacing w:after="0"/>
              <w:rPr>
                <w:sz w:val="24"/>
                <w:szCs w:val="24"/>
                <w:color w:val="auto"/>
              </w:rPr>
            </w:pPr>
          </w:p>
        </w:tc>
        <w:tc>
          <w:tcPr>
            <w:tcW w:w="9740" w:type="dxa"/>
            <w:vAlign w:val="bottom"/>
            <w:gridSpan w:val="8"/>
          </w:tcPr>
          <w:p>
            <w:pPr>
              <w:ind w:left="20"/>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Management’s Report on Internal Control Over Financial Reporting</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42</w:t>
              </w:r>
            </w:hyperlink>
          </w:p>
        </w:tc>
      </w:tr>
      <w:tr>
        <w:trPr>
          <w:trHeight w:val="243"/>
        </w:trPr>
        <w:tc>
          <w:tcPr>
            <w:tcW w:w="320" w:type="dxa"/>
            <w:vAlign w:val="bottom"/>
          </w:tcPr>
          <w:p>
            <w:pPr>
              <w:spacing w:after="0"/>
              <w:rPr>
                <w:sz w:val="21"/>
                <w:szCs w:val="21"/>
                <w:color w:val="auto"/>
              </w:rPr>
            </w:pPr>
          </w:p>
        </w:tc>
        <w:tc>
          <w:tcPr>
            <w:tcW w:w="97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 (Deloitte &amp; Touche LLP)</w:t>
            </w:r>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43</w:t>
              </w:r>
            </w:hyperlink>
          </w:p>
        </w:tc>
      </w:tr>
      <w:tr>
        <w:trPr>
          <w:trHeight w:val="20"/>
        </w:trPr>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320" w:type="dxa"/>
            <w:vAlign w:val="bottom"/>
          </w:tcPr>
          <w:p>
            <w:pPr>
              <w:spacing w:after="0"/>
              <w:rPr>
                <w:sz w:val="24"/>
                <w:szCs w:val="24"/>
                <w:color w:val="auto"/>
              </w:rPr>
            </w:pPr>
          </w:p>
        </w:tc>
        <w:tc>
          <w:tcPr>
            <w:tcW w:w="9740" w:type="dxa"/>
            <w:vAlign w:val="bottom"/>
            <w:gridSpan w:val="8"/>
          </w:tcPr>
          <w:p>
            <w:pPr>
              <w:ind w:left="20"/>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Consolidated Statements of Income for the Fiscal Years Ended June 30, 2020, June 30, 2019 and June 30, 2018</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45</w:t>
              </w:r>
            </w:hyperlink>
          </w:p>
        </w:tc>
      </w:tr>
      <w:tr>
        <w:trPr>
          <w:trHeight w:val="243"/>
        </w:trPr>
        <w:tc>
          <w:tcPr>
            <w:tcW w:w="320" w:type="dxa"/>
            <w:vAlign w:val="bottom"/>
          </w:tcPr>
          <w:p>
            <w:pPr>
              <w:spacing w:after="0"/>
              <w:rPr>
                <w:sz w:val="21"/>
                <w:szCs w:val="21"/>
                <w:color w:val="auto"/>
              </w:rPr>
            </w:pPr>
          </w:p>
        </w:tc>
        <w:tc>
          <w:tcPr>
            <w:tcW w:w="9740" w:type="dxa"/>
            <w:vAlign w:val="bottom"/>
            <w:gridSpan w:val="8"/>
          </w:tcPr>
          <w:p>
            <w:pPr>
              <w:ind w:left="20"/>
              <w:spacing w:after="0"/>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u w:val="single" w:color="auto"/>
                  <w:color w:val="0000FF"/>
                </w:rPr>
                <w:t>Consolidated Statements of Comprehensive Income for the Fiscal Years Ended June 30, 2020, June 30, 2019</w:t>
              </w:r>
              <w:r>
                <w:rPr>
                  <w:rFonts w:ascii="Times New Roman" w:cs="Times New Roman" w:eastAsia="Times New Roman" w:hAnsi="Times New Roman"/>
                  <w:sz w:val="18"/>
                  <w:szCs w:val="18"/>
                  <w:color w:val="0000FF"/>
                </w:rPr>
                <w:t xml:space="preserve"> and June 30,</w:t>
              </w:r>
            </w:hyperlink>
          </w:p>
        </w:tc>
        <w:tc>
          <w:tcPr>
            <w:tcW w:w="1100" w:type="dxa"/>
            <w:vAlign w:val="bottom"/>
          </w:tcPr>
          <w:p>
            <w:pPr>
              <w:spacing w:after="0"/>
              <w:rPr>
                <w:sz w:val="21"/>
                <w:szCs w:val="21"/>
                <w:color w:val="auto"/>
              </w:rPr>
            </w:pPr>
          </w:p>
        </w:tc>
      </w:tr>
      <w:tr>
        <w:trPr>
          <w:trHeight w:val="156"/>
        </w:trPr>
        <w:tc>
          <w:tcPr>
            <w:tcW w:w="320" w:type="dxa"/>
            <w:vAlign w:val="bottom"/>
          </w:tcPr>
          <w:p>
            <w:pPr>
              <w:spacing w:after="0"/>
              <w:rPr>
                <w:sz w:val="13"/>
                <w:szCs w:val="13"/>
                <w:color w:val="auto"/>
              </w:rPr>
            </w:pPr>
          </w:p>
        </w:tc>
        <w:tc>
          <w:tcPr>
            <w:tcW w:w="920" w:type="dxa"/>
            <w:vAlign w:val="bottom"/>
            <w:gridSpan w:val="2"/>
          </w:tcPr>
          <w:p>
            <w:pPr>
              <w:ind w:left="20"/>
              <w:spacing w:after="0" w:line="156" w:lineRule="exact"/>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2018</w:t>
              </w:r>
            </w:hyperlink>
          </w:p>
        </w:tc>
        <w:tc>
          <w:tcPr>
            <w:tcW w:w="5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jc w:val="right"/>
              <w:spacing w:after="0" w:line="156" w:lineRule="exact"/>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46</w:t>
              </w:r>
            </w:hyperlink>
          </w:p>
        </w:tc>
      </w:tr>
      <w:tr>
        <w:trPr>
          <w:trHeight w:val="20"/>
        </w:trPr>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320" w:type="dxa"/>
            <w:vAlign w:val="bottom"/>
          </w:tcPr>
          <w:p>
            <w:pPr>
              <w:spacing w:after="0"/>
              <w:rPr>
                <w:sz w:val="24"/>
                <w:szCs w:val="24"/>
                <w:color w:val="auto"/>
              </w:rPr>
            </w:pPr>
          </w:p>
        </w:tc>
        <w:tc>
          <w:tcPr>
            <w:tcW w:w="9740" w:type="dxa"/>
            <w:vAlign w:val="bottom"/>
            <w:gridSpan w:val="8"/>
          </w:tcPr>
          <w:p>
            <w:pPr>
              <w:ind w:left="20"/>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Consolidated Balance Sheets as of June 30, 2020 and June 30, 2019</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47</w:t>
              </w:r>
            </w:hyperlink>
          </w:p>
        </w:tc>
      </w:tr>
      <w:tr>
        <w:trPr>
          <w:trHeight w:val="283"/>
        </w:trPr>
        <w:tc>
          <w:tcPr>
            <w:tcW w:w="320" w:type="dxa"/>
            <w:vAlign w:val="bottom"/>
          </w:tcPr>
          <w:p>
            <w:pPr>
              <w:spacing w:after="0"/>
              <w:rPr>
                <w:sz w:val="24"/>
                <w:szCs w:val="24"/>
                <w:color w:val="auto"/>
              </w:rPr>
            </w:pPr>
          </w:p>
        </w:tc>
        <w:tc>
          <w:tcPr>
            <w:tcW w:w="9740" w:type="dxa"/>
            <w:vAlign w:val="bottom"/>
            <w:gridSpan w:val="8"/>
          </w:tcPr>
          <w:p>
            <w:pPr>
              <w:ind w:left="2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Consolidated Statements of Cash Flows for the Fiscal Years Ended June 30, 2020, June 30, 2019 and June 30, 2018</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49</w:t>
              </w:r>
            </w:hyperlink>
          </w:p>
        </w:tc>
      </w:tr>
      <w:tr>
        <w:trPr>
          <w:trHeight w:val="243"/>
        </w:trPr>
        <w:tc>
          <w:tcPr>
            <w:tcW w:w="320" w:type="dxa"/>
            <w:vAlign w:val="bottom"/>
          </w:tcPr>
          <w:p>
            <w:pPr>
              <w:spacing w:after="0"/>
              <w:rPr>
                <w:sz w:val="21"/>
                <w:szCs w:val="21"/>
                <w:color w:val="auto"/>
              </w:rPr>
            </w:pPr>
          </w:p>
        </w:tc>
        <w:tc>
          <w:tcPr>
            <w:tcW w:w="9740" w:type="dxa"/>
            <w:vAlign w:val="bottom"/>
            <w:gridSpan w:val="8"/>
          </w:tcPr>
          <w:p>
            <w:pPr>
              <w:ind w:left="20"/>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u w:val="single" w:color="auto"/>
                  <w:color w:val="0000FF"/>
                </w:rPr>
                <w:t>Consolidated Statements of Changes in Stockholders’ Equity for the Fiscal Years Ended June 30, 2020, June 30,</w:t>
              </w:r>
              <w:r>
                <w:rPr>
                  <w:rFonts w:ascii="Times New Roman" w:cs="Times New Roman" w:eastAsia="Times New Roman" w:hAnsi="Times New Roman"/>
                  <w:sz w:val="18"/>
                  <w:szCs w:val="18"/>
                  <w:color w:val="0000FF"/>
                </w:rPr>
                <w:t xml:space="preserve"> 2019 and</w:t>
              </w:r>
            </w:hyperlink>
          </w:p>
        </w:tc>
        <w:tc>
          <w:tcPr>
            <w:tcW w:w="1100" w:type="dxa"/>
            <w:vAlign w:val="bottom"/>
          </w:tcPr>
          <w:p>
            <w:pPr>
              <w:spacing w:after="0"/>
              <w:rPr>
                <w:sz w:val="21"/>
                <w:szCs w:val="21"/>
                <w:color w:val="auto"/>
              </w:rPr>
            </w:pPr>
          </w:p>
        </w:tc>
      </w:tr>
      <w:tr>
        <w:trPr>
          <w:trHeight w:val="155"/>
        </w:trPr>
        <w:tc>
          <w:tcPr>
            <w:tcW w:w="320" w:type="dxa"/>
            <w:vAlign w:val="bottom"/>
          </w:tcPr>
          <w:p>
            <w:pPr>
              <w:spacing w:after="0"/>
              <w:rPr>
                <w:sz w:val="13"/>
                <w:szCs w:val="13"/>
                <w:color w:val="auto"/>
              </w:rPr>
            </w:pPr>
          </w:p>
        </w:tc>
        <w:tc>
          <w:tcPr>
            <w:tcW w:w="8400" w:type="dxa"/>
            <w:vAlign w:val="bottom"/>
            <w:gridSpan w:val="5"/>
          </w:tcPr>
          <w:p>
            <w:pPr>
              <w:ind w:left="20"/>
              <w:spacing w:after="0" w:line="156" w:lineRule="exact"/>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June 30, 201</w:t>
              </w:r>
              <w:r>
                <w:rPr>
                  <w:rFonts w:ascii="Times New Roman" w:cs="Times New Roman" w:eastAsia="Times New Roman" w:hAnsi="Times New Roman"/>
                  <w:sz w:val="18"/>
                  <w:szCs w:val="18"/>
                  <w:u w:val="single" w:color="auto"/>
                  <w:color w:val="0000FF"/>
                </w:rPr>
                <w:t>8</w:t>
              </w:r>
            </w:hyperlink>
          </w:p>
        </w:tc>
        <w:tc>
          <w:tcPr>
            <w:tcW w:w="400" w:type="dxa"/>
            <w:vAlign w:val="bottom"/>
            <w:tcBorders>
              <w:top w:val="single" w:sz="8" w:color="0000FF"/>
            </w:tcBorders>
            <w:gridSpan w:val="2"/>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jc w:val="right"/>
              <w:spacing w:after="0" w:line="156" w:lineRule="exact"/>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51</w:t>
              </w:r>
            </w:hyperlink>
          </w:p>
        </w:tc>
      </w:tr>
      <w:tr>
        <w:trPr>
          <w:trHeight w:val="20"/>
        </w:trPr>
        <w:tc>
          <w:tcPr>
            <w:tcW w:w="3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82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320" w:type="dxa"/>
            <w:vAlign w:val="bottom"/>
          </w:tcPr>
          <w:p>
            <w:pPr>
              <w:spacing w:after="0"/>
              <w:rPr>
                <w:sz w:val="24"/>
                <w:szCs w:val="24"/>
                <w:color w:val="auto"/>
              </w:rPr>
            </w:pPr>
          </w:p>
        </w:tc>
        <w:tc>
          <w:tcPr>
            <w:tcW w:w="9740" w:type="dxa"/>
            <w:vAlign w:val="bottom"/>
            <w:gridSpan w:val="8"/>
          </w:tcPr>
          <w:p>
            <w:pPr>
              <w:ind w:left="20"/>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Notes to Consolidated Financial Statements</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52</w:t>
              </w:r>
            </w:hyperlink>
          </w:p>
        </w:tc>
      </w:tr>
      <w:tr>
        <w:trPr>
          <w:trHeight w:val="283"/>
        </w:trPr>
        <w:tc>
          <w:tcPr>
            <w:tcW w:w="10060" w:type="dxa"/>
            <w:vAlign w:val="bottom"/>
            <w:gridSpan w:val="9"/>
          </w:tcPr>
          <w:p>
            <w:pPr>
              <w:spacing w:after="0"/>
              <w:rPr>
                <w:rFonts w:ascii="Times New Roman" w:cs="Times New Roman" w:eastAsia="Times New Roman" w:hAnsi="Times New Roman"/>
                <w:sz w:val="18"/>
                <w:szCs w:val="18"/>
                <w:u w:val="single" w:color="auto"/>
                <w:color w:val="0000FF"/>
              </w:rPr>
            </w:pPr>
            <w:hyperlink w:anchor="page80">
              <w:r>
                <w:rPr>
                  <w:rFonts w:ascii="Times New Roman" w:cs="Times New Roman" w:eastAsia="Times New Roman" w:hAnsi="Times New Roman"/>
                  <w:sz w:val="18"/>
                  <w:szCs w:val="18"/>
                  <w:u w:val="single" w:color="auto"/>
                  <w:color w:val="0000FF"/>
                </w:rPr>
                <w:t>Quarterly Financial Data (Unaudited)</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80">
              <w:r>
                <w:rPr>
                  <w:rFonts w:ascii="Times New Roman" w:cs="Times New Roman" w:eastAsia="Times New Roman" w:hAnsi="Times New Roman"/>
                  <w:sz w:val="18"/>
                  <w:szCs w:val="18"/>
                  <w:u w:val="single" w:color="auto"/>
                  <w:color w:val="0000FF"/>
                </w:rPr>
                <w:t>80</w:t>
              </w:r>
            </w:hyperlink>
          </w:p>
        </w:tc>
      </w:tr>
      <w:tr>
        <w:trPr>
          <w:trHeight w:val="283"/>
        </w:trPr>
        <w:tc>
          <w:tcPr>
            <w:tcW w:w="10060" w:type="dxa"/>
            <w:vAlign w:val="bottom"/>
            <w:gridSpan w:val="9"/>
          </w:tcPr>
          <w:p>
            <w:pPr>
              <w:spacing w:after="0"/>
              <w:rPr>
                <w:rFonts w:ascii="Times New Roman" w:cs="Times New Roman" w:eastAsia="Times New Roman" w:hAnsi="Times New Roman"/>
                <w:sz w:val="18"/>
                <w:szCs w:val="18"/>
                <w:u w:val="single" w:color="auto"/>
                <w:color w:val="0000FF"/>
              </w:rPr>
            </w:pPr>
            <w:hyperlink w:anchor="page81">
              <w:r>
                <w:rPr>
                  <w:rFonts w:ascii="Times New Roman" w:cs="Times New Roman" w:eastAsia="Times New Roman" w:hAnsi="Times New Roman"/>
                  <w:sz w:val="18"/>
                  <w:szCs w:val="18"/>
                  <w:u w:val="single" w:color="auto"/>
                  <w:color w:val="0000FF"/>
                </w:rPr>
                <w:t>Schedule II—Valuation and Qualifying Accounts</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81">
              <w:r>
                <w:rPr>
                  <w:rFonts w:ascii="Times New Roman" w:cs="Times New Roman" w:eastAsia="Times New Roman" w:hAnsi="Times New Roman"/>
                  <w:sz w:val="18"/>
                  <w:szCs w:val="18"/>
                  <w:u w:val="single" w:color="auto"/>
                  <w:color w:val="0000FF"/>
                </w:rPr>
                <w:t>81</w:t>
              </w:r>
            </w:hyperlink>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financial statement schedule is filed as a part of this report under Schedule II—Valuation and Qualifying Accounts June 30, 2020, June 30, 2019 and June 30, 2018, immediately following Quarterly Financial Data (Unaudited). All other schedules are omitted because they are not applicable or the required information is shown in the financial statements, or notes thereto, included herein.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170"/>
        <w:spacing w:after="0" w:line="286" w:lineRule="auto"/>
        <w:tabs>
          <w:tab w:leader="none" w:pos="417"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following documents are included as exhibits to this Annual Report on Form 10-K. The exhibits below incorporated by reference herein are indicated as such by the information supplied in the parenthetical hereafter.</w:t>
      </w:r>
    </w:p>
    <w:p>
      <w:pPr>
        <w:spacing w:after="0" w:line="91" w:lineRule="exact"/>
        <w:rPr>
          <w:sz w:val="20"/>
          <w:szCs w:val="20"/>
          <w:color w:val="auto"/>
        </w:rPr>
      </w:pPr>
    </w:p>
    <w:p>
      <w:pPr>
        <w:ind w:left="1240" w:right="260" w:hanging="435"/>
        <w:spacing w:after="0" w:line="237" w:lineRule="auto"/>
        <w:tabs>
          <w:tab w:leader="none" w:pos="12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3.1</w:t>
      </w:r>
      <w:r>
        <w:rPr>
          <w:sz w:val="20"/>
          <w:szCs w:val="20"/>
          <w:color w:val="auto"/>
        </w:rPr>
        <w:tab/>
      </w:r>
      <w:hyperlink r:id="rId132">
        <w:r>
          <w:rPr>
            <w:rFonts w:ascii="Times New Roman" w:cs="Times New Roman" w:eastAsia="Times New Roman" w:hAnsi="Times New Roman"/>
            <w:sz w:val="18"/>
            <w:szCs w:val="18"/>
            <w:u w:val="single" w:color="auto"/>
            <w:color w:val="0000FF"/>
          </w:rPr>
          <w:t>Amended and Restated Certificate of Incorporation of Matrix Service Company (Appendix A to the Company's Proxy Statement filed</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October 7, 2016 (File No. 1-15461)</w:t>
        </w:r>
        <w:r>
          <w:rPr>
            <w:rFonts w:ascii="Times New Roman" w:cs="Times New Roman" w:eastAsia="Times New Roman" w:hAnsi="Times New Roman"/>
            <w:sz w:val="18"/>
            <w:szCs w:val="18"/>
            <w:color w:val="000000"/>
          </w:rPr>
          <w:t>.</w:t>
        </w:r>
      </w:hyperlink>
    </w:p>
    <w:p>
      <w:pPr>
        <w:spacing w:after="0" w:line="50" w:lineRule="exact"/>
        <w:rPr>
          <w:sz w:val="20"/>
          <w:szCs w:val="20"/>
          <w:color w:val="auto"/>
        </w:rPr>
      </w:pPr>
    </w:p>
    <w:p>
      <w:pPr>
        <w:ind w:left="1240" w:right="300" w:hanging="435"/>
        <w:spacing w:after="0" w:line="237" w:lineRule="auto"/>
        <w:tabs>
          <w:tab w:leader="none" w:pos="12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3.2</w:t>
      </w:r>
      <w:r>
        <w:rPr>
          <w:sz w:val="20"/>
          <w:szCs w:val="20"/>
          <w:color w:val="auto"/>
        </w:rPr>
        <w:tab/>
      </w:r>
      <w:hyperlink r:id="rId133">
        <w:r>
          <w:rPr>
            <w:rFonts w:ascii="Times New Roman" w:cs="Times New Roman" w:eastAsia="Times New Roman" w:hAnsi="Times New Roman"/>
            <w:sz w:val="18"/>
            <w:szCs w:val="18"/>
            <w:u w:val="single" w:color="auto"/>
            <w:color w:val="0000FF"/>
          </w:rPr>
          <w:t>Certification of Designations, Preferences and Rights of Series B Junior Preferred Stock dated November 12, 1999 (Exhibit 3.2 to the</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Company’s Registration Statement on Form S-3 (File No. 333-117077) filed July 1, 2004</w:t>
        </w:r>
        <w:r>
          <w:rPr>
            <w:rFonts w:ascii="Times New Roman" w:cs="Times New Roman" w:eastAsia="Times New Roman" w:hAnsi="Times New Roman"/>
            <w:sz w:val="18"/>
            <w:szCs w:val="18"/>
            <w:color w:val="000000"/>
          </w:rPr>
          <w:t>.</w:t>
        </w:r>
      </w:hyperlink>
    </w:p>
    <w:p>
      <w:pPr>
        <w:spacing w:after="0" w:line="50" w:lineRule="exact"/>
        <w:rPr>
          <w:sz w:val="20"/>
          <w:szCs w:val="20"/>
          <w:color w:val="auto"/>
        </w:rPr>
      </w:pPr>
    </w:p>
    <w:p>
      <w:pPr>
        <w:ind w:left="1240" w:right="40" w:hanging="435"/>
        <w:spacing w:after="0" w:line="226" w:lineRule="auto"/>
        <w:tabs>
          <w:tab w:leader="none" w:pos="12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3.3</w:t>
      </w:r>
      <w:r>
        <w:rPr>
          <w:sz w:val="20"/>
          <w:szCs w:val="20"/>
          <w:color w:val="auto"/>
        </w:rPr>
        <w:tab/>
      </w:r>
      <w:hyperlink r:id="rId134">
        <w:r>
          <w:rPr>
            <w:rFonts w:ascii="Times New Roman" w:cs="Times New Roman" w:eastAsia="Times New Roman" w:hAnsi="Times New Roman"/>
            <w:sz w:val="18"/>
            <w:szCs w:val="18"/>
            <w:u w:val="single" w:color="auto"/>
            <w:color w:val="0000FF"/>
          </w:rPr>
          <w:t>Certificate of Increase of Authorized Number of Shares of Series B Junior Participating Preferred Stock pursuant to Section 151 of the</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General Corporation Law of the State of Delaware dated July 11, 2005 (Exhibit 3.5 to the Company’s Annual Report on Form 10-K (File</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No. 1-15461) filed August 17, 2005)</w:t>
        </w:r>
        <w:r>
          <w:rPr>
            <w:rFonts w:ascii="Times New Roman" w:cs="Times New Roman" w:eastAsia="Times New Roman" w:hAnsi="Times New Roman"/>
            <w:sz w:val="18"/>
            <w:szCs w:val="18"/>
            <w:color w:val="000000"/>
          </w:rPr>
          <w:t>.</w:t>
        </w:r>
      </w:hyperlink>
    </w:p>
    <w:p>
      <w:pPr>
        <w:spacing w:after="0" w:line="50" w:lineRule="exact"/>
        <w:rPr>
          <w:rFonts w:ascii="Times New Roman" w:cs="Times New Roman" w:eastAsia="Times New Roman" w:hAnsi="Times New Roman"/>
          <w:sz w:val="18"/>
          <w:szCs w:val="18"/>
          <w:u w:val="single" w:color="auto"/>
          <w:color w:val="0000FF"/>
        </w:rPr>
      </w:pPr>
    </w:p>
    <w:p>
      <w:pPr>
        <w:ind w:left="1240" w:right="140" w:hanging="435"/>
        <w:spacing w:after="0" w:line="226" w:lineRule="auto"/>
        <w:tabs>
          <w:tab w:leader="none" w:pos="12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3.4</w:t>
      </w:r>
      <w:r>
        <w:rPr>
          <w:sz w:val="20"/>
          <w:szCs w:val="20"/>
          <w:color w:val="auto"/>
        </w:rPr>
        <w:tab/>
      </w:r>
      <w:hyperlink r:id="rId135">
        <w:r>
          <w:rPr>
            <w:rFonts w:ascii="Times New Roman" w:cs="Times New Roman" w:eastAsia="Times New Roman" w:hAnsi="Times New Roman"/>
            <w:sz w:val="18"/>
            <w:szCs w:val="18"/>
            <w:u w:val="single" w:color="auto"/>
            <w:color w:val="0000FF"/>
          </w:rPr>
          <w:t>Certificate of Increase of Authorized Number of Shares of Series B Junior Participating Preferred Stock pursuant to Section 151 of the</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General Corporation Law of the State of Delaware dated October 23, 2006 (Exhibit 3.7 to the Company’s Annual Report on Form 10-K</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(File No. 1-15461) filed August 14, 2007)</w:t>
        </w:r>
        <w:r>
          <w:rPr>
            <w:rFonts w:ascii="Times New Roman" w:cs="Times New Roman" w:eastAsia="Times New Roman" w:hAnsi="Times New Roman"/>
            <w:sz w:val="18"/>
            <w:szCs w:val="18"/>
            <w:color w:val="000000"/>
          </w:rPr>
          <w:t>.</w:t>
        </w:r>
      </w:hyperlink>
    </w:p>
    <w:p>
      <w:pPr>
        <w:spacing w:after="0" w:line="50" w:lineRule="exact"/>
        <w:rPr>
          <w:rFonts w:ascii="Times New Roman" w:cs="Times New Roman" w:eastAsia="Times New Roman" w:hAnsi="Times New Roman"/>
          <w:sz w:val="18"/>
          <w:szCs w:val="18"/>
          <w:u w:val="single" w:color="auto"/>
          <w:color w:val="0000FF"/>
        </w:rPr>
      </w:pPr>
    </w:p>
    <w:p>
      <w:pPr>
        <w:ind w:left="1240" w:right="80" w:hanging="435"/>
        <w:spacing w:after="0" w:line="237" w:lineRule="auto"/>
        <w:tabs>
          <w:tab w:leader="none" w:pos="12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3.5</w:t>
      </w:r>
      <w:r>
        <w:rPr>
          <w:sz w:val="20"/>
          <w:szCs w:val="20"/>
          <w:color w:val="auto"/>
        </w:rPr>
        <w:tab/>
      </w:r>
      <w:hyperlink r:id="rId136">
        <w:r>
          <w:rPr>
            <w:rFonts w:ascii="Times New Roman" w:cs="Times New Roman" w:eastAsia="Times New Roman" w:hAnsi="Times New Roman"/>
            <w:sz w:val="18"/>
            <w:szCs w:val="18"/>
            <w:u w:val="single" w:color="auto"/>
            <w:color w:val="0000FF"/>
          </w:rPr>
          <w:t>Second Amended and Restated Bylaws, effective as of May 4, 2017 (Exhibit 3.1 to the Company’s Quarterly Report on Form 10-Q (File</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No. 1-15461) filed May 10, 2017)</w:t>
        </w:r>
        <w:r>
          <w:rPr>
            <w:rFonts w:ascii="Times New Roman" w:cs="Times New Roman" w:eastAsia="Times New Roman" w:hAnsi="Times New Roman"/>
            <w:sz w:val="18"/>
            <w:szCs w:val="18"/>
            <w:color w:val="000000"/>
          </w:rPr>
          <w:t>.</w:t>
        </w:r>
      </w:hyperlink>
    </w:p>
    <w:p>
      <w:pPr>
        <w:spacing w:after="0" w:line="50" w:lineRule="exact"/>
        <w:rPr>
          <w:sz w:val="20"/>
          <w:szCs w:val="20"/>
          <w:color w:val="auto"/>
        </w:rPr>
      </w:pPr>
    </w:p>
    <w:p>
      <w:pPr>
        <w:ind w:left="1240" w:right="420" w:hanging="368"/>
        <w:spacing w:after="0" w:line="237" w:lineRule="auto"/>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37">
        <w:r>
          <w:rPr>
            <w:rFonts w:ascii="Times New Roman" w:cs="Times New Roman" w:eastAsia="Times New Roman" w:hAnsi="Times New Roman"/>
            <w:sz w:val="18"/>
            <w:szCs w:val="18"/>
            <w:u w:val="single" w:color="auto"/>
            <w:color w:val="0000FF"/>
          </w:rPr>
          <w:t>Description of the Company's Common Stock (Exhibit 4.2 to the Company’s Annual Report on Form 10-K (File No. 1-15461) filed</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September 4, 2019).</w:t>
        </w:r>
      </w:hyperlink>
    </w:p>
    <w:p>
      <w:pPr>
        <w:sectPr>
          <w:pgSz w:w="11900" w:h="16838" w:orient="portrait"/>
          <w:cols w:equalWidth="0" w:num="1">
            <w:col w:w="11160"/>
          </w:cols>
          <w:pgMar w:left="320" w:top="121" w:right="419" w:bottom="1440" w:gutter="0" w:footer="0" w:header="0"/>
        </w:sectPr>
      </w:pP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w:t>
      </w:r>
    </w:p>
    <w:p>
      <w:pPr>
        <w:spacing w:after="0" w:line="252" w:lineRule="exact"/>
        <w:rPr>
          <w:sz w:val="20"/>
          <w:szCs w:val="20"/>
          <w:color w:val="auto"/>
        </w:rPr>
      </w:pPr>
    </w:p>
    <w:p>
      <w:pPr>
        <w:ind w:left="780" w:hanging="144"/>
        <w:spacing w:after="0"/>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w:t>
      </w:r>
    </w:p>
    <w:p>
      <w:pPr>
        <w:spacing w:after="0" w:line="252"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w:t>
      </w:r>
    </w:p>
    <w:p>
      <w:pPr>
        <w:spacing w:after="0" w:line="252"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w:t>
      </w:r>
    </w:p>
    <w:p>
      <w:pPr>
        <w:spacing w:after="0" w:line="252"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w:t>
      </w:r>
    </w:p>
    <w:p>
      <w:pPr>
        <w:spacing w:after="0" w:line="2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+10.10</w:t>
      </w:r>
    </w:p>
    <w:p>
      <w:pPr>
        <w:spacing w:after="0" w:line="2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+10.11</w:t>
      </w:r>
    </w:p>
    <w:p>
      <w:pPr>
        <w:spacing w:after="0" w:line="2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+10.12</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Matrix Service Company 2004 Stock Incentive Plan (Appendix B to the Company’s Proxy Statement filed September 15, 2006 (File No.</w:t>
        </w:r>
      </w:hyperlink>
    </w:p>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u w:val="single" w:color="auto"/>
            <w:color w:val="0000FF"/>
          </w:rPr>
          <w:t>1-15461))</w:t>
        </w:r>
        <w:r>
          <w:rPr>
            <w:rFonts w:ascii="Times New Roman" w:cs="Times New Roman" w:eastAsia="Times New Roman" w:hAnsi="Times New Roman"/>
            <w:sz w:val="18"/>
            <w:szCs w:val="18"/>
            <w:color w:val="000000"/>
          </w:rPr>
          <w:t>.</w:t>
        </w:r>
      </w:hyperlink>
    </w:p>
    <w:p>
      <w:pPr>
        <w:spacing w:after="0" w:line="57" w:lineRule="exact"/>
        <w:rPr>
          <w:sz w:val="20"/>
          <w:szCs w:val="20"/>
          <w:color w:val="auto"/>
        </w:rPr>
      </w:pPr>
    </w:p>
    <w:p>
      <w:pPr>
        <w:ind w:right="80"/>
        <w:spacing w:after="0" w:line="237" w:lineRule="auto"/>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u w:val="single" w:color="auto"/>
            <w:color w:val="0000FF"/>
          </w:rPr>
          <w:t>Amendment 1 to Matrix Service Company 2004 Stock Incentive Plan (Exhibit 10 to Amended Schedule 14A filed October 4, 2006 (File</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No. 1-15461))</w:t>
        </w:r>
        <w:r>
          <w:rPr>
            <w:rFonts w:ascii="Times New Roman" w:cs="Times New Roman" w:eastAsia="Times New Roman" w:hAnsi="Times New Roman"/>
            <w:sz w:val="18"/>
            <w:szCs w:val="18"/>
            <w:color w:val="000000"/>
          </w:rPr>
          <w:t>.</w:t>
        </w:r>
      </w:hyperlink>
    </w:p>
    <w:p>
      <w:pPr>
        <w:spacing w:after="0" w:line="50" w:lineRule="exact"/>
        <w:rPr>
          <w:sz w:val="20"/>
          <w:szCs w:val="20"/>
          <w:color w:val="auto"/>
        </w:rPr>
      </w:pPr>
    </w:p>
    <w:p>
      <w:pPr>
        <w:ind w:right="20"/>
        <w:spacing w:after="0" w:line="237" w:lineRule="auto"/>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u w:val="single" w:color="auto"/>
            <w:color w:val="0000FF"/>
          </w:rPr>
          <w:t>Amendment 2 to Matrix Service Company 2004 Stock Incentive Plan (Exhibit 10.6 to the Company’s Annual Report on Form 10-K (File</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No. 1-15461) filed August 5, 2008)</w:t>
        </w:r>
        <w:r>
          <w:rPr>
            <w:rFonts w:ascii="Times New Roman" w:cs="Times New Roman" w:eastAsia="Times New Roman" w:hAnsi="Times New Roman"/>
            <w:sz w:val="18"/>
            <w:szCs w:val="18"/>
            <w:color w:val="000000"/>
          </w:rPr>
          <w:t>.</w:t>
        </w:r>
      </w:hyperlink>
    </w:p>
    <w:p>
      <w:pPr>
        <w:spacing w:after="0" w:line="50" w:lineRule="exact"/>
        <w:rPr>
          <w:sz w:val="20"/>
          <w:szCs w:val="20"/>
          <w:color w:val="auto"/>
        </w:rPr>
      </w:pPr>
    </w:p>
    <w:p>
      <w:pPr>
        <w:ind w:right="100"/>
        <w:spacing w:after="0" w:line="237" w:lineRule="auto"/>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u w:val="single" w:color="auto"/>
            <w:color w:val="0000FF"/>
          </w:rPr>
          <w:t>Amendment 3 to Matrix Service Company 2004 Stock Incentive Plan (Exhibit A to the Company’s Proxy Statement filed September 11,</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2009 (File No. 1-15461))</w:t>
        </w:r>
        <w:r>
          <w:rPr>
            <w:rFonts w:ascii="Times New Roman" w:cs="Times New Roman" w:eastAsia="Times New Roman" w:hAnsi="Times New Roman"/>
            <w:sz w:val="18"/>
            <w:szCs w:val="18"/>
            <w:color w:val="000000"/>
          </w:rPr>
          <w:t>.</w:t>
        </w:r>
      </w:hyperlink>
    </w:p>
    <w:p>
      <w:pPr>
        <w:spacing w:after="0" w:line="50" w:lineRule="exact"/>
        <w:rPr>
          <w:sz w:val="20"/>
          <w:szCs w:val="20"/>
          <w:color w:val="auto"/>
        </w:rPr>
      </w:pPr>
    </w:p>
    <w:p>
      <w:pPr>
        <w:ind w:right="220"/>
        <w:spacing w:after="0" w:line="237" w:lineRule="auto"/>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u w:val="single" w:color="auto"/>
            <w:color w:val="0000FF"/>
          </w:rPr>
          <w:t>Matrix Service Company 2012 Stock and Incentive Compensation Plan (Attachment A to the Company's Proxy Statement (File No. 1-</w:t>
        </w:r>
      </w:hyperlink>
      <w:hyperlink r:id="rId142">
        <w:r>
          <w:rPr>
            <w:rFonts w:ascii="Times New Roman" w:cs="Times New Roman" w:eastAsia="Times New Roman" w:hAnsi="Times New Roman"/>
            <w:sz w:val="18"/>
            <w:szCs w:val="18"/>
            <w:u w:val="single" w:color="auto"/>
            <w:color w:val="0000FF"/>
          </w:rPr>
          <w:t>15461) filed October 10, 2012)</w:t>
        </w:r>
        <w:r>
          <w:rPr>
            <w:rFonts w:ascii="Times New Roman" w:cs="Times New Roman" w:eastAsia="Times New Roman" w:hAnsi="Times New Roman"/>
            <w:sz w:val="18"/>
            <w:szCs w:val="18"/>
            <w:color w:val="000000"/>
          </w:rPr>
          <w:t>.</w:t>
        </w:r>
      </w:hyperlink>
    </w:p>
    <w:p>
      <w:pPr>
        <w:spacing w:after="0" w:line="50" w:lineRule="exact"/>
        <w:rPr>
          <w:sz w:val="20"/>
          <w:szCs w:val="20"/>
          <w:color w:val="auto"/>
        </w:rPr>
      </w:pPr>
    </w:p>
    <w:p>
      <w:pPr>
        <w:ind w:right="40"/>
        <w:spacing w:after="0" w:line="237" w:lineRule="auto"/>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u w:val="single" w:color="auto"/>
            <w:color w:val="0000FF"/>
          </w:rPr>
          <w:t>Amendment Number 1 to the Matrix Service Company 2012 Stock and Incentive Compensation Plan (Exhibit A to the Company's Proxy</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Statement (File No. 1-15461) filed October 10, 2014)</w:t>
        </w:r>
        <w:r>
          <w:rPr>
            <w:rFonts w:ascii="Times New Roman" w:cs="Times New Roman" w:eastAsia="Times New Roman" w:hAnsi="Times New Roman"/>
            <w:sz w:val="18"/>
            <w:szCs w:val="18"/>
            <w:color w:val="000000"/>
          </w:rPr>
          <w:t>.</w:t>
        </w:r>
      </w:hyperlink>
    </w:p>
    <w:p>
      <w:pPr>
        <w:spacing w:after="0" w:line="50" w:lineRule="exact"/>
        <w:rPr>
          <w:sz w:val="20"/>
          <w:szCs w:val="20"/>
          <w:color w:val="auto"/>
        </w:rPr>
      </w:pPr>
    </w:p>
    <w:p>
      <w:pPr>
        <w:ind w:right="660"/>
        <w:spacing w:after="0" w:line="237" w:lineRule="auto"/>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u w:val="single" w:color="auto"/>
            <w:color w:val="0000FF"/>
          </w:rPr>
          <w:t>Form of Long-Term Incentive Award Agreement (2012 Stock and Incentive Compensation Plan) (Exhibit 10.1 to the Company's</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Quarterly Report on Form 10-Q (File No. 1-15461) filed November 7, 2016)</w:t>
        </w:r>
        <w:r>
          <w:rPr>
            <w:rFonts w:ascii="Times New Roman" w:cs="Times New Roman" w:eastAsia="Times New Roman" w:hAnsi="Times New Roman"/>
            <w:sz w:val="18"/>
            <w:szCs w:val="18"/>
            <w:color w:val="000000"/>
          </w:rPr>
          <w:t>.</w:t>
        </w:r>
      </w:hyperlink>
    </w:p>
    <w:p>
      <w:pPr>
        <w:spacing w:after="0" w:line="50" w:lineRule="exact"/>
        <w:rPr>
          <w:sz w:val="20"/>
          <w:szCs w:val="20"/>
          <w:color w:val="auto"/>
        </w:rPr>
      </w:pPr>
    </w:p>
    <w:p>
      <w:pPr>
        <w:ind w:right="420"/>
        <w:spacing w:after="0" w:line="237" w:lineRule="auto"/>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u w:val="single" w:color="auto"/>
            <w:color w:val="0000FF"/>
          </w:rPr>
          <w:t>Form of Restricted Stock Unit Award Agreement for employees (2012 Stock and Incentive Compensation Plan) (Exhibit 10.2 to the</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Company's Quarterly Report on Form 10-Q (File No. 1-15461) filed November 7, 2016)</w:t>
        </w:r>
        <w:r>
          <w:rPr>
            <w:rFonts w:ascii="Times New Roman" w:cs="Times New Roman" w:eastAsia="Times New Roman" w:hAnsi="Times New Roman"/>
            <w:sz w:val="18"/>
            <w:szCs w:val="18"/>
            <w:color w:val="000000"/>
          </w:rPr>
          <w:t>.</w:t>
        </w:r>
      </w:hyperlink>
    </w:p>
    <w:p>
      <w:pPr>
        <w:spacing w:after="0" w:line="50" w:lineRule="exact"/>
        <w:rPr>
          <w:sz w:val="20"/>
          <w:szCs w:val="20"/>
          <w:color w:val="auto"/>
        </w:rPr>
      </w:pPr>
    </w:p>
    <w:p>
      <w:pPr>
        <w:ind w:right="360"/>
        <w:spacing w:after="0" w:line="237" w:lineRule="auto"/>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u w:val="single" w:color="auto"/>
            <w:color w:val="0000FF"/>
          </w:rPr>
          <w:t>Matrix Service Company 2016 Stock and Incentive Compensation Plan (Appendix B to the Company's Proxy Statement (File No. 1-</w:t>
        </w:r>
      </w:hyperlink>
      <w:hyperlink r:id="rId132">
        <w:r>
          <w:rPr>
            <w:rFonts w:ascii="Times New Roman" w:cs="Times New Roman" w:eastAsia="Times New Roman" w:hAnsi="Times New Roman"/>
            <w:sz w:val="18"/>
            <w:szCs w:val="18"/>
            <w:u w:val="single" w:color="auto"/>
            <w:color w:val="0000FF"/>
          </w:rPr>
          <w:t>15461), filed October 7, 2016)</w:t>
        </w:r>
        <w:r>
          <w:rPr>
            <w:rFonts w:ascii="Times New Roman" w:cs="Times New Roman" w:eastAsia="Times New Roman" w:hAnsi="Times New Roman"/>
            <w:sz w:val="18"/>
            <w:szCs w:val="18"/>
            <w:color w:val="000000"/>
          </w:rPr>
          <w:t>.</w:t>
        </w:r>
      </w:hyperlink>
    </w:p>
    <w:p>
      <w:pPr>
        <w:spacing w:after="0" w:line="50" w:lineRule="exact"/>
        <w:rPr>
          <w:sz w:val="20"/>
          <w:szCs w:val="20"/>
          <w:color w:val="auto"/>
        </w:rPr>
      </w:pPr>
    </w:p>
    <w:p>
      <w:pPr>
        <w:ind w:right="520"/>
        <w:spacing w:after="0" w:line="237" w:lineRule="auto"/>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u w:val="single" w:color="auto"/>
            <w:color w:val="0000FF"/>
          </w:rPr>
          <w:t>Form of Restricted Stock Unit Award Agreement for Directors (2016 Stock and Incentive Compensation Plan) (Exhibit 10.2 to the</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Company's Quarterly Report on Form 10-Q (File No. 1-15461), filed February 9, 2017)</w:t>
        </w:r>
        <w:r>
          <w:rPr>
            <w:rFonts w:ascii="Times New Roman" w:cs="Times New Roman" w:eastAsia="Times New Roman" w:hAnsi="Times New Roman"/>
            <w:sz w:val="18"/>
            <w:szCs w:val="18"/>
            <w:color w:val="000000"/>
          </w:rPr>
          <w:t>.</w:t>
        </w:r>
      </w:hyperlink>
    </w:p>
    <w:p>
      <w:pPr>
        <w:spacing w:after="0" w:line="5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Form of Long-Term Incentive Award Agreement (2016 Stock and Incentive Compensation Plan) (Exhibit 10.11 to the Company's Annual</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Report on Form 10-K/A (File No. 1-15461), filed September 19, 2018).</w:t>
        </w:r>
      </w:hyperlink>
    </w:p>
    <w:p>
      <w:pPr>
        <w:spacing w:after="0" w:line="50" w:lineRule="exact"/>
        <w:rPr>
          <w:sz w:val="20"/>
          <w:szCs w:val="20"/>
          <w:color w:val="auto"/>
        </w:rPr>
      </w:pPr>
    </w:p>
    <w:p>
      <w:pPr>
        <w:ind w:right="360"/>
        <w:spacing w:after="0" w:line="237"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Matrix Service Company 2018 Stock and Incentive Compensation Plan (Appendix A to the Company's Proxy Statement (File No. 1-</w:t>
        </w:r>
      </w:hyperlink>
      <w:hyperlink r:id="rId148">
        <w:r>
          <w:rPr>
            <w:rFonts w:ascii="Times New Roman" w:cs="Times New Roman" w:eastAsia="Times New Roman" w:hAnsi="Times New Roman"/>
            <w:sz w:val="18"/>
            <w:szCs w:val="18"/>
            <w:u w:val="single" w:color="auto"/>
            <w:color w:val="0000FF"/>
          </w:rPr>
          <w:t>15461), filed September 21, 2018).</w:t>
        </w:r>
      </w:hyperlink>
    </w:p>
    <w:p>
      <w:pPr>
        <w:spacing w:after="0" w:line="200" w:lineRule="exact"/>
        <w:rPr>
          <w:sz w:val="20"/>
          <w:szCs w:val="20"/>
          <w:color w:val="auto"/>
        </w:rPr>
      </w:pPr>
    </w:p>
    <w:p>
      <w:pPr>
        <w:sectPr>
          <w:pgSz w:w="11900" w:h="16838" w:orient="portrait"/>
          <w:cols w:equalWidth="0" w:num="2">
            <w:col w:w="1100" w:space="140"/>
            <w:col w:w="9920"/>
          </w:cols>
          <w:pgMar w:left="320" w:top="121" w:right="41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86" w:name="page87"/>
    <w:bookmarkEnd w:id="86"/>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ectPr>
          <w:pgSz w:w="11900" w:h="16838" w:orient="portrait"/>
          <w:cols w:equalWidth="0" w:num="1">
            <w:col w:w="11100"/>
          </w:cols>
          <w:pgMar w:left="320" w:top="12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+10.13</w:t>
      </w: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+10.16</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+10.17</w:t>
      </w:r>
    </w:p>
    <w:p>
      <w:pPr>
        <w:spacing w:after="0" w:line="2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0"/>
        <w:spacing w:after="0" w:line="237"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Form of Restricted Stock Unit Award Agreement for Directors (2018 Stock and Incentive Compensation Plan) (Exhibit 10 to the</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Company's Quarterly Report on Form 10-Q (File No. 1-15461), filed November 8, 2018).</w:t>
        </w:r>
      </w:hyperlink>
    </w:p>
    <w:p>
      <w:pPr>
        <w:spacing w:after="0" w:line="64" w:lineRule="exact"/>
        <w:rPr>
          <w:sz w:val="20"/>
          <w:szCs w:val="20"/>
          <w:color w:val="auto"/>
        </w:rPr>
      </w:pPr>
    </w:p>
    <w:p>
      <w:pPr>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u w:val="single" w:color="auto"/>
            <w:color w:val="0000FF"/>
          </w:rPr>
          <w:t>Form of Restricted Stock Unit Agreement for Employees (2018 Stock and Incentive Compensation Plan)</w:t>
        </w:r>
        <w:r>
          <w:rPr>
            <w:rFonts w:ascii="Times New Roman" w:cs="Times New Roman" w:eastAsia="Times New Roman" w:hAnsi="Times New Roman"/>
            <w:sz w:val="18"/>
            <w:szCs w:val="18"/>
            <w:color w:val="0000FF"/>
          </w:rPr>
          <w:t>.</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95">
        <w:r>
          <w:rPr>
            <w:rFonts w:ascii="Times New Roman" w:cs="Times New Roman" w:eastAsia="Times New Roman" w:hAnsi="Times New Roman"/>
            <w:sz w:val="18"/>
            <w:szCs w:val="18"/>
            <w:u w:val="single" w:color="auto"/>
            <w:color w:val="0000FF"/>
          </w:rPr>
          <w:t>Form of Long-Term Incentive Award Agreement (2018 Stock and Incentive Compensation Plan).</w:t>
        </w:r>
      </w:hyperlink>
    </w:p>
    <w:p>
      <w:pPr>
        <w:spacing w:after="0" w:line="104" w:lineRule="exact"/>
        <w:rPr>
          <w:sz w:val="20"/>
          <w:szCs w:val="20"/>
          <w:color w:val="auto"/>
        </w:rPr>
      </w:pPr>
    </w:p>
    <w:p>
      <w:pPr>
        <w:ind w:right="220"/>
        <w:spacing w:after="0" w:line="237" w:lineRule="auto"/>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u w:val="single" w:color="auto"/>
            <w:color w:val="0000FF"/>
          </w:rPr>
          <w:t>Form of Amended and Restated Severance Agreement (Exhibit 10 to the Company's Current Report on Form 8-K filed November 15,</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2016 (File No. 1-15461))</w:t>
        </w:r>
        <w:r>
          <w:rPr>
            <w:rFonts w:ascii="Times New Roman" w:cs="Times New Roman" w:eastAsia="Times New Roman" w:hAnsi="Times New Roman"/>
            <w:sz w:val="18"/>
            <w:szCs w:val="18"/>
            <w:color w:val="000000"/>
          </w:rPr>
          <w:t>.</w:t>
        </w:r>
      </w:hyperlink>
    </w:p>
    <w:p>
      <w:pPr>
        <w:spacing w:after="0" w:line="50" w:lineRule="exact"/>
        <w:rPr>
          <w:sz w:val="20"/>
          <w:szCs w:val="20"/>
          <w:color w:val="auto"/>
        </w:rPr>
      </w:pPr>
    </w:p>
    <w:p>
      <w:pPr>
        <w:ind w:right="200"/>
        <w:spacing w:after="0" w:line="237" w:lineRule="auto"/>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u w:val="single" w:color="auto"/>
            <w:color w:val="0000FF"/>
          </w:rPr>
          <w:t>Amended and Restated Deferred Compensation Plan for Members of the Board of Directors (Exhibit 10.1 to the Company’s Quarterly</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Report on Form 10-Q (File No. 1-15461) filed January 8, 2009)</w:t>
        </w:r>
        <w:r>
          <w:rPr>
            <w:rFonts w:ascii="Times New Roman" w:cs="Times New Roman" w:eastAsia="Times New Roman" w:hAnsi="Times New Roman"/>
            <w:sz w:val="18"/>
            <w:szCs w:val="18"/>
            <w:color w:val="000000"/>
          </w:rPr>
          <w:t>.</w:t>
        </w:r>
      </w:hyperlink>
    </w:p>
    <w:p>
      <w:pPr>
        <w:spacing w:after="0" w:line="50" w:lineRule="exact"/>
        <w:rPr>
          <w:sz w:val="20"/>
          <w:szCs w:val="20"/>
          <w:color w:val="auto"/>
        </w:rPr>
      </w:pPr>
    </w:p>
    <w:p>
      <w:pPr>
        <w:ind w:right="680"/>
        <w:spacing w:after="0" w:line="237" w:lineRule="auto"/>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u w:val="single" w:color="auto"/>
            <w:color w:val="0000FF"/>
          </w:rPr>
          <w:t>Amendment 1 to Amended and Restated Deferred Compensation Plan for Members of the Board of Directors (Exhibit 10 to the</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Company's Quarterly Report on Form 10-Q (File No. 1-15461) filed November 9, 2012)</w:t>
        </w:r>
        <w:r>
          <w:rPr>
            <w:rFonts w:ascii="Times New Roman" w:cs="Times New Roman" w:eastAsia="Times New Roman" w:hAnsi="Times New Roman"/>
            <w:sz w:val="18"/>
            <w:szCs w:val="18"/>
            <w:color w:val="000000"/>
          </w:rPr>
          <w:t>.</w:t>
        </w:r>
      </w:hyperlink>
    </w:p>
    <w:p>
      <w:pPr>
        <w:spacing w:after="0" w:line="17" w:lineRule="exact"/>
        <w:rPr>
          <w:sz w:val="20"/>
          <w:szCs w:val="20"/>
          <w:color w:val="auto"/>
        </w:rPr>
      </w:pPr>
    </w:p>
    <w:p>
      <w:pPr>
        <w:sectPr>
          <w:pgSz w:w="11900" w:h="16838" w:orient="portrait"/>
          <w:cols w:equalWidth="0" w:num="2">
            <w:col w:w="1080" w:space="140"/>
            <w:col w:w="9880"/>
          </w:cols>
          <w:pgMar w:left="320" w:top="121" w:right="479" w:bottom="1440" w:gutter="0" w:footer="0" w:header="0"/>
          <w:type w:val="continuous"/>
        </w:sectPr>
      </w:pPr>
    </w:p>
    <w:tbl>
      <w:tblPr>
        <w:tblLayout w:type="fixed"/>
        <w:tblInd w:w="320" w:type="dxa"/>
        <w:tblCellMar>
          <w:top w:w="0" w:type="dxa"/>
          <w:left w:w="0" w:type="dxa"/>
          <w:bottom w:w="0" w:type="dxa"/>
          <w:right w:w="0" w:type="dxa"/>
        </w:tblCellMar>
      </w:tblPr>
      <w:tr>
        <w:trPr>
          <w:trHeight w:val="227"/>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10.19</w:t>
            </w:r>
          </w:p>
        </w:tc>
        <w:tc>
          <w:tcPr>
            <w:tcW w:w="9880" w:type="dxa"/>
            <w:vAlign w:val="bottom"/>
            <w:gridSpan w:val="9"/>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Fourth Amended and Restated Credit Agreement dated as of February 8, 2017 among the Company and certain foreign subsidiaries, as</w:t>
              </w:r>
            </w:hyperlink>
          </w:p>
        </w:tc>
      </w:tr>
      <w:tr>
        <w:trPr>
          <w:trHeight w:val="155"/>
        </w:trPr>
        <w:tc>
          <w:tcPr>
            <w:tcW w:w="90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Borrowers, various subsidiaries of the Company, as Guarantors, JPMorgan Chase Bank, N.A., as Administrative Agent, Lead Arranger</w:t>
              </w:r>
            </w:hyperlink>
          </w:p>
        </w:tc>
        <w:tc>
          <w:tcPr>
            <w:tcW w:w="20" w:type="dxa"/>
            <w:vAlign w:val="bottom"/>
            <w:tcBorders>
              <w:bottom w:val="single" w:sz="8" w:color="0000FF"/>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900" w:type="dxa"/>
            <w:vAlign w:val="bottom"/>
          </w:tcPr>
          <w:p>
            <w:pPr>
              <w:spacing w:after="0"/>
              <w:rPr>
                <w:sz w:val="13"/>
                <w:szCs w:val="13"/>
                <w:color w:val="auto"/>
              </w:rPr>
            </w:pPr>
          </w:p>
        </w:tc>
        <w:tc>
          <w:tcPr>
            <w:tcW w:w="9740" w:type="dxa"/>
            <w:vAlign w:val="bottom"/>
            <w:gridSpan w:val="8"/>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and Sole Bookrunner, and the other lenders party thereto (Exhibit 10.1 to the Company's Quarterly Report on Form 10-Q (File No. 1-</w:t>
              </w:r>
            </w:hyperlink>
          </w:p>
        </w:tc>
        <w:tc>
          <w:tcPr>
            <w:tcW w:w="140" w:type="dxa"/>
            <w:vAlign w:val="bottom"/>
          </w:tcPr>
          <w:p>
            <w:pPr>
              <w:spacing w:after="0"/>
              <w:rPr>
                <w:sz w:val="13"/>
                <w:szCs w:val="13"/>
                <w:color w:val="auto"/>
              </w:rPr>
            </w:pPr>
          </w:p>
        </w:tc>
      </w:tr>
      <w:tr>
        <w:trPr>
          <w:trHeight w:val="156"/>
        </w:trPr>
        <w:tc>
          <w:tcPr>
            <w:tcW w:w="900" w:type="dxa"/>
            <w:vAlign w:val="bottom"/>
          </w:tcPr>
          <w:p>
            <w:pPr>
              <w:spacing w:after="0"/>
              <w:rPr>
                <w:sz w:val="13"/>
                <w:szCs w:val="13"/>
                <w:color w:val="auto"/>
              </w:rPr>
            </w:pPr>
          </w:p>
        </w:tc>
        <w:tc>
          <w:tcPr>
            <w:tcW w:w="960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15461) filed May 10, 2017)</w:t>
              </w:r>
              <w:r>
                <w:rPr>
                  <w:rFonts w:ascii="Times New Roman" w:cs="Times New Roman" w:eastAsia="Times New Roman" w:hAnsi="Times New Roman"/>
                  <w:sz w:val="18"/>
                  <w:szCs w:val="18"/>
                  <w:color w:val="000000"/>
                </w:rPr>
                <w:t>.</w:t>
              </w:r>
            </w:hyperlink>
          </w:p>
        </w:tc>
        <w:tc>
          <w:tcPr>
            <w:tcW w:w="280" w:type="dxa"/>
            <w:vAlign w:val="bottom"/>
            <w:gridSpan w:val="3"/>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r>
      <w:tr>
        <w:trPr>
          <w:trHeight w:val="263"/>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10.20</w:t>
            </w:r>
          </w:p>
        </w:tc>
        <w:tc>
          <w:tcPr>
            <w:tcW w:w="9880" w:type="dxa"/>
            <w:vAlign w:val="bottom"/>
            <w:gridSpan w:val="9"/>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First Amendment dated as of August 31, 2017 to Fourth Amended and Restated Credit Agreement (Exhibit 10.1 to the Company’s</w:t>
              </w:r>
            </w:hyperlink>
          </w:p>
        </w:tc>
      </w:tr>
      <w:tr>
        <w:trPr>
          <w:trHeight w:val="155"/>
        </w:trPr>
        <w:tc>
          <w:tcPr>
            <w:tcW w:w="900" w:type="dxa"/>
            <w:vAlign w:val="bottom"/>
          </w:tcPr>
          <w:p>
            <w:pPr>
              <w:spacing w:after="0"/>
              <w:rPr>
                <w:sz w:val="13"/>
                <w:szCs w:val="13"/>
                <w:color w:val="auto"/>
              </w:rPr>
            </w:pPr>
          </w:p>
        </w:tc>
        <w:tc>
          <w:tcPr>
            <w:tcW w:w="56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Quarterly Report on Form 10-Q (File No. 1-15461), filed November 7, 2017).</w:t>
              </w:r>
            </w:hyperlink>
          </w:p>
        </w:tc>
        <w:tc>
          <w:tcPr>
            <w:tcW w:w="3780" w:type="dxa"/>
            <w:vAlign w:val="bottom"/>
            <w:tcBorders>
              <w:top w:val="single" w:sz="8" w:color="0000FF"/>
            </w:tcBorders>
          </w:tcPr>
          <w:p>
            <w:pPr>
              <w:spacing w:after="0"/>
              <w:rPr>
                <w:sz w:val="13"/>
                <w:szCs w:val="13"/>
                <w:color w:val="auto"/>
              </w:rPr>
            </w:pPr>
          </w:p>
        </w:tc>
        <w:tc>
          <w:tcPr>
            <w:tcW w:w="480" w:type="dxa"/>
            <w:vAlign w:val="bottom"/>
            <w:gridSpan w:val="4"/>
          </w:tcPr>
          <w:p>
            <w:pPr>
              <w:spacing w:after="0"/>
              <w:rPr>
                <w:sz w:val="13"/>
                <w:szCs w:val="13"/>
                <w:color w:val="auto"/>
              </w:rPr>
            </w:pPr>
          </w:p>
        </w:tc>
      </w:tr>
      <w:tr>
        <w:trPr>
          <w:trHeight w:val="264"/>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+10.21</w:t>
            </w:r>
          </w:p>
        </w:tc>
        <w:tc>
          <w:tcPr>
            <w:tcW w:w="9880" w:type="dxa"/>
            <w:vAlign w:val="bottom"/>
            <w:gridSpan w:val="9"/>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u w:val="single" w:color="auto"/>
                  <w:color w:val="0000FF"/>
                  <w:w w:val="99"/>
                </w:rPr>
                <w:t>Form of Indemnification Agreement (Exhibit 10</w:t>
              </w:r>
              <w:r>
                <w:rPr>
                  <w:rFonts w:ascii="Times New Roman" w:cs="Times New Roman" w:eastAsia="Times New Roman" w:hAnsi="Times New Roman"/>
                  <w:sz w:val="18"/>
                  <w:szCs w:val="18"/>
                  <w:color w:val="0000FF"/>
                  <w:w w:val="99"/>
                </w:rPr>
                <w:t xml:space="preserve"> to the Company's Quarterly Report on Form 10-Q (File No. 1-15461) filed November 7,</w:t>
              </w:r>
            </w:hyperlink>
          </w:p>
        </w:tc>
      </w:tr>
      <w:tr>
        <w:trPr>
          <w:trHeight w:val="156"/>
        </w:trPr>
        <w:tc>
          <w:tcPr>
            <w:tcW w:w="900" w:type="dxa"/>
            <w:vAlign w:val="bottom"/>
          </w:tcPr>
          <w:p>
            <w:pPr>
              <w:spacing w:after="0"/>
              <w:rPr>
                <w:sz w:val="13"/>
                <w:szCs w:val="13"/>
                <w:color w:val="auto"/>
              </w:rPr>
            </w:pPr>
          </w:p>
        </w:tc>
        <w:tc>
          <w:tcPr>
            <w:tcW w:w="48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56">
              <w:r>
                <w:rPr>
                  <w:rFonts w:ascii="Times New Roman" w:cs="Times New Roman" w:eastAsia="Times New Roman" w:hAnsi="Times New Roman"/>
                  <w:sz w:val="18"/>
                  <w:szCs w:val="18"/>
                  <w:color w:val="0000FF"/>
                  <w:w w:val="98"/>
                </w:rPr>
                <w:t>2019).</w:t>
              </w:r>
            </w:hyperlink>
          </w:p>
        </w:tc>
        <w:tc>
          <w:tcPr>
            <w:tcW w:w="1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120" w:type="dxa"/>
            <w:vAlign w:val="bottom"/>
            <w:tcBorders>
              <w:top w:val="single" w:sz="8" w:color="0000FF"/>
            </w:tcBorders>
          </w:tcPr>
          <w:p>
            <w:pPr>
              <w:spacing w:after="0"/>
              <w:rPr>
                <w:sz w:val="13"/>
                <w:szCs w:val="13"/>
                <w:color w:val="auto"/>
              </w:rPr>
            </w:pPr>
          </w:p>
        </w:tc>
        <w:tc>
          <w:tcPr>
            <w:tcW w:w="37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r>
      <w:tr>
        <w:trPr>
          <w:trHeight w:val="318"/>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9880" w:type="dxa"/>
            <w:vAlign w:val="bottom"/>
            <w:gridSpan w:val="9"/>
          </w:tcPr>
          <w:p>
            <w:pPr>
              <w:spacing w:after="0"/>
              <w:rPr>
                <w:rFonts w:ascii="Times New Roman" w:cs="Times New Roman" w:eastAsia="Times New Roman" w:hAnsi="Times New Roman"/>
                <w:sz w:val="18"/>
                <w:szCs w:val="18"/>
                <w:color w:val="0000FF"/>
              </w:rPr>
            </w:pPr>
            <w:hyperlink w:anchor="page104">
              <w:r>
                <w:rPr>
                  <w:rFonts w:ascii="Times New Roman" w:cs="Times New Roman" w:eastAsia="Times New Roman" w:hAnsi="Times New Roman"/>
                  <w:sz w:val="18"/>
                  <w:szCs w:val="18"/>
                  <w:u w:val="single" w:color="auto"/>
                  <w:color w:val="0000FF"/>
                </w:rPr>
                <w:t>Subsidiaries</w:t>
              </w:r>
            </w:hyperlink>
            <w:r>
              <w:rPr>
                <w:rFonts w:ascii="Times New Roman" w:cs="Times New Roman" w:eastAsia="Times New Roman" w:hAnsi="Times New Roman"/>
                <w:sz w:val="18"/>
                <w:szCs w:val="18"/>
                <w:color w:val="000000"/>
              </w:rPr>
              <w:t>.</w:t>
            </w:r>
          </w:p>
        </w:tc>
      </w:tr>
      <w:tr>
        <w:trPr>
          <w:trHeight w:val="324"/>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9880" w:type="dxa"/>
            <w:vAlign w:val="bottom"/>
            <w:gridSpan w:val="9"/>
          </w:tcPr>
          <w:p>
            <w:pPr>
              <w:spacing w:after="0"/>
              <w:rPr>
                <w:rFonts w:ascii="Times New Roman" w:cs="Times New Roman" w:eastAsia="Times New Roman" w:hAnsi="Times New Roman"/>
                <w:sz w:val="18"/>
                <w:szCs w:val="18"/>
                <w:color w:val="0000FF"/>
              </w:rPr>
            </w:pPr>
            <w:hyperlink w:anchor="page105">
              <w:r>
                <w:rPr>
                  <w:rFonts w:ascii="Times New Roman" w:cs="Times New Roman" w:eastAsia="Times New Roman" w:hAnsi="Times New Roman"/>
                  <w:sz w:val="18"/>
                  <w:szCs w:val="18"/>
                  <w:u w:val="single" w:color="auto"/>
                  <w:color w:val="0000FF"/>
                </w:rPr>
                <w:t>Consent of Independent Registered Public Accounting Firm—Deloitte &amp; Touche LLP</w:t>
              </w:r>
            </w:hyperlink>
            <w:r>
              <w:rPr>
                <w:rFonts w:ascii="Times New Roman" w:cs="Times New Roman" w:eastAsia="Times New Roman" w:hAnsi="Times New Roman"/>
                <w:sz w:val="18"/>
                <w:szCs w:val="18"/>
                <w:color w:val="000000"/>
              </w:rPr>
              <w:t>.</w:t>
            </w:r>
          </w:p>
        </w:tc>
      </w:tr>
      <w:tr>
        <w:trPr>
          <w:trHeight w:val="324"/>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*31.1</w:t>
            </w:r>
          </w:p>
        </w:tc>
        <w:tc>
          <w:tcPr>
            <w:tcW w:w="9880" w:type="dxa"/>
            <w:vAlign w:val="bottom"/>
            <w:gridSpan w:val="9"/>
          </w:tcPr>
          <w:p>
            <w:pPr>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Certification Certification Pursuant to Section 302 of Sarbanes-Oxley Act of 2002—CEO.</w:t>
              </w:r>
            </w:hyperlink>
          </w:p>
        </w:tc>
      </w:tr>
      <w:tr>
        <w:trPr>
          <w:trHeight w:val="324"/>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*31.2</w:t>
            </w:r>
          </w:p>
        </w:tc>
        <w:tc>
          <w:tcPr>
            <w:tcW w:w="9880" w:type="dxa"/>
            <w:vAlign w:val="bottom"/>
            <w:gridSpan w:val="9"/>
          </w:tcPr>
          <w:p>
            <w:pPr>
              <w:spacing w:after="0"/>
              <w:rPr>
                <w:rFonts w:ascii="Times New Roman" w:cs="Times New Roman" w:eastAsia="Times New Roman" w:hAnsi="Times New Roman"/>
                <w:sz w:val="18"/>
                <w:szCs w:val="18"/>
                <w:color w:val="0000FF"/>
              </w:rPr>
            </w:pPr>
            <w:hyperlink w:anchor="page107">
              <w:r>
                <w:rPr>
                  <w:rFonts w:ascii="Times New Roman" w:cs="Times New Roman" w:eastAsia="Times New Roman" w:hAnsi="Times New Roman"/>
                  <w:sz w:val="18"/>
                  <w:szCs w:val="18"/>
                  <w:u w:val="single" w:color="auto"/>
                  <w:color w:val="0000FF"/>
                </w:rPr>
                <w:t>Certification Pursuant to Section 302 of Sarbanes-Oxley Act of 2002—CFO</w:t>
              </w:r>
              <w:r>
                <w:rPr>
                  <w:rFonts w:ascii="Times New Roman" w:cs="Times New Roman" w:eastAsia="Times New Roman" w:hAnsi="Times New Roman"/>
                  <w:sz w:val="18"/>
                  <w:szCs w:val="18"/>
                  <w:color w:val="0000FF"/>
                </w:rPr>
                <w:t>.</w:t>
              </w:r>
            </w:hyperlink>
          </w:p>
        </w:tc>
      </w:tr>
      <w:tr>
        <w:trPr>
          <w:trHeight w:val="324"/>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*32.1</w:t>
            </w:r>
          </w:p>
        </w:tc>
        <w:tc>
          <w:tcPr>
            <w:tcW w:w="9880" w:type="dxa"/>
            <w:vAlign w:val="bottom"/>
            <w:gridSpan w:val="9"/>
          </w:tcPr>
          <w:p>
            <w:pPr>
              <w:spacing w:after="0"/>
              <w:rPr>
                <w:rFonts w:ascii="Times New Roman" w:cs="Times New Roman" w:eastAsia="Times New Roman" w:hAnsi="Times New Roman"/>
                <w:sz w:val="18"/>
                <w:szCs w:val="18"/>
                <w:color w:val="0000FF"/>
              </w:rPr>
            </w:pPr>
            <w:hyperlink w:anchor="page108">
              <w:r>
                <w:rPr>
                  <w:rFonts w:ascii="Times New Roman" w:cs="Times New Roman" w:eastAsia="Times New Roman" w:hAnsi="Times New Roman"/>
                  <w:sz w:val="18"/>
                  <w:szCs w:val="18"/>
                  <w:u w:val="single" w:color="auto"/>
                  <w:color w:val="0000FF"/>
                </w:rPr>
                <w:t>Certification Pursuant to 18 U.S.C. 1350 (section 906 of Sarbanes-Oxley Act of 2002)—CEO</w:t>
              </w:r>
            </w:hyperlink>
            <w:r>
              <w:rPr>
                <w:rFonts w:ascii="Times New Roman" w:cs="Times New Roman" w:eastAsia="Times New Roman" w:hAnsi="Times New Roman"/>
                <w:sz w:val="18"/>
                <w:szCs w:val="18"/>
                <w:color w:val="000000"/>
              </w:rPr>
              <w:t>.</w:t>
            </w:r>
          </w:p>
        </w:tc>
      </w:tr>
      <w:tr>
        <w:trPr>
          <w:trHeight w:val="324"/>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*32.2</w:t>
            </w:r>
          </w:p>
        </w:tc>
        <w:tc>
          <w:tcPr>
            <w:tcW w:w="9880" w:type="dxa"/>
            <w:vAlign w:val="bottom"/>
            <w:gridSpan w:val="9"/>
          </w:tcPr>
          <w:p>
            <w:pPr>
              <w:spacing w:after="0"/>
              <w:rPr>
                <w:rFonts w:ascii="Times New Roman" w:cs="Times New Roman" w:eastAsia="Times New Roman" w:hAnsi="Times New Roman"/>
                <w:sz w:val="18"/>
                <w:szCs w:val="18"/>
                <w:color w:val="0000FF"/>
              </w:rPr>
            </w:pPr>
            <w:hyperlink w:anchor="page109">
              <w:r>
                <w:rPr>
                  <w:rFonts w:ascii="Times New Roman" w:cs="Times New Roman" w:eastAsia="Times New Roman" w:hAnsi="Times New Roman"/>
                  <w:sz w:val="18"/>
                  <w:szCs w:val="18"/>
                  <w:u w:val="single" w:color="auto"/>
                  <w:color w:val="0000FF"/>
                </w:rPr>
                <w:t>Certification Pursuant to 18 U.S.C. 1350 (section 906 of Sarbanes-Oxley Act of 2002)—CFO</w:t>
              </w:r>
            </w:hyperlink>
            <w:r>
              <w:rPr>
                <w:rFonts w:ascii="Times New Roman" w:cs="Times New Roman" w:eastAsia="Times New Roman" w:hAnsi="Times New Roman"/>
                <w:sz w:val="18"/>
                <w:szCs w:val="18"/>
                <w:color w:val="000000"/>
              </w:rPr>
              <w:t>.</w:t>
            </w:r>
          </w:p>
        </w:tc>
      </w:tr>
      <w:tr>
        <w:trPr>
          <w:trHeight w:val="324"/>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9880" w:type="dxa"/>
            <w:vAlign w:val="bottom"/>
            <w:gridSpan w:val="9"/>
          </w:tcPr>
          <w:p>
            <w:pPr>
              <w:spacing w:after="0"/>
              <w:rPr>
                <w:rFonts w:ascii="Times New Roman" w:cs="Times New Roman" w:eastAsia="Times New Roman" w:hAnsi="Times New Roman"/>
                <w:sz w:val="18"/>
                <w:szCs w:val="18"/>
                <w:color w:val="0000FF"/>
              </w:rPr>
            </w:pPr>
            <w:hyperlink w:anchor="page110">
              <w:r>
                <w:rPr>
                  <w:rFonts w:ascii="Times New Roman" w:cs="Times New Roman" w:eastAsia="Times New Roman" w:hAnsi="Times New Roman"/>
                  <w:sz w:val="18"/>
                  <w:szCs w:val="18"/>
                  <w:u w:val="single" w:color="auto"/>
                  <w:color w:val="0000FF"/>
                </w:rPr>
                <w:t>Mine Safety Disclosure</w:t>
              </w:r>
            </w:hyperlink>
            <w:r>
              <w:rPr>
                <w:rFonts w:ascii="Times New Roman" w:cs="Times New Roman" w:eastAsia="Times New Roman" w:hAnsi="Times New Roman"/>
                <w:sz w:val="18"/>
                <w:szCs w:val="18"/>
                <w:color w:val="000000"/>
              </w:rPr>
              <w:t>.</w:t>
            </w:r>
          </w:p>
        </w:tc>
      </w:tr>
      <w:tr>
        <w:trPr>
          <w:trHeight w:val="252"/>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900" w:type="dxa"/>
            <w:vAlign w:val="bottom"/>
          </w:tcPr>
          <w:p>
            <w:pPr>
              <w:spacing w:after="0"/>
              <w:rPr>
                <w:sz w:val="20"/>
                <w:szCs w:val="20"/>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4"/>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*101.SCH</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Schema Document.</w:t>
            </w:r>
          </w:p>
        </w:tc>
      </w:tr>
      <w:tr>
        <w:trPr>
          <w:trHeight w:val="324"/>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*101.CAL</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*101.DEF</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*101.LAB</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24"/>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324"/>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+Management Contract or Compensatory Plan.</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Matrix Service Company has duly caused this report to be signed on its behalf by the undersigned, thereunto duly authorized.</w:t>
      </w:r>
    </w:p>
    <w:p>
      <w:pPr>
        <w:spacing w:after="0" w:line="200" w:lineRule="exact"/>
        <w:rPr>
          <w:sz w:val="20"/>
          <w:szCs w:val="20"/>
          <w:color w:val="auto"/>
        </w:rPr>
      </w:pPr>
    </w:p>
    <w:p>
      <w:pPr>
        <w:spacing w:after="0" w:line="36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33" w:lineRule="exact"/>
        <w:rPr>
          <w:sz w:val="20"/>
          <w:szCs w:val="20"/>
          <w:color w:val="auto"/>
        </w:rPr>
      </w:pPr>
    </w:p>
    <w:p>
      <w:pPr>
        <w:ind w:left="20"/>
        <w:spacing w:after="0"/>
        <w:tabs>
          <w:tab w:leader="none" w:pos="7100" w:val="left"/>
          <w:tab w:leader="none" w:pos="8720" w:val="left"/>
        </w:tabs>
        <w:rPr>
          <w:sz w:val="20"/>
          <w:szCs w:val="20"/>
          <w:color w:val="auto"/>
        </w:rPr>
      </w:pPr>
      <w:r>
        <w:rPr>
          <w:rFonts w:ascii="Times New Roman" w:cs="Times New Roman" w:eastAsia="Times New Roman" w:hAnsi="Times New Roman"/>
          <w:sz w:val="18"/>
          <w:szCs w:val="18"/>
          <w:color w:val="auto"/>
        </w:rPr>
        <w:t>Date : September 3,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36830</wp:posOffset>
            </wp:positionV>
            <wp:extent cx="22542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54"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John R. Hewitt, President and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00" w:lineRule="exact"/>
        <w:rPr>
          <w:sz w:val="20"/>
          <w:szCs w:val="20"/>
          <w:color w:val="auto"/>
        </w:rPr>
      </w:pPr>
    </w:p>
    <w:p>
      <w:pPr>
        <w:spacing w:after="0" w:line="3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4900" w:type="dxa"/>
            <w:vAlign w:val="bottom"/>
            <w:gridSpan w:val="3"/>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40" w:type="dxa"/>
            <w:vAlign w:val="bottom"/>
            <w:gridSpan w:val="3"/>
          </w:tcPr>
          <w:p>
            <w:pPr>
              <w:jc w:val="center"/>
              <w:ind w:left="59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28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Jim W. Mogg</w:t>
            </w:r>
          </w:p>
        </w:tc>
        <w:tc>
          <w:tcPr>
            <w:tcW w:w="490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2040" w:type="dxa"/>
            <w:vAlign w:val="bottom"/>
            <w:gridSpan w:val="3"/>
          </w:tcPr>
          <w:p>
            <w:pPr>
              <w:jc w:val="center"/>
              <w:ind w:left="592"/>
              <w:spacing w:after="0"/>
              <w:rPr>
                <w:sz w:val="20"/>
                <w:szCs w:val="20"/>
                <w:color w:val="auto"/>
              </w:rPr>
            </w:pPr>
            <w:r>
              <w:rPr>
                <w:rFonts w:ascii="Times New Roman" w:cs="Times New Roman" w:eastAsia="Times New Roman" w:hAnsi="Times New Roman"/>
                <w:sz w:val="18"/>
                <w:szCs w:val="18"/>
                <w:color w:val="auto"/>
              </w:rPr>
              <w:t>September 3, 2020</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4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Jim W. Mogg</w:t>
            </w: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3"/>
        </w:trPr>
        <w:tc>
          <w:tcPr>
            <w:tcW w:w="128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John R. Hewitt</w:t>
            </w:r>
          </w:p>
        </w:tc>
        <w:tc>
          <w:tcPr>
            <w:tcW w:w="490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040" w:type="dxa"/>
            <w:vAlign w:val="bottom"/>
            <w:gridSpan w:val="3"/>
          </w:tcPr>
          <w:p>
            <w:pPr>
              <w:jc w:val="center"/>
              <w:ind w:left="592"/>
              <w:spacing w:after="0"/>
              <w:rPr>
                <w:sz w:val="20"/>
                <w:szCs w:val="20"/>
                <w:color w:val="auto"/>
              </w:rPr>
            </w:pPr>
            <w:r>
              <w:rPr>
                <w:rFonts w:ascii="Times New Roman" w:cs="Times New Roman" w:eastAsia="Times New Roman" w:hAnsi="Times New Roman"/>
                <w:sz w:val="18"/>
                <w:szCs w:val="18"/>
                <w:color w:val="auto"/>
              </w:rPr>
              <w:t>September 3, 2020</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900" w:type="dxa"/>
            <w:vAlign w:val="bottom"/>
            <w:gridSpan w:val="3"/>
            <w:vMerge w:val="restart"/>
          </w:tcPr>
          <w:p>
            <w:pPr>
              <w:jc w:val="center"/>
              <w:ind w:left="11"/>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4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John R. Hewitt</w:t>
            </w:r>
          </w:p>
        </w:tc>
        <w:tc>
          <w:tcPr>
            <w:tcW w:w="4900" w:type="dxa"/>
            <w:vAlign w:val="bottom"/>
            <w:gridSpan w:val="3"/>
            <w:vMerge w:val="continue"/>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1280" w:type="dxa"/>
            <w:vAlign w:val="bottom"/>
            <w:vMerge w:val="restart"/>
          </w:tcPr>
          <w:p>
            <w:pPr>
              <w:ind w:left="98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Kevin S. Cavanah</w:t>
            </w:r>
          </w:p>
        </w:tc>
        <w:tc>
          <w:tcPr>
            <w:tcW w:w="490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w w:val="98"/>
              </w:rPr>
              <w:t>Vice President</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vMerge w:val="continue"/>
          </w:tcPr>
          <w:p>
            <w:pPr>
              <w:spacing w:after="0"/>
              <w:rPr>
                <w:sz w:val="20"/>
                <w:szCs w:val="20"/>
                <w:color w:val="auto"/>
              </w:rPr>
            </w:pPr>
          </w:p>
        </w:tc>
        <w:tc>
          <w:tcPr>
            <w:tcW w:w="2460" w:type="dxa"/>
            <w:vAlign w:val="bottom"/>
            <w:gridSpan w:val="3"/>
            <w:vMerge w:val="continue"/>
          </w:tcPr>
          <w:p>
            <w:pPr>
              <w:spacing w:after="0"/>
              <w:rPr>
                <w:sz w:val="20"/>
                <w:szCs w:val="20"/>
                <w:color w:val="auto"/>
              </w:rPr>
            </w:pPr>
          </w:p>
        </w:tc>
        <w:tc>
          <w:tcPr>
            <w:tcW w:w="4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and Chief Financial Officer</w:t>
            </w:r>
          </w:p>
        </w:tc>
        <w:tc>
          <w:tcPr>
            <w:tcW w:w="2040" w:type="dxa"/>
            <w:vAlign w:val="bottom"/>
            <w:gridSpan w:val="3"/>
          </w:tcPr>
          <w:p>
            <w:pPr>
              <w:jc w:val="center"/>
              <w:ind w:left="592"/>
              <w:spacing w:after="0"/>
              <w:rPr>
                <w:sz w:val="20"/>
                <w:szCs w:val="20"/>
                <w:color w:val="auto"/>
              </w:rPr>
            </w:pPr>
            <w:r>
              <w:rPr>
                <w:rFonts w:ascii="Times New Roman" w:cs="Times New Roman" w:eastAsia="Times New Roman" w:hAnsi="Times New Roman"/>
                <w:sz w:val="18"/>
                <w:szCs w:val="18"/>
                <w:color w:val="auto"/>
              </w:rPr>
              <w:t>September 3, 2020</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and</w:t>
            </w: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4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Kevin S. Cavanah</w:t>
            </w:r>
          </w:p>
        </w:tc>
        <w:tc>
          <w:tcPr>
            <w:tcW w:w="4900" w:type="dxa"/>
            <w:vAlign w:val="bottom"/>
            <w:gridSpan w:val="3"/>
            <w:vMerge w:val="continue"/>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90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Martha Z. Carnes</w:t>
            </w:r>
          </w:p>
        </w:tc>
        <w:tc>
          <w:tcPr>
            <w:tcW w:w="490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gridSpan w:val="3"/>
          </w:tcPr>
          <w:p>
            <w:pPr>
              <w:jc w:val="center"/>
              <w:ind w:left="592"/>
              <w:spacing w:after="0"/>
              <w:rPr>
                <w:sz w:val="20"/>
                <w:szCs w:val="20"/>
                <w:color w:val="auto"/>
              </w:rPr>
            </w:pPr>
            <w:r>
              <w:rPr>
                <w:rFonts w:ascii="Times New Roman" w:cs="Times New Roman" w:eastAsia="Times New Roman" w:hAnsi="Times New Roman"/>
                <w:sz w:val="18"/>
                <w:szCs w:val="18"/>
                <w:color w:val="auto"/>
              </w:rPr>
              <w:t>September 3, 2020</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4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Martha Z. Carnes</w:t>
            </w: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3"/>
        </w:trPr>
        <w:tc>
          <w:tcPr>
            <w:tcW w:w="128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John D. Chandler</w:t>
            </w:r>
          </w:p>
        </w:tc>
        <w:tc>
          <w:tcPr>
            <w:tcW w:w="490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gridSpan w:val="3"/>
          </w:tcPr>
          <w:p>
            <w:pPr>
              <w:jc w:val="center"/>
              <w:ind w:left="592"/>
              <w:spacing w:after="0"/>
              <w:rPr>
                <w:sz w:val="20"/>
                <w:szCs w:val="20"/>
                <w:color w:val="auto"/>
              </w:rPr>
            </w:pPr>
            <w:r>
              <w:rPr>
                <w:rFonts w:ascii="Times New Roman" w:cs="Times New Roman" w:eastAsia="Times New Roman" w:hAnsi="Times New Roman"/>
                <w:sz w:val="18"/>
                <w:szCs w:val="18"/>
                <w:color w:val="auto"/>
              </w:rPr>
              <w:t>September 3, 2020</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4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John D. Chandler</w:t>
            </w: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3"/>
        </w:trPr>
        <w:tc>
          <w:tcPr>
            <w:tcW w:w="128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Carlin G. Conner</w:t>
            </w:r>
          </w:p>
        </w:tc>
        <w:tc>
          <w:tcPr>
            <w:tcW w:w="490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gridSpan w:val="3"/>
          </w:tcPr>
          <w:p>
            <w:pPr>
              <w:jc w:val="center"/>
              <w:ind w:left="592"/>
              <w:spacing w:after="0"/>
              <w:rPr>
                <w:sz w:val="20"/>
                <w:szCs w:val="20"/>
                <w:color w:val="auto"/>
              </w:rPr>
            </w:pPr>
            <w:r>
              <w:rPr>
                <w:rFonts w:ascii="Times New Roman" w:cs="Times New Roman" w:eastAsia="Times New Roman" w:hAnsi="Times New Roman"/>
                <w:sz w:val="18"/>
                <w:szCs w:val="18"/>
                <w:color w:val="auto"/>
              </w:rPr>
              <w:t>September 3, 2020</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4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Carlin G. Conner</w:t>
            </w: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3"/>
        </w:trPr>
        <w:tc>
          <w:tcPr>
            <w:tcW w:w="128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John W. Gibson</w:t>
            </w:r>
          </w:p>
        </w:tc>
        <w:tc>
          <w:tcPr>
            <w:tcW w:w="490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gridSpan w:val="3"/>
          </w:tcPr>
          <w:p>
            <w:pPr>
              <w:jc w:val="center"/>
              <w:ind w:left="592"/>
              <w:spacing w:after="0"/>
              <w:rPr>
                <w:sz w:val="20"/>
                <w:szCs w:val="20"/>
                <w:color w:val="auto"/>
              </w:rPr>
            </w:pPr>
            <w:r>
              <w:rPr>
                <w:rFonts w:ascii="Times New Roman" w:cs="Times New Roman" w:eastAsia="Times New Roman" w:hAnsi="Times New Roman"/>
                <w:sz w:val="18"/>
                <w:szCs w:val="18"/>
                <w:color w:val="auto"/>
              </w:rPr>
              <w:t>September 3, 2020</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4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John W. Gibson</w:t>
            </w: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3"/>
        </w:trPr>
        <w:tc>
          <w:tcPr>
            <w:tcW w:w="128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Liane K. Hinrichs</w:t>
            </w:r>
          </w:p>
        </w:tc>
        <w:tc>
          <w:tcPr>
            <w:tcW w:w="490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gridSpan w:val="3"/>
          </w:tcPr>
          <w:p>
            <w:pPr>
              <w:jc w:val="center"/>
              <w:ind w:left="592"/>
              <w:spacing w:after="0"/>
              <w:rPr>
                <w:sz w:val="20"/>
                <w:szCs w:val="20"/>
                <w:color w:val="auto"/>
              </w:rPr>
            </w:pPr>
            <w:r>
              <w:rPr>
                <w:rFonts w:ascii="Times New Roman" w:cs="Times New Roman" w:eastAsia="Times New Roman" w:hAnsi="Times New Roman"/>
                <w:sz w:val="18"/>
                <w:szCs w:val="18"/>
                <w:color w:val="auto"/>
              </w:rPr>
              <w:t>September 3, 2020</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4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Liane K. Hinrichs</w:t>
            </w: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3"/>
        </w:trPr>
        <w:tc>
          <w:tcPr>
            <w:tcW w:w="128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James H. Miller</w:t>
            </w:r>
          </w:p>
        </w:tc>
        <w:tc>
          <w:tcPr>
            <w:tcW w:w="490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gridSpan w:val="3"/>
          </w:tcPr>
          <w:p>
            <w:pPr>
              <w:jc w:val="center"/>
              <w:ind w:left="592"/>
              <w:spacing w:after="0"/>
              <w:rPr>
                <w:sz w:val="20"/>
                <w:szCs w:val="20"/>
                <w:color w:val="auto"/>
              </w:rPr>
            </w:pPr>
            <w:r>
              <w:rPr>
                <w:rFonts w:ascii="Times New Roman" w:cs="Times New Roman" w:eastAsia="Times New Roman" w:hAnsi="Times New Roman"/>
                <w:sz w:val="18"/>
                <w:szCs w:val="18"/>
                <w:color w:val="auto"/>
              </w:rPr>
              <w:t>September 3, 2020</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4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James H. Miller</w:t>
            </w: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20"/>
          </w:cols>
          <w:pgMar w:left="320" w:top="121" w:right="359" w:bottom="1440" w:gutter="0" w:footer="0" w:header="0"/>
          <w:type w:val="continuous"/>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Grantee: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Shares: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AGREEMENT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«Address1»</w:t>
      </w:r>
    </w:p>
    <w:p>
      <w:pPr>
        <w:spacing w:after="0" w:line="234" w:lineRule="auto"/>
        <w:rPr>
          <w:sz w:val="20"/>
          <w:szCs w:val="20"/>
          <w:color w:val="auto"/>
        </w:rPr>
      </w:pPr>
      <w:r>
        <w:rPr>
          <w:rFonts w:ascii="Times New Roman" w:cs="Times New Roman" w:eastAsia="Times New Roman" w:hAnsi="Times New Roman"/>
          <w:sz w:val="18"/>
          <w:szCs w:val="18"/>
          <w:color w:val="auto"/>
        </w:rPr>
        <w:t>«Address2»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«PostalCode»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«FirstName»:</w:t>
      </w:r>
    </w:p>
    <w:p>
      <w:pPr>
        <w:spacing w:after="0" w:line="235" w:lineRule="exact"/>
        <w:rPr>
          <w:sz w:val="20"/>
          <w:szCs w:val="20"/>
          <w:color w:val="auto"/>
        </w:rPr>
      </w:pPr>
    </w:p>
    <w:p>
      <w:pPr>
        <w:jc w:val="both"/>
        <w:ind w:firstLine="656"/>
        <w:spacing w:after="0" w:line="242" w:lineRule="auto"/>
        <w:tabs>
          <w:tab w:leader="none" w:pos="8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The awards set forth in this Award Agreement (the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are subject to your acceptance of and agreement to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terms, conditions, and restrictions described in the 2018 Stock and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of Matrix Service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copy of which is on file with, and may be obtained from, the Secretary of the Company, and to your acceptance of and agreement to the further terms, conditions, and restrictions described in this Award Agreement. To the extent that any provision of this Award Agreement conflicts with the expressly applicable terms of the Plan, it is hereby acknowledged and agreed that those terms of the Plan shall control and, if necessary, the applicable provisions of this Award Agreement shall be hereby deemed amended so as to carry out the purpose and intent of the Plan.</w:t>
      </w:r>
    </w:p>
    <w:p>
      <w:pPr>
        <w:spacing w:after="0" w:line="20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Stock Units Award.</w:t>
      </w:r>
    </w:p>
    <w:p>
      <w:pPr>
        <w:spacing w:after="0" w:line="238"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93"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Restricted Stock Units Award. </w:t>
      </w:r>
      <w:r>
        <w:rPr>
          <w:rFonts w:ascii="Times New Roman" w:cs="Times New Roman" w:eastAsia="Times New Roman" w:hAnsi="Times New Roman"/>
          <w:sz w:val="17"/>
          <w:szCs w:val="17"/>
          <w:color w:val="auto"/>
        </w:rPr>
        <w:t>The Company hereby grants to you an aggregate of up to «Shares» restricted stock units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(individually, an "</w:t>
      </w:r>
      <w:r>
        <w:rPr>
          <w:rFonts w:ascii="Times New Roman" w:cs="Times New Roman" w:eastAsia="Times New Roman" w:hAnsi="Times New Roman"/>
          <w:sz w:val="17"/>
          <w:szCs w:val="17"/>
          <w:u w:val="single" w:color="auto"/>
          <w:color w:val="auto"/>
        </w:rPr>
        <w:t>RSU</w:t>
      </w:r>
      <w:r>
        <w:rPr>
          <w:rFonts w:ascii="Times New Roman" w:cs="Times New Roman" w:eastAsia="Times New Roman" w:hAnsi="Times New Roman"/>
          <w:sz w:val="17"/>
          <w:szCs w:val="17"/>
          <w:color w:val="auto"/>
        </w:rPr>
        <w:t>," and collectively, "</w:t>
      </w:r>
      <w:r>
        <w:rPr>
          <w:rFonts w:ascii="Times New Roman" w:cs="Times New Roman" w:eastAsia="Times New Roman" w:hAnsi="Times New Roman"/>
          <w:sz w:val="17"/>
          <w:szCs w:val="17"/>
          <w:u w:val="single" w:color="auto"/>
          <w:color w:val="auto"/>
        </w:rPr>
        <w:t>RSUs</w:t>
      </w:r>
      <w:r>
        <w:rPr>
          <w:rFonts w:ascii="Times New Roman" w:cs="Times New Roman" w:eastAsia="Times New Roman" w:hAnsi="Times New Roman"/>
          <w:sz w:val="17"/>
          <w:szCs w:val="17"/>
          <w:color w:val="auto"/>
        </w:rPr>
        <w:t>") as more specifically set forth in Section 2(e). This grant of RSUs is comprised of up to [Shares] "</w:t>
      </w:r>
      <w:r>
        <w:rPr>
          <w:rFonts w:ascii="Times New Roman" w:cs="Times New Roman" w:eastAsia="Times New Roman" w:hAnsi="Times New Roman"/>
          <w:sz w:val="17"/>
          <w:szCs w:val="17"/>
          <w:u w:val="single" w:color="auto"/>
          <w:color w:val="auto"/>
        </w:rPr>
        <w:t>Stock-Based RSUs</w:t>
      </w:r>
      <w:r>
        <w:rPr>
          <w:rFonts w:ascii="Times New Roman" w:cs="Times New Roman" w:eastAsia="Times New Roman" w:hAnsi="Times New Roman"/>
          <w:sz w:val="17"/>
          <w:szCs w:val="17"/>
          <w:color w:val="auto"/>
        </w:rPr>
        <w:t>" and up to [Shares] "</w:t>
      </w:r>
      <w:r>
        <w:rPr>
          <w:rFonts w:ascii="Times New Roman" w:cs="Times New Roman" w:eastAsia="Times New Roman" w:hAnsi="Times New Roman"/>
          <w:sz w:val="17"/>
          <w:szCs w:val="17"/>
          <w:u w:val="single" w:color="auto"/>
          <w:color w:val="auto"/>
        </w:rPr>
        <w:t>Cash-Based RSUs</w:t>
      </w:r>
      <w:r>
        <w:rPr>
          <w:rFonts w:ascii="Times New Roman" w:cs="Times New Roman" w:eastAsia="Times New Roman" w:hAnsi="Times New Roman"/>
          <w:sz w:val="17"/>
          <w:szCs w:val="17"/>
          <w:color w:val="auto"/>
        </w:rPr>
        <w:t>." Each Stock-Based RSU entitles you to receive one share of common stock, par value $.01 per share, of the Company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at such time as the restrictions described in Section 2(d)(ii) lapse as described in Section 2(e)</w:t>
      </w:r>
    </w:p>
    <w:p>
      <w:pPr>
        <w:spacing w:after="0" w:line="3" w:lineRule="exact"/>
        <w:rPr>
          <w:rFonts w:ascii="Times New Roman" w:cs="Times New Roman" w:eastAsia="Times New Roman" w:hAnsi="Times New Roman"/>
          <w:sz w:val="17"/>
          <w:szCs w:val="17"/>
          <w:color w:val="auto"/>
        </w:rPr>
      </w:pPr>
    </w:p>
    <w:p>
      <w:pPr>
        <w:ind w:left="660"/>
        <w:spacing w:after="0" w:line="24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Each Cash-Based RSU entitles you to receive an amount of cash equal to the value of one Share based on the closing price of the Shares at such time as the restrictions described in Section 2(d)(ii) lapse as described in Section 2(e)(i).</w:t>
      </w:r>
    </w:p>
    <w:p>
      <w:pPr>
        <w:spacing w:after="0" w:line="204" w:lineRule="exact"/>
        <w:rPr>
          <w:rFonts w:ascii="Times New Roman" w:cs="Times New Roman" w:eastAsia="Times New Roman" w:hAnsi="Times New Roman"/>
          <w:sz w:val="17"/>
          <w:szCs w:val="17"/>
          <w:color w:val="auto"/>
        </w:rPr>
      </w:pPr>
    </w:p>
    <w:p>
      <w:pPr>
        <w:jc w:val="both"/>
        <w:ind w:left="660" w:firstLine="644"/>
        <w:spacing w:after="0" w:line="242" w:lineRule="auto"/>
        <w:tabs>
          <w:tab w:leader="none" w:pos="156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Form of Restricted Stock; Possession of Certificates. </w:t>
      </w:r>
      <w:r>
        <w:rPr>
          <w:rFonts w:ascii="Times New Roman" w:cs="Times New Roman" w:eastAsia="Times New Roman" w:hAnsi="Times New Roman"/>
          <w:sz w:val="18"/>
          <w:szCs w:val="18"/>
          <w:color w:val="auto"/>
        </w:rPr>
        <w:t>The Company shall issue the Shares you become entitled to receive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book-entry registration or by issuance of a certificate or certificates for the Shares in your name as soon as practicable after the restrictions in Section 2(d)(ii) lapse as described in Section 2(e). In the event the Company issues a certificate or certificates for the Shares, such certificates shall be subject to such stop transfer orders and other restrictions as the committee of the Board of Directors that administers the Plan may deem necessary or advisable under the Plan and rules, regulations and other requirements of the Securities and Exchange Commission, any stock exchange upon which such Shares are then listed, and any applicable foreign, federal or state securities laws.</w:t>
      </w:r>
    </w:p>
    <w:p>
      <w:pPr>
        <w:spacing w:after="0" w:line="205"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6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Stockholder Rights Prior to Issuance of Shares. </w:t>
      </w:r>
      <w:r>
        <w:rPr>
          <w:rFonts w:ascii="Times New Roman" w:cs="Times New Roman" w:eastAsia="Times New Roman" w:hAnsi="Times New Roman"/>
          <w:sz w:val="18"/>
          <w:szCs w:val="18"/>
          <w:color w:val="auto"/>
        </w:rPr>
        <w:t>Neither you nor any of your beneficiaries shall be deemed to have any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rights to receive dividends or other rights as a stockholder of the Company with respect to any Shares covered by the RSUs until the date of book-entry registration or issuance by the Company of a certificate to you for such Shares.</w:t>
      </w:r>
    </w:p>
    <w:p>
      <w:pPr>
        <w:sectPr>
          <w:pgSz w:w="11900" w:h="16838" w:orient="portrait"/>
          <w:cols w:equalWidth="0" w:num="1">
            <w:col w:w="11240"/>
          </w:cols>
          <w:pgMar w:left="320" w:top="1413" w:right="339" w:bottom="1440" w:gutter="0" w:footer="0" w:header="0"/>
        </w:sectPr>
      </w:pPr>
    </w:p>
    <w:bookmarkStart w:id="89" w:name="page90"/>
    <w:bookmarkEnd w:id="89"/>
    <w:p>
      <w:pPr>
        <w:spacing w:after="0" w:line="217" w:lineRule="exact"/>
        <w:rPr>
          <w:sz w:val="20"/>
          <w:szCs w:val="20"/>
          <w:color w:val="auto"/>
        </w:rPr>
      </w:pPr>
    </w:p>
    <w:p>
      <w:pPr>
        <w:ind w:left="440" w:hanging="256"/>
        <w:spacing w:after="0"/>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Restrictions.</w:t>
      </w:r>
    </w:p>
    <w:p>
      <w:pPr>
        <w:spacing w:after="0" w:line="256" w:lineRule="exact"/>
        <w:rPr>
          <w:rFonts w:ascii="Times New Roman" w:cs="Times New Roman" w:eastAsia="Times New Roman" w:hAnsi="Times New Roman"/>
          <w:sz w:val="18"/>
          <w:szCs w:val="18"/>
          <w:color w:val="auto"/>
        </w:rPr>
      </w:pPr>
    </w:p>
    <w:p>
      <w:pPr>
        <w:ind w:left="180" w:firstLine="652"/>
        <w:spacing w:after="0" w:line="266" w:lineRule="auto"/>
        <w:tabs>
          <w:tab w:leader="none" w:pos="105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ownership of the RSUs shall be subject to the restrictions set forth in subsection (ii) of this Section 2(d) until such restrictions lapse pursuant to the terms of Section 2(e).</w:t>
      </w:r>
    </w:p>
    <w:p>
      <w:pPr>
        <w:spacing w:after="0" w:line="189" w:lineRule="exact"/>
        <w:rPr>
          <w:rFonts w:ascii="Times New Roman" w:cs="Times New Roman" w:eastAsia="Times New Roman" w:hAnsi="Times New Roman"/>
          <w:sz w:val="18"/>
          <w:szCs w:val="18"/>
          <w:color w:val="auto"/>
        </w:rPr>
      </w:pPr>
    </w:p>
    <w:p>
      <w:pPr>
        <w:ind w:left="1100" w:hanging="268"/>
        <w:spacing w:after="0"/>
        <w:tabs>
          <w:tab w:leader="none" w:pos="11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referred to in subsection (i) of this Section 2(d) are as follows:</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jc w:val="both"/>
        <w:ind w:left="840" w:firstLine="640"/>
        <w:spacing w:after="0" w:line="250" w:lineRule="auto"/>
        <w:tabs>
          <w:tab w:leader="none" w:pos="180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your termination of employment with the Company or an Affiliate, other than a termination of employment that occurs as a result of an event described in any of Subsections (ii) through (v) of Section 2(e), you shall forfeit the RSUs to the Company and all of your rights thereto shall terminate without any payment of consideration by the Company.</w:t>
      </w:r>
    </w:p>
    <w:p>
      <w:pPr>
        <w:spacing w:after="0" w:line="203" w:lineRule="exact"/>
        <w:rPr>
          <w:rFonts w:ascii="Times New Roman" w:cs="Times New Roman" w:eastAsia="Times New Roman" w:hAnsi="Times New Roman"/>
          <w:sz w:val="18"/>
          <w:szCs w:val="18"/>
          <w:color w:val="auto"/>
        </w:rPr>
      </w:pPr>
    </w:p>
    <w:p>
      <w:pPr>
        <w:jc w:val="both"/>
        <w:ind w:left="840" w:firstLine="640"/>
        <w:spacing w:after="0" w:line="245" w:lineRule="auto"/>
        <w:tabs>
          <w:tab w:leader="none" w:pos="1768"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sell, assign, transfer or otherwise dispose of any RSUs, or any rights under the RSUs. No RSU and no rights under any such RSU may be pledged, alienated, attached or otherwise encumbered, other than by will or the laws of descent and distribution. If you or anyone claiming under or through you attempts to violate this Section 2(d)(ii)(B), such attempted violation shall be null and void and without effect, and all of the Company's obligations hereunder shall terminate.</w:t>
      </w: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420" w:hanging="236"/>
        <w:spacing w:after="0"/>
        <w:tabs>
          <w:tab w:leader="none" w:pos="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Lapse of Restrictions.</w:t>
      </w:r>
    </w:p>
    <w:p>
      <w:pPr>
        <w:spacing w:after="0" w:line="242" w:lineRule="exact"/>
        <w:rPr>
          <w:rFonts w:ascii="Times New Roman" w:cs="Times New Roman" w:eastAsia="Times New Roman" w:hAnsi="Times New Roman"/>
          <w:sz w:val="18"/>
          <w:szCs w:val="18"/>
          <w:color w:val="auto"/>
        </w:rPr>
      </w:pPr>
    </w:p>
    <w:p>
      <w:pPr>
        <w:jc w:val="both"/>
        <w:ind w:left="180" w:firstLine="652"/>
        <w:spacing w:after="0" w:line="250" w:lineRule="auto"/>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described in Section 2(d)(ii) shall lapse with respect to the RSUs in four equal installments of 25 percent each on each of the first, second, third and fourth anniversaries of the date of this Award Agreement, such that the restrictions set forth in Section 2(d)(ii) shall have lapsed with respect to 100 percent of the RSUs on the fourth anniversary of the date of this Award Agreement.</w:t>
      </w:r>
    </w:p>
    <w:p>
      <w:pPr>
        <w:spacing w:after="0" w:line="203" w:lineRule="exact"/>
        <w:rPr>
          <w:rFonts w:ascii="Times New Roman" w:cs="Times New Roman" w:eastAsia="Times New Roman" w:hAnsi="Times New Roman"/>
          <w:sz w:val="18"/>
          <w:szCs w:val="18"/>
          <w:color w:val="auto"/>
        </w:rPr>
      </w:pPr>
    </w:p>
    <w:p>
      <w:pPr>
        <w:ind w:left="180" w:firstLine="652"/>
        <w:spacing w:after="0" w:line="266" w:lineRule="auto"/>
        <w:tabs>
          <w:tab w:leader="none" w:pos="109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subsection (i) of this Section 2(e), the restrictions described in Section 2(d)(ii) shall lapse with respect to the RSUs upon the occurrence of your death or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180" w:firstLine="648"/>
        <w:spacing w:after="0" w:line="250"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your inability to engage in any substantial gainful activity by reason of any medically determinable physical or mental impairment which can be expected to result in death, or which has lasted or can be expected to last for a continuous period of not less than 12 months.</w:t>
      </w:r>
    </w:p>
    <w:p>
      <w:pPr>
        <w:spacing w:after="0" w:line="204" w:lineRule="exact"/>
        <w:rPr>
          <w:sz w:val="20"/>
          <w:szCs w:val="20"/>
          <w:color w:val="auto"/>
        </w:rPr>
      </w:pPr>
    </w:p>
    <w:p>
      <w:pPr>
        <w:jc w:val="both"/>
        <w:ind w:left="180" w:firstLine="652"/>
        <w:spacing w:after="0" w:line="242" w:lineRule="auto"/>
        <w:tabs>
          <w:tab w:leader="none" w:pos="118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subsection (i) of this Section 2(e), upon the occurrence of your "</w:t>
      </w: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the restrictions described in Section 2(d)(ii) automatically and with no exercise of discretion of the Committee shall lapse with respect to all of your remaining RSUs and be settled upon the earliest to occur of (A) the normal lapsing schedule set forth in Section 2(e)(i) hereof and</w:t>
      </w:r>
    </w:p>
    <w:p>
      <w:pPr>
        <w:spacing w:after="0" w:line="1" w:lineRule="exact"/>
        <w:rPr>
          <w:rFonts w:ascii="Times New Roman" w:cs="Times New Roman" w:eastAsia="Times New Roman" w:hAnsi="Times New Roman"/>
          <w:sz w:val="18"/>
          <w:szCs w:val="18"/>
          <w:color w:val="auto"/>
        </w:rPr>
      </w:pPr>
    </w:p>
    <w:p>
      <w:pPr>
        <w:jc w:val="both"/>
        <w:ind w:left="180" w:firstLine="4"/>
        <w:spacing w:after="0" w:line="239" w:lineRule="auto"/>
        <w:tabs>
          <w:tab w:leader="none" w:pos="4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death. Notwithstanding any other provision of this subsection (iii), in the event that you Retire within one year of the date of this Award Agreement, the restrictions will not lapse on any portion of the RSUs represented by this Award Agreement and all such remaining RSUs shall immediately be forfeited.</w:t>
      </w:r>
    </w:p>
    <w:p>
      <w:pPr>
        <w:spacing w:after="0" w:line="212" w:lineRule="exact"/>
        <w:rPr>
          <w:sz w:val="20"/>
          <w:szCs w:val="20"/>
          <w:color w:val="auto"/>
        </w:rPr>
      </w:pPr>
    </w:p>
    <w:p>
      <w:pPr>
        <w:jc w:val="both"/>
        <w:ind w:left="180" w:firstLine="648"/>
        <w:spacing w:after="0" w:line="250"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Retire</w:t>
      </w:r>
      <w:r>
        <w:rPr>
          <w:rFonts w:ascii="Times New Roman" w:cs="Times New Roman" w:eastAsia="Times New Roman" w:hAnsi="Times New Roman"/>
          <w:sz w:val="18"/>
          <w:szCs w:val="18"/>
          <w:color w:val="auto"/>
        </w:rPr>
        <w:t>" shall mean your voluntary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(as defined in Code Section 409A), on or after the date (A) on which you attain age 65 or (B) on which you attain age 60 and have completed at least ten years of continuous service as an employee of the Company or an Affiliate.</w:t>
      </w:r>
    </w:p>
    <w:p>
      <w:pPr>
        <w:sectPr>
          <w:pgSz w:w="11900" w:h="16838" w:orient="portrait"/>
          <w:cols w:equalWidth="0" w:num="1">
            <w:col w:w="10120"/>
          </w:cols>
          <w:pgMar w:left="1440" w:top="1440" w:right="339" w:bottom="1440" w:gutter="0" w:footer="0" w:header="0"/>
        </w:sectPr>
      </w:pPr>
    </w:p>
    <w:bookmarkStart w:id="90" w:name="page91"/>
    <w:bookmarkEnd w:id="90"/>
    <w:p>
      <w:pPr>
        <w:jc w:val="both"/>
        <w:ind w:left="180" w:firstLine="652"/>
        <w:spacing w:after="0" w:line="239" w:lineRule="auto"/>
        <w:tabs>
          <w:tab w:leader="none" w:pos="114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subsection (i) of this Section 2(e), in the event of a Change of Control of the Company, this Award Agreement may be continued or assumed by the continuing or successor (as the case may be) organization (the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 or the Successor may substitute an equivalent award. With respect to any RSUs that are continued, assumed or substituted for in accordance with this subsection (iv), the restrictions described in Section 2(d)(ii) shall continue to lapse with respect to such RSUs (as the same may be adjusted in accordance with this subsection (iv)) as set forth in Section 2(e)(i) hereof; provided, however, in the event you incur a voluntary Separation from Service after suffering an "</w:t>
      </w:r>
      <w:r>
        <w:rPr>
          <w:rFonts w:ascii="Times New Roman" w:cs="Times New Roman" w:eastAsia="Times New Roman" w:hAnsi="Times New Roman"/>
          <w:sz w:val="18"/>
          <w:szCs w:val="18"/>
          <w:u w:val="single" w:color="auto"/>
          <w:color w:val="auto"/>
        </w:rPr>
        <w:t>Adverse Event</w:t>
      </w:r>
      <w:r>
        <w:rPr>
          <w:rFonts w:ascii="Times New Roman" w:cs="Times New Roman" w:eastAsia="Times New Roman" w:hAnsi="Times New Roman"/>
          <w:sz w:val="18"/>
          <w:szCs w:val="18"/>
          <w:color w:val="auto"/>
        </w:rPr>
        <w:t>" or incur an involuntary Separation from Service not for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in connection with a Change of Control or at any time ending with the earlier to occur of the second anniversary of the Change of Control or the Measurement Date, the restrictions described in Section 2(d)(ii) shall immediately lapse with respect to the RSUs.</w:t>
      </w:r>
    </w:p>
    <w:p>
      <w:pPr>
        <w:spacing w:after="0" w:line="21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term "Adverse Event" shall as to any Participant mean:</w:t>
      </w:r>
    </w:p>
    <w:p>
      <w:pPr>
        <w:spacing w:after="0" w:line="239" w:lineRule="exact"/>
        <w:rPr>
          <w:sz w:val="20"/>
          <w:szCs w:val="20"/>
          <w:color w:val="auto"/>
        </w:rPr>
      </w:pPr>
    </w:p>
    <w:p>
      <w:pPr>
        <w:ind w:left="1120" w:hanging="288"/>
        <w:spacing w:after="0"/>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of the Participant’s authorities, duties, or responsibilities with the Company;</w:t>
      </w:r>
    </w:p>
    <w:p>
      <w:pPr>
        <w:spacing w:after="0" w:line="238" w:lineRule="exact"/>
        <w:rPr>
          <w:rFonts w:ascii="Times New Roman" w:cs="Times New Roman" w:eastAsia="Times New Roman" w:hAnsi="Times New Roman"/>
          <w:sz w:val="18"/>
          <w:szCs w:val="18"/>
          <w:color w:val="auto"/>
        </w:rPr>
      </w:pPr>
    </w:p>
    <w:p>
      <w:pPr>
        <w:ind w:left="180" w:firstLine="652"/>
        <w:spacing w:after="0" w:line="266" w:lineRule="auto"/>
        <w:tabs>
          <w:tab w:leader="none" w:pos="11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of the Participant’s annual salary or a material reduction in the Participant’s target annual incentive compensation, in each case other than a reduction which is applicable to all employees in the same salary grade as the Participant; or</w:t>
      </w:r>
    </w:p>
    <w:p>
      <w:pPr>
        <w:spacing w:after="0" w:line="189" w:lineRule="exact"/>
        <w:rPr>
          <w:rFonts w:ascii="Times New Roman" w:cs="Times New Roman" w:eastAsia="Times New Roman" w:hAnsi="Times New Roman"/>
          <w:sz w:val="18"/>
          <w:szCs w:val="18"/>
          <w:color w:val="auto"/>
        </w:rPr>
      </w:pPr>
    </w:p>
    <w:p>
      <w:pPr>
        <w:ind w:left="1120" w:hanging="288"/>
        <w:spacing w:after="0"/>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the Participant’s primary workplace by more than thirty-five (35) miles.</w:t>
      </w:r>
    </w:p>
    <w:p>
      <w:pPr>
        <w:spacing w:after="0" w:line="239" w:lineRule="exact"/>
        <w:rPr>
          <w:sz w:val="20"/>
          <w:szCs w:val="20"/>
          <w:color w:val="auto"/>
        </w:rPr>
      </w:pPr>
    </w:p>
    <w:p>
      <w:pPr>
        <w:jc w:val="both"/>
        <w:ind w:left="180" w:firstLine="648"/>
        <w:spacing w:after="0" w:line="245" w:lineRule="auto"/>
        <w:rPr>
          <w:sz w:val="20"/>
          <w:szCs w:val="20"/>
          <w:color w:val="auto"/>
        </w:rPr>
      </w:pPr>
      <w:r>
        <w:rPr>
          <w:rFonts w:ascii="Times New Roman" w:cs="Times New Roman" w:eastAsia="Times New Roman" w:hAnsi="Times New Roman"/>
          <w:sz w:val="18"/>
          <w:szCs w:val="18"/>
          <w:color w:val="auto"/>
        </w:rPr>
        <w:t>If a Participant purports to terminate his or her employment after suffering an Adverse Event, the Participant must give the Company written notice of his or her intent to terminate within sixty (60) calendar days of the occurrence of the event that allegedly constitutes an Adverse Event. The Company shall have a right to cure the event alleged to constitute an Adverse Event for a period of thirty (30) calendar days after notice from the Participant of his or her intention to terminate.</w:t>
      </w:r>
    </w:p>
    <w:p>
      <w:pPr>
        <w:spacing w:after="0" w:line="208" w:lineRule="exact"/>
        <w:rPr>
          <w:sz w:val="20"/>
          <w:szCs w:val="20"/>
          <w:color w:val="auto"/>
        </w:rPr>
      </w:pPr>
    </w:p>
    <w:p>
      <w:pPr>
        <w:jc w:val="both"/>
        <w:ind w:left="180" w:firstLine="648"/>
        <w:spacing w:after="0" w:line="245" w:lineRule="auto"/>
        <w:rPr>
          <w:sz w:val="20"/>
          <w:szCs w:val="20"/>
          <w:color w:val="auto"/>
        </w:rPr>
      </w:pPr>
      <w:r>
        <w:rPr>
          <w:rFonts w:ascii="Times New Roman" w:cs="Times New Roman" w:eastAsia="Times New Roman" w:hAnsi="Times New Roman"/>
          <w:sz w:val="18"/>
          <w:szCs w:val="18"/>
          <w:color w:val="auto"/>
        </w:rPr>
        <w:t xml:space="preserve">The term "Cause" shall mean your theft of company property, embezzlement or dishonesty that results in harm to the Company or any Successor; your continued gross or willful neglect of your job responsibilities after receiving written warnings regarding such neglect from the Company or any Successor; your conviction of a felony or pleading </w:t>
      </w:r>
      <w:r>
        <w:rPr>
          <w:rFonts w:ascii="Times New Roman" w:cs="Times New Roman" w:eastAsia="Times New Roman" w:hAnsi="Times New Roman"/>
          <w:sz w:val="18"/>
          <w:szCs w:val="18"/>
          <w:i w:val="1"/>
          <w:iCs w:val="1"/>
          <w:color w:val="auto"/>
        </w:rPr>
        <w:t>nolo contender</w:t>
      </w:r>
      <w:r>
        <w:rPr>
          <w:rFonts w:ascii="Times New Roman" w:cs="Times New Roman" w:eastAsia="Times New Roman" w:hAnsi="Times New Roman"/>
          <w:sz w:val="18"/>
          <w:szCs w:val="18"/>
          <w:color w:val="auto"/>
        </w:rPr>
        <w:t xml:space="preserve"> to a felony charged under state or federal law; or your willful violation of Company policy or the policies of any Successor.</w:t>
      </w:r>
    </w:p>
    <w:p>
      <w:pPr>
        <w:spacing w:after="0" w:line="200" w:lineRule="exact"/>
        <w:rPr>
          <w:sz w:val="20"/>
          <w:szCs w:val="20"/>
          <w:color w:val="auto"/>
        </w:rPr>
      </w:pPr>
    </w:p>
    <w:p>
      <w:pPr>
        <w:spacing w:after="0" w:line="251" w:lineRule="exact"/>
        <w:rPr>
          <w:sz w:val="20"/>
          <w:szCs w:val="20"/>
          <w:color w:val="auto"/>
        </w:rPr>
      </w:pPr>
    </w:p>
    <w:p>
      <w:pPr>
        <w:jc w:val="both"/>
        <w:ind w:left="180" w:right="20" w:firstLine="652"/>
        <w:spacing w:after="0" w:line="250" w:lineRule="auto"/>
        <w:tabs>
          <w:tab w:leader="none" w:pos="110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subsection (i) of this Section 2(e), in the event a Change of Control of the Company occurs and this Award Agreement is not continued or assumed by the Successor and the Successor does not substitute an equivalent award, the restrictions described in Section 2(d)(ii) shall immediately lapse with respect to the RSUs.</w:t>
      </w:r>
    </w:p>
    <w:p>
      <w:pPr>
        <w:spacing w:after="0" w:line="203" w:lineRule="exact"/>
        <w:rPr>
          <w:rFonts w:ascii="Times New Roman" w:cs="Times New Roman" w:eastAsia="Times New Roman" w:hAnsi="Times New Roman"/>
          <w:sz w:val="18"/>
          <w:szCs w:val="18"/>
          <w:color w:val="auto"/>
        </w:rPr>
      </w:pPr>
    </w:p>
    <w:p>
      <w:pPr>
        <w:jc w:val="both"/>
        <w:ind w:left="180" w:firstLine="652"/>
        <w:spacing w:after="0" w:line="242" w:lineRule="auto"/>
        <w:tabs>
          <w:tab w:leader="none" w:pos="114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the lapse of the restrictions in accordance with this Section 2(e), or in any event, no later than the earlier of ninety (90) days after such date or two and one half months following the end of the calendar year in which the restrictions lapsed in accordance with Section 2(e), the Company will make a book-entry registration or will issue you a certificate as provided in Section 2(b) of this Award Agreement for the Shares covered by such Stock-Settled RSUs in redemption of such RSUs and will pay you by check in redemption of the Shares covered by such Cash-Settled RSUs.</w:t>
      </w:r>
    </w:p>
    <w:p>
      <w:pPr>
        <w:sectPr>
          <w:pgSz w:w="11900" w:h="16838" w:orient="portrait"/>
          <w:cols w:equalWidth="0" w:num="1">
            <w:col w:w="10120"/>
          </w:cols>
          <w:pgMar w:left="1440" w:top="1417" w:right="339" w:bottom="1440" w:gutter="0" w:footer="0" w:header="0"/>
        </w:sectPr>
      </w:pPr>
    </w:p>
    <w:bookmarkStart w:id="91" w:name="page92"/>
    <w:bookmarkEnd w:id="91"/>
    <w:p>
      <w:pPr>
        <w:ind w:left="840" w:hanging="184"/>
        <w:spacing w:after="0"/>
        <w:tabs>
          <w:tab w:leader="none" w:pos="8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 with Respect to Taxes; Share Withholding</w:t>
      </w:r>
      <w:r>
        <w:rPr>
          <w:rFonts w:ascii="Times New Roman" w:cs="Times New Roman" w:eastAsia="Times New Roman" w:hAnsi="Times New Roman"/>
          <w:sz w:val="18"/>
          <w:szCs w:val="18"/>
          <w:color w:val="auto"/>
        </w:rPr>
        <w:t>.</w:t>
      </w:r>
    </w:p>
    <w:p>
      <w:pPr>
        <w:spacing w:after="0" w:line="242" w:lineRule="exact"/>
        <w:rPr>
          <w:rFonts w:ascii="Times New Roman" w:cs="Times New Roman" w:eastAsia="Times New Roman" w:hAnsi="Times New Roman"/>
          <w:sz w:val="18"/>
          <w:szCs w:val="18"/>
          <w:color w:val="auto"/>
        </w:rPr>
      </w:pPr>
    </w:p>
    <w:p>
      <w:pPr>
        <w:jc w:val="both"/>
        <w:ind w:left="660" w:firstLine="644"/>
        <w:spacing w:after="0" w:line="242" w:lineRule="auto"/>
        <w:tabs>
          <w:tab w:leader="none" w:pos="155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(1) you will pay to the Company or an Affiliate, as the case may be, in cash, or make arrangements satisfactory to the Company or such Affiliate regarding the payment of any taxes of any kind required by law to be withheld by the Company or any of its Affiliates with respect to the RSUs, the and/or the Shares and (2) the Company or any of its Affiliates shall, to the extent permitted by law, have the right to deduct from any payments of any kind otherwise due to you any taxes of any kind required by law to be withheld with respect to the RSUs and the Shares.</w:t>
      </w:r>
    </w:p>
    <w:p>
      <w:pPr>
        <w:spacing w:after="0" w:line="211" w:lineRule="exact"/>
        <w:rPr>
          <w:rFonts w:ascii="Times New Roman" w:cs="Times New Roman" w:eastAsia="Times New Roman" w:hAnsi="Times New Roman"/>
          <w:sz w:val="18"/>
          <w:szCs w:val="18"/>
          <w:color w:val="auto"/>
        </w:rPr>
      </w:pPr>
    </w:p>
    <w:p>
      <w:pPr>
        <w:jc w:val="both"/>
        <w:ind w:left="660" w:firstLine="644"/>
        <w:spacing w:after="0"/>
        <w:tabs>
          <w:tab w:leader="none" w:pos="157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withholding required upon the lapse of restrictions or upon any other taxable event arising as a result of the RSUs awarded or the issuance of Shares to you, you may elect, subject to the approval of the Committee, to satisfy the withholding requirement, in whole or in part, by having the Company withhold Shares having a Fair Market Value on the date the tax is to be determined equal to the minimum statutory total tax which could be withheld on the transaction (or such other amount that will not cause adverse accounting consequences for the Company and is permitted under the Plan and applicable withholding rules promulgated by the Internal Revenue Service or other applicable governmental entity). All such elections shall be irrevocable, made in writing, signed by you, and shall be subject to any restrictions or limitations that such Committee, in its sole discretion, deems appropriate.</w:t>
      </w:r>
    </w:p>
    <w:p>
      <w:pPr>
        <w:spacing w:after="0" w:line="20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Adjustment of Shares. </w:t>
      </w:r>
      <w:r>
        <w:rPr>
          <w:rFonts w:ascii="Times New Roman" w:cs="Times New Roman" w:eastAsia="Times New Roman" w:hAnsi="Times New Roman"/>
          <w:sz w:val="18"/>
          <w:szCs w:val="18"/>
          <w:color w:val="auto"/>
        </w:rPr>
        <w:t>The number of Shares subject to the RSUs awarded to you under this Award Agreement may be adjusted as provided 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w:t>
      </w:r>
    </w:p>
    <w:p>
      <w:pPr>
        <w:spacing w:after="0" w:line="215" w:lineRule="exact"/>
        <w:rPr>
          <w:sz w:val="20"/>
          <w:szCs w:val="20"/>
          <w:color w:val="auto"/>
        </w:rPr>
      </w:pPr>
    </w:p>
    <w:p>
      <w:pPr>
        <w:jc w:val="both"/>
        <w:ind w:firstLine="656"/>
        <w:spacing w:after="0" w:line="246" w:lineRule="auto"/>
        <w:tabs>
          <w:tab w:leader="none" w:pos="84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Agreement With Respect to Securities Matters. </w:t>
      </w:r>
      <w:r>
        <w:rPr>
          <w:rFonts w:ascii="Times New Roman" w:cs="Times New Roman" w:eastAsia="Times New Roman" w:hAnsi="Times New Roman"/>
          <w:sz w:val="18"/>
          <w:szCs w:val="18"/>
          <w:color w:val="auto"/>
        </w:rPr>
        <w:t>You agree that you will not sell or otherwise transfer any Shares received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except pursuant to an effective registration statement under the U.S. Securities Act of 1933, as amended, or pursuant to an applicable exemption from such registration. Unless a registration statement relating to the Shares issuable upon the lapse of the restrictions on the RSUs pursuant to this Award Agreement is in effect at the time of issuance of such Shares, the certificate(s) for the Shares shall contain the following legend:</w:t>
      </w:r>
    </w:p>
    <w:p>
      <w:pPr>
        <w:spacing w:after="0" w:line="208"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18"/>
          <w:szCs w:val="18"/>
          <w:color w:val="auto"/>
        </w:rPr>
        <w:t>The securities evidenced by this certificate have not been registered under the Securities Act of 1933 or any other securities laws. These securities have been acquired for investment and may not be sold or transferred for value in the absence of an effective registration of them under the U.S. Securities Act of 1933 and any other applicable securities laws, or receipt by the Company of an opinion of counsel or other evidence acceptable to the Company that such registration is not required under such acts.</w:t>
      </w:r>
    </w:p>
    <w:p>
      <w:pPr>
        <w:spacing w:after="0" w:line="204" w:lineRule="exact"/>
        <w:rPr>
          <w:sz w:val="20"/>
          <w:szCs w:val="20"/>
          <w:color w:val="auto"/>
        </w:rPr>
      </w:pPr>
    </w:p>
    <w:p>
      <w:pPr>
        <w:jc w:val="both"/>
        <w:ind w:firstLine="656"/>
        <w:spacing w:after="0" w:line="246" w:lineRule="auto"/>
        <w:tabs>
          <w:tab w:leader="none" w:pos="84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Forfeiture. </w:t>
      </w:r>
      <w:r>
        <w:rPr>
          <w:rFonts w:ascii="Times New Roman" w:cs="Times New Roman" w:eastAsia="Times New Roman" w:hAnsi="Times New Roman"/>
          <w:sz w:val="18"/>
          <w:szCs w:val="18"/>
          <w:color w:val="auto"/>
        </w:rPr>
        <w:t>You agree that in the event you violate the confidentiality, non-competition, non-solicitation or non-disparagement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agreement between you and the Company or any Affiliate, or any plan of the Company or any Affiliate in which you participate, including without limitation, the non-solicitation provisions of Section 7 below, you will forfeit in their entirety the RSUs, and all of your rights thereto shall terminate without any payment of consideration by the Company.</w:t>
      </w:r>
    </w:p>
    <w:p>
      <w:pPr>
        <w:spacing w:after="0" w:line="204"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Non-Solicitation</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left="660" w:firstLine="644"/>
        <w:spacing w:after="0" w:line="242" w:lineRule="auto"/>
        <w:tabs>
          <w:tab w:leader="none" w:pos="157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Non-Solicitation of Employees</w:t>
      </w:r>
      <w:r>
        <w:rPr>
          <w:rFonts w:ascii="Times New Roman" w:cs="Times New Roman" w:eastAsia="Times New Roman" w:hAnsi="Times New Roman"/>
          <w:sz w:val="18"/>
          <w:szCs w:val="18"/>
          <w:color w:val="auto"/>
        </w:rPr>
        <w:t>. During the period beginning on the date of this Award Agreement and ending on the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anniversary of the date of your termination of employment with the Company or an Affiliate, regardless of the reason for your termination of employment, you shall not, directly, or indirectly by assisting others: (i) cause or attempt to cause or encourage any employee of the Company or an Affiliate to terminate his or her relationship with the Company or an Affiliate or (ii) solicit the employment or engagement as a consultant or adviser, of any employee of the Company or an Affiliate or any former employee of the Company or an Affiliate who left the employ of the Company or Affiliate within two years following your termination of employment with the Company or an Affiliate.</w:t>
      </w:r>
    </w:p>
    <w:p>
      <w:pPr>
        <w:sectPr>
          <w:pgSz w:w="11900" w:h="16838" w:orient="portrait"/>
          <w:cols w:equalWidth="0" w:num="1">
            <w:col w:w="11240"/>
          </w:cols>
          <w:pgMar w:left="320" w:top="1413" w:right="339" w:bottom="1440" w:gutter="0" w:footer="0" w:header="0"/>
        </w:sectPr>
      </w:pPr>
    </w:p>
    <w:bookmarkStart w:id="92" w:name="page93"/>
    <w:bookmarkEnd w:id="92"/>
    <w:p>
      <w:pPr>
        <w:jc w:val="both"/>
        <w:ind w:left="640" w:firstLine="644"/>
        <w:spacing w:after="0" w:line="243" w:lineRule="auto"/>
        <w:tabs>
          <w:tab w:leader="none" w:pos="155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Reasonableness of Restriction</w:t>
      </w:r>
      <w:r>
        <w:rPr>
          <w:rFonts w:ascii="Times New Roman" w:cs="Times New Roman" w:eastAsia="Times New Roman" w:hAnsi="Times New Roman"/>
          <w:sz w:val="18"/>
          <w:szCs w:val="18"/>
          <w:color w:val="auto"/>
        </w:rPr>
        <w:t>. You agree and acknowledge that the above non-solicitation covenant is reasonable in the scope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restricted, the geographic area covered by the restriction and the duration of the restriction, and is necessary in that it protects the legitimate business interests of the Company and its Affiliates in its confidential information, its proprietary work, and its relationships with its employees, customers, suppliers and agents and that it does not unreasonably impair your ability to earn a livelihood or to support your dependants.</w:t>
      </w:r>
    </w:p>
    <w:p>
      <w:pPr>
        <w:spacing w:after="0" w:line="207" w:lineRule="exact"/>
        <w:rPr>
          <w:rFonts w:ascii="Times New Roman" w:cs="Times New Roman" w:eastAsia="Times New Roman" w:hAnsi="Times New Roman"/>
          <w:sz w:val="18"/>
          <w:szCs w:val="18"/>
          <w:color w:val="auto"/>
        </w:rPr>
      </w:pPr>
    </w:p>
    <w:p>
      <w:pPr>
        <w:jc w:val="both"/>
        <w:ind w:left="640" w:firstLine="644"/>
        <w:spacing w:after="0" w:line="246" w:lineRule="auto"/>
        <w:tabs>
          <w:tab w:leader="none" w:pos="153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Irreparable Harm; Injunctive Relief</w:t>
      </w:r>
      <w:r>
        <w:rPr>
          <w:rFonts w:ascii="Times New Roman" w:cs="Times New Roman" w:eastAsia="Times New Roman" w:hAnsi="Times New Roman"/>
          <w:sz w:val="18"/>
          <w:szCs w:val="18"/>
          <w:color w:val="auto"/>
        </w:rPr>
        <w:t>. You agree and acknowledge that a violation by you of the non-solicitation covenant contained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will result in immediate and irreparable harm to the Company for which there is no adequate remedy at law. You hereby agree that the Company will be entitled, in addition to any remedies it might have under this Award Agreement or at law, to injunctive and other equitable relief to prevent or curtail any threatened or actual breach of this Award Agreement by you, without the posting of bond or other security.</w:t>
      </w:r>
    </w:p>
    <w:p>
      <w:pPr>
        <w:spacing w:after="0" w:line="204" w:lineRule="exact"/>
        <w:rPr>
          <w:rFonts w:ascii="Times New Roman" w:cs="Times New Roman" w:eastAsia="Times New Roman" w:hAnsi="Times New Roman"/>
          <w:sz w:val="18"/>
          <w:szCs w:val="18"/>
          <w:color w:val="auto"/>
        </w:rPr>
      </w:pPr>
    </w:p>
    <w:p>
      <w:pPr>
        <w:ind w:left="640" w:firstLine="644"/>
        <w:spacing w:after="0" w:line="271" w:lineRule="auto"/>
        <w:tabs>
          <w:tab w:leader="none" w:pos="155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Extension of Covenant</w:t>
      </w:r>
      <w:r>
        <w:rPr>
          <w:rFonts w:ascii="Times New Roman" w:cs="Times New Roman" w:eastAsia="Times New Roman" w:hAnsi="Times New Roman"/>
          <w:sz w:val="18"/>
          <w:szCs w:val="18"/>
          <w:color w:val="auto"/>
        </w:rPr>
        <w:t>. During any breach of the non-solicitation provisions of this Award Agreement, the period of restraint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herein shall be automatically tolled and suspended for the amount of time that the violation continues.</w:t>
      </w:r>
    </w:p>
    <w:p>
      <w:pPr>
        <w:spacing w:after="0" w:line="180" w:lineRule="exact"/>
        <w:rPr>
          <w:rFonts w:ascii="Times New Roman" w:cs="Times New Roman" w:eastAsia="Times New Roman" w:hAnsi="Times New Roman"/>
          <w:sz w:val="18"/>
          <w:szCs w:val="18"/>
          <w:color w:val="auto"/>
        </w:rPr>
      </w:pPr>
    </w:p>
    <w:p>
      <w:pPr>
        <w:ind w:left="640" w:firstLine="644"/>
        <w:spacing w:after="0" w:line="271" w:lineRule="auto"/>
        <w:tabs>
          <w:tab w:leader="none" w:pos="154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Survival of Covenants</w:t>
      </w:r>
      <w:r>
        <w:rPr>
          <w:rFonts w:ascii="Times New Roman" w:cs="Times New Roman" w:eastAsia="Times New Roman" w:hAnsi="Times New Roman"/>
          <w:sz w:val="18"/>
          <w:szCs w:val="18"/>
          <w:color w:val="auto"/>
        </w:rPr>
        <w:t>. Your obligations pursuant to this Section 7 shall survive the termination of this Award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your employment with the Company or an Affiliate.</w:t>
      </w:r>
    </w:p>
    <w:p>
      <w:pPr>
        <w:spacing w:after="0" w:line="180" w:lineRule="exact"/>
        <w:rPr>
          <w:rFonts w:ascii="Times New Roman" w:cs="Times New Roman" w:eastAsia="Times New Roman" w:hAnsi="Times New Roman"/>
          <w:sz w:val="18"/>
          <w:szCs w:val="18"/>
          <w:color w:val="auto"/>
        </w:rPr>
      </w:pPr>
    </w:p>
    <w:p>
      <w:pPr>
        <w:ind w:left="640" w:firstLine="644"/>
        <w:spacing w:after="0" w:line="271" w:lineRule="auto"/>
        <w:tabs>
          <w:tab w:leader="none" w:pos="151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Attorneys' Fees</w:t>
      </w:r>
      <w:r>
        <w:rPr>
          <w:rFonts w:ascii="Times New Roman" w:cs="Times New Roman" w:eastAsia="Times New Roman" w:hAnsi="Times New Roman"/>
          <w:sz w:val="18"/>
          <w:szCs w:val="18"/>
          <w:color w:val="auto"/>
        </w:rPr>
        <w:t>. You agree to pay the Company any attorneys' fees and costs which the Company incurs in enforcing, to any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this Section 7, whether or not litigation is actually commenced, and including any appeal.</w:t>
      </w:r>
    </w:p>
    <w:p>
      <w:pPr>
        <w:spacing w:after="0" w:line="180" w:lineRule="exact"/>
        <w:rPr>
          <w:rFonts w:ascii="Times New Roman" w:cs="Times New Roman" w:eastAsia="Times New Roman" w:hAnsi="Times New Roman"/>
          <w:sz w:val="18"/>
          <w:szCs w:val="18"/>
          <w:color w:val="auto"/>
        </w:rPr>
      </w:pPr>
    </w:p>
    <w:p>
      <w:pPr>
        <w:jc w:val="both"/>
        <w:ind w:left="-20" w:firstLine="656"/>
        <w:spacing w:after="0" w:line="243" w:lineRule="auto"/>
        <w:tabs>
          <w:tab w:leader="none" w:pos="82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409A</w:t>
      </w:r>
      <w:r>
        <w:rPr>
          <w:rFonts w:ascii="Times New Roman" w:cs="Times New Roman" w:eastAsia="Times New Roman" w:hAnsi="Times New Roman"/>
          <w:sz w:val="18"/>
          <w:szCs w:val="18"/>
          <w:color w:val="auto"/>
        </w:rPr>
        <w:t>. The Company intends that this Award Agreement and the Plan either (a) comply with Section 409A and guidance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or (b) be excepted from the provisions of Section 409A. Accordingly, the Company reserves the right and you agree that the Company shall have the right, without your consent and without prior notice to you, to amend either or both this Award Agreement and the Plan to cause this Award Agreement and the Plan to be so compliant or so excepted and to take such other actions under the Plan and this Award Agreement to achieve such compliance or exception.</w:t>
      </w:r>
    </w:p>
    <w:p>
      <w:pPr>
        <w:spacing w:after="0" w:line="207" w:lineRule="exact"/>
        <w:rPr>
          <w:rFonts w:ascii="Times New Roman" w:cs="Times New Roman" w:eastAsia="Times New Roman" w:hAnsi="Times New Roman"/>
          <w:sz w:val="18"/>
          <w:szCs w:val="18"/>
          <w:color w:val="auto"/>
        </w:rPr>
      </w:pPr>
    </w:p>
    <w:p>
      <w:pPr>
        <w:ind w:left="-20" w:right="20" w:firstLine="656"/>
        <w:spacing w:after="0" w:line="271" w:lineRule="auto"/>
        <w:tabs>
          <w:tab w:leader="none" w:pos="82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Certain Definitions. </w:t>
      </w:r>
      <w:r>
        <w:rPr>
          <w:rFonts w:ascii="Times New Roman" w:cs="Times New Roman" w:eastAsia="Times New Roman" w:hAnsi="Times New Roman"/>
          <w:sz w:val="18"/>
          <w:szCs w:val="18"/>
          <w:color w:val="auto"/>
        </w:rPr>
        <w:t>Capitalized terms used in this Award Agreement and not otherwise defined herein shall have the respective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 Plan.</w:t>
      </w:r>
    </w:p>
    <w:p>
      <w:pPr>
        <w:spacing w:after="0" w:line="180" w:lineRule="exact"/>
        <w:rPr>
          <w:rFonts w:ascii="Times New Roman" w:cs="Times New Roman" w:eastAsia="Times New Roman" w:hAnsi="Times New Roman"/>
          <w:sz w:val="18"/>
          <w:szCs w:val="18"/>
          <w:color w:val="auto"/>
        </w:rPr>
      </w:pPr>
    </w:p>
    <w:p>
      <w:pPr>
        <w:jc w:val="both"/>
        <w:ind w:left="-20" w:firstLine="656"/>
        <w:spacing w:after="0" w:line="252" w:lineRule="auto"/>
        <w:tabs>
          <w:tab w:leader="none" w:pos="89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Designation of Beneficiary</w:t>
      </w:r>
      <w:r>
        <w:rPr>
          <w:rFonts w:ascii="Times New Roman" w:cs="Times New Roman" w:eastAsia="Times New Roman" w:hAnsi="Times New Roman"/>
          <w:sz w:val="18"/>
          <w:szCs w:val="18"/>
          <w:color w:val="auto"/>
        </w:rPr>
        <w:t>. Your beneficiary for receipt of any payment made under this Award Agreement in the event of your death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the person(s) designated as your beneficiary(ies) on a form prescribed by the Company. If no beneficiary is designated, upon your death, payment shall be made to your estate.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Follow]</w:t>
      </w:r>
    </w:p>
    <w:p>
      <w:pPr>
        <w:sectPr>
          <w:pgSz w:w="11900" w:h="16838" w:orient="portrait"/>
          <w:cols w:equalWidth="0" w:num="1">
            <w:col w:w="11220"/>
          </w:cols>
          <w:pgMar w:left="340" w:top="1413" w:right="339" w:bottom="1440" w:gutter="0" w:footer="0" w:header="0"/>
        </w:sectPr>
      </w:pPr>
    </w:p>
    <w:bookmarkStart w:id="93" w:name="page94"/>
    <w:bookmarkEnd w:id="93"/>
    <w:p>
      <w:pPr>
        <w:ind w:firstLine="648"/>
        <w:spacing w:after="0" w:line="266" w:lineRule="auto"/>
        <w:rPr>
          <w:sz w:val="20"/>
          <w:szCs w:val="20"/>
          <w:color w:val="auto"/>
        </w:rPr>
      </w:pPr>
      <w:r>
        <w:rPr>
          <w:rFonts w:ascii="Times New Roman" w:cs="Times New Roman" w:eastAsia="Times New Roman" w:hAnsi="Times New Roman"/>
          <w:sz w:val="18"/>
          <w:szCs w:val="18"/>
          <w:color w:val="auto"/>
        </w:rPr>
        <w:t>If you accept this Award Agreement and agree to the foregoing terms and conditions, please so confirm by signing and returning the duplicate copy of this Award Agreement enclosed for that purpose.</w:t>
      </w: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MATRIX SERVICE COMPANY</w:t>
      </w:r>
    </w:p>
    <w:p>
      <w:pPr>
        <w:spacing w:after="0" w:line="200" w:lineRule="exact"/>
        <w:rPr>
          <w:sz w:val="20"/>
          <w:szCs w:val="20"/>
          <w:color w:val="auto"/>
        </w:rPr>
      </w:pPr>
    </w:p>
    <w:p>
      <w:pPr>
        <w:spacing w:after="0" w:line="28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w:t>
      </w:r>
    </w:p>
    <w:p>
      <w:pPr>
        <w:spacing w:after="0" w:line="23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w:t>
      </w:r>
    </w:p>
    <w:p>
      <w:pPr>
        <w:spacing w:after="0" w:line="23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Award Agreement is accepted by me as of , and I hereby agree to the terms, conditions, and restrictions set forth above and in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«Grantee»</w:t>
      </w:r>
    </w:p>
    <w:p>
      <w:pPr>
        <w:sectPr>
          <w:pgSz w:w="11900" w:h="16838" w:orient="portrait"/>
          <w:cols w:equalWidth="0" w:num="1">
            <w:col w:w="11220"/>
          </w:cols>
          <w:pgMar w:left="320" w:top="1417" w:right="35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Grantee:</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Shares: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AGREEMENT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«Address1»</w:t>
      </w:r>
    </w:p>
    <w:p>
      <w:pPr>
        <w:spacing w:after="0" w:line="234" w:lineRule="auto"/>
        <w:rPr>
          <w:sz w:val="20"/>
          <w:szCs w:val="20"/>
          <w:color w:val="auto"/>
        </w:rPr>
      </w:pPr>
      <w:r>
        <w:rPr>
          <w:rFonts w:ascii="Times New Roman" w:cs="Times New Roman" w:eastAsia="Times New Roman" w:hAnsi="Times New Roman"/>
          <w:sz w:val="18"/>
          <w:szCs w:val="18"/>
          <w:color w:val="auto"/>
        </w:rPr>
        <w:t>«Address2»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«PostalCode»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«FirstName»:</w:t>
      </w:r>
    </w:p>
    <w:p>
      <w:pPr>
        <w:spacing w:after="0" w:line="235" w:lineRule="exact"/>
        <w:rPr>
          <w:sz w:val="20"/>
          <w:szCs w:val="20"/>
          <w:color w:val="auto"/>
        </w:rPr>
      </w:pPr>
    </w:p>
    <w:p>
      <w:pPr>
        <w:jc w:val="both"/>
        <w:ind w:firstLine="656"/>
        <w:spacing w:after="0" w:line="242" w:lineRule="auto"/>
        <w:tabs>
          <w:tab w:leader="none" w:pos="82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The awards set forth in this Award Agreement (the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are subject to your acceptance of and agreement to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terms, conditions, and restrictions described in the 2018 Stock and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of Matrix Service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copy of which is on file with, and may be obtained from, the Secretary of the Company, and to your acceptance of and agreement to the further terms, conditions, and restrictions described in this Award Agreement. To the extent that any provision of this Award Agreement conflicts with the expressly applicable terms of the Plan, it is hereby acknowledged and agreed that those terms of the Plan shall control and, if necessary, the applicable provisions of this Award Agreement shall be hereby deemed amended so as to carry out the purpose and intent of the Plan.</w:t>
      </w:r>
    </w:p>
    <w:p>
      <w:pPr>
        <w:spacing w:after="0" w:line="20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Stock Units and Performance Unit Long-Term Incentive Award.</w:t>
      </w:r>
    </w:p>
    <w:p>
      <w:pPr>
        <w:spacing w:after="0" w:line="238" w:lineRule="exact"/>
        <w:rPr>
          <w:rFonts w:ascii="Times New Roman" w:cs="Times New Roman" w:eastAsia="Times New Roman" w:hAnsi="Times New Roman"/>
          <w:sz w:val="18"/>
          <w:szCs w:val="18"/>
          <w:color w:val="auto"/>
        </w:rPr>
      </w:pPr>
    </w:p>
    <w:p>
      <w:pPr>
        <w:jc w:val="both"/>
        <w:ind w:left="660" w:firstLine="644"/>
        <w:spacing w:after="0" w:line="239" w:lineRule="auto"/>
        <w:tabs>
          <w:tab w:leader="none" w:pos="1579"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Restricted Stock Units and Performance Units Awards. </w:t>
      </w:r>
      <w:r>
        <w:rPr>
          <w:rFonts w:ascii="Times New Roman" w:cs="Times New Roman" w:eastAsia="Times New Roman" w:hAnsi="Times New Roman"/>
          <w:sz w:val="18"/>
          <w:szCs w:val="18"/>
          <w:color w:val="auto"/>
        </w:rPr>
        <w:t>The Company hereby grants to you an aggregate of up to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units (individually, an "</w:t>
      </w:r>
      <w:r>
        <w:rPr>
          <w:rFonts w:ascii="Times New Roman" w:cs="Times New Roman" w:eastAsia="Times New Roman" w:hAnsi="Times New Roman"/>
          <w:sz w:val="18"/>
          <w:szCs w:val="18"/>
          <w:u w:val="single" w:color="auto"/>
          <w:color w:val="auto"/>
        </w:rPr>
        <w:t>RSU</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as more specifically set forth in Section 2(e). This grant of RSUs is comprised of up to [Shares] "</w:t>
      </w:r>
      <w:r>
        <w:rPr>
          <w:rFonts w:ascii="Times New Roman" w:cs="Times New Roman" w:eastAsia="Times New Roman" w:hAnsi="Times New Roman"/>
          <w:sz w:val="18"/>
          <w:szCs w:val="18"/>
          <w:u w:val="single" w:color="auto"/>
          <w:color w:val="auto"/>
        </w:rPr>
        <w:t>Stock-Based RSUs</w:t>
      </w:r>
      <w:r>
        <w:rPr>
          <w:rFonts w:ascii="Times New Roman" w:cs="Times New Roman" w:eastAsia="Times New Roman" w:hAnsi="Times New Roman"/>
          <w:sz w:val="18"/>
          <w:szCs w:val="18"/>
          <w:color w:val="auto"/>
        </w:rPr>
        <w:t>" and up to [Shares] "</w:t>
      </w:r>
      <w:r>
        <w:rPr>
          <w:rFonts w:ascii="Times New Roman" w:cs="Times New Roman" w:eastAsia="Times New Roman" w:hAnsi="Times New Roman"/>
          <w:sz w:val="18"/>
          <w:szCs w:val="18"/>
          <w:u w:val="single" w:color="auto"/>
          <w:color w:val="auto"/>
        </w:rPr>
        <w:t>Cash-Based RSUs</w:t>
      </w:r>
      <w:r>
        <w:rPr>
          <w:rFonts w:ascii="Times New Roman" w:cs="Times New Roman" w:eastAsia="Times New Roman" w:hAnsi="Times New Roman"/>
          <w:sz w:val="18"/>
          <w:szCs w:val="18"/>
          <w:color w:val="auto"/>
        </w:rPr>
        <w:t>." Each Stock-Based RSU entitles you to receive one share of common stock, par value $.01 per share,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at such time as the restrictions described in Section 2(d)(ii) lapse as described in Section 2(e)(i). Each Cash-Based RSU entitles you to receive an amount of cash equal to the value of one Share based on the closing price of the Shares at such time as the restrictions described in Section 2(d)(ii) lapse as described in Section 2(e)(i). In addition, the Company hereby grants to you an aggregate of up to «Shares» performance units (individually, a "</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Performance Units</w:t>
      </w:r>
      <w:r>
        <w:rPr>
          <w:rFonts w:ascii="Times New Roman" w:cs="Times New Roman" w:eastAsia="Times New Roman" w:hAnsi="Times New Roman"/>
          <w:sz w:val="18"/>
          <w:szCs w:val="18"/>
          <w:color w:val="auto"/>
        </w:rPr>
        <w:t>"). Each Performance Unit entitles you to receive up to two Shares at such time as the restrictions described in Section 2(d)(ii) lapse as described in Section 2(e)(ii).</w:t>
      </w:r>
    </w:p>
    <w:p>
      <w:pPr>
        <w:spacing w:after="0" w:line="210" w:lineRule="exact"/>
        <w:rPr>
          <w:rFonts w:ascii="Times New Roman" w:cs="Times New Roman" w:eastAsia="Times New Roman" w:hAnsi="Times New Roman"/>
          <w:sz w:val="18"/>
          <w:szCs w:val="18"/>
          <w:color w:val="auto"/>
        </w:rPr>
      </w:pPr>
    </w:p>
    <w:p>
      <w:pPr>
        <w:jc w:val="both"/>
        <w:ind w:left="660" w:firstLine="522"/>
        <w:spacing w:after="0" w:line="242" w:lineRule="auto"/>
        <w:tabs>
          <w:tab w:leader="none" w:pos="144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Form of Restricted Stock; Possession of Certificates. </w:t>
      </w:r>
      <w:r>
        <w:rPr>
          <w:rFonts w:ascii="Times New Roman" w:cs="Times New Roman" w:eastAsia="Times New Roman" w:hAnsi="Times New Roman"/>
          <w:sz w:val="18"/>
          <w:szCs w:val="18"/>
          <w:color w:val="auto"/>
        </w:rPr>
        <w:t>The Company shall issue the Shares you become entitled to receive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book-entry registration or by issuance of a certificate or certificates for the Shares in your name as soon as practicable after the restrictions in Section 2(d)(ii) lapse as described in Section 2(e). In the event the Company issues a certificate or certificates for the Shares, such certificates shall be subject to such stop transfer orders and other restrictions as the committee of the Board of Directors that administers the Plan may deem necessary or advisable under the Plan and rules, regulations and other requirements of the Securities and Exchange Commission, any stock exchange upon which such Shares are then listed, and any applicable foreign, federal or state securities laws.</w:t>
      </w:r>
    </w:p>
    <w:p>
      <w:pPr>
        <w:sectPr>
          <w:pgSz w:w="11900" w:h="16838" w:orient="portrait"/>
          <w:cols w:equalWidth="0" w:num="1">
            <w:col w:w="11240"/>
          </w:cols>
          <w:pgMar w:left="320" w:top="1413" w:right="339" w:bottom="1440" w:gutter="0" w:footer="0" w:header="0"/>
        </w:sectPr>
      </w:pPr>
    </w:p>
    <w:bookmarkStart w:id="95" w:name="page96"/>
    <w:bookmarkEnd w:id="95"/>
    <w:p>
      <w:pPr>
        <w:jc w:val="both"/>
        <w:ind w:left="652" w:firstLine="522"/>
        <w:spacing w:after="0" w:line="252" w:lineRule="auto"/>
        <w:tabs>
          <w:tab w:leader="none" w:pos="142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Stockholder Rights Prior to Issuance of Shares. </w:t>
      </w:r>
      <w:r>
        <w:rPr>
          <w:rFonts w:ascii="Times New Roman" w:cs="Times New Roman" w:eastAsia="Times New Roman" w:hAnsi="Times New Roman"/>
          <w:sz w:val="18"/>
          <w:szCs w:val="18"/>
          <w:color w:val="auto"/>
        </w:rPr>
        <w:t>Neither you nor any of your beneficiaries shall be deemed to have any voting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to receive dividends or other rights as a stockholder of the Company with respect to any Shares covered by the RSUs or the Performance Units until the date of book-entry registration or issuance by the Company of a certificate to you for such Shares.</w:t>
      </w:r>
    </w:p>
    <w:p>
      <w:pPr>
        <w:spacing w:after="0" w:line="198" w:lineRule="exact"/>
        <w:rPr>
          <w:rFonts w:ascii="Times New Roman" w:cs="Times New Roman" w:eastAsia="Times New Roman" w:hAnsi="Times New Roman"/>
          <w:sz w:val="18"/>
          <w:szCs w:val="18"/>
          <w:color w:val="auto"/>
        </w:rPr>
      </w:pPr>
    </w:p>
    <w:p>
      <w:pPr>
        <w:ind w:left="1432" w:hanging="258"/>
        <w:spacing w:after="0"/>
        <w:tabs>
          <w:tab w:leader="none" w:pos="143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Restrictions.</w:t>
      </w:r>
    </w:p>
    <w:p>
      <w:pPr>
        <w:spacing w:after="0" w:line="242" w:lineRule="exact"/>
        <w:rPr>
          <w:rFonts w:ascii="Times New Roman" w:cs="Times New Roman" w:eastAsia="Times New Roman" w:hAnsi="Times New Roman"/>
          <w:sz w:val="18"/>
          <w:szCs w:val="18"/>
          <w:color w:val="auto"/>
        </w:rPr>
      </w:pPr>
    </w:p>
    <w:p>
      <w:pPr>
        <w:ind w:left="1292" w:firstLine="652"/>
        <w:spacing w:after="0" w:line="266" w:lineRule="auto"/>
        <w:tabs>
          <w:tab w:leader="none" w:pos="217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ownership of the RSUs and Performance Units shall be subject to the restrictions set forth in subsection (ii) of this Section 2(d) until such restrictions lapse pursuant to the terms of Section 2(e).</w:t>
      </w:r>
    </w:p>
    <w:p>
      <w:pPr>
        <w:spacing w:after="0" w:line="189" w:lineRule="exact"/>
        <w:rPr>
          <w:rFonts w:ascii="Times New Roman" w:cs="Times New Roman" w:eastAsia="Times New Roman" w:hAnsi="Times New Roman"/>
          <w:sz w:val="18"/>
          <w:szCs w:val="18"/>
          <w:color w:val="auto"/>
        </w:rPr>
      </w:pPr>
    </w:p>
    <w:p>
      <w:pPr>
        <w:ind w:left="2212" w:hanging="268"/>
        <w:spacing w:after="0"/>
        <w:tabs>
          <w:tab w:leader="none" w:pos="2212"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referred to in subsection (i) of this Section 2(d) are as follows:</w:t>
      </w:r>
    </w:p>
    <w:p>
      <w:pPr>
        <w:spacing w:after="0" w:line="238" w:lineRule="exact"/>
        <w:rPr>
          <w:rFonts w:ascii="Times New Roman" w:cs="Times New Roman" w:eastAsia="Times New Roman" w:hAnsi="Times New Roman"/>
          <w:sz w:val="18"/>
          <w:szCs w:val="18"/>
          <w:color w:val="auto"/>
        </w:rPr>
      </w:pPr>
    </w:p>
    <w:p>
      <w:pPr>
        <w:jc w:val="both"/>
        <w:ind w:left="1952" w:firstLine="518"/>
        <w:spacing w:after="0" w:line="245" w:lineRule="auto"/>
        <w:tabs>
          <w:tab w:leader="none" w:pos="2797" w:val="left"/>
        </w:tabs>
        <w:numPr>
          <w:ilvl w:val="3"/>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your termination of employment with the Company or an Affiliate, other than a termination of employment that occurs as a result of an event described in any of Subsections (iii) through (vii) of Section 2(e), you shall forfeit the RSUs and Performance Units to the Company and all of your rights thereto shall terminate without any payment of consideration by the Company.</w:t>
      </w:r>
    </w:p>
    <w:p>
      <w:pPr>
        <w:spacing w:after="0" w:line="207" w:lineRule="exact"/>
        <w:rPr>
          <w:rFonts w:ascii="Times New Roman" w:cs="Times New Roman" w:eastAsia="Times New Roman" w:hAnsi="Times New Roman"/>
          <w:sz w:val="18"/>
          <w:szCs w:val="18"/>
          <w:color w:val="auto"/>
        </w:rPr>
      </w:pPr>
    </w:p>
    <w:p>
      <w:pPr>
        <w:jc w:val="both"/>
        <w:ind w:left="1952" w:firstLine="518"/>
        <w:spacing w:after="0" w:line="242" w:lineRule="auto"/>
        <w:tabs>
          <w:tab w:leader="none" w:pos="2771" w:val="left"/>
        </w:tabs>
        <w:numPr>
          <w:ilvl w:val="3"/>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sell, assign, transfer or otherwise dispose of any RSUs or Performance Units, or any rights under the RSUs or Performance Units. No RSU or Performance Unit and no rights under any such RSU or Performance Unit may be pledged, alienated, attached or otherwise encumbered, other than by will or the laws of descent and distribution. If you or anyone claiming under or through you attempts to violate this Section 2(d)(ii)(B), such attempted violation shall be null and void and without effect, and all of the Company's obligations hereunder shall terminate.</w:t>
      </w:r>
    </w:p>
    <w:p>
      <w:pPr>
        <w:spacing w:after="0" w:line="207"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Lapse of Restrictions.</w:t>
      </w:r>
    </w:p>
    <w:p>
      <w:pPr>
        <w:spacing w:after="0" w:line="242" w:lineRule="exact"/>
        <w:rPr>
          <w:rFonts w:ascii="Times New Roman" w:cs="Times New Roman" w:eastAsia="Times New Roman" w:hAnsi="Times New Roman"/>
          <w:sz w:val="18"/>
          <w:szCs w:val="18"/>
          <w:color w:val="auto"/>
        </w:rPr>
      </w:pPr>
    </w:p>
    <w:p>
      <w:pPr>
        <w:jc w:val="both"/>
        <w:ind w:left="1292" w:firstLine="652"/>
        <w:spacing w:after="0" w:line="250" w:lineRule="auto"/>
        <w:tabs>
          <w:tab w:leader="none" w:pos="2152"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described in Section 2(d)(ii) shall lapse with respect to the RSUs in four equal installments of 25 percent each on each of the first, second, third and fourth anniversaries of the date of this Award Agreement, such that the restrictions set forth in Section 2(d)(ii) shall have lapsed with respect to 100 percent of the RSUs on the fourth anniversary of the date of this Award Agreement.</w:t>
      </w:r>
    </w:p>
    <w:p>
      <w:pPr>
        <w:spacing w:after="0" w:line="203" w:lineRule="exact"/>
        <w:rPr>
          <w:rFonts w:ascii="Times New Roman" w:cs="Times New Roman" w:eastAsia="Times New Roman" w:hAnsi="Times New Roman"/>
          <w:sz w:val="18"/>
          <w:szCs w:val="18"/>
          <w:color w:val="auto"/>
        </w:rPr>
      </w:pPr>
    </w:p>
    <w:p>
      <w:pPr>
        <w:jc w:val="both"/>
        <w:ind w:left="1292" w:firstLine="652"/>
        <w:spacing w:after="0" w:line="250" w:lineRule="auto"/>
        <w:tabs>
          <w:tab w:leader="none" w:pos="220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described in Section 2(d)(ii) shall lapse with respect to the Performance Units on the third anniversary of the date of this Award Agreement (the "</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but only if and to the extent the Committee certifies in writing that the "</w:t>
      </w:r>
      <w:r>
        <w:rPr>
          <w:rFonts w:ascii="Times New Roman" w:cs="Times New Roman" w:eastAsia="Times New Roman" w:hAnsi="Times New Roman"/>
          <w:sz w:val="18"/>
          <w:szCs w:val="18"/>
          <w:u w:val="single" w:color="auto"/>
          <w:color w:val="auto"/>
        </w:rPr>
        <w:t>Shareholder Return Goals</w:t>
      </w:r>
      <w:r>
        <w:rPr>
          <w:rFonts w:ascii="Times New Roman" w:cs="Times New Roman" w:eastAsia="Times New Roman" w:hAnsi="Times New Roman"/>
          <w:sz w:val="18"/>
          <w:szCs w:val="18"/>
          <w:color w:val="auto"/>
        </w:rPr>
        <w:t>" set forth in this subsection (ii) are met. The Shareholder Return Goals are as follows:</w:t>
      </w:r>
    </w:p>
    <w:p>
      <w:pPr>
        <w:sectPr>
          <w:pgSz w:w="11900" w:h="16838" w:orient="portrait"/>
          <w:cols w:equalWidth="0" w:num="1">
            <w:col w:w="11232"/>
          </w:cols>
          <w:pgMar w:left="328" w:top="1413"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244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660" w:type="dxa"/>
            <w:vAlign w:val="bottom"/>
          </w:tcPr>
          <w:p>
            <w:pPr>
              <w:spacing w:after="0"/>
              <w:rPr>
                <w:sz w:val="17"/>
                <w:szCs w:val="17"/>
                <w:color w:val="auto"/>
              </w:rPr>
            </w:pPr>
          </w:p>
        </w:tc>
        <w:tc>
          <w:tcPr>
            <w:tcW w:w="23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32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Percentage of Performance Units for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2440" w:type="dxa"/>
            <w:vAlign w:val="bottom"/>
            <w:gridSpan w:val="2"/>
          </w:tcPr>
          <w:p>
            <w:pPr>
              <w:jc w:val="center"/>
              <w:ind w:right="14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Return Goal</w:t>
            </w:r>
          </w:p>
        </w:tc>
        <w:tc>
          <w:tcPr>
            <w:tcW w:w="660" w:type="dxa"/>
            <w:vAlign w:val="bottom"/>
          </w:tcPr>
          <w:p>
            <w:pPr>
              <w:spacing w:after="0"/>
              <w:rPr>
                <w:sz w:val="16"/>
                <w:szCs w:val="16"/>
                <w:color w:val="auto"/>
              </w:rPr>
            </w:pPr>
          </w:p>
        </w:tc>
        <w:tc>
          <w:tcPr>
            <w:tcW w:w="2320" w:type="dxa"/>
            <w:vAlign w:val="bottom"/>
            <w:gridSpan w:val="2"/>
          </w:tcPr>
          <w:p>
            <w:pPr>
              <w:jc w:val="center"/>
              <w:ind w:right="7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Shareholder Return</w:t>
            </w:r>
          </w:p>
        </w:tc>
        <w:tc>
          <w:tcPr>
            <w:tcW w:w="660" w:type="dxa"/>
            <w:vAlign w:val="bottom"/>
          </w:tcPr>
          <w:p>
            <w:pPr>
              <w:spacing w:after="0"/>
              <w:rPr>
                <w:sz w:val="16"/>
                <w:szCs w:val="16"/>
                <w:color w:val="auto"/>
              </w:rPr>
            </w:pPr>
          </w:p>
        </w:tc>
        <w:tc>
          <w:tcPr>
            <w:tcW w:w="260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Which Conditions are Satisfied</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35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Threshold Total Shareholder Return Goal</w:t>
            </w:r>
          </w:p>
        </w:tc>
        <w:tc>
          <w:tcPr>
            <w:tcW w:w="29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____ percentile of Peer Group</w:t>
            </w:r>
          </w:p>
        </w:tc>
        <w:tc>
          <w:tcPr>
            <w:tcW w:w="30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___%</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5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Above Threshold Total Shareholder Return</w:t>
            </w:r>
          </w:p>
        </w:tc>
        <w:tc>
          <w:tcPr>
            <w:tcW w:w="6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40" w:type="dxa"/>
            <w:vAlign w:val="bottom"/>
            <w:gridSpan w:val="2"/>
            <w:vMerge w:val="restart"/>
          </w:tcPr>
          <w:p>
            <w:pPr>
              <w:jc w:val="center"/>
              <w:ind w:left="570"/>
              <w:spacing w:after="0"/>
              <w:rPr>
                <w:sz w:val="20"/>
                <w:szCs w:val="20"/>
                <w:color w:val="auto"/>
              </w:rPr>
            </w:pPr>
            <w:r>
              <w:rPr>
                <w:rFonts w:ascii="Times New Roman" w:cs="Times New Roman" w:eastAsia="Times New Roman" w:hAnsi="Times New Roman"/>
                <w:sz w:val="18"/>
                <w:szCs w:val="18"/>
                <w:color w:val="auto"/>
                <w:w w:val="99"/>
              </w:rPr>
              <w:t>___%</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2440" w:type="dxa"/>
            <w:vAlign w:val="bottom"/>
            <w:gridSpan w:val="2"/>
            <w:vMerge w:val="restart"/>
          </w:tcPr>
          <w:p>
            <w:pPr>
              <w:jc w:val="center"/>
              <w:ind w:right="1480"/>
              <w:spacing w:after="0"/>
              <w:rPr>
                <w:sz w:val="20"/>
                <w:szCs w:val="20"/>
                <w:color w:val="auto"/>
              </w:rPr>
            </w:pPr>
            <w:r>
              <w:rPr>
                <w:rFonts w:ascii="Times New Roman" w:cs="Times New Roman" w:eastAsia="Times New Roman" w:hAnsi="Times New Roman"/>
                <w:sz w:val="18"/>
                <w:szCs w:val="18"/>
                <w:color w:val="auto"/>
              </w:rPr>
              <w:t>Goal</w:t>
            </w:r>
          </w:p>
        </w:tc>
        <w:tc>
          <w:tcPr>
            <w:tcW w:w="2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____ percentile of Peer Group</w:t>
            </w:r>
          </w:p>
        </w:tc>
        <w:tc>
          <w:tcPr>
            <w:tcW w:w="30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2980" w:type="dxa"/>
            <w:vAlign w:val="bottom"/>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5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Target Total Shareholder Return Goal</w:t>
            </w:r>
          </w:p>
        </w:tc>
        <w:tc>
          <w:tcPr>
            <w:tcW w:w="29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____ percentile of Peer Group</w:t>
            </w:r>
          </w:p>
        </w:tc>
        <w:tc>
          <w:tcPr>
            <w:tcW w:w="30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___%</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Above Target Total Shareholder Return Goal</w:t>
            </w:r>
          </w:p>
        </w:tc>
        <w:tc>
          <w:tcPr>
            <w:tcW w:w="29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____ percentile of Peer Group</w:t>
            </w:r>
          </w:p>
        </w:tc>
        <w:tc>
          <w:tcPr>
            <w:tcW w:w="30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___%</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Maximum Total Shareholder Return Goal</w:t>
            </w:r>
          </w:p>
        </w:tc>
        <w:tc>
          <w:tcPr>
            <w:tcW w:w="29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____ percentile of Peer Group</w:t>
            </w:r>
          </w:p>
        </w:tc>
        <w:tc>
          <w:tcPr>
            <w:tcW w:w="30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___%</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00" w:firstLine="648"/>
        <w:spacing w:after="0" w:line="236" w:lineRule="auto"/>
        <w:rPr>
          <w:sz w:val="20"/>
          <w:szCs w:val="20"/>
          <w:color w:val="auto"/>
        </w:rPr>
      </w:pPr>
      <w:r>
        <w:rPr>
          <w:rFonts w:ascii="Times New Roman" w:cs="Times New Roman" w:eastAsia="Times New Roman" w:hAnsi="Times New Roman"/>
          <w:sz w:val="18"/>
          <w:szCs w:val="18"/>
          <w:color w:val="auto"/>
        </w:rPr>
        <w:t>The Committee shall certify on a nondiscretionary basis whether and the extent to which the Shareholder Return Goals have been met on or before the date on which the Company is required to make a book-entry registration or issue a certificate for Shares relating to the achievement of Shareholder Return Goals as set forth in Section 2(e)(viii). In the event the Committee certifies that the Threshold Total Shareholder Return Goal has not been met, then all of the Performance Units will be forfeited to the Company. In the event the Committee certifies that the Company has achieved the Maximum Total Shareholder Return Goal, the conditions shall be deemed to have been satisfied and the restrictions on a number of Performance Units equal to all of the Performance Units multiplied by two shall be removed as of the Measurement Date. In the event the Committee certifies that the Company has achieved a Total Shareholder Return that is between any of the Total Shareholder Return Goals set forth above, then the conditions with respect to the Performance Units shall be deemed to have been met for the number of Performance Units determined by linear interpolation between such Shareholder Return Goals and the restrictions on such Performance Units shall be removed as of the Measurement Date and the remainder of the Performance Units will be forfeited to the Company. The Committee has the final authority to determine on a nondiscretionary basis whether the Shareholder Return Goals have been met and to what extent. Notwithstanding the foregoing or any other provision of this Award Agreement to the contrary, in the event that the Committee certifies that the Company has achieved a Total Shareholder Return which is above the ____ percentile of the Peer Group but the Total Shareholder Return of the Company is less than</w:t>
      </w:r>
    </w:p>
    <w:p>
      <w:pPr>
        <w:spacing w:after="0" w:line="6" w:lineRule="exact"/>
        <w:rPr>
          <w:sz w:val="20"/>
          <w:szCs w:val="20"/>
          <w:color w:val="auto"/>
        </w:rPr>
      </w:pPr>
    </w:p>
    <w:p>
      <w:pPr>
        <w:jc w:val="both"/>
        <w:ind w:left="700"/>
        <w:spacing w:after="0" w:line="239" w:lineRule="auto"/>
        <w:rPr>
          <w:sz w:val="20"/>
          <w:szCs w:val="20"/>
          <w:color w:val="auto"/>
        </w:rPr>
      </w:pPr>
      <w:r>
        <w:rPr>
          <w:rFonts w:ascii="Times New Roman" w:cs="Times New Roman" w:eastAsia="Times New Roman" w:hAnsi="Times New Roman"/>
          <w:sz w:val="18"/>
          <w:szCs w:val="18"/>
          <w:color w:val="auto"/>
        </w:rPr>
        <w:t>zero, then the conditions with respect to the Performance Units shall be deemed to have been satisfied and the restrictions on a number of Performance Units equal to the Above Target Total Shareholder Return Goal shall be removed as of the Measurement Date and the remainder of the Performance Units will be forfeited to the Company.</w:t>
      </w:r>
    </w:p>
    <w:p>
      <w:pPr>
        <w:sectPr>
          <w:pgSz w:w="11900" w:h="16838" w:orient="portrait"/>
          <w:cols w:equalWidth="0" w:num="1">
            <w:col w:w="10640"/>
          </w:cols>
          <w:pgMar w:left="920" w:top="1431" w:right="339" w:bottom="1440" w:gutter="0" w:footer="0" w:header="0"/>
        </w:sectPr>
      </w:pPr>
    </w:p>
    <w:bookmarkStart w:id="97" w:name="page98"/>
    <w:bookmarkEnd w:id="97"/>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For purposes of measuring the Shareholder Return Goals with respect to the Company and each of the companies in the Peer Group: "</w:t>
      </w:r>
      <w:r>
        <w:rPr>
          <w:rFonts w:ascii="Times New Roman" w:cs="Times New Roman" w:eastAsia="Times New Roman" w:hAnsi="Times New Roman"/>
          <w:sz w:val="18"/>
          <w:szCs w:val="18"/>
          <w:u w:val="single" w:color="auto"/>
          <w:color w:val="auto"/>
        </w:rPr>
        <w:t>Total Shareholder Return</w:t>
      </w:r>
      <w:r>
        <w:rPr>
          <w:rFonts w:ascii="Times New Roman" w:cs="Times New Roman" w:eastAsia="Times New Roman" w:hAnsi="Times New Roman"/>
          <w:sz w:val="18"/>
          <w:szCs w:val="18"/>
          <w:color w:val="auto"/>
        </w:rPr>
        <w:t>" shall mean the total shareholder return calculated by subtracting 1 from the following fraction:</w:t>
      </w:r>
    </w:p>
    <w:p>
      <w:pPr>
        <w:spacing w:after="0" w:line="18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Numerator: Ending Stock Value</w:t>
      </w:r>
    </w:p>
    <w:p>
      <w:pPr>
        <w:spacing w:after="0" w:line="2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Denominator:</w:t>
      </w:r>
    </w:p>
    <w:p>
      <w:pPr>
        <w:spacing w:after="0" w:line="239" w:lineRule="exact"/>
        <w:rPr>
          <w:sz w:val="20"/>
          <w:szCs w:val="20"/>
          <w:color w:val="auto"/>
        </w:rPr>
      </w:pPr>
    </w:p>
    <w:p>
      <w:pPr>
        <w:jc w:val="both"/>
        <w:ind w:left="180" w:firstLine="648"/>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Beginning Stock Value</w:t>
      </w:r>
      <w:r>
        <w:rPr>
          <w:rFonts w:ascii="Times New Roman" w:cs="Times New Roman" w:eastAsia="Times New Roman" w:hAnsi="Times New Roman"/>
          <w:sz w:val="18"/>
          <w:szCs w:val="18"/>
          <w:color w:val="auto"/>
        </w:rPr>
        <w:t>" shall mean, with respect to the Company and each of the companies in the Peer Group, $100, invested in common stock at the average closing stock price of such company for each of the trading days in the period covering April, May and June of ____; "</w:t>
      </w:r>
      <w:r>
        <w:rPr>
          <w:rFonts w:ascii="Times New Roman" w:cs="Times New Roman" w:eastAsia="Times New Roman" w:hAnsi="Times New Roman"/>
          <w:sz w:val="18"/>
          <w:szCs w:val="18"/>
          <w:u w:val="single" w:color="auto"/>
          <w:color w:val="auto"/>
        </w:rPr>
        <w:t>Ending Stock Value</w:t>
      </w:r>
      <w:r>
        <w:rPr>
          <w:rFonts w:ascii="Times New Roman" w:cs="Times New Roman" w:eastAsia="Times New Roman" w:hAnsi="Times New Roman"/>
          <w:sz w:val="18"/>
          <w:szCs w:val="18"/>
          <w:color w:val="auto"/>
        </w:rPr>
        <w:t>" shall mean, with respect to the Company and each of the companies in the Peer Group, the average</w:t>
      </w:r>
    </w:p>
    <w:p>
      <w:pPr>
        <w:spacing w:after="0" w:line="1" w:lineRule="exact"/>
        <w:rPr>
          <w:sz w:val="20"/>
          <w:szCs w:val="20"/>
          <w:color w:val="auto"/>
        </w:rPr>
      </w:pPr>
    </w:p>
    <w:p>
      <w:pPr>
        <w:jc w:val="both"/>
        <w:ind w:left="180"/>
        <w:spacing w:after="0" w:line="234" w:lineRule="auto"/>
        <w:rPr>
          <w:sz w:val="20"/>
          <w:szCs w:val="20"/>
          <w:color w:val="auto"/>
        </w:rPr>
      </w:pPr>
      <w:r>
        <w:rPr>
          <w:rFonts w:ascii="Times New Roman" w:cs="Times New Roman" w:eastAsia="Times New Roman" w:hAnsi="Times New Roman"/>
          <w:sz w:val="18"/>
          <w:szCs w:val="18"/>
          <w:color w:val="auto"/>
        </w:rPr>
        <w:t>closing stock price of such company of one share of common stock for each of the trading days in the period covering April, May and June of ____ multiplied by the sum of the number of shares represented by the Beginning Stock Value initial $100 investment plus such</w:t>
      </w:r>
    </w:p>
    <w:p>
      <w:pPr>
        <w:spacing w:after="0" w:line="1" w:lineRule="exact"/>
        <w:rPr>
          <w:sz w:val="20"/>
          <w:szCs w:val="20"/>
          <w:color w:val="auto"/>
        </w:rPr>
      </w:pPr>
    </w:p>
    <w:p>
      <w:pPr>
        <w:jc w:val="both"/>
        <w:ind w:left="180"/>
        <w:spacing w:after="0" w:line="234" w:lineRule="auto"/>
        <w:rPr>
          <w:sz w:val="20"/>
          <w:szCs w:val="20"/>
          <w:color w:val="auto"/>
        </w:rPr>
      </w:pPr>
      <w:r>
        <w:rPr>
          <w:rFonts w:ascii="Times New Roman" w:cs="Times New Roman" w:eastAsia="Times New Roman" w:hAnsi="Times New Roman"/>
          <w:sz w:val="18"/>
          <w:szCs w:val="18"/>
          <w:color w:val="auto"/>
        </w:rPr>
        <w:t>additional shares resulting from all dividends paid on common stock during the three-year measurement period being treated as though they are reinvested on the applicable ex-dividend dates at the applicable closing prices on such dates; and "</w:t>
      </w:r>
      <w:r>
        <w:rPr>
          <w:rFonts w:ascii="Times New Roman" w:cs="Times New Roman" w:eastAsia="Times New Roman" w:hAnsi="Times New Roman"/>
          <w:sz w:val="18"/>
          <w:szCs w:val="18"/>
          <w:u w:val="single" w:color="auto"/>
          <w:color w:val="auto"/>
        </w:rPr>
        <w:t>Peer Group</w:t>
      </w:r>
      <w:r>
        <w:rPr>
          <w:rFonts w:ascii="Times New Roman" w:cs="Times New Roman" w:eastAsia="Times New Roman" w:hAnsi="Times New Roman"/>
          <w:sz w:val="18"/>
          <w:szCs w:val="18"/>
          <w:color w:val="auto"/>
        </w:rPr>
        <w:t>" shall mean</w:t>
      </w:r>
    </w:p>
    <w:p>
      <w:pPr>
        <w:ind w:left="180"/>
        <w:spacing w:after="0" w:line="236" w:lineRule="auto"/>
        <w:rPr>
          <w:sz w:val="20"/>
          <w:szCs w:val="20"/>
          <w:color w:val="auto"/>
        </w:rPr>
      </w:pPr>
      <w:r>
        <w:rPr>
          <w:rFonts w:ascii="Times New Roman" w:cs="Times New Roman" w:eastAsia="Times New Roman" w:hAnsi="Times New Roman"/>
          <w:sz w:val="18"/>
          <w:szCs w:val="18"/>
          <w:color w:val="auto"/>
        </w:rPr>
        <w:t>____________. The Company's ranking relative to members of the Peer Group will be determined by listing the Company and members</w:t>
      </w:r>
    </w:p>
    <w:p>
      <w:pPr>
        <w:jc w:val="both"/>
        <w:ind w:left="180"/>
        <w:spacing w:after="0" w:line="248" w:lineRule="auto"/>
        <w:rPr>
          <w:sz w:val="20"/>
          <w:szCs w:val="20"/>
          <w:color w:val="auto"/>
        </w:rPr>
      </w:pPr>
      <w:r>
        <w:rPr>
          <w:rFonts w:ascii="Times New Roman" w:cs="Times New Roman" w:eastAsia="Times New Roman" w:hAnsi="Times New Roman"/>
          <w:sz w:val="17"/>
          <w:szCs w:val="17"/>
          <w:color w:val="auto"/>
        </w:rPr>
        <w:t>of the Peer Group from highest to lowest Total Shareholder Return achieved by the respective company and counting down from the company with the highest Total Shareholder Return to the Company's position within such list. In all events, the Total Shareholder Return of any member of the Peer Group shall be adjusted to give effect to any stock dividends, stock splits, reverse stock splits and similar transactions. If a company or companies in the Peer Group files for bankruptcy at any time prior to __________ (the "Performance</w:t>
      </w:r>
    </w:p>
    <w:p>
      <w:pPr>
        <w:spacing w:after="0" w:line="2" w:lineRule="exact"/>
        <w:rPr>
          <w:sz w:val="20"/>
          <w:szCs w:val="20"/>
          <w:color w:val="auto"/>
        </w:rPr>
      </w:pPr>
    </w:p>
    <w:p>
      <w:pPr>
        <w:jc w:val="both"/>
        <w:ind w:left="180"/>
        <w:spacing w:after="0" w:line="238" w:lineRule="auto"/>
        <w:rPr>
          <w:sz w:val="20"/>
          <w:szCs w:val="20"/>
          <w:color w:val="auto"/>
        </w:rPr>
      </w:pPr>
      <w:r>
        <w:rPr>
          <w:rFonts w:ascii="Times New Roman" w:cs="Times New Roman" w:eastAsia="Times New Roman" w:hAnsi="Times New Roman"/>
          <w:sz w:val="18"/>
          <w:szCs w:val="18"/>
          <w:color w:val="auto"/>
        </w:rPr>
        <w:t>Period Termination Date"), then such company or companies shall have the lowest ranking in the Peer Group. If the common stock of a company or companies in the Peer Group ceases to trade on a national securities exchange as a result of a going private transaction or other acquisition at any time prior to the Performance Period Termination Date, then such company or companies shall be removed from the Peer Group.</w:t>
      </w:r>
    </w:p>
    <w:p>
      <w:pPr>
        <w:spacing w:after="0" w:line="212" w:lineRule="exact"/>
        <w:rPr>
          <w:sz w:val="20"/>
          <w:szCs w:val="20"/>
          <w:color w:val="auto"/>
        </w:rPr>
      </w:pPr>
    </w:p>
    <w:p>
      <w:pPr>
        <w:jc w:val="both"/>
        <w:ind w:left="180" w:firstLine="652"/>
        <w:spacing w:after="0" w:line="250" w:lineRule="auto"/>
        <w:tabs>
          <w:tab w:leader="none" w:pos="11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subsections (i) and (ii) of this Section 2(e), the restrictions described in Section 2(d)(ii) shall lapse with respect to the RSUs and the Performance Units (as if the Target Total Shareholder Return Goal had been met) upon the occurrence of your death or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left="180" w:firstLine="648"/>
        <w:spacing w:after="0" w:line="24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your inability to engage in any substantial gainful activity by reason of any medically determinable physical or mental impairment which can be expected to result in death, or which has lasted or can be expected to last for a continuous period of not less than 12 months. For purposes of this Section 2(e)(iii), the Target Performance Goal shall be deemed to have been met on the date the restrictions lapse by reason of the occurrence prior to the Measurement Date of either of the foregoing events, so that the conditions on issuance of 100 percent of the Performance Units shall be deemed satisfied on the date of such event.</w:t>
      </w:r>
    </w:p>
    <w:p>
      <w:pPr>
        <w:spacing w:after="0" w:line="212" w:lineRule="exact"/>
        <w:rPr>
          <w:sz w:val="20"/>
          <w:szCs w:val="20"/>
          <w:color w:val="auto"/>
        </w:rPr>
      </w:pPr>
    </w:p>
    <w:p>
      <w:pPr>
        <w:jc w:val="both"/>
        <w:ind w:left="180" w:firstLine="652"/>
        <w:spacing w:after="0" w:line="242" w:lineRule="auto"/>
        <w:tabs>
          <w:tab w:leader="none" w:pos="117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subsection (i) of this Section 2(e), upon the occurrence of your "</w:t>
      </w: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the restrictions described in Section 2(d)(ii) automatically and with no exercise of discretion of the Committee shall lapse with respect to all of your remaining RSUs and be settled upon the earliest to occur of (A) the normal lapsing schedule set forth in Section 2(e)(i) hereof and</w:t>
      </w:r>
    </w:p>
    <w:p>
      <w:pPr>
        <w:spacing w:after="0" w:line="1" w:lineRule="exact"/>
        <w:rPr>
          <w:rFonts w:ascii="Times New Roman" w:cs="Times New Roman" w:eastAsia="Times New Roman" w:hAnsi="Times New Roman"/>
          <w:sz w:val="18"/>
          <w:szCs w:val="18"/>
          <w:color w:val="auto"/>
        </w:rPr>
      </w:pPr>
    </w:p>
    <w:p>
      <w:pPr>
        <w:jc w:val="both"/>
        <w:ind w:left="180" w:firstLine="4"/>
        <w:spacing w:after="0" w:line="239" w:lineRule="auto"/>
        <w:tabs>
          <w:tab w:leader="none" w:pos="4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death. Notwithstanding any other provision of this subsection (iv), in the event that you Retire within one year of the date of this Award Agreement, the restrictions will not lapse on any portion of the RSUs represented by this Award Agreement and all such remaining RSUs shall immediately be forfeited.</w:t>
      </w:r>
    </w:p>
    <w:p>
      <w:pPr>
        <w:sectPr>
          <w:pgSz w:w="11900" w:h="16838" w:orient="portrait"/>
          <w:cols w:equalWidth="0" w:num="1">
            <w:col w:w="10120"/>
          </w:cols>
          <w:pgMar w:left="1440" w:top="1417" w:right="339" w:bottom="1440" w:gutter="0" w:footer="0" w:header="0"/>
        </w:sectPr>
      </w:pPr>
    </w:p>
    <w:bookmarkStart w:id="98" w:name="page99"/>
    <w:bookmarkEnd w:id="98"/>
    <w:p>
      <w:pPr>
        <w:jc w:val="both"/>
        <w:ind w:left="180" w:firstLine="648"/>
        <w:spacing w:after="0" w:line="250"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Retire</w:t>
      </w:r>
      <w:r>
        <w:rPr>
          <w:rFonts w:ascii="Times New Roman" w:cs="Times New Roman" w:eastAsia="Times New Roman" w:hAnsi="Times New Roman"/>
          <w:sz w:val="18"/>
          <w:szCs w:val="18"/>
          <w:color w:val="auto"/>
        </w:rPr>
        <w:t>" shall mean your voluntary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(as defined in Code Section 409A), on or after the date (A) on which you attain age 65 or (B) on which you attain age 60 and have completed at least ten years of continuous service as an employee of the Company or an Affiliate.</w:t>
      </w:r>
    </w:p>
    <w:p>
      <w:pPr>
        <w:spacing w:after="0" w:line="204" w:lineRule="exact"/>
        <w:rPr>
          <w:sz w:val="20"/>
          <w:szCs w:val="20"/>
          <w:color w:val="auto"/>
        </w:rPr>
      </w:pPr>
    </w:p>
    <w:p>
      <w:pPr>
        <w:jc w:val="both"/>
        <w:ind w:left="180" w:firstLine="652"/>
        <w:spacing w:after="0"/>
        <w:tabs>
          <w:tab w:leader="none" w:pos="109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subsection (ii) of this Section 2(e), in the event that you Retire prior to the Measurement Date and the Committee subsequently determines and certifies that the Company has achieved a Shareholder Return Goal at a level at or above the Threshold Shareholder Return Goal, the restrictions described in Section 2(d)(ii) shall lapse with respect to a pro rata number of Performance Units equal to the total number of Performance Units for which the restrictions would have lapsed on the Measurement Date under Subsection (ii) of this Section 2(e) if you had not Retired prior to the Measurement Date, multiplied by a fraction, the numerator of which is equal to the number of full and partial months elapsed from the date of the Award to the date of your Retirement, and the denominator of which is 36.</w:t>
      </w:r>
    </w:p>
    <w:p>
      <w:pPr>
        <w:spacing w:after="0" w:line="211" w:lineRule="exact"/>
        <w:rPr>
          <w:rFonts w:ascii="Times New Roman" w:cs="Times New Roman" w:eastAsia="Times New Roman" w:hAnsi="Times New Roman"/>
          <w:sz w:val="18"/>
          <w:szCs w:val="18"/>
          <w:color w:val="auto"/>
        </w:rPr>
      </w:pPr>
    </w:p>
    <w:p>
      <w:pPr>
        <w:jc w:val="both"/>
        <w:ind w:left="180" w:firstLine="652"/>
        <w:spacing w:after="0" w:line="252" w:lineRule="auto"/>
        <w:tabs>
          <w:tab w:leader="none" w:pos="114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provisions of subsections (i) and (ii) of this Section 2(e), in the event of a Change of Control of the Company, this Award Agreement may be continued or assumed by the continuing or successor (as the case may be) organization (the "</w:t>
      </w:r>
      <w:r>
        <w:rPr>
          <w:rFonts w:ascii="Times New Roman" w:cs="Times New Roman" w:eastAsia="Times New Roman" w:hAnsi="Times New Roman"/>
          <w:sz w:val="17"/>
          <w:szCs w:val="17"/>
          <w:u w:val="single" w:color="auto"/>
          <w:color w:val="auto"/>
        </w:rPr>
        <w:t>Successor</w:t>
      </w:r>
      <w:r>
        <w:rPr>
          <w:rFonts w:ascii="Times New Roman" w:cs="Times New Roman" w:eastAsia="Times New Roman" w:hAnsi="Times New Roman"/>
          <w:sz w:val="17"/>
          <w:szCs w:val="17"/>
          <w:color w:val="auto"/>
        </w:rPr>
        <w:t>"), or the Successor may substitute an equivalent award. With respect to any RSUs that are continued, assumed or substituted for in accordance with this subsection (vi), the restrictions described in Section 2(d)(ii) shall continue to lapse with respect to such RSUs (as the same may be adjusted in accordance with this subsection (vi)) as set forth in Section 2(e)(i) hereof._ With respect to any Performance Units that are continued, assumed or substituted for in accordance with this subsection (vi), the Shareholder Return Goals set forth in Section 2(e)(ii) shall be deemed to have been satisfied (as if the greater of the Target Total Shareholder Return Goal or the Company’s actual performance in relation to the Shareholder Return Goal as of the date of the Change of Control had been met) and the restrictions described in Section 2(d)(ii) shall lapse with respect to the Performance Units (as the same may be adjusted consistent with this subsection (vi)) in equal installments on the anniversary dates of this Award Agreement ending on the fourth anniversary of this Award Agreement; provided, however, in the event you incur a voluntary Separation from Service after suffering an "</w:t>
      </w:r>
      <w:r>
        <w:rPr>
          <w:rFonts w:ascii="Times New Roman" w:cs="Times New Roman" w:eastAsia="Times New Roman" w:hAnsi="Times New Roman"/>
          <w:sz w:val="17"/>
          <w:szCs w:val="17"/>
          <w:u w:val="single" w:color="auto"/>
          <w:color w:val="auto"/>
        </w:rPr>
        <w:t>Adverse Event</w:t>
      </w:r>
      <w:r>
        <w:rPr>
          <w:rFonts w:ascii="Times New Roman" w:cs="Times New Roman" w:eastAsia="Times New Roman" w:hAnsi="Times New Roman"/>
          <w:sz w:val="17"/>
          <w:szCs w:val="17"/>
          <w:color w:val="auto"/>
        </w:rPr>
        <w:t>" or incur an involuntary Separation from Service not for "</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in connection with a Change of Control or at any time ending with the earlier to occur of the second anniversary of the Change of Control or the Measurement Date, the restrictions described in Section 2(d)(ii) shall immediately lapse with respect to the RSUs and the Performance Units (as if the greater of the Target Total Shareholder Return Goal or the Company’s actual performance in relation to the Shareholder Return Goal as of the date of the Change of Control had been met).</w:t>
      </w:r>
    </w:p>
    <w:p>
      <w:pPr>
        <w:spacing w:after="0" w:line="20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term "Adverse Event" shall as to any Participant mean:</w:t>
      </w:r>
    </w:p>
    <w:p>
      <w:pPr>
        <w:spacing w:after="0" w:line="239" w:lineRule="exact"/>
        <w:rPr>
          <w:sz w:val="20"/>
          <w:szCs w:val="20"/>
          <w:color w:val="auto"/>
        </w:rPr>
      </w:pPr>
    </w:p>
    <w:p>
      <w:pPr>
        <w:ind w:left="1120" w:hanging="288"/>
        <w:spacing w:after="0"/>
        <w:tabs>
          <w:tab w:leader="none" w:pos="1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of the Participant’s authorities, duties, or responsibilities with the Company;</w:t>
      </w:r>
    </w:p>
    <w:p>
      <w:pPr>
        <w:spacing w:after="0" w:line="238" w:lineRule="exact"/>
        <w:rPr>
          <w:rFonts w:ascii="Times New Roman" w:cs="Times New Roman" w:eastAsia="Times New Roman" w:hAnsi="Times New Roman"/>
          <w:sz w:val="18"/>
          <w:szCs w:val="18"/>
          <w:color w:val="auto"/>
        </w:rPr>
      </w:pPr>
    </w:p>
    <w:p>
      <w:pPr>
        <w:ind w:left="180" w:firstLine="652"/>
        <w:spacing w:after="0" w:line="266" w:lineRule="auto"/>
        <w:tabs>
          <w:tab w:leader="none" w:pos="11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of the Participant’s annual salary or a material reduction in the Participant’s target annual incentive compensation, in each case other than a reduction which is applicable to all employees in the same salary grade as the Participant; or</w:t>
      </w:r>
    </w:p>
    <w:p>
      <w:pPr>
        <w:spacing w:after="0" w:line="189" w:lineRule="exact"/>
        <w:rPr>
          <w:rFonts w:ascii="Times New Roman" w:cs="Times New Roman" w:eastAsia="Times New Roman" w:hAnsi="Times New Roman"/>
          <w:sz w:val="18"/>
          <w:szCs w:val="18"/>
          <w:color w:val="auto"/>
        </w:rPr>
      </w:pPr>
    </w:p>
    <w:p>
      <w:pPr>
        <w:ind w:left="1120" w:hanging="288"/>
        <w:spacing w:after="0"/>
        <w:tabs>
          <w:tab w:leader="none" w:pos="1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the Participant’s primary workplace by more than thirty-five (35) miles.</w:t>
      </w:r>
    </w:p>
    <w:p>
      <w:pPr>
        <w:spacing w:after="0" w:line="239" w:lineRule="exact"/>
        <w:rPr>
          <w:sz w:val="20"/>
          <w:szCs w:val="20"/>
          <w:color w:val="auto"/>
        </w:rPr>
      </w:pPr>
    </w:p>
    <w:p>
      <w:pPr>
        <w:jc w:val="both"/>
        <w:ind w:left="180" w:firstLine="648"/>
        <w:spacing w:after="0" w:line="245" w:lineRule="auto"/>
        <w:rPr>
          <w:sz w:val="20"/>
          <w:szCs w:val="20"/>
          <w:color w:val="auto"/>
        </w:rPr>
      </w:pPr>
      <w:r>
        <w:rPr>
          <w:rFonts w:ascii="Times New Roman" w:cs="Times New Roman" w:eastAsia="Times New Roman" w:hAnsi="Times New Roman"/>
          <w:sz w:val="18"/>
          <w:szCs w:val="18"/>
          <w:color w:val="auto"/>
        </w:rPr>
        <w:t>If a Participant purports to terminate his or her employment after suffering an Adverse Event, the Participant must give the Company written notice of his or her intent to terminate within sixty (60) calendar days of the occurrence of the event that allegedly constitutes an Adverse Event. The Company shall have a right to cure the event alleged to constitute an Adverse Event for a period of thirty (30) calendar days after notice from the Participant of his or her intention to terminate.</w:t>
      </w:r>
    </w:p>
    <w:p>
      <w:pPr>
        <w:sectPr>
          <w:pgSz w:w="11900" w:h="16838" w:orient="portrait"/>
          <w:cols w:equalWidth="0" w:num="1">
            <w:col w:w="10120"/>
          </w:cols>
          <w:pgMar w:left="1440" w:top="1417" w:right="339" w:bottom="1440" w:gutter="0" w:footer="0" w:header="0"/>
        </w:sectPr>
      </w:pPr>
    </w:p>
    <w:bookmarkStart w:id="99" w:name="page100"/>
    <w:bookmarkEnd w:id="99"/>
    <w:p>
      <w:pPr>
        <w:jc w:val="both"/>
        <w:ind w:left="644" w:firstLine="648"/>
        <w:spacing w:after="0" w:line="245" w:lineRule="auto"/>
        <w:rPr>
          <w:sz w:val="20"/>
          <w:szCs w:val="20"/>
          <w:color w:val="auto"/>
        </w:rPr>
      </w:pPr>
      <w:r>
        <w:rPr>
          <w:rFonts w:ascii="Times New Roman" w:cs="Times New Roman" w:eastAsia="Times New Roman" w:hAnsi="Times New Roman"/>
          <w:sz w:val="18"/>
          <w:szCs w:val="18"/>
          <w:color w:val="auto"/>
        </w:rPr>
        <w:t xml:space="preserve">The term "Cause" shall mean your theft of company property, embezzlement or dishonesty that results in harm to the Company or any Successor; your continued gross or willful neglect of your job responsibilities after receiving written warnings regarding such neglect from the Company or any Successor; your conviction of a felony or pleading </w:t>
      </w:r>
      <w:r>
        <w:rPr>
          <w:rFonts w:ascii="Times New Roman" w:cs="Times New Roman" w:eastAsia="Times New Roman" w:hAnsi="Times New Roman"/>
          <w:sz w:val="18"/>
          <w:szCs w:val="18"/>
          <w:i w:val="1"/>
          <w:iCs w:val="1"/>
          <w:color w:val="auto"/>
        </w:rPr>
        <w:t>nolo contender</w:t>
      </w:r>
      <w:r>
        <w:rPr>
          <w:rFonts w:ascii="Times New Roman" w:cs="Times New Roman" w:eastAsia="Times New Roman" w:hAnsi="Times New Roman"/>
          <w:sz w:val="18"/>
          <w:szCs w:val="18"/>
          <w:color w:val="auto"/>
        </w:rPr>
        <w:t xml:space="preserve"> to a felony charged under state or federal law; or your willful violation of Company policy or the policies of any Successor.</w:t>
      </w:r>
    </w:p>
    <w:p>
      <w:pPr>
        <w:spacing w:after="0" w:line="208" w:lineRule="exact"/>
        <w:rPr>
          <w:sz w:val="20"/>
          <w:szCs w:val="20"/>
          <w:color w:val="auto"/>
        </w:rPr>
      </w:pPr>
    </w:p>
    <w:p>
      <w:pPr>
        <w:jc w:val="both"/>
        <w:ind w:left="644" w:firstLine="652"/>
        <w:spacing w:after="0" w:line="242" w:lineRule="auto"/>
        <w:tabs>
          <w:tab w:leader="none" w:pos="1671"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subsections (i) and (ii) of this Section 2(e), in the event a Change of Control of the Company occurs and this Award Agreement is not continued or assumed by the Successor and the Successor does not substitute an equivalent award, the restrictions described in Section 2(d)(ii) shall immediately lapse with respect to the RSUs and the Performance Units (as if the greater of the Target Total Shareholder Return Goal or the Company’s actual performance in relation to the Shareholder Return Goal as of the date of the Change of Control had been met).</w:t>
      </w:r>
    </w:p>
    <w:p>
      <w:pPr>
        <w:spacing w:after="0" w:line="211" w:lineRule="exact"/>
        <w:rPr>
          <w:rFonts w:ascii="Times New Roman" w:cs="Times New Roman" w:eastAsia="Times New Roman" w:hAnsi="Times New Roman"/>
          <w:sz w:val="18"/>
          <w:szCs w:val="18"/>
          <w:color w:val="auto"/>
        </w:rPr>
      </w:pPr>
    </w:p>
    <w:p>
      <w:pPr>
        <w:jc w:val="both"/>
        <w:ind w:left="644" w:firstLine="652"/>
        <w:spacing w:after="0" w:line="242" w:lineRule="auto"/>
        <w:tabs>
          <w:tab w:leader="none" w:pos="1702"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the lapse of the restrictions in accordance with this Section 2(e), or in any event, no later than the earlier of ninety (90) days after such date or two and one half months following the end of the calendar year in which the restrictions lapsed in accordance with Section 2(e), the Company will make a book-entry registration or will issue you a certificate as provided in Section 2(b) of this Award Agreement for the Shares covered by such Stock-Settled RSUs and Performance Units in redemption of such RSUs and Performance Units and will pay you by check in redemption of the Shares covered by such Cash-Settled RSUs.</w:t>
      </w:r>
    </w:p>
    <w:p>
      <w:pPr>
        <w:spacing w:after="0" w:line="20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 with Respect to Taxes; Share Withholding</w:t>
      </w:r>
      <w:r>
        <w:rPr>
          <w:rFonts w:ascii="Times New Roman" w:cs="Times New Roman" w:eastAsia="Times New Roman" w:hAnsi="Times New Roman"/>
          <w:sz w:val="18"/>
          <w:szCs w:val="18"/>
          <w:color w:val="auto"/>
        </w:rPr>
        <w:t>.</w:t>
      </w:r>
    </w:p>
    <w:p>
      <w:pPr>
        <w:spacing w:after="0" w:line="242" w:lineRule="exact"/>
        <w:rPr>
          <w:rFonts w:ascii="Times New Roman" w:cs="Times New Roman" w:eastAsia="Times New Roman" w:hAnsi="Times New Roman"/>
          <w:sz w:val="18"/>
          <w:szCs w:val="18"/>
          <w:color w:val="auto"/>
        </w:rPr>
      </w:pPr>
    </w:p>
    <w:p>
      <w:pPr>
        <w:jc w:val="both"/>
        <w:ind w:left="4" w:firstLine="644"/>
        <w:spacing w:after="0" w:line="242" w:lineRule="auto"/>
        <w:tabs>
          <w:tab w:leader="none" w:pos="89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(1) you will pay to the Company or an Affiliate, as the case may be, in cash, or make arrangements satisfactory to the Company or such Affiliate regarding the payment of any taxes of any kind required by law to be withheld by the Company or any of its Affiliates with respect to the Stock-Settled RSUs, the Cash-Settled RSUs, the Performance Units and/or the Shares and (2) the Company or any of its Affiliates shall, to the extent permitted by law, have the right to deduct from any payments of any kind otherwise due to you any taxes of any kind required by law to be withheld with respect to the Stock-Settled RSUs, the Cash-Settled RSUs, the Performance Units and the Shares.</w:t>
      </w:r>
    </w:p>
    <w:p>
      <w:pPr>
        <w:spacing w:after="0" w:line="211" w:lineRule="exact"/>
        <w:rPr>
          <w:rFonts w:ascii="Times New Roman" w:cs="Times New Roman" w:eastAsia="Times New Roman" w:hAnsi="Times New Roman"/>
          <w:sz w:val="18"/>
          <w:szCs w:val="18"/>
          <w:color w:val="auto"/>
        </w:rPr>
      </w:pPr>
    </w:p>
    <w:p>
      <w:pPr>
        <w:jc w:val="both"/>
        <w:ind w:left="4" w:firstLine="644"/>
        <w:spacing w:after="0"/>
        <w:tabs>
          <w:tab w:leader="none" w:pos="90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withholding required upon the lapse of restrictions or upon any other taxable event arising as a result of the RSUs and Performance Units awarded or the issuance of Shares to you, you may elect, subject to the approval of the Committee, to satisfy the withholding requirement, in whole or in part, by having the Company withhold Shares having a Fair Market Value on the date the tax is to be determined equal to the minimum statutory total tax which could be withheld on the transaction (or such other amount that will not cause adverse accounting consequences for the Company and is permitted under the Plan and applicable withholding rules promulgated by the Internal Revenue Service or other applicable governmental entity). All such elections shall be irrevocable, made in writing, signed by you, and shall be subject to any restrictions or limitations that such Committee, in its sole discretion, deems appropriate.</w:t>
      </w:r>
    </w:p>
    <w:p>
      <w:pPr>
        <w:spacing w:after="0" w:line="207" w:lineRule="exact"/>
        <w:rPr>
          <w:rFonts w:ascii="Times New Roman" w:cs="Times New Roman" w:eastAsia="Times New Roman" w:hAnsi="Times New Roman"/>
          <w:sz w:val="18"/>
          <w:szCs w:val="18"/>
          <w:color w:val="auto"/>
        </w:rPr>
      </w:pPr>
    </w:p>
    <w:p>
      <w:pPr>
        <w:ind w:left="-656" w:firstLine="656"/>
        <w:spacing w:after="0" w:line="271" w:lineRule="auto"/>
        <w:tabs>
          <w:tab w:leader="none" w:pos="1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Adjustment of Shares. </w:t>
      </w:r>
      <w:r>
        <w:rPr>
          <w:rFonts w:ascii="Times New Roman" w:cs="Times New Roman" w:eastAsia="Times New Roman" w:hAnsi="Times New Roman"/>
          <w:sz w:val="18"/>
          <w:szCs w:val="18"/>
          <w:color w:val="auto"/>
        </w:rPr>
        <w:t>The number of Shares subject to the RSUs and Performance Units awarded to you under this Award Agreement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as provided in the Plan.</w:t>
      </w:r>
    </w:p>
    <w:p>
      <w:pPr>
        <w:spacing w:after="0" w:line="180" w:lineRule="exact"/>
        <w:rPr>
          <w:rFonts w:ascii="Times New Roman" w:cs="Times New Roman" w:eastAsia="Times New Roman" w:hAnsi="Times New Roman"/>
          <w:sz w:val="18"/>
          <w:szCs w:val="18"/>
          <w:color w:val="auto"/>
        </w:rPr>
      </w:pPr>
    </w:p>
    <w:p>
      <w:pPr>
        <w:jc w:val="both"/>
        <w:ind w:left="-656" w:firstLine="656"/>
        <w:spacing w:after="0" w:line="243" w:lineRule="auto"/>
        <w:tabs>
          <w:tab w:leader="none" w:pos="18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Agreement With Respect to Securities Matters. </w:t>
      </w:r>
      <w:r>
        <w:rPr>
          <w:rFonts w:ascii="Times New Roman" w:cs="Times New Roman" w:eastAsia="Times New Roman" w:hAnsi="Times New Roman"/>
          <w:sz w:val="18"/>
          <w:szCs w:val="18"/>
          <w:color w:val="auto"/>
        </w:rPr>
        <w:t>You agree that you will not sell or otherwise transfer any Shares received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except pursuant to an effective registration statement under the U.S. Securities Act of 1933, as amended, or pursuant to an applicable exemption from such registration. Unless a registration statement relating to the Shares issuable upon the lapse of the restrictions on the RSUs and Performance Units pursuant to this Award Agreement is in effect at the time of issuance of such Shares, the certificate(s) for the Shares shall contain the following legend:</w:t>
      </w:r>
    </w:p>
    <w:p>
      <w:pPr>
        <w:sectPr>
          <w:pgSz w:w="11900" w:h="16838" w:orient="portrait"/>
          <w:cols w:equalWidth="0" w:num="1">
            <w:col w:w="10584"/>
          </w:cols>
          <w:pgMar w:left="976" w:top="1417" w:right="339" w:bottom="1440" w:gutter="0" w:footer="0" w:header="0"/>
        </w:sectPr>
      </w:pPr>
    </w:p>
    <w:bookmarkStart w:id="100" w:name="page101"/>
    <w:bookmarkEnd w:id="100"/>
    <w:p>
      <w:pPr>
        <w:jc w:val="both"/>
        <w:ind w:left="652"/>
        <w:spacing w:after="0" w:line="245" w:lineRule="auto"/>
        <w:rPr>
          <w:sz w:val="20"/>
          <w:szCs w:val="20"/>
          <w:color w:val="auto"/>
        </w:rPr>
      </w:pPr>
      <w:r>
        <w:rPr>
          <w:rFonts w:ascii="Times New Roman" w:cs="Times New Roman" w:eastAsia="Times New Roman" w:hAnsi="Times New Roman"/>
          <w:sz w:val="18"/>
          <w:szCs w:val="18"/>
          <w:color w:val="auto"/>
        </w:rPr>
        <w:t>The securities evidenced by this certificate have not been registered under the Securities Act of 1933 or any other securities laws. These securities have been acquired for investment and may not be sold or transferred for value in the absence of an effective registration of them under the U.S. Securities Act of 1933 and any other applicable securities laws, or receipt by the Company of an opinion of counsel or other evidence acceptable to the Company that such registration is not required under such acts.</w:t>
      </w:r>
    </w:p>
    <w:p>
      <w:pPr>
        <w:spacing w:after="0" w:line="204" w:lineRule="exact"/>
        <w:rPr>
          <w:sz w:val="20"/>
          <w:szCs w:val="20"/>
          <w:color w:val="auto"/>
        </w:rPr>
      </w:pPr>
    </w:p>
    <w:p>
      <w:pPr>
        <w:ind w:left="172" w:hanging="172"/>
        <w:spacing w:after="0"/>
        <w:tabs>
          <w:tab w:leader="none" w:pos="17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Forfeiture and Clawback.</w:t>
      </w:r>
    </w:p>
    <w:p>
      <w:pPr>
        <w:spacing w:after="0" w:line="242" w:lineRule="exact"/>
        <w:rPr>
          <w:rFonts w:ascii="Times New Roman" w:cs="Times New Roman" w:eastAsia="Times New Roman" w:hAnsi="Times New Roman"/>
          <w:sz w:val="18"/>
          <w:szCs w:val="18"/>
          <w:color w:val="auto"/>
        </w:rPr>
      </w:pPr>
    </w:p>
    <w:p>
      <w:pPr>
        <w:jc w:val="both"/>
        <w:ind w:left="652" w:firstLine="644"/>
        <w:spacing w:after="0" w:line="245" w:lineRule="auto"/>
        <w:tabs>
          <w:tab w:leader="none" w:pos="1548"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in the event you violate the confidentiality, non-competition, non-solicitation or non-disparagement provisions of any agreement between you and the Company or any Affiliate, or any plan of the Company or any Affiliate in which you participate, including without limitation, the non-solicitation provisions of Section 7 below, you will forfeit in their entirety the RSUs and the Performance Units, and all of your rights thereto shall terminate without any payment of consideration by the Company.</w:t>
      </w:r>
    </w:p>
    <w:p>
      <w:pPr>
        <w:spacing w:after="0" w:line="207" w:lineRule="exact"/>
        <w:rPr>
          <w:rFonts w:ascii="Times New Roman" w:cs="Times New Roman" w:eastAsia="Times New Roman" w:hAnsi="Times New Roman"/>
          <w:sz w:val="18"/>
          <w:szCs w:val="18"/>
          <w:color w:val="auto"/>
        </w:rPr>
      </w:pPr>
    </w:p>
    <w:p>
      <w:pPr>
        <w:jc w:val="both"/>
        <w:ind w:left="652" w:firstLine="644"/>
        <w:spacing w:after="0"/>
        <w:tabs>
          <w:tab w:leader="none" w:pos="156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or this Award Agreement to the contrary, you acknowledge that any incentive-based compensation paid to you hereunder may be subject to recovery by the Company under any clawback policy which the Company may adopt from time to time, including without limitation the Company's existing policy and any policy which the Company may be required to adopt under Section 954 of the Dodd-Frank Wall Street Reform and Consumer Protection Act and the rules and regulations of the U.S. Securities and Exchange Commission thereunder or the requirements of any national securities exchange on which the Company's common stock may be listed. You agree to promptly return any such incentive-based compensation which the Company determines it is required to recover from you under any such clawback policy.</w:t>
      </w:r>
    </w:p>
    <w:p>
      <w:pPr>
        <w:spacing w:after="0" w:line="207" w:lineRule="exact"/>
        <w:rPr>
          <w:rFonts w:ascii="Times New Roman" w:cs="Times New Roman" w:eastAsia="Times New Roman" w:hAnsi="Times New Roman"/>
          <w:sz w:val="18"/>
          <w:szCs w:val="18"/>
          <w:color w:val="auto"/>
        </w:rPr>
      </w:pPr>
    </w:p>
    <w:p>
      <w:pPr>
        <w:ind w:left="832" w:hanging="184"/>
        <w:spacing w:after="0"/>
        <w:tabs>
          <w:tab w:leader="none" w:pos="83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Non-Solicitation</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left="652" w:firstLine="644"/>
        <w:spacing w:after="0" w:line="242" w:lineRule="auto"/>
        <w:tabs>
          <w:tab w:leader="none" w:pos="1571"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Non-Solicitation of Employees</w:t>
      </w:r>
      <w:r>
        <w:rPr>
          <w:rFonts w:ascii="Times New Roman" w:cs="Times New Roman" w:eastAsia="Times New Roman" w:hAnsi="Times New Roman"/>
          <w:sz w:val="18"/>
          <w:szCs w:val="18"/>
          <w:color w:val="auto"/>
        </w:rPr>
        <w:t>. During the period beginning on the date of this Award Agreement and ending on the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anniversary of the date of your termination of employment with the Company or an Affiliate, regardless of the reason for your termination of employment, you shall not, directly, or indirectly by assisting others: (i) cause or attempt to cause or encourage any employee of the Company or an Affiliate to terminate his or her relationship with the Company or an Affiliate or (ii) solicit the employment or engagement as a consultant or adviser, of any employee of the Company or an Affiliate or any former employee of the Company or an Affiliate who left the employ of the Company or Affiliate within two years following your termination of employment with the Company or an Affiliate.</w:t>
      </w:r>
    </w:p>
    <w:p>
      <w:pPr>
        <w:spacing w:after="0" w:line="205" w:lineRule="exact"/>
        <w:rPr>
          <w:rFonts w:ascii="Times New Roman" w:cs="Times New Roman" w:eastAsia="Times New Roman" w:hAnsi="Times New Roman"/>
          <w:sz w:val="18"/>
          <w:szCs w:val="18"/>
          <w:color w:val="auto"/>
        </w:rPr>
      </w:pPr>
    </w:p>
    <w:p>
      <w:pPr>
        <w:jc w:val="both"/>
        <w:ind w:left="652" w:firstLine="644"/>
        <w:spacing w:after="0" w:line="243" w:lineRule="auto"/>
        <w:tabs>
          <w:tab w:leader="none" w:pos="1568"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Reasonableness of Restriction</w:t>
      </w:r>
      <w:r>
        <w:rPr>
          <w:rFonts w:ascii="Times New Roman" w:cs="Times New Roman" w:eastAsia="Times New Roman" w:hAnsi="Times New Roman"/>
          <w:sz w:val="18"/>
          <w:szCs w:val="18"/>
          <w:color w:val="auto"/>
        </w:rPr>
        <w:t>. You agree and acknowledge that the above non-solicitation covenant is reasonable in the scope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restricted, the geographic area covered by the restriction and the duration of the restriction, and is necessary in that it protects the legitimate business interests of the Company and its Affiliates in its confidential information, its proprietary work, and its relationships with its employees, customers, suppliers and agents and that it does not unreasonably impair your ability to earn a livelihood or to support your dependants.</w:t>
      </w:r>
    </w:p>
    <w:p>
      <w:pPr>
        <w:spacing w:after="0" w:line="207" w:lineRule="exact"/>
        <w:rPr>
          <w:rFonts w:ascii="Times New Roman" w:cs="Times New Roman" w:eastAsia="Times New Roman" w:hAnsi="Times New Roman"/>
          <w:sz w:val="18"/>
          <w:szCs w:val="18"/>
          <w:color w:val="auto"/>
        </w:rPr>
      </w:pPr>
    </w:p>
    <w:p>
      <w:pPr>
        <w:jc w:val="both"/>
        <w:ind w:left="652" w:firstLine="644"/>
        <w:spacing w:after="0" w:line="246" w:lineRule="auto"/>
        <w:tabs>
          <w:tab w:leader="none" w:pos="1544"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Irreparable Harm; Injunctive Relief</w:t>
      </w:r>
      <w:r>
        <w:rPr>
          <w:rFonts w:ascii="Times New Roman" w:cs="Times New Roman" w:eastAsia="Times New Roman" w:hAnsi="Times New Roman"/>
          <w:sz w:val="18"/>
          <w:szCs w:val="18"/>
          <w:color w:val="auto"/>
        </w:rPr>
        <w:t>. You agree and acknowledge that a violation by you of the non-solicitation covenant contained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will result in immediate and irreparable harm to the Company for which there is no adequate remedy at law. You hereby agree that the Company will be entitled, in addition to any remedies it might have under this Award Agreement or at law, to injunctive and other equitable relief to prevent or curtail any threatened or actual breach of this Award Agreement by you, without the posting of bond or other security.</w:t>
      </w:r>
    </w:p>
    <w:p>
      <w:pPr>
        <w:spacing w:after="0" w:line="204" w:lineRule="exact"/>
        <w:rPr>
          <w:rFonts w:ascii="Times New Roman" w:cs="Times New Roman" w:eastAsia="Times New Roman" w:hAnsi="Times New Roman"/>
          <w:sz w:val="18"/>
          <w:szCs w:val="18"/>
          <w:color w:val="auto"/>
        </w:rPr>
      </w:pPr>
    </w:p>
    <w:p>
      <w:pPr>
        <w:ind w:left="652" w:firstLine="644"/>
        <w:spacing w:after="0" w:line="271" w:lineRule="auto"/>
        <w:tabs>
          <w:tab w:leader="none" w:pos="1568"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Extension of Covenant</w:t>
      </w:r>
      <w:r>
        <w:rPr>
          <w:rFonts w:ascii="Times New Roman" w:cs="Times New Roman" w:eastAsia="Times New Roman" w:hAnsi="Times New Roman"/>
          <w:sz w:val="18"/>
          <w:szCs w:val="18"/>
          <w:color w:val="auto"/>
        </w:rPr>
        <w:t>. During any breach of the non-solicitation provisions of this Award Agreement, the period of restraint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herein shall be automatically tolled and suspended for the amount of time that the violation continues.</w:t>
      </w:r>
    </w:p>
    <w:p>
      <w:pPr>
        <w:sectPr>
          <w:pgSz w:w="11900" w:h="16838" w:orient="portrait"/>
          <w:cols w:equalWidth="0" w:num="1">
            <w:col w:w="11232"/>
          </w:cols>
          <w:pgMar w:left="328" w:top="1417" w:right="339" w:bottom="1440" w:gutter="0" w:footer="0" w:header="0"/>
        </w:sectPr>
      </w:pPr>
    </w:p>
    <w:bookmarkStart w:id="101" w:name="page102"/>
    <w:bookmarkEnd w:id="101"/>
    <w:p>
      <w:pPr>
        <w:ind w:left="640" w:firstLine="644"/>
        <w:spacing w:after="0" w:line="271" w:lineRule="auto"/>
        <w:tabs>
          <w:tab w:leader="none" w:pos="154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Survival of Covenants</w:t>
      </w:r>
      <w:r>
        <w:rPr>
          <w:rFonts w:ascii="Times New Roman" w:cs="Times New Roman" w:eastAsia="Times New Roman" w:hAnsi="Times New Roman"/>
          <w:sz w:val="18"/>
          <w:szCs w:val="18"/>
          <w:color w:val="auto"/>
        </w:rPr>
        <w:t>. Your obligations pursuant to this Section 7 shall survive the termination of this Award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your employment with the Company or an Affiliate.</w:t>
      </w:r>
    </w:p>
    <w:p>
      <w:pPr>
        <w:spacing w:after="0" w:line="180" w:lineRule="exact"/>
        <w:rPr>
          <w:rFonts w:ascii="Times New Roman" w:cs="Times New Roman" w:eastAsia="Times New Roman" w:hAnsi="Times New Roman"/>
          <w:sz w:val="18"/>
          <w:szCs w:val="18"/>
          <w:color w:val="auto"/>
        </w:rPr>
      </w:pPr>
    </w:p>
    <w:p>
      <w:pPr>
        <w:ind w:left="640" w:firstLine="644"/>
        <w:spacing w:after="0" w:line="271" w:lineRule="auto"/>
        <w:tabs>
          <w:tab w:leader="none" w:pos="151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Attorneys' Fees</w:t>
      </w:r>
      <w:r>
        <w:rPr>
          <w:rFonts w:ascii="Times New Roman" w:cs="Times New Roman" w:eastAsia="Times New Roman" w:hAnsi="Times New Roman"/>
          <w:sz w:val="18"/>
          <w:szCs w:val="18"/>
          <w:color w:val="auto"/>
        </w:rPr>
        <w:t>. You agree to pay the Company any attorneys' fees and costs which the Company incurs in enforcing, to any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this Section 7, whether or not litigation is actually commenced, and including any appeal.</w:t>
      </w:r>
    </w:p>
    <w:p>
      <w:pPr>
        <w:spacing w:after="0" w:line="180" w:lineRule="exact"/>
        <w:rPr>
          <w:rFonts w:ascii="Times New Roman" w:cs="Times New Roman" w:eastAsia="Times New Roman" w:hAnsi="Times New Roman"/>
          <w:sz w:val="18"/>
          <w:szCs w:val="18"/>
          <w:color w:val="auto"/>
        </w:rPr>
      </w:pPr>
    </w:p>
    <w:p>
      <w:pPr>
        <w:jc w:val="both"/>
        <w:ind w:left="-20" w:firstLine="656"/>
        <w:spacing w:after="0" w:line="243" w:lineRule="auto"/>
        <w:tabs>
          <w:tab w:leader="none" w:pos="82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409A</w:t>
      </w:r>
      <w:r>
        <w:rPr>
          <w:rFonts w:ascii="Times New Roman" w:cs="Times New Roman" w:eastAsia="Times New Roman" w:hAnsi="Times New Roman"/>
          <w:sz w:val="18"/>
          <w:szCs w:val="18"/>
          <w:color w:val="auto"/>
        </w:rPr>
        <w:t>. The Company intends that this Award Agreement and the Plan either (a) comply with Section 409A and guidance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or (b) be excepted from the provisions of Section 409A. Accordingly, the Company reserves the right and you agree that the Company shall have the right, without your consent and without prior notice to you, to amend either or both this Award Agreement and the Plan to cause this Award Agreement and the Plan to be so compliant or so excepted and to take such other actions under the Plan and this Award Agreement to achieve such compliance or exception.</w:t>
      </w:r>
    </w:p>
    <w:p>
      <w:pPr>
        <w:spacing w:after="0" w:line="207" w:lineRule="exact"/>
        <w:rPr>
          <w:rFonts w:ascii="Times New Roman" w:cs="Times New Roman" w:eastAsia="Times New Roman" w:hAnsi="Times New Roman"/>
          <w:sz w:val="18"/>
          <w:szCs w:val="18"/>
          <w:color w:val="auto"/>
        </w:rPr>
      </w:pPr>
    </w:p>
    <w:p>
      <w:pPr>
        <w:ind w:left="-20" w:right="20" w:firstLine="656"/>
        <w:spacing w:after="0" w:line="271" w:lineRule="auto"/>
        <w:tabs>
          <w:tab w:leader="none" w:pos="82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Certain Definitions. </w:t>
      </w:r>
      <w:r>
        <w:rPr>
          <w:rFonts w:ascii="Times New Roman" w:cs="Times New Roman" w:eastAsia="Times New Roman" w:hAnsi="Times New Roman"/>
          <w:sz w:val="18"/>
          <w:szCs w:val="18"/>
          <w:color w:val="auto"/>
        </w:rPr>
        <w:t>Capitalized terms used in this Award Agreement and not otherwise defined herein shall have the respective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 Plan.</w:t>
      </w:r>
    </w:p>
    <w:p>
      <w:pPr>
        <w:spacing w:after="0" w:line="180" w:lineRule="exact"/>
        <w:rPr>
          <w:rFonts w:ascii="Times New Roman" w:cs="Times New Roman" w:eastAsia="Times New Roman" w:hAnsi="Times New Roman"/>
          <w:sz w:val="18"/>
          <w:szCs w:val="18"/>
          <w:color w:val="auto"/>
        </w:rPr>
      </w:pPr>
    </w:p>
    <w:p>
      <w:pPr>
        <w:jc w:val="both"/>
        <w:ind w:left="-20" w:firstLine="656"/>
        <w:spacing w:after="0" w:line="252" w:lineRule="auto"/>
        <w:tabs>
          <w:tab w:leader="none" w:pos="89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Designation of Beneficiary</w:t>
      </w:r>
      <w:r>
        <w:rPr>
          <w:rFonts w:ascii="Times New Roman" w:cs="Times New Roman" w:eastAsia="Times New Roman" w:hAnsi="Times New Roman"/>
          <w:sz w:val="18"/>
          <w:szCs w:val="18"/>
          <w:color w:val="auto"/>
        </w:rPr>
        <w:t>. Your beneficiary for receipt of any payment made under this Award Agreement in the event of your death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the person(s) designated as your beneficiary(ies) on a form prescribed by the Company. If no beneficiary is designated, upon your death, payment shall be made to your estate.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Follow]</w:t>
      </w:r>
    </w:p>
    <w:p>
      <w:pPr>
        <w:sectPr>
          <w:pgSz w:w="11900" w:h="16838" w:orient="portrait"/>
          <w:cols w:equalWidth="0" w:num="1">
            <w:col w:w="11220"/>
          </w:cols>
          <w:pgMar w:left="340" w:top="1413" w:right="339" w:bottom="1440" w:gutter="0" w:footer="0" w:header="0"/>
        </w:sectPr>
      </w:pPr>
    </w:p>
    <w:bookmarkStart w:id="102" w:name="page103"/>
    <w:bookmarkEnd w:id="102"/>
    <w:p>
      <w:pPr>
        <w:ind w:firstLine="648"/>
        <w:spacing w:after="0" w:line="266" w:lineRule="auto"/>
        <w:rPr>
          <w:sz w:val="20"/>
          <w:szCs w:val="20"/>
          <w:color w:val="auto"/>
        </w:rPr>
      </w:pPr>
      <w:r>
        <w:rPr>
          <w:rFonts w:ascii="Times New Roman" w:cs="Times New Roman" w:eastAsia="Times New Roman" w:hAnsi="Times New Roman"/>
          <w:sz w:val="18"/>
          <w:szCs w:val="18"/>
          <w:color w:val="auto"/>
        </w:rPr>
        <w:t>If you accept this Award Agreement and agree to the foregoing terms and conditions, please so confirm by signing and returning the duplicate copy of this Award Agreement enclosed for that purpose.</w:t>
      </w: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MATRIX SERVICE COMPANY</w:t>
      </w:r>
    </w:p>
    <w:p>
      <w:pPr>
        <w:spacing w:after="0" w:line="200" w:lineRule="exact"/>
        <w:rPr>
          <w:sz w:val="20"/>
          <w:szCs w:val="20"/>
          <w:color w:val="auto"/>
        </w:rPr>
      </w:pPr>
    </w:p>
    <w:p>
      <w:pPr>
        <w:spacing w:after="0" w:line="28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w:t>
      </w:r>
    </w:p>
    <w:p>
      <w:pPr>
        <w:spacing w:after="0" w:line="23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w:t>
      </w:r>
    </w:p>
    <w:p>
      <w:pPr>
        <w:spacing w:after="0" w:line="23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Award Agreement is accepted by me as of , and I hereby agree to the terms, conditions, and restrictions set forth above and in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«Grantee»</w:t>
      </w:r>
    </w:p>
    <w:p>
      <w:pPr>
        <w:sectPr>
          <w:pgSz w:w="11900" w:h="16838" w:orient="portrait"/>
          <w:cols w:equalWidth="0" w:num="1">
            <w:col w:w="11220"/>
          </w:cols>
          <w:pgMar w:left="320" w:top="1417" w:right="35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Inc., an Oklahoma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Canada ULC, an Alberta, Canada unlimited liability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North American Construction, Inc., an Oklahoma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North American Construction, Ltd., a Canadian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North American Construction,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SME Canada,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SME Canada ULC, a Nova Scotia, Canada unlimited liability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PDM Engineering,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PDM,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Applied Technologies,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International Holding Company, Ltd., a British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Applied Technologies, Ltd., a South Korean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Applied Technologies, Pty. Ltd., an Australian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River Consulting, LLC, a Louisiana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Products and Services S. de R.L. de C.V., a Mexican limited liability variable stock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VI, LLC, a U.S. Virgin Island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Aquatic Solutions, Inc., an Oklahoma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MSI Federal Contracting,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Devco USA,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Dynamics, LLC, a Qatar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International,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Applied Technologies FZ-LLC, a UAE free zone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Applied Technologies Pte Ltd, a Singapore limited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PDM Engineering Ltd., a Nova Scotia limited company</w:t>
      </w:r>
    </w:p>
    <w:p>
      <w:pPr>
        <w:sectPr>
          <w:pgSz w:w="11900" w:h="16838" w:orient="portrait"/>
          <w:cols w:equalWidth="0" w:num="1">
            <w:col w:w="11240"/>
          </w:cols>
          <w:pgMar w:left="320" w:top="88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on Forms S-8:</w:t>
      </w:r>
    </w:p>
    <w:p>
      <w:pPr>
        <w:spacing w:after="0" w:line="252" w:lineRule="exact"/>
        <w:rPr>
          <w:sz w:val="20"/>
          <w:szCs w:val="20"/>
          <w:color w:val="auto"/>
        </w:rPr>
      </w:pPr>
    </w:p>
    <w:p>
      <w:pPr>
        <w:ind w:left="340" w:right="460"/>
        <w:spacing w:after="0" w:line="532" w:lineRule="auto"/>
        <w:rPr>
          <w:sz w:val="20"/>
          <w:szCs w:val="20"/>
          <w:color w:val="auto"/>
        </w:rPr>
      </w:pPr>
      <w:r>
        <w:rPr>
          <w:rFonts w:ascii="Times New Roman" w:cs="Times New Roman" w:eastAsia="Times New Roman" w:hAnsi="Times New Roman"/>
          <w:sz w:val="18"/>
          <w:szCs w:val="18"/>
          <w:color w:val="auto"/>
        </w:rPr>
        <w:t>Registration Statement on Form S-8 (File No. 333-228052) related to the Matrix Service Company 2018 Stock and Incentive Compensation Plan Registration Statement on Form S-8 (File No. 333-214590) related to the Matrix Service Company 2016 Stock and Incentive Compensation Plan Registration Statement on Form S-8 (File No. 333-203207) related to the Matrix Service Company 2012 Stock and Incentive Compensation Plan Registration Statement on Form S-8 (File No. 333-184982) related to the Matrix Service Company 2012 Stock and Incentive Compensation Plan Registration Statement on Form S-8 (File No. 333-171247) related to the Matrix Service Company 2011 Employee Stock Purchase Plan Registration Statement on Form S-8 (File No. 333-171245) related to the Matrix Service Company 2004 Stock Incentive Plan Registration Statement on Form S-8 (File No. 333-119840) related to the Matrix Service Company 2004 Stock Option Plan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September 3, 2020, relating to the consolidated financial statements and financial statement schedule of Matrix Service Company and subsidiaries, and the effectiveness of Matrix Service Company and subsidiaries’ internal control over financial reporting, appearing in the Annual Report on Form 10-K of Matrix Service Company for the year ended June 30, 2020.</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 2020</w:t>
      </w:r>
    </w:p>
    <w:p>
      <w:pPr>
        <w:sectPr>
          <w:pgSz w:w="11900" w:h="16838" w:orient="portrait"/>
          <w:cols w:equalWidth="0" w:num="1">
            <w:col w:w="11240"/>
          </w:cols>
          <w:pgMar w:left="320" w:top="981"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Matrix Service Company;</w:t>
      </w:r>
    </w:p>
    <w:p>
      <w:pPr>
        <w:spacing w:after="0" w:line="171"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620" w:right="20" w:hanging="640"/>
        <w:spacing w:after="0" w:line="266" w:lineRule="auto"/>
        <w:tabs>
          <w:tab w:leader="none" w:pos="161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620" w:right="80" w:hanging="640"/>
        <w:spacing w:after="0" w:line="266" w:lineRule="auto"/>
        <w:tabs>
          <w:tab w:leader="none" w:pos="16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620" w:right="180" w:hanging="640"/>
        <w:spacing w:after="0" w:line="266" w:lineRule="auto"/>
        <w:tabs>
          <w:tab w:leader="none" w:pos="161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620" w:right="280" w:hanging="640"/>
        <w:spacing w:after="0" w:line="266" w:lineRule="auto"/>
        <w:tabs>
          <w:tab w:leader="none" w:pos="16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right="140" w:hanging="324"/>
        <w:spacing w:after="0" w:line="312" w:lineRule="auto"/>
        <w:tabs>
          <w:tab w:leader="none" w:pos="9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Times New Roman" w:cs="Times New Roman" w:eastAsia="Times New Roman" w:hAnsi="Times New Roman"/>
          <w:sz w:val="17"/>
          <w:szCs w:val="17"/>
          <w:color w:val="auto"/>
        </w:rPr>
      </w:pPr>
    </w:p>
    <w:p>
      <w:pPr>
        <w:ind w:left="1620" w:right="140" w:hanging="640"/>
        <w:spacing w:after="0" w:line="282" w:lineRule="auto"/>
        <w:tabs>
          <w:tab w:leader="none" w:pos="161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420" w:hanging="640"/>
        <w:spacing w:after="0" w:line="282" w:lineRule="auto"/>
        <w:tabs>
          <w:tab w:leader="none" w:pos="16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September 3, 2020</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6601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R. Hewitt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Matrix Service Company;</w:t>
      </w:r>
    </w:p>
    <w:p>
      <w:pPr>
        <w:spacing w:after="0" w:line="171"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620" w:right="20" w:hanging="640"/>
        <w:spacing w:after="0" w:line="266" w:lineRule="auto"/>
        <w:tabs>
          <w:tab w:leader="none" w:pos="161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620" w:right="80" w:hanging="640"/>
        <w:spacing w:after="0" w:line="266" w:lineRule="auto"/>
        <w:tabs>
          <w:tab w:leader="none" w:pos="16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620" w:right="180" w:hanging="640"/>
        <w:spacing w:after="0" w:line="266" w:lineRule="auto"/>
        <w:tabs>
          <w:tab w:leader="none" w:pos="161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620" w:right="280" w:hanging="640"/>
        <w:spacing w:after="0" w:line="266" w:lineRule="auto"/>
        <w:tabs>
          <w:tab w:leader="none" w:pos="16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right="140" w:hanging="324"/>
        <w:spacing w:after="0" w:line="312" w:lineRule="auto"/>
        <w:tabs>
          <w:tab w:leader="none" w:pos="9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Times New Roman" w:cs="Times New Roman" w:eastAsia="Times New Roman" w:hAnsi="Times New Roman"/>
          <w:sz w:val="17"/>
          <w:szCs w:val="17"/>
          <w:color w:val="auto"/>
        </w:rPr>
      </w:pPr>
    </w:p>
    <w:p>
      <w:pPr>
        <w:ind w:left="1620" w:right="140" w:hanging="640"/>
        <w:spacing w:after="0" w:line="282" w:lineRule="auto"/>
        <w:tabs>
          <w:tab w:leader="none" w:pos="161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420" w:hanging="640"/>
        <w:spacing w:after="0" w:line="282" w:lineRule="auto"/>
        <w:tabs>
          <w:tab w:leader="none" w:pos="16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September 3, 2020</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7343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S. Cavanah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240"/>
          </w:cols>
          <w:pgMar w:left="320" w:top="88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Matrix Service Company (the “Company”) on Form 10-K for the period ending June 30, 2020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203"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September 3, 2020</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771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R. Hewitt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Sarbanes-Oxley Act of 2002</w:t>
      </w:r>
    </w:p>
    <w:p>
      <w:pPr>
        <w:spacing w:after="0" w:line="15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Matrix Service Company (the “Company”) on Form 10-K for the period ending June 30, 2020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203"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September 3, 2020</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73431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S. Cavanah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240"/>
          </w:cols>
          <w:pgMar w:left="320" w:top="88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00" w:lineRule="exact"/>
        <w:rPr>
          <w:sz w:val="20"/>
          <w:szCs w:val="20"/>
          <w:color w:val="auto"/>
        </w:rPr>
      </w:pPr>
    </w:p>
    <w:p>
      <w:pPr>
        <w:spacing w:after="0" w:line="23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for the twelve months ended June 30, 2020:</w:t>
      </w:r>
    </w:p>
    <w:p>
      <w:pPr>
        <w:spacing w:after="0" w:line="210" w:lineRule="exact"/>
        <w:rPr>
          <w:sz w:val="20"/>
          <w:szCs w:val="20"/>
          <w:color w:val="auto"/>
        </w:rPr>
      </w:pPr>
    </w:p>
    <w:tbl>
      <w:tblPr>
        <w:tblLayout w:type="fixed"/>
        <w:tblInd w:w="50" w:type="dxa"/>
        <w:tblCellMar>
          <w:top w:w="0" w:type="dxa"/>
          <w:left w:w="0" w:type="dxa"/>
          <w:bottom w:w="0" w:type="dxa"/>
          <w:right w:w="0" w:type="dxa"/>
        </w:tblCellMar>
      </w:tblPr>
      <w:tr>
        <w:trPr>
          <w:trHeight w:val="175"/>
        </w:trPr>
        <w:tc>
          <w:tcPr>
            <w:tcW w:w="980" w:type="dxa"/>
            <w:vAlign w:val="bottom"/>
            <w:tcBorders>
              <w:top w:val="single" w:sz="8" w:color="auto"/>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76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720" w:type="dxa"/>
            <w:vAlign w:val="bottom"/>
            <w:tcBorders>
              <w:top w:val="single" w:sz="8" w:color="auto"/>
              <w:right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Received Notice</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Received Notice</w:t>
            </w:r>
          </w:p>
        </w:tc>
        <w:tc>
          <w:tcPr>
            <w:tcW w:w="86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980" w:type="dxa"/>
            <w:vAlign w:val="bottom"/>
            <w:tcBorders>
              <w:left w:val="single" w:sz="8" w:color="auto"/>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of Pattern of</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of Potential to</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Total Number of</w:t>
            </w:r>
          </w:p>
        </w:tc>
        <w:tc>
          <w:tcPr>
            <w:tcW w:w="8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Mine or Operating</w:t>
            </w:r>
          </w:p>
        </w:tc>
        <w:tc>
          <w:tcPr>
            <w:tcW w:w="92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Section</w:t>
            </w:r>
          </w:p>
        </w:tc>
        <w:tc>
          <w:tcPr>
            <w:tcW w:w="780" w:type="dxa"/>
            <w:vAlign w:val="bottom"/>
            <w:tcBorders>
              <w:right w:val="single" w:sz="8" w:color="auto"/>
            </w:tcBorders>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Total Dollar Value</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Total Number</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Violations</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Have Pattern of</w:t>
            </w:r>
          </w:p>
        </w:tc>
        <w:tc>
          <w:tcPr>
            <w:tcW w:w="860" w:type="dxa"/>
            <w:vAlign w:val="bottom"/>
            <w:tcBorders>
              <w:right w:val="single" w:sz="8" w:color="auto"/>
            </w:tcBorders>
            <w:vMerge w:val="continue"/>
          </w:tcPr>
          <w:p>
            <w:pPr>
              <w:spacing w:after="0"/>
              <w:rPr>
                <w:sz w:val="2"/>
                <w:szCs w:val="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4"/>
              </w:rPr>
              <w:t>Total Number of</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Total Number of</w:t>
            </w:r>
          </w:p>
        </w:tc>
        <w:tc>
          <w:tcPr>
            <w:tcW w:w="0" w:type="dxa"/>
            <w:vAlign w:val="bottom"/>
          </w:tcPr>
          <w:p>
            <w:pPr>
              <w:spacing w:after="0" w:line="20" w:lineRule="exact"/>
              <w:rPr>
                <w:sz w:val="1"/>
                <w:szCs w:val="1"/>
                <w:color w:val="auto"/>
              </w:rPr>
            </w:pPr>
          </w:p>
        </w:tc>
      </w:tr>
      <w:tr>
        <w:trPr>
          <w:trHeight w:val="108"/>
        </w:trPr>
        <w:tc>
          <w:tcPr>
            <w:tcW w:w="98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Section 110(b)</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Section</w:t>
            </w:r>
          </w:p>
        </w:tc>
        <w:tc>
          <w:tcPr>
            <w:tcW w:w="10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Legal Actions</w:t>
            </w:r>
          </w:p>
        </w:tc>
        <w:tc>
          <w:tcPr>
            <w:tcW w:w="8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Name/MSHA</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Section 104 S&amp;S</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Section 104(b)</w:t>
            </w:r>
          </w:p>
        </w:tc>
        <w:tc>
          <w:tcPr>
            <w:tcW w:w="76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rPr>
              <w:t>104(d)</w:t>
            </w:r>
          </w:p>
        </w:tc>
        <w:tc>
          <w:tcPr>
            <w:tcW w:w="78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rPr>
              <w:t>of MSHA</w:t>
            </w:r>
          </w:p>
        </w:tc>
        <w:tc>
          <w:tcPr>
            <w:tcW w:w="80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4"/>
              </w:rPr>
              <w:t>of Mining</w:t>
            </w:r>
          </w:p>
        </w:tc>
        <w:tc>
          <w:tcPr>
            <w:tcW w:w="84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Under Section</w:t>
            </w:r>
          </w:p>
        </w:tc>
        <w:tc>
          <w:tcPr>
            <w:tcW w:w="90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Violations Under</w:t>
            </w:r>
          </w:p>
        </w:tc>
        <w:tc>
          <w:tcPr>
            <w:tcW w:w="86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rPr>
              <w:t>Pending as of</w:t>
            </w:r>
          </w:p>
        </w:tc>
        <w:tc>
          <w:tcPr>
            <w:tcW w:w="84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Legal Actions</w:t>
            </w:r>
          </w:p>
        </w:tc>
        <w:tc>
          <w:tcPr>
            <w:tcW w:w="9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Legal Actions</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Identification</w:t>
            </w:r>
          </w:p>
        </w:tc>
        <w:tc>
          <w:tcPr>
            <w:tcW w:w="92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Citations and</w:t>
            </w:r>
          </w:p>
        </w:tc>
        <w:tc>
          <w:tcPr>
            <w:tcW w:w="780" w:type="dxa"/>
            <w:vAlign w:val="bottom"/>
            <w:tcBorders>
              <w:right w:val="single" w:sz="8" w:color="auto"/>
            </w:tcBorders>
          </w:tcPr>
          <w:p>
            <w:pPr>
              <w:jc w:val="right"/>
              <w:ind w:right="286"/>
              <w:spacing w:after="0" w:line="108" w:lineRule="exact"/>
              <w:rPr>
                <w:sz w:val="20"/>
                <w:szCs w:val="20"/>
                <w:color w:val="auto"/>
              </w:rPr>
            </w:pPr>
            <w:r>
              <w:rPr>
                <w:rFonts w:ascii="Times New Roman" w:cs="Times New Roman" w:eastAsia="Times New Roman" w:hAnsi="Times New Roman"/>
                <w:sz w:val="11"/>
                <w:szCs w:val="11"/>
                <w:color w:val="auto"/>
              </w:rPr>
              <w:t>(2)</w:t>
            </w:r>
          </w:p>
        </w:tc>
        <w:tc>
          <w:tcPr>
            <w:tcW w:w="7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107(a)</w:t>
            </w:r>
          </w:p>
        </w:tc>
        <w:tc>
          <w:tcPr>
            <w:tcW w:w="10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Assessments</w:t>
            </w:r>
          </w:p>
        </w:tc>
        <w:tc>
          <w:tcPr>
            <w:tcW w:w="80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rPr>
              <w:t>Related</w:t>
            </w:r>
          </w:p>
        </w:tc>
        <w:tc>
          <w:tcPr>
            <w:tcW w:w="84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104(e)</w:t>
            </w:r>
            <w:r>
              <w:rPr>
                <w:rFonts w:ascii="Times New Roman" w:cs="Times New Roman" w:eastAsia="Times New Roman" w:hAnsi="Times New Roman"/>
                <w:sz w:val="7"/>
                <w:szCs w:val="7"/>
                <w:color w:val="auto"/>
                <w:w w:val="97"/>
              </w:rPr>
              <w:t>(6)</w:t>
            </w:r>
          </w:p>
        </w:tc>
        <w:tc>
          <w:tcPr>
            <w:tcW w:w="90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Section 104(e)</w:t>
            </w:r>
            <w:r>
              <w:rPr>
                <w:rFonts w:ascii="Times New Roman" w:cs="Times New Roman" w:eastAsia="Times New Roman" w:hAnsi="Times New Roman"/>
                <w:sz w:val="7"/>
                <w:szCs w:val="7"/>
                <w:color w:val="auto"/>
                <w:w w:val="99"/>
              </w:rPr>
              <w:t>(7)</w:t>
            </w:r>
          </w:p>
        </w:tc>
        <w:tc>
          <w:tcPr>
            <w:tcW w:w="86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rPr>
              <w:t>Last Day of</w:t>
            </w:r>
          </w:p>
        </w:tc>
        <w:tc>
          <w:tcPr>
            <w:tcW w:w="84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Initiated During</w:t>
            </w:r>
          </w:p>
        </w:tc>
        <w:tc>
          <w:tcPr>
            <w:tcW w:w="9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Resolved During</w:t>
            </w:r>
          </w:p>
        </w:tc>
        <w:tc>
          <w:tcPr>
            <w:tcW w:w="0" w:type="dxa"/>
            <w:vAlign w:val="bottom"/>
          </w:tcPr>
          <w:p>
            <w:pPr>
              <w:spacing w:after="0"/>
              <w:rPr>
                <w:sz w:val="1"/>
                <w:szCs w:val="1"/>
                <w:color w:val="auto"/>
              </w:rPr>
            </w:pPr>
          </w:p>
        </w:tc>
      </w:tr>
      <w:tr>
        <w:trPr>
          <w:trHeight w:val="153"/>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Number</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Citations</w:t>
            </w:r>
            <w:r>
              <w:rPr>
                <w:rFonts w:ascii="Times New Roman" w:cs="Times New Roman" w:eastAsia="Times New Roman" w:hAnsi="Times New Roman"/>
                <w:sz w:val="7"/>
                <w:szCs w:val="7"/>
                <w:color w:val="auto"/>
                <w:w w:val="95"/>
              </w:rPr>
              <w:t>(1)</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Orders</w:t>
            </w:r>
            <w:r>
              <w:rPr>
                <w:rFonts w:ascii="Times New Roman" w:cs="Times New Roman" w:eastAsia="Times New Roman" w:hAnsi="Times New Roman"/>
                <w:sz w:val="7"/>
                <w:szCs w:val="7"/>
                <w:color w:val="auto"/>
                <w:w w:val="99"/>
              </w:rPr>
              <w:t>(2)</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Orders</w:t>
            </w:r>
            <w:r>
              <w:rPr>
                <w:rFonts w:ascii="Times New Roman" w:cs="Times New Roman" w:eastAsia="Times New Roman" w:hAnsi="Times New Roman"/>
                <w:sz w:val="7"/>
                <w:szCs w:val="7"/>
                <w:color w:val="auto"/>
                <w:w w:val="99"/>
              </w:rPr>
              <w:t>(3)</w:t>
            </w:r>
          </w:p>
        </w:tc>
        <w:tc>
          <w:tcPr>
            <w:tcW w:w="780" w:type="dxa"/>
            <w:vAlign w:val="bottom"/>
            <w:tcBorders>
              <w:right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Violations</w:t>
            </w:r>
            <w:r>
              <w:rPr>
                <w:rFonts w:ascii="Times New Roman" w:cs="Times New Roman" w:eastAsia="Times New Roman" w:hAnsi="Times New Roman"/>
                <w:sz w:val="7"/>
                <w:szCs w:val="7"/>
                <w:color w:val="auto"/>
              </w:rPr>
              <w:t>(4)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Orders</w:t>
            </w:r>
            <w:r>
              <w:rPr>
                <w:rFonts w:ascii="Times New Roman" w:cs="Times New Roman" w:eastAsia="Times New Roman" w:hAnsi="Times New Roman"/>
                <w:sz w:val="7"/>
                <w:szCs w:val="7"/>
                <w:color w:val="auto"/>
                <w:w w:val="99"/>
              </w:rPr>
              <w:t>(5)</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Proposed ($)</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Fatalities</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(yes/no)</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(yes/no)</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Period</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0" w:type="dxa"/>
            <w:vAlign w:val="bottom"/>
          </w:tcPr>
          <w:p>
            <w:pPr>
              <w:spacing w:after="0"/>
              <w:rPr>
                <w:sz w:val="1"/>
                <w:szCs w:val="1"/>
                <w:color w:val="auto"/>
              </w:rPr>
            </w:pPr>
          </w:p>
        </w:tc>
      </w:tr>
      <w:tr>
        <w:trPr>
          <w:trHeight w:val="49"/>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980" w:type="dxa"/>
            <w:vAlign w:val="bottom"/>
            <w:tcBorders>
              <w:left w:val="single" w:sz="8" w:color="auto"/>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w w:val="98"/>
              </w:rPr>
              <w:t>Castle Mountain</w:t>
            </w:r>
          </w:p>
        </w:tc>
        <w:tc>
          <w:tcPr>
            <w:tcW w:w="92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Gold Mine,</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tcBorders>
              <w:right w:val="single" w:sz="8" w:color="auto"/>
            </w:tcBorders>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No</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88"/>
              </w:rPr>
              <w:t>No</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Equinox Gold 04-</w:t>
            </w:r>
          </w:p>
        </w:tc>
        <w:tc>
          <w:tcPr>
            <w:tcW w:w="92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04918</w:t>
            </w:r>
          </w:p>
        </w:tc>
        <w:tc>
          <w:tcPr>
            <w:tcW w:w="9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980" w:type="dxa"/>
            <w:vAlign w:val="bottom"/>
            <w:tcBorders>
              <w:left w:val="single" w:sz="8" w:color="auto"/>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w w:val="97"/>
              </w:rPr>
              <w:t>Freeport McMoran</w:t>
            </w:r>
          </w:p>
        </w:tc>
        <w:tc>
          <w:tcPr>
            <w:tcW w:w="92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80" w:type="dxa"/>
            <w:vAlign w:val="bottom"/>
            <w:tcBorders>
              <w:left w:val="single" w:sz="8" w:color="auto"/>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rPr>
              <w:t>Safford Inc. 02-</w:t>
            </w:r>
          </w:p>
        </w:tc>
        <w:tc>
          <w:tcPr>
            <w:tcW w:w="92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76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tcBorders>
              <w:right w:val="single" w:sz="8" w:color="auto"/>
            </w:tcBorders>
          </w:tcPr>
          <w:p>
            <w:pPr>
              <w:jc w:val="right"/>
              <w:ind w:right="286"/>
              <w:spacing w:after="0" w:line="120"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80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rPr>
              <w:t>No</w:t>
            </w:r>
          </w:p>
        </w:tc>
        <w:tc>
          <w:tcPr>
            <w:tcW w:w="90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w w:val="88"/>
              </w:rPr>
              <w:t>No</w:t>
            </w:r>
          </w:p>
        </w:tc>
        <w:tc>
          <w:tcPr>
            <w:tcW w:w="86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03131</w:t>
            </w:r>
          </w:p>
        </w:tc>
        <w:tc>
          <w:tcPr>
            <w:tcW w:w="9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260" w:right="120" w:hanging="212"/>
        <w:spacing w:after="0" w:line="332" w:lineRule="auto"/>
        <w:tabs>
          <w:tab w:leader="none" w:pos="261"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60" w:hanging="212"/>
        <w:spacing w:after="0"/>
        <w:tabs>
          <w:tab w:leader="none" w:pos="26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104(b) of the Mine Act, which represents a failure to abate a citation under section 104(a) within the period of time prescribed by MSHA.</w:t>
      </w:r>
    </w:p>
    <w:p>
      <w:pPr>
        <w:spacing w:after="0" w:line="82" w:lineRule="exact"/>
        <w:rPr>
          <w:rFonts w:ascii="Times New Roman" w:cs="Times New Roman" w:eastAsia="Times New Roman" w:hAnsi="Times New Roman"/>
          <w:sz w:val="14"/>
          <w:szCs w:val="14"/>
          <w:color w:val="auto"/>
        </w:rPr>
      </w:pPr>
    </w:p>
    <w:p>
      <w:pPr>
        <w:ind w:left="260" w:hanging="212"/>
        <w:spacing w:after="0"/>
        <w:tabs>
          <w:tab w:leader="none" w:pos="26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and orders issued by MSHA under section 104(d) of the Mine Act for unwarrantable failure to comply with mandatory health or safety standards.</w:t>
      </w:r>
    </w:p>
    <w:p>
      <w:pPr>
        <w:spacing w:after="0" w:line="6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flagrant violations identified under section 110(b)(2) of the Mine Act.</w:t>
      </w:r>
    </w:p>
    <w:p>
      <w:pPr>
        <w:spacing w:after="0" w:line="8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107(a) of the Mine Act for situations in which MSHA determined an imminent danger existed.</w:t>
      </w:r>
    </w:p>
    <w:p>
      <w:pPr>
        <w:spacing w:after="0" w:line="8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notice from the MSHA regarding a pattern of violations under section 104(e) of the Mine Act.</w:t>
      </w:r>
    </w:p>
    <w:p>
      <w:pPr>
        <w:spacing w:after="0" w:line="6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notice from the MSHA regarding a potential to have a pattern of violations under section 104(e) of the Mine Act.</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1)"/>
      <w:numFmt w:val="decimal"/>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1)"/>
      <w:numFmt w:val="decimal"/>
      <w:start w:val="1"/>
    </w:lvl>
  </w:abstractNum>
  <w:abstractNum w:abstractNumId="18">
    <w:nsid w:val="684A481A"/>
    <w:multiLevelType w:val="hybridMultilevel"/>
    <w:lvl w:ilvl="0">
      <w:lvlJc w:val="left"/>
      <w:lvlText w:val="(%1)"/>
      <w:numFmt w:val="upperLetter"/>
      <w:start w:val="1"/>
    </w:lvl>
  </w:abstractNum>
  <w:abstractNum w:abstractNumId="19">
    <w:nsid w:val="579478FE"/>
    <w:multiLevelType w:val="hybridMultilevel"/>
    <w:lvl w:ilvl="0">
      <w:lvlJc w:val="left"/>
      <w:lvlText w:val="(%1)"/>
      <w:numFmt w:val="decimal"/>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lvl w:ilvl="1">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1)"/>
      <w:numFmt w:val="decimal"/>
      <w:start w:val="1"/>
    </w:lvl>
  </w:abstractNum>
  <w:abstractNum w:abstractNumId="31">
    <w:nsid w:val="649BB77C"/>
    <w:multiLevelType w:val="hybridMultilevel"/>
    <w:lvl w:ilvl="0">
      <w:lvlJc w:val="left"/>
      <w:lvlText w:val="(%1)"/>
      <w:numFmt w:val="decimal"/>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1)"/>
      <w:numFmt w:val="lowerRoman"/>
      <w:start w:val="3"/>
    </w:lvl>
  </w:abstractNum>
  <w:abstractNum w:abstractNumId="34">
    <w:nsid w:val="1CF10FD8"/>
    <w:multiLevelType w:val="hybridMultilevel"/>
    <w:lvl w:ilvl="0">
      <w:lvlJc w:val="left"/>
      <w:lvlText w:val="(%1)"/>
      <w:numFmt w:val="decimal"/>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1)"/>
      <w:numFmt w:val="decimal"/>
      <w:start w:val="1"/>
    </w:lvl>
  </w:abstractNum>
  <w:abstractNum w:abstractNumId="44">
    <w:nsid w:val="61574095"/>
    <w:multiLevelType w:val="hybridMultilevel"/>
    <w:lvl w:ilvl="0">
      <w:lvlJc w:val="left"/>
      <w:lvlText w:val="(%1)"/>
      <w:numFmt w:val="decimal"/>
      <w:start w:val="1"/>
    </w:lvl>
  </w:abstractNum>
  <w:abstractNum w:abstractNumId="45">
    <w:nsid w:val="7E0C57B1"/>
    <w:multiLevelType w:val="hybridMultilevel"/>
    <w:lvl w:ilvl="0">
      <w:lvlJc w:val="left"/>
      <w:lvlText w:val="(%1)"/>
      <w:numFmt w:val="upperLetter"/>
      <w:start w:val="1"/>
    </w:lvl>
  </w:abstractNum>
  <w:abstractNum w:abstractNumId="46">
    <w:nsid w:val="77AE35EB"/>
    <w:multiLevelType w:val="hybridMultilevel"/>
    <w:lvl w:ilvl="0">
      <w:lvlJc w:val="left"/>
      <w:lvlText w:val="(%1)"/>
      <w:numFmt w:val="decimal"/>
      <w:start w:val="3"/>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1."/>
      <w:numFmt w:val="decimal"/>
      <w:start w:val="1"/>
    </w:lvl>
    <w:lvl w:ilvl="1">
      <w:lvlJc w:val="left"/>
      <w:lvlText w:val="(%2)"/>
      <w:numFmt w:val="lowerLetter"/>
      <w:start w:val="1"/>
    </w:lvl>
  </w:abstractNum>
  <w:abstractNum w:abstractNumId="49">
    <w:nsid w:val="5FF87E05"/>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0">
    <w:nsid w:val="2F305DEF"/>
    <w:multiLevelType w:val="hybridMultilevel"/>
    <w:lvl w:ilvl="0">
      <w:lvlJc w:val="left"/>
      <w:lvlText w:val="%1"/>
      <w:numFmt w:val="upperLetter"/>
      <w:start w:val="1"/>
    </w:lvl>
    <w:lvl w:ilvl="1">
      <w:lvlJc w:val="left"/>
      <w:lvlText w:val="(%2)"/>
      <w:numFmt w:val="lowerRoman"/>
      <w:start w:val="3"/>
    </w:lvl>
  </w:abstractNum>
  <w:abstractNum w:abstractNumId="51">
    <w:nsid w:val="25A70BF7"/>
    <w:multiLevelType w:val="hybridMultilevel"/>
    <w:lvl w:ilvl="0">
      <w:lvlJc w:val="left"/>
      <w:lvlText w:val="(%1)"/>
      <w:numFmt w:val="upperLetter"/>
      <w:start w:val="2"/>
    </w:lvl>
    <w:lvl w:ilvl="1">
      <w:lvlJc w:val="left"/>
      <w:lvlText w:val="%2"/>
      <w:numFmt w:val="lowerRoman"/>
      <w:start w:val="1"/>
    </w:lvl>
  </w:abstractNum>
  <w:abstractNum w:abstractNumId="52">
    <w:nsid w:val="1DBABF00"/>
    <w:multiLevelType w:val="hybridMultilevel"/>
    <w:lvl w:ilvl="0">
      <w:lvlJc w:val="left"/>
      <w:lvlText w:val="(%1)"/>
      <w:numFmt w:val="lowerRoman"/>
      <w:start w:val="4"/>
    </w:lvl>
  </w:abstractNum>
  <w:abstractNum w:abstractNumId="53">
    <w:nsid w:val="4AD084E9"/>
    <w:multiLevelType w:val="hybridMultilevel"/>
    <w:lvl w:ilvl="0">
      <w:lvlJc w:val="left"/>
      <w:lvlText w:val="(%1)"/>
      <w:numFmt w:val="upperLetter"/>
      <w:start w:val="1"/>
    </w:lvl>
  </w:abstractNum>
  <w:abstractNum w:abstractNumId="54">
    <w:nsid w:val="1F48EAA1"/>
    <w:multiLevelType w:val="hybridMultilevel"/>
    <w:lvl w:ilvl="0">
      <w:lvlJc w:val="left"/>
      <w:lvlText w:val="(%1)"/>
      <w:numFmt w:val="lowerRoman"/>
      <w:start w:val="5"/>
    </w:lvl>
  </w:abstractNum>
  <w:abstractNum w:abstractNumId="55">
    <w:nsid w:val="1381823A"/>
    <w:multiLevelType w:val="hybridMultilevel"/>
    <w:lvl w:ilvl="0">
      <w:lvlJc w:val="left"/>
      <w:lvlText w:val="%1."/>
      <w:numFmt w:val="decimal"/>
      <w:start w:val="3"/>
    </w:lvl>
    <w:lvl w:ilvl="1">
      <w:lvlJc w:val="left"/>
      <w:lvlText w:val="(%2)"/>
      <w:numFmt w:val="lowerLetter"/>
      <w:start w:val="1"/>
    </w:lvl>
  </w:abstractNum>
  <w:abstractNum w:abstractNumId="56">
    <w:nsid w:val="5DB70AE5"/>
    <w:multiLevelType w:val="hybridMultilevel"/>
    <w:lvl w:ilvl="0">
      <w:lvlJc w:val="left"/>
      <w:lvlText w:val="%1."/>
      <w:numFmt w:val="decimal"/>
      <w:start w:val="5"/>
    </w:lvl>
  </w:abstractNum>
  <w:abstractNum w:abstractNumId="57">
    <w:nsid w:val="100F8FCA"/>
    <w:multiLevelType w:val="hybridMultilevel"/>
    <w:lvl w:ilvl="0">
      <w:lvlJc w:val="left"/>
      <w:lvlText w:val="%1."/>
      <w:numFmt w:val="decimal"/>
      <w:start w:val="6"/>
    </w:lvl>
    <w:lvl w:ilvl="1">
      <w:lvlJc w:val="left"/>
      <w:lvlText w:val="(%2)"/>
      <w:numFmt w:val="lowerLetter"/>
      <w:start w:val="1"/>
    </w:lvl>
  </w:abstractNum>
  <w:abstractNum w:abstractNumId="58">
    <w:nsid w:val="6590700B"/>
    <w:multiLevelType w:val="hybridMultilevel"/>
    <w:lvl w:ilvl="0">
      <w:lvlJc w:val="left"/>
      <w:lvlText w:val="%1"/>
      <w:numFmt w:val="decimal"/>
      <w:start w:val="1"/>
    </w:lvl>
    <w:lvl w:ilvl="1">
      <w:lvlJc w:val="left"/>
      <w:lvlText w:val="(%2)"/>
      <w:numFmt w:val="lowerLetter"/>
      <w:start w:val="2"/>
    </w:lvl>
  </w:abstractNum>
  <w:abstractNum w:abstractNumId="59">
    <w:nsid w:val="15014ACB"/>
    <w:multiLevelType w:val="hybridMultilevel"/>
    <w:lvl w:ilvl="0">
      <w:lvlJc w:val="left"/>
      <w:lvlText w:val="%1."/>
      <w:numFmt w:val="decimal"/>
      <w:start w:val="8"/>
    </w:lvl>
    <w:lvl w:ilvl="1">
      <w:lvlJc w:val="left"/>
      <w:lvlText w:val="%2"/>
      <w:numFmt w:val="lowerLetter"/>
      <w:start w:val="1"/>
    </w:lvl>
  </w:abstractNum>
  <w:abstractNum w:abstractNumId="60">
    <w:nsid w:val="5F5E7FD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1">
    <w:nsid w:val="98A3148"/>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62">
    <w:nsid w:val="799D0247"/>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3">
    <w:nsid w:val="6B94764"/>
    <w:multiLevelType w:val="hybridMultilevel"/>
    <w:lvl w:ilvl="0">
      <w:lvlJc w:val="left"/>
      <w:lvlText w:val="(%1)"/>
      <w:numFmt w:val="lowerRoman"/>
      <w:start w:val="3"/>
    </w:lvl>
  </w:abstractNum>
  <w:abstractNum w:abstractNumId="64">
    <w:nsid w:val="42C296BD"/>
    <w:multiLevelType w:val="hybridMultilevel"/>
    <w:lvl w:ilvl="0">
      <w:lvlJc w:val="left"/>
      <w:lvlText w:val="%1"/>
      <w:numFmt w:val="upperLetter"/>
      <w:start w:val="1"/>
    </w:lvl>
    <w:lvl w:ilvl="1">
      <w:lvlJc w:val="left"/>
      <w:lvlText w:val="(%2)"/>
      <w:numFmt w:val="lowerRoman"/>
      <w:start w:val="4"/>
    </w:lvl>
  </w:abstractNum>
  <w:abstractNum w:abstractNumId="65">
    <w:nsid w:val="168E121F"/>
    <w:multiLevelType w:val="hybridMultilevel"/>
    <w:lvl w:ilvl="0">
      <w:lvlJc w:val="left"/>
      <w:lvlText w:val="(%1)"/>
      <w:numFmt w:val="upperLetter"/>
      <w:start w:val="2"/>
    </w:lvl>
    <w:lvl w:ilvl="1">
      <w:lvlJc w:val="left"/>
      <w:lvlText w:val="%2"/>
      <w:numFmt w:val="lowerRoman"/>
      <w:start w:val="1"/>
    </w:lvl>
  </w:abstractNum>
  <w:abstractNum w:abstractNumId="66">
    <w:nsid w:val="1EBA5D23"/>
    <w:multiLevelType w:val="hybridMultilevel"/>
    <w:lvl w:ilvl="0">
      <w:lvlJc w:val="left"/>
      <w:lvlText w:val="(%1)"/>
      <w:numFmt w:val="lowerRoman"/>
      <w:start w:val="5"/>
    </w:lvl>
  </w:abstractNum>
  <w:abstractNum w:abstractNumId="67">
    <w:nsid w:val="661E3F1E"/>
    <w:multiLevelType w:val="hybridMultilevel"/>
    <w:lvl w:ilvl="0">
      <w:lvlJc w:val="left"/>
      <w:lvlText w:val="(%1)"/>
      <w:numFmt w:val="upperLetter"/>
      <w:start w:val="1"/>
    </w:lvl>
  </w:abstractNum>
  <w:abstractNum w:abstractNumId="68">
    <w:nsid w:val="5DC79E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69">
    <w:nsid w:val="540A471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0">
    <w:nsid w:val="7BD3EE7B"/>
    <w:multiLevelType w:val="hybridMultilevel"/>
    <w:lvl w:ilvl="0">
      <w:lvlJc w:val="left"/>
      <w:lvlText w:val="%1."/>
      <w:numFmt w:val="decimal"/>
      <w:start w:val="6"/>
    </w:lvl>
    <w:lvl w:ilvl="1">
      <w:lvlJc w:val="left"/>
      <w:lvlText w:val="%2."/>
      <w:numFmt w:val="decimal"/>
      <w:start w:val="6"/>
    </w:lvl>
    <w:lvl w:ilvl="2">
      <w:lvlJc w:val="left"/>
      <w:lvlText w:val="(%3)"/>
      <w:numFmt w:val="lowerLetter"/>
      <w:start w:val="1"/>
    </w:lvl>
  </w:abstractNum>
  <w:abstractNum w:abstractNumId="71">
    <w:nsid w:val="51D9C564"/>
    <w:multiLevelType w:val="hybridMultilevel"/>
    <w:lvl w:ilvl="0">
      <w:lvlJc w:val="left"/>
      <w:lvlText w:val="%1"/>
      <w:numFmt w:val="decimal"/>
      <w:start w:val="1"/>
    </w:lvl>
    <w:lvl w:ilvl="1">
      <w:lvlJc w:val="left"/>
      <w:lvlText w:val="(%2)"/>
      <w:numFmt w:val="lowerLetter"/>
      <w:start w:val="5"/>
    </w:lvl>
  </w:abstractNum>
  <w:abstractNum w:abstractNumId="72">
    <w:nsid w:val="613EFDC5"/>
    <w:multiLevelType w:val="hybridMultilevel"/>
    <w:lvl w:ilvl="0">
      <w:lvlJc w:val="left"/>
      <w:lvlText w:val="%1."/>
      <w:numFmt w:val="decimal"/>
      <w:start w:val="8"/>
    </w:lvl>
    <w:lvl w:ilvl="1">
      <w:lvlJc w:val="left"/>
      <w:lvlText w:val="%2"/>
      <w:numFmt w:val="lowerLetter"/>
      <w:start w:val="1"/>
    </w:lvl>
  </w:abstractNum>
  <w:abstractNum w:abstractNumId="73">
    <w:nsid w:val="BF72B14"/>
    <w:multiLevelType w:val="hybridMultilevel"/>
    <w:lvl w:ilvl="0">
      <w:lvlJc w:val="left"/>
      <w:lvlText w:val="%1."/>
      <w:numFmt w:val="decimal"/>
      <w:start w:val="1"/>
    </w:lvl>
    <w:lvl w:ilvl="1">
      <w:lvlJc w:val="left"/>
      <w:lvlText w:val="%2."/>
      <w:numFmt w:val="lowerLetter"/>
      <w:start w:val="1"/>
    </w:lvl>
  </w:abstractNum>
  <w:abstractNum w:abstractNumId="74">
    <w:nsid w:val="11447B73"/>
    <w:multiLevelType w:val="hybridMultilevel"/>
    <w:lvl w:ilvl="0">
      <w:lvlJc w:val="left"/>
      <w:lvlText w:val="%1."/>
      <w:numFmt w:val="decimal"/>
      <w:start w:val="1"/>
    </w:lvl>
    <w:lvl w:ilvl="1">
      <w:lvlJc w:val="left"/>
      <w:lvlText w:val="%2."/>
      <w:numFmt w:val="lowerLetter"/>
      <w:start w:val="1"/>
    </w:lvl>
  </w:abstractNum>
  <w:abstractNum w:abstractNumId="75">
    <w:nsid w:val="42963E5A"/>
    <w:multiLevelType w:val="hybridMultilevel"/>
    <w:lvl w:ilvl="0">
      <w:lvlJc w:val="left"/>
      <w:lvlText w:val="(%1)"/>
      <w:numFmt w:val="decimal"/>
      <w:start w:val="1"/>
    </w:lvl>
  </w:abstractNum>
  <w:abstractNum w:abstractNumId="76">
    <w:nsid w:val="A0382C5"/>
    <w:multiLevelType w:val="hybridMultilevel"/>
    <w:lvl w:ilvl="0">
      <w:lvlJc w:val="left"/>
      <w:lvlText w:val="(%1)"/>
      <w:numFmt w:val="decimal"/>
      <w:start w:val="1"/>
    </w:lvl>
  </w:abstractNum>
  <w:abstractNum w:abstractNumId="77">
    <w:nsid w:val="8F2B15E"/>
    <w:multiLevelType w:val="hybridMultilevel"/>
    <w:lvl w:ilvl="0">
      <w:lvlJc w:val="left"/>
      <w:lvlText w:val="%1"/>
      <w:numFmt w:val="decimal"/>
      <w:start w:val="1"/>
    </w:lvl>
    <w:lvl w:ilvl="1">
      <w:lvlJc w:val="left"/>
      <w:lvlText w:val="(%2)"/>
      <w:numFmt w:val="decimal"/>
      <w:start w:val="1"/>
    </w:lvl>
  </w:abstractNum>
  <w:abstractNum w:abstractNumId="78">
    <w:nsid w:val="1A32234B"/>
    <w:multiLevelType w:val="hybridMultilevel"/>
    <w:lvl w:ilvl="0">
      <w:lvlJc w:val="left"/>
      <w:lvlText w:val="(%1)"/>
      <w:numFmt w:val="decimal"/>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49"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32" Type="http://schemas.openxmlformats.org/officeDocument/2006/relationships/hyperlink" Target="http://www.sec.gov/Archives/edgar/data/866273/000086627316000233/proxystatementfiscal2016de.htm" TargetMode="External"/><Relationship Id="rId133" Type="http://schemas.openxmlformats.org/officeDocument/2006/relationships/hyperlink" Target="http://www.sec.gov/Archives/edgar/data/866273/000119312504113071/dex32.htm" TargetMode="External"/><Relationship Id="rId134" Type="http://schemas.openxmlformats.org/officeDocument/2006/relationships/hyperlink" Target="http://www.sec.gov/Archives/edgar/data/866273/000119312505169705/dex35.htm" TargetMode="External"/><Relationship Id="rId135" Type="http://schemas.openxmlformats.org/officeDocument/2006/relationships/hyperlink" Target="http://www.sec.gov/Archives/edgar/data/866273/000119312507182493/dex37.htm" TargetMode="External"/><Relationship Id="rId136" Type="http://schemas.openxmlformats.org/officeDocument/2006/relationships/hyperlink" Target="http://www.sec.gov/Archives/edgar/data/866273/000086627317000018/exhibit31secondamendedandr.htm" TargetMode="External"/><Relationship Id="rId137" Type="http://schemas.openxmlformats.org/officeDocument/2006/relationships/hyperlink" Target="http://www.sec.gov/Archives/edgar/data/866273/000086627319000094/exhibit42descriptionofthec.htm" TargetMode="External"/><Relationship Id="rId138" Type="http://schemas.openxmlformats.org/officeDocument/2006/relationships/hyperlink" Target="http://www.sec.gov/Archives/edgar/data/866273/000119312506191449/ddef14a.htm" TargetMode="External"/><Relationship Id="rId139" Type="http://schemas.openxmlformats.org/officeDocument/2006/relationships/hyperlink" Target="http://www.sec.gov/Archives/edgar/data/866273/000119312506202415/dex10.htm" TargetMode="External"/><Relationship Id="rId140" Type="http://schemas.openxmlformats.org/officeDocument/2006/relationships/hyperlink" Target="http://www.sec.gov/Archives/edgar/data/866273/000119312508166640/dex106.htm" TargetMode="External"/><Relationship Id="rId141" Type="http://schemas.openxmlformats.org/officeDocument/2006/relationships/hyperlink" Target="http://www.sec.gov/Archives/edgar/data/866273/000119312509190436/ddef14a.htm" TargetMode="External"/><Relationship Id="rId142" Type="http://schemas.openxmlformats.org/officeDocument/2006/relationships/hyperlink" Target="http://www.sec.gov/Archives/edgar/data/866273/000119312512419606/d410615ddef14a.htm" TargetMode="External"/><Relationship Id="rId143" Type="http://schemas.openxmlformats.org/officeDocument/2006/relationships/hyperlink" Target="http://www.sec.gov/Archives/edgar/data/866273/000086627314000094/proxystatementfiscal2014.htm" TargetMode="External"/><Relationship Id="rId144" Type="http://schemas.openxmlformats.org/officeDocument/2006/relationships/hyperlink" Target="http://www.sec.gov/Archives/edgar/data/866273/000086627316000241/exhibit101-mtrxx2016x9x30x.htm" TargetMode="External"/><Relationship Id="rId145" Type="http://schemas.openxmlformats.org/officeDocument/2006/relationships/hyperlink" Target="http://www.sec.gov/Archives/edgar/data/866273/000086627316000241/exhibit102-mtrxx2016x9x30x.htm" TargetMode="External"/><Relationship Id="rId146" Type="http://schemas.openxmlformats.org/officeDocument/2006/relationships/hyperlink" Target="http://www.sec.gov/Archives/edgar/data/866273/000086627317000006/exhibit102-mtrxx2016x12x31.htm" TargetMode="External"/><Relationship Id="rId147" Type="http://schemas.openxmlformats.org/officeDocument/2006/relationships/hyperlink" Target="http://www.sec.gov/Archives/edgar/data/866273/000086627318000092/exhibit1011-mtrxx2018x06x3.htm" TargetMode="External"/><Relationship Id="rId148" Type="http://schemas.openxmlformats.org/officeDocument/2006/relationships/hyperlink" Target="http://www.sec.gov/Archives/edgar/data/866273/000086627318000095/proxystatementfiscal2018de.htm" TargetMode="External"/><Relationship Id="rId150" Type="http://schemas.openxmlformats.org/officeDocument/2006/relationships/hyperlink" Target="http://www.sec.gov/Archives/edgar/data/866273/000086627318000128/exhibit10-nonxemployeedire.htm" TargetMode="External"/><Relationship Id="rId151" Type="http://schemas.openxmlformats.org/officeDocument/2006/relationships/hyperlink" Target="http://www.sec.gov/Archives/edgar/data/866273/000086627316000248/exhibit10-formofamendedand.htm" TargetMode="External"/><Relationship Id="rId152" Type="http://schemas.openxmlformats.org/officeDocument/2006/relationships/hyperlink" Target="http://www.sec.gov/Archives/edgar/data/866273/000119312509003061/dex101.htm" TargetMode="External"/><Relationship Id="rId153" Type="http://schemas.openxmlformats.org/officeDocument/2006/relationships/hyperlink" Target="http://www.sec.gov/Archives/edgar/data/866273/000119312512462895/d411459dex10.htm" TargetMode="External"/><Relationship Id="rId154" Type="http://schemas.openxmlformats.org/officeDocument/2006/relationships/hyperlink" Target="http://www.sec.gov/Archives/edgar/data/866273/000086627317000018/exhibit101fourthamendedand.htm" TargetMode="External"/><Relationship Id="rId155" Type="http://schemas.openxmlformats.org/officeDocument/2006/relationships/hyperlink" Target="http://www.sec.gov/Archives/edgar/data/866273/000086627317000122/exhibit101firstamendmentto.htm" TargetMode="External"/><Relationship Id="rId156" Type="http://schemas.openxmlformats.org/officeDocument/2006/relationships/hyperlink" Target="http://www.sec.gov/Archives/edgar/data/866273/000086627319000117/exhibit10-indemnific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2020-09-03T15:15:28Z</dcterms:created>
  <dcterms:modified xsi:type="dcterms:W3CDTF">2020-09-03T15:15:28Z</dcterms:modified>
</cp:coreProperties>
</file>