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446405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-195580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2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color w:val="auto"/>
        </w:rPr>
        <w:t>(Mark One)</w:t>
      </w:r>
    </w:p>
    <w:p>
      <w:pPr>
        <w:ind w:left="1860" w:hanging="981"/>
        <w:spacing w:after="0" w:line="184" w:lineRule="auto"/>
        <w:tabs>
          <w:tab w:leader="none" w:pos="186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June 30, 2019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ind w:left="1860" w:hanging="981"/>
        <w:spacing w:after="0"/>
        <w:tabs>
          <w:tab w:leader="none" w:pos="1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0"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1-15461</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MATRIX SERVICE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040" w:type="dxa"/>
            <w:vAlign w:val="bottom"/>
            <w:gridSpan w:val="2"/>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73-1352174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80" w:type="dxa"/>
            <w:vAlign w:val="bottom"/>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80" w:type="dxa"/>
            <w:vAlign w:val="bottom"/>
            <w:gridSpan w:val="2"/>
          </w:tcPr>
          <w:p>
            <w:pPr>
              <w:jc w:val="center"/>
              <w:ind w:left="903"/>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80" w:type="dxa"/>
            <w:vAlign w:val="bottom"/>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80" w:type="dxa"/>
            <w:vAlign w:val="bottom"/>
            <w:gridSpan w:val="2"/>
          </w:tcPr>
          <w:p>
            <w:pPr>
              <w:jc w:val="center"/>
              <w:ind w:left="88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980" w:type="dxa"/>
            <w:vAlign w:val="bottom"/>
            <w:gridSpan w:val="3"/>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5100 E. Skelly Drive, Suite 500</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74135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3040" w:type="dxa"/>
            <w:vAlign w:val="bottom"/>
            <w:gridSpan w:val="2"/>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rPr>
              <w:t>Tulsa, Oklahoma</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80" w:type="dxa"/>
            <w:vAlign w:val="bottom"/>
            <w:gridSpan w:val="3"/>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80" w:type="dxa"/>
            <w:vAlign w:val="bottom"/>
            <w:gridSpan w:val="2"/>
          </w:tcPr>
          <w:p>
            <w:pPr>
              <w:jc w:val="center"/>
              <w:ind w:left="883"/>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6680" w:type="dxa"/>
            <w:vAlign w:val="bottom"/>
            <w:gridSpan w:val="5"/>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(918) 838-8822</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340" w:type="dxa"/>
            <w:vAlign w:val="bottom"/>
            <w:gridSpan w:val="4"/>
          </w:tcPr>
          <w:p>
            <w:pPr>
              <w:jc w:val="center"/>
              <w:ind w:right="383"/>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40" w:type="dxa"/>
            <w:vAlign w:val="bottom"/>
          </w:tcPr>
          <w:p>
            <w:pPr>
              <w:spacing w:after="0"/>
              <w:rPr>
                <w:sz w:val="24"/>
                <w:szCs w:val="24"/>
                <w:color w:val="auto"/>
              </w:rPr>
            </w:pPr>
          </w:p>
        </w:tc>
        <w:tc>
          <w:tcPr>
            <w:tcW w:w="304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80" w:type="dxa"/>
            <w:vAlign w:val="bottom"/>
            <w:gridSpan w:val="3"/>
          </w:tcPr>
          <w:p>
            <w:pPr>
              <w:jc w:val="center"/>
              <w:ind w:left="1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1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MTRX</w:t>
            </w: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459"/>
        </w:trPr>
        <w:tc>
          <w:tcPr>
            <w:tcW w:w="1940" w:type="dxa"/>
            <w:vAlign w:val="bottom"/>
          </w:tcPr>
          <w:p>
            <w:pPr>
              <w:spacing w:after="0"/>
              <w:rPr>
                <w:sz w:val="24"/>
                <w:szCs w:val="24"/>
                <w:color w:val="auto"/>
              </w:rPr>
            </w:pPr>
          </w:p>
        </w:tc>
        <w:tc>
          <w:tcPr>
            <w:tcW w:w="6680" w:type="dxa"/>
            <w:vAlign w:val="bottom"/>
            <w:gridSpan w:val="5"/>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1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1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7">
            <w:col w:w="2280" w:space="540"/>
            <w:col w:w="1200" w:space="80"/>
            <w:col w:w="160" w:space="540"/>
            <w:col w:w="1540" w:space="80"/>
            <w:col w:w="160" w:space="540"/>
            <w:col w:w="1980" w:space="80"/>
            <w:col w:w="2240"/>
          </w:cols>
          <w:pgMar w:left="240" w:top="229" w:right="2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ectPr>
          <w:pgSz w:w="11900" w:h="16838" w:orient="portrait"/>
          <w:cols w:equalWidth="0" w:num="2">
            <w:col w:w="2380" w:space="80"/>
            <w:col w:w="8960"/>
          </w:cols>
          <w:pgMar w:left="240" w:top="229" w:right="239" w:bottom="1440" w:gutter="0" w:footer="0" w:header="0"/>
          <w:type w:val="continuous"/>
        </w:sect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1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$472 million.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August 30, 2019 was 27,131,446 shares.</w:t>
      </w:r>
    </w:p>
    <w:p>
      <w:pPr>
        <w:spacing w:after="0" w:line="8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sections of the registrant's definitive proxy statement relating to the registrant's 2019 annual meeting of stockholders, which definitive proxy statement will be filed within 120 days of the end of the registrant's fiscal year, are incorporated by reference into Part III of this Form 10-K.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7"/>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5"/>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580" w:type="dxa"/>
            <w:vAlign w:val="bottom"/>
            <w:gridSpan w:val="1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Risk Factors</w:t>
              </w:r>
            </w:hyperlink>
          </w:p>
        </w:tc>
        <w:tc>
          <w:tcPr>
            <w:tcW w:w="8320" w:type="dxa"/>
            <w:vAlign w:val="bottom"/>
            <w:gridSpan w:val="16"/>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Unresolved Staff Comments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Properties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18</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Mine Safety Disclosures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19</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Selected Financial Data</w:t>
              </w:r>
            </w:hyperlink>
          </w:p>
        </w:tc>
        <w:tc>
          <w:tcPr>
            <w:tcW w:w="1160" w:type="dxa"/>
            <w:vAlign w:val="bottom"/>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6"/>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4"/>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Quantitative and Qualitative Disclosures About Market Risk</w:t>
              </w:r>
            </w:hyperlink>
          </w:p>
        </w:tc>
        <w:tc>
          <w:tcPr>
            <w:tcW w:w="210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4"/>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Financial Statements and Supplementary Data</w:t>
              </w:r>
            </w:hyperlink>
          </w:p>
        </w:tc>
        <w:tc>
          <w:tcPr>
            <w:tcW w:w="486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16"/>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Controls and Procedures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Other Information</w:t>
              </w:r>
            </w:hyperlink>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75</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Directors, Executive Officers and Corporate Governance</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rFonts w:ascii="Times New Roman" w:cs="Times New Roman" w:eastAsia="Times New Roman" w:hAnsi="Times New Roman"/>
                <w:sz w:val="18"/>
                <w:szCs w:val="18"/>
                <w:color w:val="0000EE"/>
                <w:w w:val="98"/>
              </w:rPr>
            </w:pPr>
            <w:hyperlink w:anchor="page77">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4"/>
                <w:szCs w:val="24"/>
                <w:color w:val="auto"/>
              </w:rPr>
            </w:pPr>
          </w:p>
        </w:tc>
        <w:tc>
          <w:tcPr>
            <w:tcW w:w="514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gridSpan w:val="19"/>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5"/>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Principal Accounting Fees and Services</w:t>
              </w:r>
            </w:hyperlink>
          </w:p>
        </w:tc>
        <w:tc>
          <w:tcPr>
            <w:tcW w:w="3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1"/>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Exhibits and Financial Statement Schedules</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77</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1"/>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Form 10-K Summary</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80</w:t>
              </w:r>
            </w:hyperlink>
          </w:p>
        </w:tc>
      </w:tr>
      <w:tr>
        <w:trPr>
          <w:trHeight w:val="912"/>
        </w:trPr>
        <w:tc>
          <w:tcPr>
            <w:tcW w:w="126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4"/>
                <w:szCs w:val="24"/>
                <w:color w:val="auto"/>
              </w:rPr>
            </w:pPr>
          </w:p>
        </w:tc>
        <w:tc>
          <w:tcPr>
            <w:tcW w:w="3900" w:type="dxa"/>
            <w:vAlign w:val="bottom"/>
            <w:gridSpan w:val="10"/>
          </w:tcPr>
          <w:p>
            <w:pPr>
              <w:jc w:val="right"/>
              <w:ind w:right="89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40" w:right="640" w:hanging="321"/>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access our credit facility, or raise cash in order to meet our short and long-term capital requirements;</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changes in crude oil, natural gas and other commodity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revenues and margins from each of our segments;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industries we serve;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22" w:lineRule="exact"/>
        <w:rPr>
          <w:sz w:val="20"/>
          <w:szCs w:val="20"/>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this Annual Report and listed from time to time in our filings with the Securities and Exchange Commission;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oil, natural gas, power, iron and steel, agricultural and mining industries in particular;</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under-utilization of our work force;</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of major projects, whether due to permitting issues or other factors;</w:t>
      </w:r>
    </w:p>
    <w:p>
      <w:pPr>
        <w:spacing w:after="0" w:line="171" w:lineRule="exact"/>
        <w:rPr>
          <w:rFonts w:ascii="Times New Roman" w:cs="Times New Roman" w:eastAsia="Times New Roman" w:hAnsi="Times New Roman"/>
          <w:sz w:val="18"/>
          <w:szCs w:val="18"/>
          <w:color w:val="auto"/>
        </w:rPr>
      </w:pPr>
    </w:p>
    <w:p>
      <w:pPr>
        <w:ind w:left="640" w:right="140" w:hanging="321"/>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 due to volatility of crude oil, natural gas, steel and other commodity prices to which our customers' businesses are affected;</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claims and contingencies;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the imposition, cancellation or delay of tariffs on imported goods;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many of which are beyond our control.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agricultural, mining and minerals markets. We also sell products for crude oil and refined product aboveground storage tanks. We maintain regional offices throughout the United States, Canada and other international locations, and operate through separate union and merit subsidiaries.</w:t>
      </w:r>
    </w:p>
    <w:p>
      <w:pPr>
        <w:spacing w:after="0" w:line="1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public website is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is also maintained on the SEC website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Investors should monitor such portions of our website for press releases, SEC filings and public conference calls and webcasts.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not our primary means of communication, investors can also learn more about the Company by visiting our social media channels. We encourage investors, the media, and others interested in Matrix to review the information posted by the Company on its Facebook site (</w:t>
      </w:r>
      <w:r>
        <w:rPr>
          <w:rFonts w:ascii="Times New Roman" w:cs="Times New Roman" w:eastAsia="Times New Roman" w:hAnsi="Times New Roman"/>
          <w:sz w:val="18"/>
          <w:szCs w:val="18"/>
          <w:u w:val="single" w:color="auto"/>
          <w:color w:val="auto"/>
        </w:rPr>
        <w:t>facebook.com/matrixservicecompany</w:t>
      </w:r>
      <w:r>
        <w:rPr>
          <w:rFonts w:ascii="Times New Roman" w:cs="Times New Roman" w:eastAsia="Times New Roman" w:hAnsi="Times New Roman"/>
          <w:sz w:val="18"/>
          <w:szCs w:val="18"/>
          <w:color w:val="auto"/>
        </w:rPr>
        <w:t>), the company Linkedin account (</w:t>
      </w:r>
      <w:r>
        <w:rPr>
          <w:rFonts w:ascii="Times New Roman" w:cs="Times New Roman" w:eastAsia="Times New Roman" w:hAnsi="Times New Roman"/>
          <w:sz w:val="18"/>
          <w:szCs w:val="18"/>
          <w:u w:val="single" w:color="auto"/>
          <w:color w:val="auto"/>
        </w:rPr>
        <w:t>linkedin.com/company/matrix-service-company</w:t>
      </w:r>
      <w:r>
        <w:rPr>
          <w:rFonts w:ascii="Times New Roman" w:cs="Times New Roman" w:eastAsia="Times New Roman" w:hAnsi="Times New Roman"/>
          <w:sz w:val="18"/>
          <w:szCs w:val="18"/>
          <w:color w:val="auto"/>
        </w:rPr>
        <w:t>) and the company twitter account (</w:t>
      </w:r>
      <w:r>
        <w:rPr>
          <w:rFonts w:ascii="Times New Roman" w:cs="Times New Roman" w:eastAsia="Times New Roman" w:hAnsi="Times New Roman"/>
          <w:sz w:val="18"/>
          <w:szCs w:val="18"/>
          <w:u w:val="single" w:color="auto"/>
          <w:color w:val="auto"/>
        </w:rPr>
        <w:t>twitter.com/matrixserviceco</w:t>
      </w:r>
      <w:r>
        <w:rPr>
          <w:rFonts w:ascii="Times New Roman" w:cs="Times New Roman" w:eastAsia="Times New Roman" w:hAnsi="Times New Roman"/>
          <w:sz w:val="18"/>
          <w:szCs w:val="18"/>
          <w:color w:val="auto"/>
        </w:rPr>
        <w:t>). Investors, the media or other interested parties can subscribe to the twitter feed at the address listed above.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services to approximately 500 customers in fiscal 2019. Most of our revenue comes from long-term customer relationships. None of our customers individually accounted for more than 10% of our consolidated revenue in fiscal 2019. However, within our operating segments we do have customer concentrations of varying degrees. See Part II, Item 8. Financial Statement and Supplementary Data, Note 13 - Segment Information for more information about concentration of revenues by segment.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quality, safety performance, schedule, experience and customer satisfaction.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08" w:lineRule="exact"/>
        <w:rPr>
          <w:sz w:val="20"/>
          <w:szCs w:val="20"/>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171" w:lineRule="exact"/>
        <w:rPr>
          <w:rFonts w:ascii="Times New Roman" w:cs="Times New Roman" w:eastAsia="Times New Roman" w:hAnsi="Times New Roman"/>
          <w:sz w:val="18"/>
          <w:szCs w:val="18"/>
          <w:color w:val="auto"/>
        </w:rPr>
      </w:pPr>
    </w:p>
    <w:p>
      <w:pPr>
        <w:ind w:left="640" w:right="80" w:hanging="321"/>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as high. For all other arrangements, we calculate backlog as the estimated contract amount less revenues recognized as of the reporting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in fiscal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40" w:type="dxa"/>
            <w:vAlign w:val="bottom"/>
          </w:tcPr>
          <w:p>
            <w:pPr>
              <w:spacing w:after="0"/>
              <w:rPr>
                <w:sz w:val="13"/>
                <w:szCs w:val="13"/>
                <w:color w:val="auto"/>
              </w:rPr>
            </w:pPr>
          </w:p>
        </w:tc>
        <w:tc>
          <w:tcPr>
            <w:tcW w:w="10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 as of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113,957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227,452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613,360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263,827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1,218,596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 awards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177,343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549,867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342,245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1,296,433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(1,416,680)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Backlog as of June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73,883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134,563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641,295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248,608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1,098,349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97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to complete. Backlog volatility may increase for some segments from time to time when individual project awards are less frequent, but more significant. We expect to recognize approximately 85% of our total backlog reported as of June 30, 2019 as revenue within the next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Sources and Availability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goods and other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2019, the Company had approximately 5,000 employees of which approximately 1,050 were employed in non-field positions and 3,950 were employed in field or shop positions. The number of employees varies significantly throughout the year because of the number, type and size of projects we have in progress at any particular time.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Matrix Service Company’s subsidiaries have several patents and patents pending, and continue to pursue new ideas and innovations to better serve our customers in several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training device that can be used to train personnel on equipment that is made to simulate confined space scenarios.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holds a perpetual license to use various patents and technologies related to LNG storage tanks, liquid nitrogen/liquid oxygen storage tanks, liquid petroleum gas storage tanks and thermal vacuum chambers.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Company’s intellectual property is not its main business, we believe that the ability to use these patents and technology enables us to expand our presence in the markets we serve and minimizes the development costs typically associated with organic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 Regulations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regulation by the U.S. Occupational Safety and Health Administration (“OSHA”) and Mine Safety and Health Administration (“MSHA”), the U.S. Department of Transportation,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ensure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and the operations of its customers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Business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an environmental impact. We are intensely focused on maintaining a strong safety culture and strive for zero incidents.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and increase our insurance premiums.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be negatively impacted if we are not able to maintain appropriate utilization of our workforce.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in future project awards. The utilization of our workforce is impacted by numerous factors including:</w:t>
      </w:r>
    </w:p>
    <w:p>
      <w:pPr>
        <w:spacing w:after="0" w:line="122" w:lineRule="exact"/>
        <w:rPr>
          <w:sz w:val="20"/>
          <w:szCs w:val="20"/>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headcount requirements for various operating units based upon our forecast of the demand for our products and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talent base and manage attrition;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schedule our portfolio of projects to efficiently utilize our employees and minimize downtime between project assignments; and</w:t>
      </w:r>
    </w:p>
    <w:p>
      <w:pPr>
        <w:spacing w:after="0" w:line="171"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invest time and resources into functions such as training, business development, employee recruiting, and sales that are not chargeable to customer projects.</w:t>
      </w:r>
    </w:p>
    <w:p>
      <w:pPr>
        <w:spacing w:after="0" w:line="104"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40" w:right="220" w:hanging="321"/>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bidding process, including providing estimates of significant cost components, such as material and equipment needs, and the size, productivity and composition of the workforce;</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contracts;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project performance, including performance by our employees, subcontractors and other third-party suppliers and vendors;</w:t>
      </w:r>
    </w:p>
    <w:p>
      <w:pPr>
        <w:spacing w:after="0" w:line="171" w:lineRule="exact"/>
        <w:rPr>
          <w:rFonts w:ascii="Times New Roman" w:cs="Times New Roman" w:eastAsia="Times New Roman" w:hAnsi="Times New Roman"/>
          <w:sz w:val="18"/>
          <w:szCs w:val="18"/>
          <w:color w:val="auto"/>
        </w:rPr>
      </w:pPr>
    </w:p>
    <w:p>
      <w:pPr>
        <w:ind w:left="640" w:right="140" w:hanging="321"/>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requests for change orders and the final terms of approved change orders; and</w:t>
      </w:r>
    </w:p>
    <w:p>
      <w:pPr>
        <w:spacing w:after="0" w:line="171"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upon the award of new contracts and the timing of those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environmental matters. Because our revenues are derived from contract awards, our results of operations and cash flows can fluctuate materially from period to period.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our products and services depends upon the existence of construction and maintenance projects primarily in the midstream and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availability of engineering and construction projects is dependent upon economic conditions in the oil, gas, petrochemical, industrial, iron and steel and power industries, and specifically, the level of capital expenditures on energy infrastructure. A prolonged period of relatively low commodity prices in North America has had an adverse impact on the level of capital expenditures of our customers and/or their ability to finance these expenditures.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34" w:lineRule="exact"/>
        <w:rPr>
          <w:sz w:val="20"/>
          <w:szCs w:val="20"/>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projected commodity prices, including oil, gas, power, steel and mineral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oil, gas and electricity;</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oil, gas, industrial and power companies to generate, access and deploy capital;</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production and transportation costs;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incentives, including those for alternative energy projects;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restraints on the rates that power companies may charge their customers;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 international political and economic conditions.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profitability may be adversely affected by a reduced level of activity in the hydrocarbon industry.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recent years, demand from the worldwide hydrocarbon industry has been a significant generator of our revenue. Numerous factors influence capital expenditure decisions in the hydrocarbon industry, including, but not limited to, the following:</w:t>
      </w:r>
    </w:p>
    <w:p>
      <w:pPr>
        <w:spacing w:after="0" w:line="108" w:lineRule="exact"/>
        <w:rPr>
          <w:sz w:val="20"/>
          <w:szCs w:val="20"/>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projected oil and gas prices;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extraction, production and transportation costs;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margins;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size and location of new oil and gas reserves;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challenges and advances;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export hydrocarbon products;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 production;</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alternative energy sources, including wind and solar;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taxes, price controls, and laws and regulations.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factors are beyond our control and could have a material adverse effect on our results of operations and on our financial position or cash flow, particularly in the Storage Solutions and Oil Gas &amp; Chemical segments.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Storage Solutions segment are influenced by the overall forward market for crude oil, and certain market conditions may adversely affect that segment’s financial and operating results.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our Storage Solutions segment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construction in our Storage Solutions segment. Finally, higher absolute levels of crude oil prices increase the costs of financing and insuring crude oil in storage, which negatively affects storage economics. As a result, the overall forward market for crude oil may have an adverse effect on our Storage Solution segment’s business, results of operations and financial condition.</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in providing services in excess of original project scope without having an approved change order.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If this occurs, the full aggregate amount of the overstatement will be reported for the period in which such change in estimate occurs.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results could differ from the estimates and assumptions that we use to prepare our financial statements.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122" w:lineRule="exact"/>
        <w:rPr>
          <w:sz w:val="20"/>
          <w:szCs w:val="20"/>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and application of percentage-of-completion accounting;</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uncollectible receivables from customers for invoiced amounts;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collectibility of unpriced change orders and claims against customers;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goodwill and intangible assets;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assets acquired and liabilities assumed in connection with business combinations;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300" w:firstLine="319"/>
        <w:spacing w:after="0" w:line="436"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including litigation and insurance reserves. Our actual results could materially differ from these estimates.</w:t>
      </w: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percentage of our Industrial segment's revenues are derived from the steel industry. Demand for steel products is cyclical in nature and sensitive to general economic conditions. The timing and magnitude of the cycles in the markets in which our customers’ products are used, including automobiles and construction, are difficult to predict. The cyclical nature of our customers’ operations tends to reflect and be amplified by changes in economic conditions, both domestically and internationally, supply/demand imbalances, foreign currency exchange fluctuations, and foreign and domestic import tariffs on steel.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Domestic and Foreign trade tariffs could have a material adverse effect on our customers' businesses and could raise the price and reduce the availability of raw materials to us, which could negatively impact our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and foreign trade tariffs could have a material adverse impact on our customers' businesses, which could cause our customers to reduce spending on capital and maintenance projects. This reduction in spending could lead to fewer project awards and/or more competition. Fewer project awards and more competition could reduce our revenues and gross margins.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domestic and foreign trade tariffs could raise the price and reduce the availability of raw materials such as steel plate and steel pipe, which are key materials used by the Company. Supplies of these materials are available throughout the United States and globally from numerous sources. We anticipate that adequate amounts of these materials will be available in the foreseeable future. However, if trade tariffs should significantly impact the price and availability of these materials, we could experience lower gross margins, operational inefficiencies and project delays.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acquisitions, which could cause our business to suffer.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successfully complete our ongoing integration of the operations, personnel and technology from our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employees. The integration efforts may also impose substantial demands on our operations or other projects. We will have to actively strive to demonstrate to our existing customers that these integrations have not resulted in adverse changes in our standards or business focus. Our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acquired companies could adversely affect our operations, financial results and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growth opportunities, operating margins and synergies that are anticipated from acquisitions.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cash flow from operations, together with available borrowings under our senior secured revolving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each of our business segments, which may have a material adverse effect on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significant customers could adversely affect 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events, including those associated with our strategic plan, could negatively affect our liquidity position.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provide no assurance that we will have sufficient earnings from operations or the credit capacity to meet all of our future cash needs should we encounter significant working capital requirements or incur significant acquisition costs. Insufficient earnings from operations, significant working capital requirements, and contract disputes have in the past, and could in the future, reduce availability under our senior secured revolving credit facility.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difficult work sites and environments, which may adversely affect our overall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susceptible to adverse weather conditions, which may harm our business and financial results.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may be adversely affected by severe weather in areas where we have significant operations. Repercussions of severe weather conditions may include:</w:t>
      </w:r>
    </w:p>
    <w:p>
      <w:pPr>
        <w:spacing w:after="0" w:line="108" w:lineRule="exact"/>
        <w:rPr>
          <w:sz w:val="20"/>
          <w:szCs w:val="20"/>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operations;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performance schedules in accordance with contracts and potential liability for liquidated damages;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fatalities;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related damage to our facilities;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information systems;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receive machinery, equipment and materials at jobsites; and</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secured revolving credit facility imposes restrictions that may limit business alternatives.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secured revolving credit facility contains covenants that restrict or limit our ability to incur additional debt, acquire or dispose of assets, repurchase equity, or make certain distributions, including dividends. In addition, our senior secured revolving credit facility requires that we comply with a number of financial covenants. These covenants and restrictions may impact our ability to effectively execute operating and strategic plans and our operating performance may not be sufficient to comply with the required covenants. Additionally, availability under the credit facility is dependent upon profitable operating results. If results deteriorate, availability under the credit facility is reduced.</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failure to comply with one or more of the covenants in our senior secured revolving credit facility could result in an event of default. We can provide no assurance that a default could be remedied, or that our creditors would grant a waiver or amend the terms of the senior secured revolving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senior secured revolving credit facility accelerate the maturity of any loans or other debt outstanding, we may not have sufficient liquidity to repay amounts outstanding under the existing agreement.</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contribute to multiemployer plans that could result in liabilities to us if those plans are terminated or if we withdraw from those plans.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affected by impairment charges.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As of June 30, 2019, the Company had $19.5 million of amortizing intangible assets and $93.4 million of non-amortizing goodwill representing 3.1% and 14.7% of the Company's total assets, respectively.</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factors and changes in laws and regulations could increase our costs and liabilities.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legislation or regulations restricting emissions of “greenhouse gases” could result in reduced demand for our services and products.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has been an increased focus in the last several years on climate change in response to findings that emissions of carbon dioxide, methane and other greenhouse gases present an endangerment to public health and the environment. As a result, there have been a variety of regulatory developments, proposals or requirements and legislative initiatives that have been introduced in the U.S. (and other parts of the world) that are focused on restricting the emission of greenhouse gases. The adoption of new or more stringent legislation or regulatory programs limiting greenhouse gas emissions from customers for whom we provide services could affect demand for our products and services. Further, some scientists have concluded that increasing greenhouse gas concentrations in the atmosphere may produce physical effects, such as increased severity and frequency of storms, droughts, floods and other climate events. Such climate events have the potential to adversely affect our operations or those of our customers, which in turn could have a negative effect on us.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or outage in our operational systems or cyber security attacks on any of our systems, or those of third parties, may adversely affect our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become more reliant on technology to help increase efficiency in our business. We use numerous technologies to help run our operations, and this may subject our business to increased risks. Any cyber security attack that affects our facilities, our systems, our customers and any of our financial data could have a material adverse effect on our business. In addition, a cyber-attack on our customer and employee data may result in a financial loss, including potential fines for failure to safeguard data, and may negatively impact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We may incur significant costs to protect against the threat of information security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revenues, lose clients or cause damage to our reputation.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similar worldwide anti-bribery laws.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associated with international operations could adversely affect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Our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change significantly in response to various factors and events beyond our control, including the following:</w:t>
      </w:r>
    </w:p>
    <w:p>
      <w:pPr>
        <w:spacing w:after="0" w:line="171" w:lineRule="exact"/>
        <w:rPr>
          <w:sz w:val="20"/>
          <w:szCs w:val="20"/>
          <w:color w:val="auto"/>
        </w:rPr>
      </w:pPr>
    </w:p>
    <w:p>
      <w:pPr>
        <w:ind w:left="640" w:hanging="3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described in this Item 1A;</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customers’ industries;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security markets;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ownership of our common stock in the hands of a small number of institutional investors;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operating revenue or net income from that expected by securities analysts and investors;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w:t>
      </w:r>
    </w:p>
    <w:p>
      <w:pPr>
        <w:spacing w:after="0" w:line="171" w:lineRule="exact"/>
        <w:rPr>
          <w:sz w:val="20"/>
          <w:szCs w:val="20"/>
          <w:color w:val="auto"/>
        </w:rPr>
      </w:pPr>
    </w:p>
    <w:p>
      <w:pPr>
        <w:ind w:left="60" w:right="60"/>
        <w:spacing w:after="0" w:line="266" w:lineRule="auto"/>
        <w:rPr>
          <w:sz w:val="20"/>
          <w:szCs w:val="20"/>
          <w:color w:val="auto"/>
        </w:rPr>
      </w:pPr>
      <w:r>
        <w:rPr>
          <w:rFonts w:ascii="Times New Roman" w:cs="Times New Roman" w:eastAsia="Times New Roman" w:hAnsi="Times New Roman"/>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which could lead to dilution of our issued and outstanding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activists could cause a disruption to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activist investor may indicate disagreement with our strategic direction or capital allocation policies and may seek representation on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Our business, operating results or financial condition could be adversely affected and may result in, among other things:</w:t>
      </w:r>
    </w:p>
    <w:p>
      <w:pPr>
        <w:spacing w:after="0" w:line="207"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including increased legal expenses, insurance, administrative expenses and associated costs incurred in connection with director election contests;</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our future direction, which could result in the loss of potential business opportunities and could make it more difficult to attract, retain, or motivate qualified personnel, and strain relationships with investors and customers;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delay in our ability to effectively execute our current business strategy and to implement new strategies.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properties of Matrix Service Company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Borders>
              <w:bottom w:val="single" w:sz="8" w:color="CCEEFF"/>
            </w:tcBorders>
          </w:tcPr>
          <w:p>
            <w:pPr>
              <w:spacing w:after="0"/>
              <w:rPr>
                <w:sz w:val="16"/>
                <w:szCs w:val="16"/>
                <w:color w:val="auto"/>
              </w:rPr>
            </w:pPr>
          </w:p>
        </w:tc>
        <w:tc>
          <w:tcPr>
            <w:tcW w:w="3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42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49"/>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Tulsa, Oklahoma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headquarters and 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Bakersfield, California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Bellingham, Washington</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Canonsburg, Pennsylvania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Catoosa, Oklahoma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Fabrication facilities, regional office and</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Leased &amp;</w:t>
            </w:r>
          </w:p>
        </w:tc>
      </w:tr>
      <w:tr>
        <w:trPr>
          <w:trHeight w:val="243"/>
        </w:trPr>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Owned </w:t>
            </w:r>
            <w:r>
              <w:rPr>
                <w:rFonts w:ascii="Times New Roman" w:cs="Times New Roman" w:eastAsia="Times New Roman" w:hAnsi="Times New Roman"/>
                <w:sz w:val="21"/>
                <w:szCs w:val="21"/>
                <w:color w:val="auto"/>
                <w:w w:val="96"/>
                <w:vertAlign w:val="superscript"/>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Columbus, Ohio</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Eddystone, Pennsylvania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Hammond, Indiana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Industrial</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Houston, Texas</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offices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 &amp;</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Metairie, Louisiana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Norco, California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 Oil Gas &amp;</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Chemical</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Orange, California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 &amp;</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Pittsburgh, Pennsylvania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Rahway, New Jersey</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3"/>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Sewickley, Pennsylvania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Oil Gas &amp; Chemical, Storage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Solutions, Industrial</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Temperance, Michigan</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Tucson, Arizona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Industrial, Storage Solutions, Oil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Gas &amp; Chemical</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Burlington, Ontario, Canada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Electrical Infrastructure,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Industrial, Storage Solutions</w:t>
            </w: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Calgary, Alberta,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24"/>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Leduc, Alberta, Canada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Sarnia, Ontario,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6"/>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Paju-si, Gyeonggi-do, South Korea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Fabrication facility, regional office and</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Owned</w:t>
            </w: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Sydney, New South Wales, Australia</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Solutions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47"/>
        </w:trPr>
        <w:tc>
          <w:tcPr>
            <w:tcW w:w="32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r>
    </w:tbl>
    <w:p>
      <w:pPr>
        <w:spacing w:after="0" w:line="247" w:lineRule="exact"/>
        <w:rPr>
          <w:sz w:val="20"/>
          <w:szCs w:val="20"/>
          <w:color w:val="auto"/>
        </w:rPr>
      </w:pPr>
    </w:p>
    <w:p>
      <w:pPr>
        <w:ind w:left="540" w:hanging="316"/>
        <w:spacing w:after="0"/>
        <w:tabs>
          <w:tab w:leader="none" w:pos="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facilities were constructed by the Company on land acquired through ground leases with renewal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60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locations listed above, Matrix has smaller regional locations and temporary office facilities at numerous customer locations throughout the United States and Canada.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trading symbol "MTRX". Substantially all of our stockholders maintain their shares in "street name" accounts and are not individually stockholders of record. As of July 31, 2019, there were 20 holders of record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(see Item 8. Financial Statements and Supplementary Data, Note 5 - Debt for more information about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Agreement limits the Company's purchases of its equity securities to $30.0 million in any calendar year. The table below sets forth the information with respect to purchases made by the Company of its common stock during the fourth quarter of the fiscal year ended June 30,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(C)</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April 1 to April 30, 2019</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2,396,643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May 1 to May 31, 2019</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2,396,643</w:t>
            </w: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1 to June 30, 2019</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Share Repurchase Program </w:t>
            </w:r>
            <w:r>
              <w:rPr>
                <w:rFonts w:ascii="Times New Roman" w:cs="Times New Roman" w:eastAsia="Times New Roman" w:hAnsi="Times New Roman"/>
                <w:sz w:val="25"/>
                <w:szCs w:val="25"/>
                <w:color w:val="auto"/>
                <w:vertAlign w:val="superscript"/>
              </w:rPr>
              <w:t>(A)</w:t>
            </w:r>
          </w:p>
        </w:tc>
        <w:tc>
          <w:tcPr>
            <w:tcW w:w="17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2,396,643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(B)</w:t>
            </w:r>
          </w:p>
        </w:tc>
        <w:tc>
          <w:tcPr>
            <w:tcW w:w="17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40" w:hanging="316"/>
        <w:spacing w:after="0"/>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purchased under our stock buyback program.</w:t>
      </w:r>
    </w:p>
    <w:p>
      <w:pPr>
        <w:spacing w:after="0" w:line="17"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 to satisfy the employee’s tax withholding obligation that is incurred upon the vesting of deferred shares granted under the Company’s stock incentive plans.</w:t>
      </w:r>
    </w:p>
    <w:p>
      <w:pPr>
        <w:spacing w:after="0" w:line="1" w:lineRule="exact"/>
        <w:rPr>
          <w:rFonts w:ascii="Times New Roman" w:cs="Times New Roman" w:eastAsia="Times New Roman" w:hAnsi="Times New Roman"/>
          <w:sz w:val="14"/>
          <w:szCs w:val="14"/>
          <w:color w:val="auto"/>
        </w:rPr>
      </w:pPr>
    </w:p>
    <w:p>
      <w:pPr>
        <w:jc w:val="both"/>
        <w:ind w:left="540" w:hanging="316"/>
        <w:spacing w:after="0" w:line="247" w:lineRule="auto"/>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6, 2018, the Board of Directors approved a new stock buyback program (the “November 2018 Program”), which replaced the December 2016 Program. Under the November 2018 Program, the Company may repurchase common stock of the Company up to a maximum of $30.0 million per calendar year provided that the aggregate number of shares repurchased may not exceed 10%, or approximately 2.7 million, of the Company's shares outstanding as of November 6, 2018. The November 2018 Program will continue unless and until it is modified or revoked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-630555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3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3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1,416,680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1,091,553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1,197,509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1,311,917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1,343,135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1,284,729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999,617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1,116,506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1,185,926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1,255,765</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131,951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91,936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81,003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87,370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84,417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78,568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5"/>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(19,055)</w:t>
            </w:r>
          </w:p>
        </w:tc>
        <w:tc>
          <w:tcPr>
            <w:tcW w:w="10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1"/>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28,863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17,157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141,811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118,581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129,416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114,209</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633,394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558,033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586,030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564,967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561,689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8,804</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15,773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provided (used) by operations</w:t>
            </w: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33,587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26,240</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1,098,349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1,218,596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682,273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868,672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1,420,598</w:t>
            </w:r>
          </w:p>
        </w:tc>
        <w:tc>
          <w:tcPr>
            <w:tcW w:w="100" w:type="dxa"/>
            <w:vAlign w:val="bottom"/>
            <w:shd w:val="clear" w:color="auto" w:fill="CCEEFF"/>
          </w:tcPr>
          <w:p>
            <w:pPr>
              <w:spacing w:after="0"/>
              <w:rPr>
                <w:sz w:val="21"/>
                <w:szCs w:val="21"/>
                <w:color w:val="auto"/>
              </w:rPr>
            </w:pPr>
          </w:p>
        </w:tc>
      </w:tr>
      <w:tr>
        <w:trPr>
          <w:trHeight w:val="27"/>
        </w:trPr>
        <w:tc>
          <w:tcPr>
            <w:tcW w:w="3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540" w:hanging="316"/>
        <w:spacing w:after="0"/>
        <w:tabs>
          <w:tab w:leader="none" w:pos="5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 impairment charges totaling $18.0 million were included in the Company's fiscal 2018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2"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090909"/>
        </w:rPr>
        <w:t>Refer to the Results of Operations section included in Part II, Item 7 of this Annual Report on Form 10-K for a discussion of the impacts of business combinations and contract charges that materially impacted the comparability of information in the Selected Financial Data table above, particularly for the fiscal year ended 2019 in comparison to the fiscal year ended 2018, and the fiscal year ended 2018 in comparison to the fiscal year ended 2017.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 about our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Unpriced Change Orders and Claims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unpriced change orders and claims of $10.1 million at June 30, 2019 and $15.0 million at June 30, 2018. The amounts ultimately realized may be significantly different than the recorded amounts resulting in a material adjustment to future earnings. Generally, collection of amounts related to unpriced change orders and claims is expected within twelve months. However, customers may not pay these amounts until final resolution of related claims, and accordingly, collection of these amounts may extend beyond one 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perform our annual test during the fourth quarter of each fiscal year and in any other period in which indicators of impairment warrant additional tests.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 We performed our annual goodwill impairment test as of May 31, 2019, which indicated no impairment.</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and our forecasted EBITDA. The use of alternate judgments and/or assumptions could result in a fair value that differs from our estimate and could result in the recognition of an impairment charge in the financial statements. As a test for reasonableness, we also consider the combined estimated fair values of our reporting units to our market capitalization.</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consider the amount of headroom for each reporting unit when determining whether an impairment existed. We define "headroom" as the percentage difference between the fair value of a reporting unit and its carrying value. The amount of headroom varies by reporting unit. Our significant assumptions, including revenue growth rates, gross margins, discount rate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Headroom Sensitivity Analysis</w:t>
            </w:r>
          </w:p>
        </w:tc>
        <w:tc>
          <w:tcPr>
            <w:tcW w:w="160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Headroom if Revenue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Headroom if Gross</w:t>
            </w:r>
          </w:p>
        </w:tc>
        <w:tc>
          <w:tcPr>
            <w:tcW w:w="160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Goodwill as of June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Growth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Headroom if Discount</w:t>
            </w: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30, 2019 (in</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Declines by 100 Basis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Declines by 100 Basis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Rate Increases by 100</w:t>
            </w:r>
          </w:p>
        </w:tc>
      </w:tr>
      <w:tr>
        <w:trPr>
          <w:trHeight w:val="245"/>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 xml:space="preserve">thousands) </w:t>
            </w:r>
            <w:r>
              <w:rPr>
                <w:rFonts w:ascii="Times New Roman" w:cs="Times New Roman" w:eastAsia="Times New Roman" w:hAnsi="Times New Roman"/>
                <w:sz w:val="21"/>
                <w:szCs w:val="21"/>
                <w:b w:val="1"/>
                <w:bCs w:val="1"/>
                <w:color w:val="auto"/>
                <w:w w:val="96"/>
                <w:vertAlign w:val="superscript"/>
              </w:rPr>
              <w:t>(1)</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Baseline Headroom</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Points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Points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Basis Points</w:t>
            </w:r>
          </w:p>
        </w:tc>
      </w:tr>
      <w:tr>
        <w:trPr>
          <w:trHeight w:val="244"/>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Reporting Unit 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Reporting Unit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16,892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Reporting Unit 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Reporting Unit 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reporting units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37,479</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43% to 987%</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 to 941%</w:t>
            </w: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25% to 812%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 to 860%</w:t>
            </w: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jc w:val="both"/>
        <w:ind w:left="540" w:hanging="316"/>
        <w:spacing w:after="0" w:line="261" w:lineRule="auto"/>
        <w:tabs>
          <w:tab w:leader="none" w:pos="5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2018, the Company disposed of a business that marketed process heating equipment, which reduced goodwill by $2.8 million. The business disposed of constituted its own reporting unit and the amount of goodwill written off was all of the goodwill assigned to that reporting unit. None of the goodwill was considered impaired since the Company recorded a gain on the disposal. See Item 8. Financial Statements and Supplementary Data, Note 3 - Acquisitions and Disposals for more information about the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fiscal 2019 test indicated that some reporting units were at higher risk of future impairment than others. If the market view of project opportunities or gross margins deteriorates next year prior to the annual test, an interim test may be required, particularly for the higher risk reporting units, which could result in a material impairment of goodwill.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2016-02, Leases (Topic 842)</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plans to apply the new leases standard using the modified retrospective method, which recognizes a cumulative-effect adjustment to the opening balance of retained earnings in the period of adoption. The ASU is effective for fiscal years beginning after December 15, 2018, including interim periods within those fiscal years.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recognize between $23 million and $28 million of operating right-of-use lease assets and liabilities upon adoption during the first quarter of fiscal 2020. We are not expecting the modified retrospective adjustment to retained earnings upon adoption to be material, and we do not expect the ASU will have a material impact on our future operating results or cash flows. Our conclusions are preliminary and could change once we finalize the implementation during the first fiscal quarter of fiscal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2016-13, Financial Instruments - Credit Losses (Topic 326): Measurement of Credit Losses on Financial Instruments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in this update broaden the information the Company may consider in developing its expected credit loss estimate to include forecasted information. The Company will adopt these amendments on July 1, 2020. The Company must apply the amendments in this update through a cumulative-effect adjustment to retained earnings as of the beginning of the first reporting period in which the guidance is effective. At this time, the Company does not expect this update will have a material impact on its estimate of the allowance for uncollectible accounts.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work for all segments is performed in the United States, with 3.4% of revenues generated internationally during fiscal 2019, 10.1% in fiscal 2018 and 19.7% in fiscal 2017. The percentage of revenues generated internationally decreased in fiscal 2019 compared to fiscal 2018 and fiscal 2017 due to the completion of a significant Canadian power generation project in our Electrical Infrastructure segment in fiscal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period to period changes in revenues, gross profits and operating results are discussed below on a consolidated basis and for each segment: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00" w:type="dxa"/>
            <w:vAlign w:val="bottom"/>
          </w:tcPr>
          <w:p>
            <w:pPr>
              <w:spacing w:after="0"/>
              <w:rPr>
                <w:sz w:val="13"/>
                <w:szCs w:val="13"/>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6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217,417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319,867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521,932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357,464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1,416,680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35,987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56,011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131,951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11,802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41,914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94,021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14,097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37,930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2018</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255,931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322,772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314,696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198,154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1,091,553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91,936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23,908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84,417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373,384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240,523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481,696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101,906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1,197,509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55,651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81,003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15,446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76,144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 %</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1"/>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Variances Fiscal Year 2019 to Fiscal Year 2018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207,236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159,310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325,127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30,233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40,015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9,604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48,409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Variances Fiscal Year 2018 to Fiscal Year 2017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(117,453)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82,249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(167,000)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96,248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(105,956)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10,933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8,273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(8,222)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17,581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(28,835)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(15,338)</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2019 Versus Fiscal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 was $1.417 billion for the fiscal year ended June 30, 2019, compared to $1.092 billion in fiscal 2018. On a segment basis, consolidated revenue increased in the Storage Solutions and Industrial segments by $207.2 million and $159.3 million, respectively. These increases were partially offset by decreases in consolidated revenue for the Electrical Infrastructure and Oil Gas &amp; Chemical segments of $38.5 million and $2.9 million,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was $132.0 million in fiscal 2019 compared to $91.9 million in fiscal 2018. Gross margin increased to 9.3% in fiscal 2019 compared to 8.4% in fiscal 2018. Fiscal 2019 was positively impacted by higher revenue volumes, which led to improved recovery of construction overhead costs. Additionally, during the first half of fiscal 2019, the gross margin was negatively impacted by the wind down of lower margin work awarded in a highly competitive environment. In the second half of fiscal 2019, the gross margin was positively impacted by increased volumes of higher margin capital work awarded in an improved business environment.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SG&amp;A expenses were $94.0 million in fiscal 2019 compared to $84.4 million in fiscal 2018. The increase in fiscal 2019 was primarily due to improved operating results, which led to higher incentive compensation expense, investment in personnel to support increased revenue, and higher stock compensation expense. These increases were partially offset by lower amortization expense on intangible assets that fully amortized in fiscal 2018.</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$1.3 million in fiscal 2019 and $2.6 million in fiscal 2018. The decrease in interest expense was primarily due to a lower average debt balance during fiscal 2019. Interest income was $1.2 million during fiscal 2019 compared to $0.4 million in fiscal 2018 due to an increase in our average cash balance and higher short-term interest rates.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effective tax rate for fiscal 2019 was 27.2% compared to 5.5% in fiscal 2018. The effective tax rate in fiscal 2019 was negatively impacted by $4.5 million of valuation allowances placed on net operating loss carryforwards and foreign tax credits generated by our branch operations in Canada, which we believe will not be utilized prior to their expiration, and $1.2 million of non-deductible expenses. These negative impacts were largely offset by the reversal of $3.5 million of branch liabilities associated with the valuation allowances placed on our Canadian branch net operating loss carryforwards and foreign tax credits, $2.0 million of research and development and other tax credits and $0.3 million of excess tax benefits related to the vesting of stock-based compensation. A full analysis of the Company's provision for income taxes is included in Item 8. Financial Statements and Supplementary Data, Note 6 - Income Taxes. The rate for fiscal 2018 was negatively impacted by the impairment of $8.3 million of non-deductible goodwill and by a $0.8 million valuation allowance recorded on a deferred tax asset in connection with stock-based compensation. In fiscal 2020, we expect our effective income tax rate to be 27.0%.</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2019, net income was $28.0 million, or $1.01 per fully diluted share, compared to a net loss of $11.5 million, or $0.43 per fully diluted share, in fiscal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for the Electrical Infrastructure segment decreased $38.5 million to $217.4 million in fiscal 2019 compared to $255.9 million in fiscal 2018. The decrease is primarily due to the strategic shift away from EPC power generation projects and lower volumes of power delivery work, partially offset by higher volumes of power generation package work. The segment gross margin was 7.1% in fiscal 2019 compared to 7.2% in the same period last year. The segment gross margins in both fiscal 2019 and 2018 were negatively impacted by lower than previously forecasted margins on a limited number of power delivery projects. In fiscal 2019, we expanded our power delivery business geographically, however, the margins on this work did not meet our expectations. The fiscal 2019 segment margin was also negatively impacted when the proceeds from the settlement of a customer dispute were less than previously anticipated. The negative impacts to the fiscal 2019 segment gross margin were partially offset by strong project execution on power generation package work. The fiscal 2018 segment gross margin was also negatively impacted by higher construction overhead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Oil Gas &amp; Chemical segment was $319.9 million in fiscal 2019 compared to $322.8 million in the same period a year earlier. The decrease of $2.9 million is primarily due to lower volumes of engineering and capital work, largely offset by higher volumes of turnaround and maintenance work. The segment gross margin was 11.3% in fiscal 2019 compared to 10.4% in the same period last year. Project execution was strong in both fiscal 2019 and 2018. Fiscal 2019 was also positively impacted by improved recovery of overhead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for the Storage Solutions segment was $521.9 million in fiscal 2019 compared to $314.7 million in fiscal 2018, an increase of $207.2 million. The increase in segment revenue is primarily a result of increased tank and terminal construction work, and higher levels of repair and maintenance spending by our customers. The segment gross margin was 10.7% in fiscal 2019 compared to 8.2% in fiscal 2018. During the first half of fiscal 2019, the segment gross margin was negatively impacted by the wind down of lower margin work awarded in a highly competitive environment and lower than previously forecasted margins on a limited number of those projects. In the second half of fiscal 2019, the segment gross margin was positively impacted by increased volumes of higher margin work on capital projects awarded in an improved business environment, which also led to improved recovery of construction overhead costs. The fiscal 2018 segment gross margin was negatively impacted by lower margin work awarded in a highly competitive environment and lower volumes, which led to the under recovery of construction overhead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Industrial segment was $357.5 million in fiscal 2019 compared to $198.2 million in fiscal 2018, an increase of $159.3 million. The increase in revenue is primarily attributable to higher volumes of iron and steel spending and increased thermal vacuum chamber work. The segment gross margin was 6.8% in fiscal 2019 compared to 7.3% in fiscal 2018. The fiscal 2019 segment gross margin was negatively impacted by a lower than previously forecasted margin on a thermal vacuum chamber project nearing completion, partially offset by improved gross margins on iron and steel work.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2018 Versus Fiscal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 was $1.092 billion for the fiscal year ended June 30, 2018, compared to $1.198 billion in fiscal 2017. On a segment basis, consolidated revenue decreased in the Storage Solutions and Electrical Infrastructure segments by $167.0 million and $117.5 million, respectively. These decreases were partially offset by increases in consolidated revenue for the Industrial and Oil Gas &amp; Chemical segments of $96.3 million and $82.3 million,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gross profit was $91.9 million in fiscal 2018 compared to $81.0 million in fiscal 2017. Gross margin increased to 8.4% in fiscal 2018 compared to 6.8% in fiscal 2017. The increase in gross margin in fiscal 2018 is primarily attributable to the financial impact of a large power generation project in the Electrical Infrastructure segment in fiscal 2017 and better recovery of overhead costs in fiscal 2018.</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SG&amp;A expenses were $84.4 million in fiscal 2018 compared to $76.1 million in fiscal 2017. The increase in fiscal 2018 is primarily attributable to overhead associated with a mid-year fiscal 2017 acquisition (see Note 3 - Acquisitions and Disposals, Item 8. Financial Statements and Supplementary Data) that expanded the Company's engineering business, as well as higher project pursuit costs.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performed our annual goodwill impairment test as of May 31, 2018. The test indicated that the carrying amount of our Electrical Infrastructure reporting unit exceeded its estimated fair value, resulting in an impairment to goodwill of $17.3 million. The impairment was triggered by lower financial projections as a result of the Company's decision to shift its strategy away from EPC power generation projects to smaller, individual packages that better fit the Company's strategy and risk profile, and the recent trend of sluggish maintenance and capital spending by some key clients in our Northeast and Mid-Atlantic high voltage markets. We also recorded an impairment of $0.7 million associated with the customer relationships of a previous acquisition. This impairment was recorded in the Oil Gas &amp; Chemical segment.</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expense was $2.2 million in fiscal 2018 and $2.1 million in fiscal 2017. Interest expense in both fiscal years is primarily attributable to borrowings used to fund a mid-year fiscal 2017 acquisition, borrowings used to fund working capital requirements for a major project in the Electrical Infrastructure segment, and an increase in the unused senior secured revolving credit facility fee. The Company repaid all of its outstanding debt under its senior secured revolving credit facility in the fourth quarter of fiscal 2018.</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Tax Cuts and Jobs Act and its transitional application to our June 30 fiscal year end, we expected our effective income tax rate to be approximately 32.0% during fiscal 2018. Our effective tax rate for fiscal 2018 was 5.5% compared to 94.4% in fiscal 2017. The rate for fiscal 2018 was negatively impacted by the impairment of $8.3 million of non-deductible goodwill and by a $0.8 million valuation allowance recorded on a deferred tax asset in connection with stock-based compensation. The fiscal 2017 tax rate was negatively impacted, in part, by the Electrical Infrastructure project discussed above. The loss on this project produced a tax benefit in Canada, which had a lower tax rate than the U.S. during fiscal 2017. At the same time, the Company earned most of its taxable income domestically, which was taxed at a higher rate. A full analysis of the Company's provision for income taxes is included in Item 8. Financial Statements and Supplementary Data, Note 6 - Income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2018, the Company had a net loss of $11.5 million, or $0.43 per fully diluted share, compared to a net loss of $0.2 million, or $0.01 per fully diluted share, in fiscal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the Electrical Infrastructure segment decreased $117.5 million to $255.9 million in fiscal 2018 compared to $373.4 million in fiscal 2017. The decrease is due to the expected reduction in power generation revenue in connection with our strategic decision to exit full EPC power generation work and a reduction in high voltage revenue. The segment gross margin of 7.2% in fiscal 2018 was impacted by under recovery of construction overhead costs, lower than expected direct margins and increased competition. The fiscal 2017 segment gross margin was 1.9%, which was primarily attributable to the financial impact of an increased cost estimate on the power generating facility project mentioned above that was caused by various factors that delayed schedule progress and reduced productivity.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Oil Gas &amp; Chemical segment was $322.8 million in fiscal 2018 compared to $240.5 million in the same period a year earlier. The increase of $82.3 million is primarily attributable to higher turnaround and maintenance and construction volumes. The segment gross margin was 10.4% in fiscal 2018 compared to 5.3% in the same period last year. The segment gross margin for fiscal 2018 was positively impacted by strong project execution and improved recovery of construction overhead costs. Fiscal 2017 gross margin was negatively impacted by project execution and lower volume which led to higher under recovery of construction overhead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for the Storage Solutions segment was $314.7 million in fiscal 2018 compared to $481.7 million in fiscal 2017, a decrease of $167.0 million. The decrease in segment revenue is primarily the result of delays in project awards during fiscal 2017 and the first half of fiscal 2018, which prevented the Company from replacing higher revenue generated in fiscal 2017 in connection with work on the construction of a significant crude gathering terminals project. The segment gross margin was 8.2% in fiscal 2018 and 11.6% in fiscal 2017. The fiscal 2018 segment gross margin was negatively impacted by lower direct margins and under recovery of construction overhead costs. The fiscal 2017 segment gross margin was supported by strong project execution, partially offset by under recovery of construction overhead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Industrial segment was $198.2 million in fiscal 2018 compared to $101.9 million in fiscal 2017, an increase of $96.3 million. The increase in revenue is primarily attributable to higher business volumes in the iron and steel industry. The segment gross margin was 7.3% in fiscal 2018 compared to 5.4% in fiscal 2017. The fiscal 2018 segment gross margin was positively impacted by higher volumes, which led to improved recovery of construction overhead costs, and a favorable project closeout. The fiscal 2017 segment gross margin was negatively impacted by lower than anticipated volumes, which led to under recovery of construction overhead costs.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Adjusted EBITDA, which we define as net income (loss) attributable to Matrix Service Company before impairment of goodwill and other intangible assets,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attributable to Matrix Service Company”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attributable to Matrix Service Company,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34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impairments to goodwill and other intangible assets.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80"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180"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net income (loss) attributable to Matrix Service Company follows:</w:t>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49"/>
        </w:trPr>
        <w:tc>
          <w:tcPr>
            <w:tcW w:w="6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080" w:type="dxa"/>
            <w:vAlign w:val="bottom"/>
          </w:tcPr>
          <w:p>
            <w:pPr>
              <w:jc w:val="right"/>
              <w:ind w:right="35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27,982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 impairment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2,211</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2,308</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20,347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21,602</w:t>
            </w:r>
          </w:p>
        </w:tc>
      </w:tr>
      <w:tr>
        <w:trPr>
          <w:trHeight w:val="25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57,932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28,797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25,938</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liquidity as the ability to pay our liabilities as they become due, fund business operations and meet all contractual and financial obligations. Our primary sources of liquidity in fiscal 2019 were cash and cash equivalents on hand, capacity under our senior secured revolving credit facility and cash generated from operations. Cash and cash equivalents on hand at June 30, 2019 totaled $89.7 million and availability under the senior secured revolving credit facility totaled $152.2 million, resulting in total liquidity of $241.9 million. We expect to fund our operations for the next twelve months through the use of cash generated from operations, existing cash and cash equivalents balances and borrowings under our senior secured revolving credit facility, as necessary. The Company's liquidity continues to be adequate to support its long-term strategic growth plans.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fiscal year ended June 30, 2019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Liquidity as of June 30, 2018</w:t>
            </w:r>
          </w:p>
        </w:tc>
        <w:tc>
          <w:tcPr>
            <w:tcW w:w="51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137,243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25,658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credit facility capacity constraint</w:t>
            </w:r>
          </w:p>
        </w:tc>
        <w:tc>
          <w:tcPr>
            <w:tcW w:w="4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95,418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borrowings on credit facility</w:t>
            </w:r>
          </w:p>
        </w:tc>
        <w:tc>
          <w:tcPr>
            <w:tcW w:w="4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letters of credit outstanding</w:t>
            </w:r>
          </w:p>
        </w:tc>
        <w:tc>
          <w:tcPr>
            <w:tcW w:w="4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of outstanding borrowings</w:t>
            </w:r>
          </w:p>
        </w:tc>
        <w:tc>
          <w:tcPr>
            <w:tcW w:w="4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Liquidity as of June 30, 2019</w:t>
            </w:r>
          </w:p>
        </w:tc>
        <w:tc>
          <w:tcPr>
            <w:tcW w:w="51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241,898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100" w:hanging="321"/>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07"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 plus and fixed price customer contracts are billed based on milestones which may require us to incur significant expenditures prior to collections from our customers.</w:t>
      </w:r>
    </w:p>
    <w:p>
      <w:pPr>
        <w:spacing w:after="0" w:line="107"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w:t>
      </w:r>
    </w:p>
    <w:p>
      <w:pPr>
        <w:spacing w:after="0" w:line="107"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security in the form of letters of credit or significant retentions. The timing of collection of retentions is often uncertain.</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disposals of businesses.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which can be significant.</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or other factors which can lead to credit deterioration of our customers.</w:t>
      </w:r>
    </w:p>
    <w:p>
      <w:pPr>
        <w:spacing w:after="0" w:line="171" w:lineRule="exact"/>
        <w:rPr>
          <w:rFonts w:ascii="Times New Roman" w:cs="Times New Roman" w:eastAsia="Times New Roman" w:hAnsi="Times New Roman"/>
          <w:sz w:val="18"/>
          <w:szCs w:val="18"/>
          <w:color w:val="auto"/>
        </w:rPr>
      </w:pPr>
    </w:p>
    <w:p>
      <w:pPr>
        <w:ind w:left="640" w:right="560" w:hanging="321"/>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under our senior secured revolving credit facility and remaining in compliance with all covenants contained in the Credit Agreement.</w:t>
      </w:r>
    </w:p>
    <w:p>
      <w:pPr>
        <w:spacing w:after="0" w:line="10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letters of credit.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for the fiscal year ended June 30, 2019 totaled $41.4 million. Major components of cash flows from operating activities for the year ending June 30, 2019 are as follows:</w:t>
      </w:r>
    </w:p>
    <w:p>
      <w:pPr>
        <w:spacing w:after="0" w:line="26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27,982</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expenses</w:t>
            </w:r>
          </w:p>
        </w:tc>
        <w:tc>
          <w:tcPr>
            <w:tcW w:w="8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28,856</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w:t>
            </w: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2,061</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effect of changes in working capital, net of disposition</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r>
      <w:tr>
        <w:trPr>
          <w:trHeight w:val="257"/>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41,394</w:t>
            </w:r>
          </w:p>
        </w:tc>
      </w:tr>
      <w:tr>
        <w:trPr>
          <w:trHeight w:val="20"/>
        </w:trPr>
        <w:tc>
          <w:tcPr>
            <w:tcW w:w="8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changes, net of effects of a disposal of a business (see Item 8. Financial Statements and Supplementary Data, Note 3 - Acquisitions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Disposals), at June 30, 2019 in comparison to June 30, 2018 include the following:</w:t>
      </w:r>
    </w:p>
    <w:p>
      <w:pPr>
        <w:spacing w:after="0" w:line="234" w:lineRule="exact"/>
        <w:rPr>
          <w:sz w:val="20"/>
          <w:szCs w:val="20"/>
          <w:color w:val="auto"/>
        </w:rPr>
      </w:pPr>
    </w:p>
    <w:p>
      <w:pPr>
        <w:ind w:left="640" w:right="400" w:hanging="321"/>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of bad debt expense recognized during the period, increased by $15.4 million during fiscal 2019, which decreased cash flows from operating activities. The increase is primarily due to higher volumes of business and the timing of billing and collections.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right="20" w:hanging="321"/>
        <w:spacing w:after="0" w:line="261"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increased $19.8 million, which decreased cash flows from operating activities. Billings on uncompleted contracts in excess of costs and estimated earnings ("BIE") decreased $15.0 million, which decreased cash flows from operating activities. CIE and BIE balances can experience significant fluctuations based on the timing of when job costs are incurred and the invoicing of those job costs to the customer.</w:t>
      </w:r>
    </w:p>
    <w:p>
      <w:pPr>
        <w:spacing w:after="0" w:line="126"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$2.9 million, which decreased cash flows from operating activities. The increase in inventories is primarily related to aluminum coil purchased to support our storage tank products business.</w:t>
      </w:r>
    </w:p>
    <w:p>
      <w:pPr>
        <w:spacing w:after="0" w:line="107" w:lineRule="exact"/>
        <w:rPr>
          <w:rFonts w:ascii="Times New Roman" w:cs="Times New Roman" w:eastAsia="Times New Roman" w:hAnsi="Times New Roman"/>
          <w:sz w:val="18"/>
          <w:szCs w:val="18"/>
          <w:color w:val="auto"/>
        </w:rPr>
      </w:pPr>
    </w:p>
    <w:p>
      <w:pPr>
        <w:ind w:left="640" w:right="100" w:hanging="321"/>
        <w:spacing w:after="0" w:line="26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increased $12.2 million, which decreased cash flows from operating activities. The increase is primarily related to an increase in retentions that are expected to be collected beyond one year in connection with large projects. These increases were partially offset by an increase in net income taxes payable and a decrease in income taxes receivable.</w:t>
      </w:r>
    </w:p>
    <w:p>
      <w:pPr>
        <w:spacing w:after="0" w:line="122" w:lineRule="exact"/>
        <w:rPr>
          <w:rFonts w:ascii="Times New Roman" w:cs="Times New Roman" w:eastAsia="Times New Roman" w:hAnsi="Times New Roman"/>
          <w:sz w:val="18"/>
          <w:szCs w:val="18"/>
          <w:color w:val="auto"/>
        </w:rPr>
      </w:pPr>
    </w:p>
    <w:p>
      <w:pPr>
        <w:ind w:left="640" w:right="440" w:hanging="321"/>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other accrued expenses increased by $47.1 million, which increased cash flows from operating activities. The variance is primarily attributable to higher volumes of business and the timing of vendor payments.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for Investing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$14.4 million of cash in the fiscal year ended June 30, 2019 primarily due to $19.5 million of capital expenditures, partially offset by $3.9 million of proceeds from the disposal of a business (see Item 8. Financial Statements and Supplementary Data, Note 3 - Acquisitions and Disposals) and $1.2 million of proceeds from other assets sales. Capital expenditures consisted of: $7.8 million for transportation equipment, $5.9 million for software and office equipment, $5.2 million for construction and fabrication equipment, and $0.6 million for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$1.1 million of cash in the fiscal year ended June 30, 2019 primarily due to share repurchases of $5.2 million and the repurchase of $1.7 million of Company stock for payment of withholding taxes due on equity-based compensation, partially offset by net borrowings of $5.3 million under the Company's senior secured revolving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Revolving Credit Facility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 The Credit Agreement includes the following covenants and borrowing limitations:</w:t>
      </w:r>
    </w:p>
    <w:p>
      <w:pPr>
        <w:spacing w:after="0" w:line="122" w:lineRule="exact"/>
        <w:rPr>
          <w:sz w:val="20"/>
          <w:szCs w:val="20"/>
          <w:color w:val="auto"/>
        </w:rPr>
      </w:pPr>
    </w:p>
    <w:p>
      <w:pPr>
        <w:ind w:left="640" w:hanging="3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Ratio, determined as of the end of each fiscal quarter, may not exceed 3.00 to 1.00.</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determined as of the end of each fiscal quarter, greater than or equal to 1.25 to 1.00.</w:t>
      </w:r>
    </w:p>
    <w:p>
      <w:pPr>
        <w:spacing w:after="0" w:line="171" w:lineRule="exact"/>
        <w:rPr>
          <w:rFonts w:ascii="Times New Roman" w:cs="Times New Roman" w:eastAsia="Times New Roman" w:hAnsi="Times New Roman"/>
          <w:sz w:val="18"/>
          <w:szCs w:val="18"/>
          <w:color w:val="auto"/>
        </w:rPr>
      </w:pPr>
    </w:p>
    <w:p>
      <w:pPr>
        <w:ind w:left="640" w:right="520" w:hanging="321"/>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8"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The credit facility includes a sub-facility for revolving loans and letters of credit denominated in Australian Dollars, Canadian Dollars, Euros and Pounds Sterling in an aggregate amount not to exceed the U.S. Dollar equivalent of $75.0 million and a $200.0 million sublimit for total letters of credit.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 or</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a Leverage Ratio covenant, which provides that Consolidated Funded Indebtedness, as defined in the Credit Agreement, as of the end of any fiscal quarter, may not exceed 3.0 times Consolidated EBITDA, as defined in the Credit Agreement, over the previous four quarters. For the four quarters ended June 30, 2019, Consolidated EBITDA was $68.6 million. Consolidated Funded Indebtedness at June 30, 2019 was $53.5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as defined in the Credit Agreement, or "Covenant EBITDA," differs from Adjusted EBITDA, as reported under "Results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 Non-GAAP Financial Measure," in Item 7 primarily because it permits the Company to:</w:t>
      </w:r>
    </w:p>
    <w:p>
      <w:pPr>
        <w:spacing w:after="0" w:line="15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non-cash stock-based compensation expense,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pro forma EBITDA of acquired businesses as if the acquisition occurred at the beginning of the previous four quarters,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6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000" w:type="dxa"/>
            <w:vAlign w:val="bottom"/>
          </w:tcPr>
          <w:p>
            <w:pPr>
              <w:spacing w:after="0"/>
              <w:rPr>
                <w:sz w:val="16"/>
                <w:szCs w:val="16"/>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21"/>
                <w:szCs w:val="21"/>
                <w:color w:val="auto"/>
              </w:rPr>
            </w:pPr>
          </w:p>
        </w:tc>
      </w:tr>
      <w:tr>
        <w:trPr>
          <w:trHeight w:val="255"/>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380" w:type="dxa"/>
            <w:vAlign w:val="bottom"/>
            <w:tcBorders>
              <w:bottom w:val="single" w:sz="8" w:color="CCEEFF"/>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constraint due to the Leverage Ratio</w:t>
            </w:r>
          </w:p>
        </w:tc>
        <w:tc>
          <w:tcPr>
            <w:tcW w:w="13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94,323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189,741</w:t>
            </w:r>
          </w:p>
        </w:tc>
      </w:tr>
      <w:tr>
        <w:trPr>
          <w:trHeight w:val="27"/>
        </w:trPr>
        <w:tc>
          <w:tcPr>
            <w:tcW w:w="70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under the senior secured revolving credit facility</w:t>
            </w:r>
          </w:p>
        </w:tc>
        <w:tc>
          <w:tcPr>
            <w:tcW w:w="1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205,677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110,259</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13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48,147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37,073</w:t>
            </w:r>
          </w:p>
        </w:tc>
      </w:tr>
      <w:tr>
        <w:trPr>
          <w:trHeight w:val="27"/>
        </w:trPr>
        <w:tc>
          <w:tcPr>
            <w:tcW w:w="7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1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w:t>
            </w:r>
          </w:p>
        </w:tc>
        <w:tc>
          <w:tcPr>
            <w:tcW w:w="138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152,183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73,186</w:t>
            </w:r>
          </w:p>
        </w:tc>
      </w:tr>
      <w:tr>
        <w:trPr>
          <w:trHeight w:val="27"/>
        </w:trPr>
        <w:tc>
          <w:tcPr>
            <w:tcW w:w="70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other affirmative, negative, and financial covenants under the Credit Agreement.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2019, the Company was at the lowest margin tier for all categories of loans and the unused revolving credit facility fee under the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2018, the Board of Directors approved a new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In December 2018, the Company repurchased 310,532 shares of its common stock for $5.2 million under the November 2018 Program. There were 2,396,643 shares available for repurchase under the November 2018 Program as of June 30, 2019.</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The Company withheld 79,111 and 52,950 shares of common stock during fiscal 2019 and 2018, respectively, to satisfy these obligations. These shares were returned to the Company’s pool of treasury shares. The Company has 1,081,014 treasury shares as of June 30, 2019 and intends to utilize these treasury shares in connection with equity awards under the Company’s stock incentive plans and for sales to the Employee Stock Purchase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 following off-balance sheet arrangements were in place to support our ordinary course obligations: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6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12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26,903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54,943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Surety bonds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208,694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285,805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235,597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105,151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340,748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left="540" w:hanging="316"/>
        <w:spacing w:after="0" w:line="255" w:lineRule="auto"/>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letters of credit issued under our senior secured revolving credit facility are in support of our workers’ compensation insurance programs or certain construction contracts. The letters of credit that support our workers’ compensation programs are expected to renew annually through the term of our senior secured revolving credit facility. The letters of credit that support construction contracts carry expiry dates into calendar year 2021. Our Credit Agreement allows exclusion of letters of credit that support our workers' compensation programs when calculating availability under the credit facility. At June 30, 2019, there were $6.8 million of letters of credit that support our workers'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at June 30, 2019 are summarized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Contractual Obligations by Expiration Period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Borrowings under senior secured revolving credit facility</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Interest payments on debt</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12,899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21,454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50,840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40" w:hanging="316"/>
        <w:spacing w:after="0" w:line="253"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total debt principal at June 30, 2019 is carried to maturity with no future borrowings or repayments and no changes to total letters of credit outstanding as of June 30, 2019. Interest payments on debt assumes the margin tier that the Company was at on June 30, 2019, which is the lowest margin tier under the Credit Agreement.</w:t>
      </w:r>
    </w:p>
    <w:p>
      <w:pPr>
        <w:ind w:left="540" w:hanging="316"/>
        <w:spacing w:after="0"/>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operating lease that the Company expects to commence during its first quarter of fiscal 2020. The lease has a 10 year term and future lease payments of $11.9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9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interest rate risk results primarily from our variable rate indebtedness under our Credit Agreement, which is influenced by movements in short-term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our $300.0 million senior secured revolving credit facility bear interest at a rate per annum equal to:</w:t>
      </w:r>
    </w:p>
    <w:p>
      <w:pPr>
        <w:spacing w:after="0" w:line="153" w:lineRule="exact"/>
        <w:rPr>
          <w:sz w:val="20"/>
          <w:szCs w:val="20"/>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 or</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with interest rate risk at June 30, 2019 were as follows:</w:t>
      </w:r>
    </w:p>
    <w:p>
      <w:pPr>
        <w:spacing w:after="0" w:line="3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Maturity by Fiscal Year</w:t>
      </w:r>
    </w:p>
    <w:tbl>
      <w:tblPr>
        <w:tblLayout w:type="fixed"/>
        <w:tblInd w:w="0" w:type="dxa"/>
        <w:tblCellMar>
          <w:top w:w="0" w:type="dxa"/>
          <w:left w:w="0" w:type="dxa"/>
          <w:bottom w:w="0" w:type="dxa"/>
          <w:right w:w="0" w:type="dxa"/>
        </w:tblCellMar>
      </w:tblPr>
      <w:tr>
        <w:trPr>
          <w:trHeight w:val="47"/>
        </w:trPr>
        <w:tc>
          <w:tcPr>
            <w:tcW w:w="2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restart"/>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0" w:type="dxa"/>
            <w:vAlign w:val="bottom"/>
          </w:tcPr>
          <w:p>
            <w:pPr>
              <w:spacing w:after="0"/>
              <w:rPr>
                <w:sz w:val="1"/>
                <w:szCs w:val="1"/>
                <w:color w:val="auto"/>
              </w:rPr>
            </w:pPr>
          </w:p>
        </w:tc>
      </w:tr>
      <w:tr>
        <w:trPr>
          <w:trHeight w:val="63"/>
        </w:trPr>
        <w:tc>
          <w:tcPr>
            <w:tcW w:w="2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5"/>
                <w:szCs w:val="5"/>
                <w:color w:val="auto"/>
              </w:rPr>
            </w:pPr>
          </w:p>
        </w:tc>
        <w:tc>
          <w:tcPr>
            <w:tcW w:w="1460" w:type="dxa"/>
            <w:vAlign w:val="bottom"/>
            <w:vMerge w:val="restart"/>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5"/>
                <w:szCs w:val="5"/>
                <w:color w:val="auto"/>
              </w:rPr>
            </w:pPr>
          </w:p>
        </w:tc>
        <w:tc>
          <w:tcPr>
            <w:tcW w:w="1340" w:type="dxa"/>
            <w:vAlign w:val="bottom"/>
            <w:vMerge w:val="restart"/>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of June 30, 2019</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5,347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entered into any derivative instruments to hedge interest rate risk, but evaluates the materiality of interest rate risk exposure. An increase of 100 basis points in interest rates would not have had a material impact on the financial results of the Company for the fiscal year ended June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Matrix Service Company has subsidiaries with operations in Canada and South Korea, which use the Canadian Dollar and South Korean Won, respectively, as their functional currencies. The Company also has a subsidiary with operations in Australia, but its functional currency is the U.S. Dollar since its sales are primarily denominated in U.S. Dollars.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movements in the Canadian Dollar to U.S. Dollar exchange rate have not significantly impacted the Company's results. Also, the Company does not expect exchange rate fluctuations in its South Korean and Australian operations to materially impact its financial results since these operations represent an insignificant portion of the Company's consolidated revenues and expenses. However, further growth in its Canadian, South Korean and/or Australian operations and/or significant fluctuations in the Canadian Dollar, South Korean Won and/or Australian Dollar to U.S. Dollar exchange rates could impact the Company’s financial results in the future.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not entered into derivative instruments to hedge foreign currency risk, but periodically evaluates the materiality of our foreign currency exposure. To mitigate our risk, on occasion we borrow Canadian Dollars under our senior secured revolving credit facility to settle U.S. Dollar account balances. A 10% unfavorable change in the Canadian Dollar against the U.S. Dollar would not have had a material impact on the financial results of the Company for the fiscal year ended June 30,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derived from certain commodities.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1220" w:type="dxa"/>
            <w:vAlign w:val="bottom"/>
            <w:gridSpan w:val="1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12"/>
        </w:trPr>
        <w:tc>
          <w:tcPr>
            <w:tcW w:w="112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5"/>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Management’s Report on Internal Control Over Financial Reporting</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Reports of Independent Registered Public Accounting Firm</w:t>
            </w:r>
          </w:p>
        </w:tc>
        <w:tc>
          <w:tcPr>
            <w:tcW w:w="600" w:type="dxa"/>
            <w:vAlign w:val="bottom"/>
            <w:tcBorders>
              <w:top w:val="single" w:sz="8" w:color="0000EE"/>
            </w:tcBorders>
          </w:tcPr>
          <w:p>
            <w:pPr>
              <w:spacing w:after="0"/>
              <w:rPr>
                <w:sz w:val="24"/>
                <w:szCs w:val="24"/>
                <w:color w:val="auto"/>
              </w:rPr>
            </w:pPr>
          </w:p>
        </w:tc>
        <w:tc>
          <w:tcPr>
            <w:tcW w:w="594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Consolidated Statements of Income for the Fiscal Years Ended June 30, 2019, June 30, 2018, and June 30, 2017</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Statements of Comprehensive Income for the Fiscal Years Ended June 30, 2019, June 30, 2018, and</w:t>
              </w:r>
            </w:hyperlink>
          </w:p>
        </w:tc>
        <w:tc>
          <w:tcPr>
            <w:tcW w:w="23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June 30, 2017</w:t>
              </w:r>
            </w:hyperlink>
          </w:p>
        </w:tc>
        <w:tc>
          <w:tcPr>
            <w:tcW w:w="9500" w:type="dxa"/>
            <w:vAlign w:val="bottom"/>
            <w:gridSpan w:val="1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Consolidated Balance Sheets as of June 30, 2019 and June 30, 2018</w:t>
              </w:r>
            </w:hyperlink>
          </w:p>
        </w:tc>
        <w:tc>
          <w:tcPr>
            <w:tcW w:w="562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Consolidated Statements of Cash Flows for the Fiscal Years Ended June 30, 2019, June 30, 2018, and June 30, 2017</w:t>
              </w:r>
            </w:hyperlink>
          </w:p>
        </w:tc>
        <w:tc>
          <w:tcPr>
            <w:tcW w:w="21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Statements of Changes in Stockholders’ Equity for the Fiscal Years Ended June 30, 2019, June 30, 2018,</w:t>
              </w:r>
            </w:hyperlink>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and June 30, 2017</w:t>
              </w:r>
            </w:hyperlink>
          </w:p>
        </w:tc>
        <w:tc>
          <w:tcPr>
            <w:tcW w:w="1980" w:type="dxa"/>
            <w:vAlign w:val="bottom"/>
          </w:tcPr>
          <w:p>
            <w:pPr>
              <w:spacing w:after="0"/>
              <w:rPr>
                <w:sz w:val="17"/>
                <w:szCs w:val="17"/>
                <w:color w:val="auto"/>
              </w:rPr>
            </w:pPr>
          </w:p>
        </w:tc>
        <w:tc>
          <w:tcPr>
            <w:tcW w:w="180" w:type="dxa"/>
            <w:vAlign w:val="bottom"/>
          </w:tcPr>
          <w:p>
            <w:pPr>
              <w:jc w:val="right"/>
              <w:spacing w:after="0" w:line="196" w:lineRule="exact"/>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47</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73</w:t>
              </w:r>
            </w:hyperlink>
          </w:p>
        </w:tc>
      </w:tr>
      <w:tr>
        <w:trPr>
          <w:trHeight w:val="372"/>
        </w:trPr>
        <w:tc>
          <w:tcPr>
            <w:tcW w:w="40" w:type="dxa"/>
            <w:vAlign w:val="bottom"/>
          </w:tcPr>
          <w:p>
            <w:pPr>
              <w:spacing w:after="0"/>
              <w:rPr>
                <w:sz w:val="24"/>
                <w:szCs w:val="24"/>
                <w:color w:val="auto"/>
              </w:rPr>
            </w:pPr>
          </w:p>
        </w:tc>
        <w:tc>
          <w:tcPr>
            <w:tcW w:w="11180" w:type="dxa"/>
            <w:vAlign w:val="bottom"/>
            <w:gridSpan w:val="16"/>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Schedule II—Valuation and Qualifying Accounts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74</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7"/>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26"/>
        </w:trPr>
        <w:tc>
          <w:tcPr>
            <w:tcW w:w="112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 – Valuation and Qualifying Accounts for the three fiscal years ended June 30, 2019, June 30, 2018 and June 30, 2017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08"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4" w:lineRule="exact"/>
        <w:rPr>
          <w:sz w:val="20"/>
          <w:szCs w:val="20"/>
          <w:color w:val="auto"/>
        </w:rPr>
      </w:pPr>
    </w:p>
    <w:p>
      <w:pPr>
        <w:ind w:firstLine="8"/>
        <w:spacing w:after="0" w:line="261"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June 30, 2019. In making this assessment, the Company’s management used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 (“COSO”) in Internal Control-Integrated Framework.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2019 was effective.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the effectiveness of the Company’s internal control over financial reporting as of June 30, 2019.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John R. Hewitt</w:t>
            </w:r>
          </w:p>
        </w:tc>
        <w:tc>
          <w:tcPr>
            <w:tcW w:w="2500" w:type="dxa"/>
            <w:vAlign w:val="bottom"/>
          </w:tcPr>
          <w:p>
            <w:pPr>
              <w:spacing w:after="0"/>
              <w:rPr>
                <w:sz w:val="20"/>
                <w:szCs w:val="20"/>
                <w:color w:val="auto"/>
              </w:rPr>
            </w:pPr>
          </w:p>
        </w:tc>
        <w:tc>
          <w:tcPr>
            <w:tcW w:w="4680" w:type="dxa"/>
            <w:vAlign w:val="bottom"/>
          </w:tcPr>
          <w:p>
            <w:pPr>
              <w:jc w:val="center"/>
              <w:ind w:left="262"/>
              <w:spacing w:after="0"/>
              <w:rPr>
                <w:sz w:val="20"/>
                <w:szCs w:val="20"/>
                <w:color w:val="auto"/>
              </w:rPr>
            </w:pPr>
            <w:r>
              <w:rPr>
                <w:rFonts w:ascii="Times New Roman" w:cs="Times New Roman" w:eastAsia="Times New Roman" w:hAnsi="Times New Roman"/>
                <w:sz w:val="18"/>
                <w:szCs w:val="18"/>
                <w:color w:val="auto"/>
                <w:w w:val="99"/>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2019</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38</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Matrix Service Company and subsidiaries (the “Company”) as of June 30,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2019 based on criteria established in Internal Control - Integrated Framework (2013)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June 30, 2019 of the Company and our report dated September 4, 2019,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Matrix Service Company and subsidiaries (the “Company”) as of June 30, 2019 and 2018, and the related Consolidated Statements of Income, Comprehensive Income, Cash Flows and Changes in Stockholders’ Equity for each of the three years in the period ended June 30, 2019 and the related notes and schedules listed in the Index at Item 8 (collectively referred to as the "financial statements"). In our opinion, the financial statements present fairly, in all material respects, the financial position of the Company as of June 30, 2019 and 2018, and the results of its operations and its cash flows for each of the three years in the period ended June 30, 2019, in conformity with accounting principles generally accepted in the United States of America.</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June 30, 2019, based on criteria established in Internal Control - Integrated Framework (2013) issued by the Committee of Sponsoring Organizations of the Treadway Commission and our report dated September 4, 2019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1,416,680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1,091,553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1,197,509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1,284,729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999,617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1,116,506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91,936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81,003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76,144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other intangible asset impairment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37,930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earnings (loss)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26,533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41</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49"/>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2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10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 (net of tax expense (benefit) of $27, $(24) and $180 for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7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 fiscal years ended June 30, 2019, 2018 and 2017,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321</w:t>
            </w:r>
          </w:p>
        </w:tc>
      </w:tr>
      <w:tr>
        <w:trPr>
          <w:trHeight w:val="23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Matrix Service Company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660" w:type="dxa"/>
            <w:vAlign w:val="bottom"/>
            <w:tcBorders>
              <w:bottom w:val="single" w:sz="8" w:color="CCEEFF"/>
            </w:tcBorders>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64,057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(2019 - $923; 2018 - $6,327)</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218,432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203,388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76,632</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5,152</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3,359</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4,458</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417,310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357,046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Land and buildings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40,424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 equipment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91,793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89,036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48,339</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43,632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41,236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 at cost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236,749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220,388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(147,743)</w:t>
            </w: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79,335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72,645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93,368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96,162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22,814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4,518</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633,394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558,033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3"/>
                <w:szCs w:val="13"/>
                <w:color w:val="auto"/>
              </w:rPr>
            </w:pPr>
          </w:p>
        </w:tc>
        <w:tc>
          <w:tcPr>
            <w:tcW w:w="14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66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114,647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79,439</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105,626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120,740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24,375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insurance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4,824</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275,499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238,465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under senior secured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281,437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239,190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30, 2019 and June 30, 2018; 26,807,203 and 26,853,823 shares outstanding as of June 30,</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2019 and June 30, 2018</w:t>
            </w:r>
          </w:p>
        </w:tc>
        <w:tc>
          <w:tcPr>
            <w:tcW w:w="38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137,712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132,198</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239,476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211,494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37"/>
        </w:trPr>
        <w:tc>
          <w:tcPr>
            <w:tcW w:w="7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369,716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336,560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treasury stock, at cost — 1,081,014 and 1,034,394 shares as of June 30, 2019 and June 30,</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351,957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318,843</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633,394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558,033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5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(used) by operating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 net of effects of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21,602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Goodwill and other intangible asset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7,461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disposal of business (Note 3)</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 net of effects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acquisitions: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13,567</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(37,047)</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41,394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74,671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Acquisitions, net of cash acquired (Note 3)</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Proceeds from disposal of business (Note 3)</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asset sales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cash used by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r>
      <w:tr>
        <w:trPr>
          <w:trHeight w:val="270"/>
        </w:trPr>
        <w:tc>
          <w:tcPr>
            <w:tcW w:w="5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(40,819)</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r>
      <w:tr>
        <w:trPr>
          <w:trHeight w:val="27"/>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-676910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-334010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8"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8"/>
          <w:szCs w:val="18"/>
          <w:i w:val="1"/>
          <w:iCs w:val="1"/>
          <w:color w:val="auto"/>
        </w:rPr>
        <w:t>45</w:t>
      </w:r>
    </w:p>
    <w:p>
      <w:pPr>
        <w:sectPr>
          <w:pgSz w:w="11900" w:h="16838" w:orient="portrait"/>
          <w:cols w:equalWidth="0" w:num="2">
            <w:col w:w="4100" w:space="720"/>
            <w:col w:w="6600"/>
          </w:cols>
          <w:pgMar w:left="240" w:top="121"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5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under senior secured revolving credit facility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126,933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Repayments of advances under senior secured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3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market purchase of treasury shares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5"/>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contributions from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25,658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20,252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71,656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89,715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64,057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43,805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11,968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acquisition working capital adjustment (Note 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5"/>
                <w:szCs w:val="5"/>
                <w:color w:val="auto"/>
              </w:rPr>
            </w:pPr>
          </w:p>
        </w:tc>
        <w:tc>
          <w:tcPr>
            <w:tcW w:w="112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5"/>
                <w:szCs w:val="5"/>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7"/>
                <w:szCs w:val="7"/>
                <w:color w:val="auto"/>
              </w:rPr>
            </w:pPr>
          </w:p>
        </w:tc>
        <w:tc>
          <w:tcPr>
            <w:tcW w:w="640" w:type="dxa"/>
            <w:vAlign w:val="bottom"/>
            <w:vMerge w:val="restart"/>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5"/>
                <w:szCs w:val="5"/>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5"/>
                <w:szCs w:val="5"/>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July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127,058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315,566</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Capital contributions from noncontrolling interest</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 Purchase</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Plan (16,609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(24,813 shares)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(396,530 shares)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repurchased to satisfy tax</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withholding obligations (134,535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7,461</w:t>
            </w:r>
          </w:p>
        </w:tc>
        <w:tc>
          <w:tcPr>
            <w:tcW w:w="0" w:type="dxa"/>
            <w:vAlign w:val="bottom"/>
          </w:tcPr>
          <w:p>
            <w:pPr>
              <w:spacing w:after="0"/>
              <w:rPr>
                <w:sz w:val="1"/>
                <w:szCs w:val="1"/>
                <w:color w:val="auto"/>
              </w:rPr>
            </w:pPr>
          </w:p>
        </w:tc>
      </w:tr>
      <w:tr>
        <w:trPr>
          <w:trHeight w:val="213"/>
        </w:trPr>
        <w:tc>
          <w:tcPr>
            <w:tcW w:w="3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June 30, 2017</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128,419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222,974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321,809</w:t>
            </w: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 Purchase</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Plan (21,920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(31,050 shares)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(253,241 shares)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repurchased to satisfy tax</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withholding obligations (52,950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8,618</w:t>
            </w:r>
          </w:p>
        </w:tc>
        <w:tc>
          <w:tcPr>
            <w:tcW w:w="0" w:type="dxa"/>
            <w:vAlign w:val="bottom"/>
          </w:tcPr>
          <w:p>
            <w:pPr>
              <w:spacing w:after="0"/>
              <w:rPr>
                <w:sz w:val="1"/>
                <w:szCs w:val="1"/>
                <w:color w:val="auto"/>
              </w:rPr>
            </w:pPr>
          </w:p>
        </w:tc>
      </w:tr>
      <w:tr>
        <w:trPr>
          <w:trHeight w:val="213"/>
        </w:trPr>
        <w:tc>
          <w:tcPr>
            <w:tcW w:w="3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Balances, June 30, 2018</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132,198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211,494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318,843</w:t>
            </w: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27,982</w:t>
            </w: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Sold to Employee Stock Purchase</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Plan (15,812 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Exercise of stock options (12,500 shares)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deferred shares (314,711 shares)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Treasury shares repurchased to satisfy tax</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0" w:type="dxa"/>
            <w:vAlign w:val="bottom"/>
          </w:tcPr>
          <w:p>
            <w:pPr>
              <w:spacing w:after="0"/>
              <w:rPr>
                <w:sz w:val="1"/>
                <w:szCs w:val="1"/>
                <w:color w:val="auto"/>
              </w:rPr>
            </w:pPr>
          </w:p>
        </w:tc>
      </w:tr>
      <w:tr>
        <w:trPr>
          <w:trHeight w:val="107"/>
        </w:trPr>
        <w:tc>
          <w:tcPr>
            <w:tcW w:w="3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withholding obligations (79,111 shares)</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Open market purchases of treasury shares (310,532</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w:t>
            </w:r>
          </w:p>
        </w:tc>
        <w:tc>
          <w:tcPr>
            <w:tcW w:w="0" w:type="dxa"/>
            <w:vAlign w:val="bottom"/>
          </w:tcPr>
          <w:p>
            <w:pPr>
              <w:spacing w:after="0"/>
              <w:rPr>
                <w:sz w:val="1"/>
                <w:szCs w:val="1"/>
                <w:color w:val="auto"/>
              </w:rPr>
            </w:pPr>
          </w:p>
        </w:tc>
      </w:tr>
      <w:tr>
        <w:trPr>
          <w:trHeight w:val="107"/>
        </w:trPr>
        <w:tc>
          <w:tcPr>
            <w:tcW w:w="3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5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11,908</w:t>
            </w:r>
          </w:p>
        </w:tc>
        <w:tc>
          <w:tcPr>
            <w:tcW w:w="0" w:type="dxa"/>
            <w:vAlign w:val="bottom"/>
          </w:tcPr>
          <w:p>
            <w:pPr>
              <w:spacing w:after="0"/>
              <w:rPr>
                <w:sz w:val="1"/>
                <w:szCs w:val="1"/>
                <w:color w:val="auto"/>
              </w:rPr>
            </w:pPr>
          </w:p>
        </w:tc>
      </w:tr>
      <w:tr>
        <w:trPr>
          <w:trHeight w:val="51"/>
        </w:trPr>
        <w:tc>
          <w:tcPr>
            <w:tcW w:w="3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137,712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239,476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351,957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and include the accounts of Matrix Service Company (“Matrix” or the “Company”) and its subsidiaries, all of which are wholly owned. Intercompany transactions and balances have been eliminated in consolidation.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the United States, Canada, South Korea and Australia. The Company’s reportable segments are Electrical Infrastructure, Oil Gas &amp; Chemical, Storage Solutions and Industrial.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self-insured retentions on our insurance programs. Actual results could materially differ from those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Revenue Recognition Standard</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on July 1, 2018. The standard outlines a single comprehensive model for entities to use in accounting for revenue arising from contracts with customers and supersedes most previous revenue recognition guidance, including industry-specific guidance, and is applicable to all of the Company's contracts with customers. The core principle of the revenue model is that "an entity recognizes revenue to depict the transfer of promised goods or services to customers in an amount that reflects the consideration to which the entity expects to be entitled in exchange for those goods or services." The Company used the modified retrospective method of application. Under the modified retrospective method, revenue recognized on completed contracts is not restated, however contracts in progress are accounted for as if they were under this new standard at inception. Any difference between historical revenue and revenue under the new standard is recorded as a cumulative effect adjustment to retained earnings as of the date of adoption. The cumulative impact of adopting Topic 606 was immaterial and did not require an adjustment to retained earnings. See Note 2 – Revenue for new disclosures required as a result of adopting Topic 606.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 about our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3"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Contingencies.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includes as cash equivalents all investments with original maturities of three months or less which are readily convertible into cash. We have cash on deposit at June 30, 2019 with banks in the United States, Canada, South Korea and Australia in excess of Federal Deposit Insurance Corporation ("FDIC"), Canada Deposit Insurance Corporation ("CDIC"), Korea Deposit Insurance Corporation ("KDIC") and Financial Claims Scheme ("FCS") protection limits, respectively. The United States Dollar equivalent of Canadian, South Korean and Australian deposits totaled $2.6 million as of June 30,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carried on a gross basis, less the allowance for uncollectible accounts. The Company’s customers consist primarily of major integrated oil companies, steel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reasonable collection attempts have been exhausted.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retentions collectible beyond one year are included in Other assets in the Consolidated Balance Sheets. Accounts payable retentions are generally settled within one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our annual test during the fourth quarter of each fiscal year and in any other period in which indicators of impairment warrant additional tests.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and our forecasted EBITDA. The use of alternate judgments and/or assumptions could result in a fair value that differs from our estimate and could result in the recognition of an impairment charge in the financial statements. As a test for reasonableness, we also consider the combined estimated fair values of our reporting units to our market capitalization.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by the straight-line method over their useful lives ranging from 4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which is calculated using a Monte Carlo model. The fair value of stock options is determined based on the Black-Scholes option pricing model. For all stock-based awards, expense is recognized over the requisite service period with forfeitures recorded as they occur.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functional currencies of the Company’s operations in Canada, South Korea and Australia are the Canadian Dollar, South Korean Won and U.S. Dollar, respectively. The functional currency of the Company's Australian operations is the U.S. Dollar since its sales are primarily denominated in that currency. For subsidiaries with operations using a foreign functional currency, assets and liabilities are translated at the year-end exchange rates and the income statement accounts are translated at average exchange rates throughout the year. Translation gains and losses are reported in Accumulated Other Comprehensive Income (Loss), net of tax, in the Consolidated Statements of Changes in Stockholders’ Equity and in Other Comprehensive Income (Loss) in the Consolidated Statements of Comprehensive Income. Translation gains and losses are reversed from Accumulated Other Comprehensive Income (Loss) and are recognized in current period income in the event the Company disposes of an entity with accumulated translation gains or losses. Transaction gains and losses are reported as a component of Other income (expense) in the Consolidated Statements of Income.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3"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2016-02, Leases (Topic 842)</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plans to apply the new leases standard using the modified retrospective method, which recognizes a cumulative-effect adjustment to the opening balance of retained earnings in the period of adoption. The ASU is effective for fiscal years beginning after December 15, 2018, including interim periods within those fiscal years.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recognize between $23 million and $28 million of operating right-of-use lease assets and liabilities upon adoption during the first quarter of fiscal 2020. We are not expecting the modified retrospective adjustment to retained earnings upon adoption to be material, and we do not expect the ASU will have a material impact on our future operating results or cash flows. Our conclusions are preliminary and could change once we finalize the implementation during the first fiscal quarter of fiscal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2016-13, Financial Instruments - Credit Losses (Topic 326): Measurement of Credit Losses on Financial Instruments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in this update broaden the information the Company may consider in developing its expected credit loss estimate to include forecasted information. The Company will adopt these amendments on July 1, 2020. The Company must apply the amendments in this update through a cumulative-effect adjustment to retained earnings as of the beginning of the first reporting period in which the guidance is effective. At this time, the Company does not expect this update will have a material impact on its estimate of the allowance for uncollectible accounts.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$823.3 million of remaining performance obligations yet to be satisfied as of June 30, 2019. The Company expects to recognize approximately $656.4 million of its remaining performance obligations as revenue within the next twelve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advance payments and billings in excess of revenue recognized. The following table provides information about CIE and BIE: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3"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0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96,083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76,632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19,451</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15,114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contract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34,565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beginning and ending balances of the Company's CIE and BIE primarily results from the timing of revenue recognized relative to its billings. The amount of revenue recognized during the twelve months ended June 30, 2019 that was included in the prior period BIE balance was $120.7 million. This revenue consists primarily of work performed during the period on contracts with customers that had advance billings.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amounts of contact assets and liabilities on uncompleted contracts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1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incurred and estimated earnings on uncompleted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1,942,903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2,081,799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w:t>
            </w:r>
          </w:p>
        </w:tc>
        <w:tc>
          <w:tcPr>
            <w:tcW w:w="32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1,952,446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2,125,907</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June 30, 2019 and June 30, 2018 included retentions to be collected within one year of $21.9 million and $25.9 million, respectively. Contract retentions collectible beyond one year are included in other assets in the Consolidated Balance Sheet and totaled $17.7 million as of June 30, 2019 and $2.6 million as of June 30, 2018.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the geographic area where the work was performed: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61"/>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1,367,844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981,292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961,049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104,208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228,625</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7,835</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1,416,680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1,091,553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1,197,509</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3—Acquisitions and Disposals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Process Heating Business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the Company sold non-core assets associated with a business that marketed process heating equipment for $3.9 million in cash, including $0.2 million of customary final post-closing adjustments paid in October 2018. The Company recognized a gain of $0.4 million on the sale, which was included in Other in the Consolidated Statements of Income. The revenues and operating results of the business, which were included in the Oil Gas &amp; Chemical segment, were not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Houston Interests, LLC</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12, 2016, the Company completed the acquisition of Houston Interests, LLC ("Houston Interests"), a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and material handling systems and terminals for cement, sulfur, fertilizer, coal and grain facilities. The business has been included in our Matrix PDM Engineering, Inc. subsidiary, and its operating results impact primarily the Oil Gas &amp; Chemical, Storage Solutions and Industrial segments.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purchased all of the equity interests of Houston Interests for $42.5 million, net of working capital adjustments and cash acquired. The consideration paid is as follows (in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equity interest</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46,000</w:t>
            </w: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working capital</w:t>
            </w:r>
          </w:p>
        </w:tc>
        <w:tc>
          <w:tcPr>
            <w:tcW w:w="7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6,837</w:t>
            </w:r>
          </w:p>
        </w:tc>
      </w:tr>
      <w:tr>
        <w:trPr>
          <w:trHeight w:val="27"/>
        </w:trPr>
        <w:tc>
          <w:tcPr>
            <w:tcW w:w="9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57"/>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42,506</w:t>
            </w:r>
          </w:p>
        </w:tc>
      </w:tr>
      <w:tr>
        <w:trPr>
          <w:trHeight w:val="20"/>
        </w:trPr>
        <w:tc>
          <w:tcPr>
            <w:tcW w:w="9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funded the acquisition primarily from borrowings under the Company's senior secured revolving credit facility (See Note 5). The net purchase price was allocated to the major categories of assets and liabilities based on their estimated fair value at the acquisition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net purchase price allocation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21,804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35,146</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10,220</w:t>
            </w:r>
          </w:p>
        </w:tc>
        <w:tc>
          <w:tcPr>
            <w:tcW w:w="0" w:type="dxa"/>
            <w:vAlign w:val="bottom"/>
          </w:tcPr>
          <w:p>
            <w:pPr>
              <w:spacing w:after="0"/>
              <w:rPr>
                <w:sz w:val="1"/>
                <w:szCs w:val="1"/>
                <w:color w:val="auto"/>
              </w:rPr>
            </w:pPr>
          </w:p>
        </w:tc>
      </w:tr>
      <w:tr>
        <w:trPr>
          <w:trHeight w:val="297"/>
        </w:trPr>
        <w:tc>
          <w:tcPr>
            <w:tcW w:w="9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68,112</w:t>
            </w:r>
          </w:p>
        </w:tc>
        <w:tc>
          <w:tcPr>
            <w:tcW w:w="0" w:type="dxa"/>
            <w:vAlign w:val="bottom"/>
          </w:tcPr>
          <w:p>
            <w:pPr>
              <w:spacing w:after="0"/>
              <w:rPr>
                <w:sz w:val="1"/>
                <w:szCs w:val="1"/>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Acquired:</w:t>
            </w:r>
          </w:p>
        </w:tc>
        <w:tc>
          <w:tcPr>
            <w:tcW w:w="8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Purchase Price:</w:t>
            </w: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52,837</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42,506</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agreed to pay the previous owners for any unused portion of acquired warranty obligations outstanding as of June 30, 2017. This agreement was settled for $1.7 million, which was paid in July 2017. This settlement was reflected as a decrease to the acquired current liabilities and an increase to the net purchase price.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$0.6 million of expenses related to closing the acquisition during the fiscal year ended June 30, 2017, which were included within selling, general and administrative expenses in the Consolidated Statements of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3"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financial information in the table below summarizes the combined results of operations of Matrix Service Company and Houston Interests for the fiscal year ended June 30, 2017, on a pro forma basis, as though the companies had been combined as of July 1, 2016. The pro forma financial information presented in the table below is for informational purposes only and is not indicative of the results of operations that would have been achieved if the acquisition had taken place at July 1, 2016 nor should it be taken as indicative of future consolidated results of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50"/>
        </w:trPr>
        <w:tc>
          <w:tcPr>
            <w:tcW w:w="8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18"/>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jc w:val="center"/>
              <w:ind w:right="158"/>
              <w:spacing w:after="0"/>
              <w:rPr>
                <w:sz w:val="20"/>
                <w:szCs w:val="20"/>
                <w:color w:val="auto"/>
              </w:rPr>
            </w:pPr>
            <w:r>
              <w:rPr>
                <w:rFonts w:ascii="Times New Roman" w:cs="Times New Roman" w:eastAsia="Times New Roman" w:hAnsi="Times New Roman"/>
                <w:sz w:val="14"/>
                <w:szCs w:val="14"/>
                <w:color w:val="auto"/>
              </w:rPr>
              <w:t>(In thousands, except per share data)</w:t>
            </w:r>
          </w:p>
        </w:tc>
      </w:tr>
      <w:tr>
        <w:trPr>
          <w:trHeight w:val="37"/>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1,233,372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7,326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0.27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financial information presented in the table above includes the following adjustments to the combined entities' historical financial statements:</w:t>
      </w:r>
    </w:p>
    <w:p>
      <w:pPr>
        <w:spacing w:after="0" w:line="171"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earnings were adjusted to include $0.8 million of integration expenses that would have been recognized had the acquisition occurred on July 1, 2016.</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the combined entities was increased by $0.7 million for the fiscal year ended June 30, 2017. The increase was attributable to the assumption that the Company's borrowings of $46.0 million used to fund a portion of the acquisition had been outstanding as of July 1, 2016. This increase was partially offset by the assumption that Houston Interests' former debt was extinguished as of July 1, 2016.</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intangible asset amortization expense for the combined entities was reduced by $1.4 million during the fiscal year ended June 30, 2017. This reduction is primarily due to the recognition of amortizable intangible assets as part of the acquisition and the effect of fair value adjustments to acquired property, plant and equipment.</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earnings were adjusted to include additional income tax expense of $2.0 million. Houston Interests was previously an exempt entity and income taxes were not assessed in its historical financial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3"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July 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78,293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Houston Interests (Note 3)</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related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4"/>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113,501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balance at June 30, 2018</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24,826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33,604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96,162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Disposal of business</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Translation adjustment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2019</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20,973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93,368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316"/>
        <w:spacing w:after="0" w:line="253"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jc w:val="both"/>
        <w:ind w:left="540" w:hanging="316"/>
        <w:spacing w:after="0" w:line="250"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2018, the Company disposed of a business that marketed process heating equipment. See Note 3 - Acquisitions and Disposals for more information about the disposal. The business disposed of constituted its own reporting unit and the amount of goodwill written off was all of the goodwill assigned to that reporting unit. None of the goodwill was considered impaired since the Company recorded a gain on the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-528955</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May 31, 2019, which resulted in no impairment. However, the risk of impairment is dependent upon the relationship of fair values to carrying amounts at the reporting unit level. The fiscal 2019 test indicated that some reporting units were at higher risk of future impairment than others. If the market view of project opportunities or gross margins deteriorates next year prior to the annual test, an interim test may be required, particularly for the higher risk reporting units, which could result in a material impairment of goodwill.</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2018, the Company recorded a $17.3 million impairment of goodwill included in the Electrical Infrastructure segment. The impairment was triggered by lower financial projections as a result of the Company's decision to shift its strategy away from EPC power generation projects to smaller, individual packages that better fit the Company's strategy and risk profile, and sluggish maintenance and capital spending by some key clients in our Northeast and Mid-Atlantic high voltage markets. The estimated fair value of the reporting unit was derived by utilizing a combination of discounted cash flow analysis and market multiples.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to 15</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42,604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3"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9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to 15</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21,799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42,594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22,814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2018, the Company recorded a $0.7 million impairment to a customer relationship intangible asset associated with an acquisition that was completed in fiscal 2013. The impairment was triggered by lower than anticipated revenue and operating income. The impairment is included in the Oil Gas &amp; Chemical segment and is presented within the Goodwill and other intangible asset impairment caption in the Consolidated Statements of Income.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totaled $3.3 million, $4.8 million, and $4.9 million in fiscal 2019, 2018, and 2017, respectively. We estimate that future amortization of other intangible assets will be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year ending:</w:t>
            </w:r>
          </w:p>
        </w:tc>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2020</w:t>
            </w:r>
          </w:p>
        </w:tc>
        <w:tc>
          <w:tcPr>
            <w:tcW w:w="6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2021</w:t>
            </w:r>
          </w:p>
        </w:tc>
        <w:tc>
          <w:tcPr>
            <w:tcW w:w="5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2022</w:t>
            </w:r>
          </w:p>
        </w:tc>
        <w:tc>
          <w:tcPr>
            <w:tcW w:w="5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2023</w:t>
            </w:r>
          </w:p>
        </w:tc>
        <w:tc>
          <w:tcPr>
            <w:tcW w:w="5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5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6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1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Ratio, determined as of the end of each fiscal quarter, may not exceed 3.00 to 1.00.</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determined as of the end of each fiscal quarter, greater than or equal to 1.25 to 1.00.</w:t>
      </w:r>
    </w:p>
    <w:p>
      <w:pPr>
        <w:spacing w:after="0" w:line="171" w:lineRule="exact"/>
        <w:rPr>
          <w:rFonts w:ascii="Times New Roman" w:cs="Times New Roman" w:eastAsia="Times New Roman" w:hAnsi="Times New Roman"/>
          <w:sz w:val="18"/>
          <w:szCs w:val="18"/>
          <w:color w:val="auto"/>
        </w:rPr>
      </w:pPr>
    </w:p>
    <w:p>
      <w:pPr>
        <w:ind w:left="640" w:right="520" w:hanging="321"/>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facility includes a sub-facility for revolving loans and letters of credit denominated in Australian Dollars, Canadian Dollars, Euros and Pounds Sterling in an aggregate amount not to exceed the U.S. Dollar equivalent of $75.0 million and a $200.0 million sublimit for total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or the Adjusted LIBO Rate, in the case of revolving loans denominated in U.S.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Prime Rate or the CDOR rate, in the case of revolving loans denominated in Canadian Dollars;</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 Rate, in the case of revolving loans denominated in Pounds Sterling or Australian Dollars; or</w:t>
      </w:r>
    </w:p>
    <w:p>
      <w:pPr>
        <w:spacing w:after="0" w:line="171"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EURIBO Rate, in the case of revolving loans denominated in Euros,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includes a Leverage Ratio covenant, which provides that Consolidated Funded Indebtedness, as defined in the Credit Agreement, as of the end of any fiscal quarter, may not exceed 3.0 times Consolidated EBITDA, as defined in the Credit Agreement, or "Covenant EBITDA," over the previous four quarters. For the four quarters ended June 30, 2019, Covenant EBITDA was $68.6 million. Consolidated Funded Indebtedness at June 30, 2019 was $53.5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3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constraint due to the Leverage Ratio</w:t>
            </w: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94,323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189,741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under the senior secured revolving credit facility</w:t>
            </w:r>
          </w:p>
        </w:tc>
        <w:tc>
          <w:tcPr>
            <w:tcW w:w="2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205,677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110,259</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 issued</w:t>
            </w:r>
          </w:p>
        </w:tc>
        <w:tc>
          <w:tcPr>
            <w:tcW w:w="2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48,147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37,073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2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senior secured revolving credit facility</w:t>
            </w:r>
          </w:p>
        </w:tc>
        <w:tc>
          <w:tcPr>
            <w:tcW w:w="28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152,183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73,186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8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 compliance with all other affirmative, negative, and financial covenants under the Credit Agreement. At June 30, 2019, the Company was at the lowest margin tier for all categories of loans and the unused revolving credit facility fee under the Credit Agreement. The carrying value of the senior secured revolving credit facility approximates its fair value at each balance sheet date.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Cuts and Jobs Act</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Tax Cuts and Jobs Act (the "Act") was enacted on December 22, 2017. The Act makes broad and complex changes to the U.S. tax code, which have affected our current results and will affect our future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significant changes in the tax code that became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deduction for domestic production activity;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annual deduction for business interest;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taxing global intangible low-tax income;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a deduction for domestically earned foreign intangible income;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further deductibility of executive performance compensation in excess of $1.0 million; and</w:t>
      </w:r>
    </w:p>
    <w:p>
      <w:pPr>
        <w:spacing w:after="0" w:line="171" w:lineRule="exact"/>
        <w:rPr>
          <w:rFonts w:ascii="Times New Roman" w:cs="Times New Roman" w:eastAsia="Times New Roman" w:hAnsi="Times New Roman"/>
          <w:sz w:val="18"/>
          <w:szCs w:val="18"/>
          <w:color w:val="auto"/>
        </w:rPr>
      </w:pPr>
    </w:p>
    <w:p>
      <w:pPr>
        <w:ind w:right="2460" w:firstLine="332"/>
        <w:spacing w:after="0" w:line="438"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establishing a new base erosion and anti-abuse tax on payments between U.S. taxpayers and foreign related parties. We completed the accounting for the Act as of December 31, 2018 and accounted for the tax effect of the Act as follows: </w:t>
      </w:r>
      <w:r>
        <w:rPr>
          <w:rFonts w:ascii="Times New Roman" w:cs="Times New Roman" w:eastAsia="Times New Roman" w:hAnsi="Times New Roman"/>
          <w:sz w:val="18"/>
          <w:szCs w:val="18"/>
          <w:u w:val="single" w:color="auto"/>
          <w:color w:val="auto"/>
        </w:rPr>
        <w:t>Deferred Taxes Remeasurement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remeasured our domestic deferred tax assets and liabilities based on the rates at which we expect them to reverse in the future. At June 30, 2018, we completed the remeasurement of our domestic deferred tax assets and liabilities which resulted in an income tax benefit of $0.5 million recognized in fiscal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One-time Transition Tax on Unrepatriated Earnings of Certain Foreign Subsidiaries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 includes a one-time transition tax based on our total post-1986 foreign earnings and profits ("E&amp;P") which we have previously deferred from U.S. income taxes. Based on our completed calculations surrounding this tax, we incurred no additional tax related to this provision since our foreign subsidiaries have overall negative E&amp;P.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Intangible Low-Tax Income (“GILTI”)</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 creates a new requirement that certain income earned by controlled foreign corporations must be included currently in the gross income of the U.S. shareholder. Under U.S. GAAP, we have made an accounting policy election to treat taxes due on future U.S. inclusions in taxable income related to GILTI as a current-period expense when incurred instead of factoring such amounts into the measurement of our deferred taxes. For fiscal 2019, we have no U.S. taxable income inclusion related to GILTI.</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Allowances on Foreign Tax Credit Carryforwards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assess our ability to utilize our foreign tax credits in light of the lower U.S. federal income tax rate. As of June 30, 2019, we had $1.5 million of foreign tax credit carryforwards, the majority of which relate to our branch operations in Canada. Future operations of our Canadian branches will impact our ability to utilize these credits. During our third fiscal quarter we concluded that we are unlikely to realize the benefit of foreign tax credits generated by our Canadian branch operations, which expire in fiscal 2021. Therefore, we recorded a valuation allowance of $0.6 million during the third fiscal quarter. In our fourth fiscal quarter, we placed an additional valuation allowance of $0.3 million on foreign tax credits expiring in fiscal 2025. The remaining credits will expire in fiscal 2023 through fiscal 2025 if not utilized.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3"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Indefinite Reinvestment Assertion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provide for outside basis differences under the indefinite reinvestment assertion of ASC 740-30. Based on our analysis of the Act, we do not anticipate the need to provide for additional taxes for basis differences or withholding taxes on remitted foreign earnings in the immediate future.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pretax income (loss)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9"/>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128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19,763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(17,317)</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38,412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2,446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the provision for income tax expense (benefit)</w:t>
      </w:r>
    </w:p>
    <w:p>
      <w:pPr>
        <w:spacing w:after="0" w:line="39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24765</wp:posOffset>
            </wp:positionV>
            <wp:extent cx="3173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between the expected income tax provision applying the domestic federal statutory tax rate and the reported income tax provision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49"/>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3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10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provision (benefit) for federal income taxes at the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Impairment of non-deductible goodwill</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 without tax benefit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Change in valuation allowance</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1,295</w:t>
            </w:r>
          </w:p>
        </w:tc>
      </w:tr>
      <w:tr>
        <w:trPr>
          <w:trHeight w:val="270"/>
        </w:trPr>
        <w:tc>
          <w:tcPr>
            <w:tcW w:w="71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Reversal of branch liability</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Excess tax expense (benefit) on stock-based compensation</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0"/>
        </w:trPr>
        <w:tc>
          <w:tcPr>
            <w:tcW w:w="71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Remeasurement of deferred taxes</w:t>
            </w:r>
            <w:r>
              <w:rPr>
                <w:rFonts w:ascii="Times New Roman" w:cs="Times New Roman" w:eastAsia="Times New Roman" w:hAnsi="Times New Roman"/>
                <w:sz w:val="25"/>
                <w:szCs w:val="25"/>
                <w:color w:val="auto"/>
                <w:vertAlign w:val="superscript"/>
              </w:rPr>
              <w:t>(4)</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IRC S199 deduction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and other tax credits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differential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1,496</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2,308</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40" w:hanging="316"/>
        <w:spacing w:after="0" w:line="253" w:lineRule="auto"/>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$17.3 million impairment of goodwill, which included $8.3 million of non-deductible goodwill. See Note 4 - Goodwill and Other Intangible Assets for more information about the impairment.</w:t>
      </w:r>
    </w:p>
    <w:p>
      <w:pPr>
        <w:jc w:val="both"/>
        <w:ind w:left="540" w:hanging="316"/>
        <w:spacing w:after="0" w:line="241" w:lineRule="auto"/>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2019, the Company placed $4.5 million of valuation allowances on net operating loss carryforwards and foreign tax credits generated by its branch operations in Canada, which will likely not be utilized prior to their expiration. These valuation allowances were largely offset by the reversal $3.5 million of branch liabilities associated with the Canadian net operating loss carryforwards and foreign tax credits.</w:t>
      </w:r>
    </w:p>
    <w:p>
      <w:pPr>
        <w:spacing w:after="0" w:line="1" w:lineRule="exact"/>
        <w:rPr>
          <w:rFonts w:ascii="Times New Roman" w:cs="Times New Roman" w:eastAsia="Times New Roman" w:hAnsi="Times New Roman"/>
          <w:sz w:val="14"/>
          <w:szCs w:val="14"/>
          <w:color w:val="auto"/>
        </w:rPr>
      </w:pPr>
    </w:p>
    <w:p>
      <w:pPr>
        <w:jc w:val="both"/>
        <w:ind w:left="540" w:hanging="316"/>
        <w:spacing w:after="0" w:line="241" w:lineRule="auto"/>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amount recognized for excess tax benefits upon the vesting or exercise of nonvested deferred share awards and stock options, respectively, for which the Company expects to receive an income tax deduction. The Company adopted ASU 2016-09 in fiscal 2017, which required that excess tax benefits and tax deficiencies be recognized as part of the provision for income taxes.</w:t>
      </w:r>
    </w:p>
    <w:p>
      <w:pPr>
        <w:spacing w:after="0" w:line="1"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remeasurement of deferred taxes in connection with Tax Cuts and Jobs Act - see Deferred Taxes Remeasurement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-929005</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33"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the Company’s deferred tax assets and liabilities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10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Warranty reserve</w:t>
            </w:r>
          </w:p>
        </w:tc>
        <w:tc>
          <w:tcPr>
            <w:tcW w:w="1100" w:type="dxa"/>
            <w:vAlign w:val="bottom"/>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Bad debt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Paid-time-off accrual</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Legal reserve</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benefit and credit carryforwards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10,054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 and pension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compensation expense on nonvested deferred shares</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losses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13,554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17,304</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over book amortization</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 future liability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 holdbacks and other</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11,169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asset</w:t>
            </w:r>
          </w:p>
        </w:tc>
        <w:tc>
          <w:tcPr>
            <w:tcW w:w="1100" w:type="dxa"/>
            <w:vAlign w:val="bottom"/>
            <w:tcBorders>
              <w:top w:val="single" w:sz="8" w:color="auto"/>
            </w:tcBorders>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7"/>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reported in the Consolidated Balance Sheets:</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880" w:type="dxa"/>
            <w:vAlign w:val="bottom"/>
          </w:tcPr>
          <w:p>
            <w:pPr>
              <w:spacing w:after="0"/>
              <w:rPr>
                <w:sz w:val="24"/>
                <w:szCs w:val="24"/>
                <w:color w:val="auto"/>
              </w:rPr>
            </w:pPr>
          </w:p>
        </w:tc>
        <w:tc>
          <w:tcPr>
            <w:tcW w:w="110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and tax credit carryforwards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state net operating loss carryforwards, state tax credit carryforwards, federal foreign tax credit carryforwards, foreign net operating loss carryforwards and foreign tax credit carryforwards. The valuation allowance at June 30, 2019 and June 30, 2018 reduces the recognized tax benefit of these carryforwards to an amount that is more likely than not to be realized. These carryforwards will generally expire as shown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Loss Carryforwards</w:t>
            </w:r>
          </w:p>
        </w:tc>
        <w:tc>
          <w:tcPr>
            <w:tcW w:w="47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474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June 2024 to June 2039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18,638</w:t>
            </w: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net operating losses</w:t>
            </w:r>
          </w:p>
        </w:tc>
        <w:tc>
          <w:tcPr>
            <w:tcW w:w="4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June 2029 to June 2039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23,749</w:t>
            </w:r>
          </w:p>
        </w:tc>
      </w:tr>
      <w:tr>
        <w:trPr>
          <w:trHeight w:val="702"/>
        </w:trPr>
        <w:tc>
          <w:tcPr>
            <w:tcW w:w="3840" w:type="dxa"/>
            <w:vAlign w:val="bottom"/>
          </w:tcPr>
          <w:p>
            <w:pPr>
              <w:spacing w:after="0"/>
              <w:rPr>
                <w:sz w:val="24"/>
                <w:szCs w:val="24"/>
                <w:color w:val="auto"/>
              </w:rPr>
            </w:pPr>
          </w:p>
        </w:tc>
        <w:tc>
          <w:tcPr>
            <w:tcW w:w="4740" w:type="dxa"/>
            <w:vAlign w:val="bottom"/>
          </w:tcPr>
          <w:p>
            <w:pPr>
              <w:jc w:val="right"/>
              <w:ind w:right="2694"/>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c>
          <w:tcPr>
            <w:tcW w:w="46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Expiration Period</w:t>
            </w: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 (in thousands)</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 credits</w:t>
            </w:r>
          </w:p>
        </w:tc>
        <w:tc>
          <w:tcPr>
            <w:tcW w:w="4680" w:type="dxa"/>
            <w:vAlign w:val="bottom"/>
            <w:tcBorders>
              <w:bottom w:val="single" w:sz="8" w:color="CCEEFF"/>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June 2032 to June 2034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834</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foreign tax credits</w:t>
            </w:r>
          </w:p>
        </w:tc>
        <w:tc>
          <w:tcPr>
            <w:tcW w:w="4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June 2020 to June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1,302</w:t>
            </w:r>
          </w:p>
        </w:tc>
      </w:tr>
      <w:tr>
        <w:trPr>
          <w:trHeight w:val="27"/>
        </w:trPr>
        <w:tc>
          <w:tcPr>
            <w:tcW w:w="39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credits</w:t>
            </w:r>
          </w:p>
        </w:tc>
        <w:tc>
          <w:tcPr>
            <w:tcW w:w="468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June 2035 to June 2039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660</w:t>
            </w:r>
          </w:p>
        </w:tc>
      </w:tr>
      <w:tr>
        <w:trPr>
          <w:trHeight w:val="27"/>
        </w:trPr>
        <w:tc>
          <w:tcPr>
            <w:tcW w:w="39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tax returns in multiple domestic and foreign taxing jurisdictions. With a few exceptions, the Company is no longer subject to examination by taxing authorities through fiscal 2014. At June 30, 2019, the Company updated its evaluation of its open tax years in all known jurisdictions. We have recorded a $0.5 million liability as of June 30, 2019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Unpriced Change Orders and 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2019 and June 30, 2018, costs and estimated earnings in excess of billings on uncompleted contracts included revenues for unpriced change orders and claims of $10.1 million and $15.0 million, respectively. The amounts ultimately realized may be significantly different than the recorded amounts resulting in a material adjustment to future earnings. Generally, collection of amounts related to unpriced change orders and claims is expected within twelve months. However, customers may not pay these amounts until final resolution of related claims, and accordingly, collection of these amounts may extend beyond one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8—Operating Leases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2019 total $39.4 million and are payable as follows: fiscal 2020—$7.8 million; fiscal 2021—$6.9 million; fiscal 2022—$6.0 million; fiscal 2023—$4.3 million; fiscal 2024—$2.7 million and thereafter—$11.7 million. Included in these payments is an operating lease the Company is expecting to commence in the first quarter of fiscal 2020 that has a 10 year term and future minimum lease payments of $11.9 million. Operating lease expense was $8.3 million, $8.6 million and $7.9 million for the fiscal years ended June 30, 2019, June 30, 2018 and June 30, 2017,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333"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5.0 million shares of preferred stock authorized, none of which was issued or outstanding at June 30, 2019 or June 30, 2018.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6, 2018, the Board of Directors approved a new stock buyback program (the "November 2018 Program"), which replaced the previous program that had been in place since December 2016 and was set to expire in December 2018. Under the November 2018 Program, the Company may repurchase common stock of the Company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In December 2018, the Company repurchased 310,532 shares of its common stock for $5.2 million under the November 2018 Program. There were 2,396,643 shares available for repurchase under the November 2018 Program as of June 30, 2019.</w:t>
      </w:r>
    </w:p>
    <w:p>
      <w:pPr>
        <w:spacing w:after="0" w:line="185"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The Company withheld 79,111 and 52,950 shares of common stock during fiscal 2019 and 2018, respectively, to satisfy these obligations. These shares were returned to the Company’s pool of treasury shares. The Company has 1,081,014 treasury shares as of June 30, 2019 and intends to utilize these treasury shares in connection with equity awards under the Company’s stock incentive plans and for sales to the Employee Stock Purchase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stock-based compensation expense for the fiscal years ended June 30, 2019, June 30, 2018, and June 30, 2017 was $11.9 million, $8.6 million and $7.5 million, respectively. Measured but unrecognized stock-based compensation expense at June 30, 2019 was $14.7 million, all of which related to nonvested deferred shares which are expected to be recognized as expense over a weighted average period of 1.7 years. The Company recognized excess tax benefits of $0.3 million and $0.5 million related to stock-based compensation vesting for the fiscal years ended June 30, 2019 and 2017, respectively. The Company recognized excess tax expense of $0.5 million for the fiscal year ended June 30, 2018 related to stock-based compensation vesting.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Information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2018, the Company's stockholders approved the Matrix Service Company 2018 Stock and Incentive Compensation Plan (the "2018 Plan"), which provides stock-based and cash-based incentives for officers, directors and other key employees. Stock options, restricted stock, restricted stock units, stock appreciation rights, performance shares and cash-based awards can be issued under this plan. Upon approval of the 2018 Plan, the 2016 Stock and Incentive Compensation Plan ("2016 Plan") was frozen with the exception of normal vesting and other activity associated with awards previously granted under the 2016 Plan. The 2016 Plan was preceded by the 2012 Stock Incentive Plan ("2012 Plan"), which was frozen upon approval of the 2016 Plan with the exception of normal vesting, forfeiture and other activity associated with awards previously granted under the 2012 Plan. Shares awarded under either the 2016 Plan or the 2012 Plan that are subsequently forfeited or net settled for tax withholding purposes are returned to the treasury share pool and become available for grant under the 2018 Plan. The 2012 Plan was preceded by the 2004 Stock Incentive Plan ("2004 Plan"), which was frozen upon approval of the 2012 Plan with the exception of normal vesting, forfeiture and other activity associated with awards previously granted under the 2004 Plan.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totaling 1,600,000 shares have been authorized under the 2018 Plan. There were 1,629,134 shares available for grant under the 2018 Plan as of June 30, 2019.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2019, 2018, or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333"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and related information for the fiscal year ended June 30, 2019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6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0" w:type="dxa"/>
            <w:vAlign w:val="bottom"/>
          </w:tcPr>
          <w:p>
            <w:pPr>
              <w:spacing w:after="0"/>
              <w:rPr>
                <w:sz w:val="17"/>
                <w:szCs w:val="17"/>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0" w:type="dxa"/>
            <w:vAlign w:val="bottom"/>
          </w:tcPr>
          <w:p>
            <w:pPr>
              <w:spacing w:after="0"/>
              <w:rPr>
                <w:sz w:val="18"/>
                <w:szCs w:val="18"/>
                <w:color w:val="auto"/>
              </w:rPr>
            </w:pPr>
          </w:p>
        </w:tc>
        <w:tc>
          <w:tcPr>
            <w:tcW w:w="14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2018</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66,200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Canceled</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Vested at June 30,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53,700</w:t>
            </w:r>
          </w:p>
        </w:tc>
        <w:tc>
          <w:tcPr>
            <w:tcW w:w="172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51"/>
        </w:trPr>
        <w:tc>
          <w:tcPr>
            <w:tcW w:w="482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at June 30, 2019</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options exercised was $0.3 million during each of fiscal 2018 and fiscal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Deferred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issued nonvested deferred shares under the following types of arrangements:</w:t>
      </w:r>
    </w:p>
    <w:p>
      <w:pPr>
        <w:spacing w:after="0" w:line="171" w:lineRule="exact"/>
        <w:rPr>
          <w:sz w:val="20"/>
          <w:szCs w:val="20"/>
          <w:color w:val="auto"/>
        </w:rPr>
      </w:pPr>
    </w:p>
    <w:p>
      <w:pPr>
        <w:ind w:left="640" w:right="180" w:hanging="321"/>
        <w:spacing w:after="0" w:line="261"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awards—Employee awards generally vest in four equal annual installments beginning one year after the grant date. Beginning in fiscal 2019, the award agreements contain a provision that accelerates the vesting for retirement eligible participants and participants that become retirement eligible during the vesting period. The award is forfeited if retirement occurs before the first anniversary of the award. Settlement still occurs on the normal vesting schedules. Director awards vest one year after the grant date.</w:t>
      </w:r>
    </w:p>
    <w:p>
      <w:pPr>
        <w:spacing w:after="0" w:line="126" w:lineRule="exact"/>
        <w:rPr>
          <w:rFonts w:ascii="Times New Roman" w:cs="Times New Roman" w:eastAsia="Times New Roman" w:hAnsi="Times New Roman"/>
          <w:sz w:val="18"/>
          <w:szCs w:val="18"/>
          <w:color w:val="auto"/>
        </w:rPr>
      </w:pPr>
    </w:p>
    <w:p>
      <w:pPr>
        <w:ind w:left="640" w:right="40" w:hanging="321"/>
        <w:spacing w:after="0" w:line="25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awards—These awards are in the form of performance units which vest 3 years after the grant date only if the Company’s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These awards are settled in stock. As of June 30, 2019, there are approximately 173,000, 261,000, and 185,000 performance units that are scheduled to vest in fiscal 2020, fiscal 2021, and fiscal 2022, respectively, assuming target performance.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awards vest upon the death or disability of the participant or upon a change of control of the Company.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 date fair value of the time-based awards is determined by the market value of the Company's common stock on the grant date. The grant date fair value of stock options is determined based on the Black-Scholes option pricing model. The grant date fair value of the market-based awards is calculated using a Monte Carlo model. For the fiscal 2019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over the performance period of those peer companies which pay cash dividends.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333"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deferred share activity for the fiscal year ended June 30, 2019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2"/>
        </w:trPr>
        <w:tc>
          <w:tcPr>
            <w:tcW w:w="7220" w:type="dxa"/>
            <w:vAlign w:val="bottom"/>
          </w:tcPr>
          <w:p>
            <w:pPr>
              <w:spacing w:after="0"/>
              <w:rPr>
                <w:sz w:val="18"/>
                <w:szCs w:val="18"/>
                <w:color w:val="auto"/>
              </w:rPr>
            </w:pPr>
          </w:p>
        </w:tc>
        <w:tc>
          <w:tcPr>
            <w:tcW w:w="202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r>
      <w:tr>
        <w:trPr>
          <w:trHeight w:val="33"/>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shares at June 30, 2018</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1,366,047</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granted</w:t>
            </w: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602,148</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25.10</w:t>
            </w:r>
          </w:p>
        </w:tc>
      </w:tr>
      <w:tr>
        <w:trPr>
          <w:trHeight w:val="27"/>
        </w:trPr>
        <w:tc>
          <w:tcPr>
            <w:tcW w:w="7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vested and released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(314,711)</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canceled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(193,973)</w:t>
            </w:r>
          </w:p>
        </w:tc>
        <w:tc>
          <w:tcPr>
            <w:tcW w:w="86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w:t>
            </w:r>
          </w:p>
        </w:tc>
      </w:tr>
      <w:tr>
        <w:trPr>
          <w:trHeight w:val="27"/>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shares at June 30, 2019</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1,459,511</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19.88</w:t>
            </w:r>
          </w:p>
        </w:tc>
      </w:tr>
      <w:tr>
        <w:trPr>
          <w:trHeight w:val="20"/>
        </w:trPr>
        <w:tc>
          <w:tcPr>
            <w:tcW w:w="7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715,539 and 516,969 deferred shares granted in fiscal 2018 and 2017 with average grant date fair values of $13.64 and $19.80 per share, respectively. There were 253,241 and 396,530 deferred shares that vested and were released in fiscal 2018 and 2017 with weighted average fair values of $19.60 and $18.24 per share,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11—Earnings per Common Share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2"/>
                <w:szCs w:val="12"/>
                <w:color w:val="auto"/>
              </w:rPr>
            </w:pPr>
          </w:p>
        </w:tc>
        <w:tc>
          <w:tcPr>
            <w:tcW w:w="1220" w:type="dxa"/>
            <w:vAlign w:val="bottom"/>
          </w:tcPr>
          <w:p>
            <w:pPr>
              <w:jc w:val="right"/>
              <w:ind w:right="47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60" w:type="dxa"/>
            <w:vAlign w:val="bottom"/>
            <w:gridSpan w:val="6"/>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27,982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26,533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1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26,891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26,533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stock options</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nonvested deferred shares</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27,587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26,533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earnings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580" w:type="dxa"/>
            <w:vAlign w:val="bottom"/>
            <w:tcBorders>
              <w:bottom w:val="single" w:sz="8" w:color="auto"/>
            </w:tcBorders>
          </w:tcPr>
          <w:p>
            <w:pPr>
              <w:spacing w:after="0"/>
              <w:rPr>
                <w:sz w:val="16"/>
                <w:szCs w:val="16"/>
                <w:color w:val="auto"/>
              </w:rPr>
            </w:pPr>
          </w:p>
        </w:tc>
      </w:tr>
      <w:tr>
        <w:trPr>
          <w:trHeight w:val="149"/>
        </w:trPr>
        <w:tc>
          <w:tcPr>
            <w:tcW w:w="662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5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50"/>
        </w:trPr>
        <w:tc>
          <w:tcPr>
            <w:tcW w:w="66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1580" w:type="dxa"/>
            <w:vAlign w:val="bottom"/>
            <w:tcBorders>
              <w:top w:val="single" w:sz="8" w:color="auto"/>
            </w:tcBorders>
          </w:tcPr>
          <w:p>
            <w:pPr>
              <w:spacing w:after="0"/>
              <w:rPr>
                <w:sz w:val="21"/>
                <w:szCs w:val="21"/>
                <w:color w:val="auto"/>
              </w:rPr>
            </w:pPr>
          </w:p>
        </w:tc>
      </w:tr>
      <w:tr>
        <w:trPr>
          <w:trHeight w:val="255"/>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Nonvested deferred shares</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430</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matching contributions were $6.2 million, $5.8 million, and $5.5 million for the fiscal years ended June 30, 2019, 2018 and 2017,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contributes to various union sponsored multiemployer benefit plans in the U.S. and Canada. Benefits under these plans are generally based on compensation levels and years of service.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 the financial risks of participating in multiemployer plans are different from single-employer plans in the following respects:</w:t>
      </w:r>
    </w:p>
    <w:p>
      <w:pPr>
        <w:spacing w:after="0" w:line="171" w:lineRule="exact"/>
        <w:rPr>
          <w:sz w:val="20"/>
          <w:szCs w:val="20"/>
          <w:color w:val="auto"/>
        </w:rPr>
      </w:pPr>
    </w:p>
    <w:p>
      <w:pPr>
        <w:ind w:left="640" w:hanging="321"/>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71" w:lineRule="exact"/>
        <w:rPr>
          <w:rFonts w:ascii="Times New Roman" w:cs="Times New Roman" w:eastAsia="Times New Roman" w:hAnsi="Times New Roman"/>
          <w:sz w:val="18"/>
          <w:szCs w:val="18"/>
          <w:color w:val="auto"/>
        </w:rPr>
      </w:pPr>
    </w:p>
    <w:p>
      <w:pPr>
        <w:ind w:left="640" w:right="300" w:hanging="321"/>
        <w:spacing w:after="0" w:line="28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discontinues contributions to a plan, the unfunded obligations of the plan may be borne by the remaining participating employers.</w:t>
      </w:r>
    </w:p>
    <w:p>
      <w:pPr>
        <w:spacing w:after="0" w:line="107" w:lineRule="exact"/>
        <w:rPr>
          <w:rFonts w:ascii="Times New Roman" w:cs="Times New Roman" w:eastAsia="Times New Roman" w:hAnsi="Times New Roman"/>
          <w:sz w:val="18"/>
          <w:szCs w:val="18"/>
          <w:color w:val="auto"/>
        </w:rPr>
      </w:pPr>
    </w:p>
    <w:p>
      <w:pPr>
        <w:ind w:left="640" w:right="60" w:hanging="321"/>
        <w:spacing w:after="0" w:line="28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chooses to stop participating in a plan, a withdrawal liability may be created based on the unfunded vested benefits for all employees in the plan.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participation in significant plans for the fiscal year ended June 30, 2019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333"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Pension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020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98" w:lineRule="exact"/>
        <w:rPr>
          <w:sz w:val="20"/>
          <w:szCs w:val="20"/>
          <w:color w:val="auto"/>
        </w:rPr>
      </w:pPr>
    </w:p>
    <w:p>
      <w:pPr>
        <w:ind w:left="240" w:right="140" w:hanging="42"/>
        <w:spacing w:after="0" w:line="280" w:lineRule="auto"/>
        <w:rPr>
          <w:sz w:val="20"/>
          <w:szCs w:val="20"/>
          <w:color w:val="auto"/>
        </w:rPr>
      </w:pPr>
      <w:r>
        <w:rPr>
          <w:rFonts w:ascii="Times New Roman" w:cs="Times New Roman" w:eastAsia="Times New Roman" w:hAnsi="Times New Roman"/>
          <w:sz w:val="12"/>
          <w:szCs w:val="12"/>
          <w:color w:val="auto"/>
        </w:rPr>
        <w:t>Boilermaker-Blacksmith National Pension Trust</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Joint Pension Fund Local</w:t>
      </w:r>
    </w:p>
    <w:p>
      <w:pPr>
        <w:ind w:left="360"/>
        <w:spacing w:after="0"/>
        <w:rPr>
          <w:sz w:val="20"/>
          <w:szCs w:val="20"/>
          <w:color w:val="auto"/>
        </w:rPr>
      </w:pPr>
      <w:r>
        <w:rPr>
          <w:rFonts w:ascii="Times New Roman" w:cs="Times New Roman" w:eastAsia="Times New Roman" w:hAnsi="Times New Roman"/>
          <w:sz w:val="13"/>
          <w:szCs w:val="13"/>
          <w:color w:val="auto"/>
        </w:rPr>
        <w:t>Union 164 IBEW</w:t>
      </w:r>
    </w:p>
    <w:p>
      <w:pPr>
        <w:spacing w:after="0" w:line="26" w:lineRule="exact"/>
        <w:rPr>
          <w:sz w:val="20"/>
          <w:szCs w:val="20"/>
          <w:color w:val="auto"/>
        </w:rPr>
      </w:pPr>
    </w:p>
    <w:p>
      <w:pPr>
        <w:jc w:val="center"/>
        <w:ind w:left="40"/>
        <w:spacing w:after="0" w:line="280" w:lineRule="auto"/>
        <w:rPr>
          <w:sz w:val="20"/>
          <w:szCs w:val="20"/>
          <w:color w:val="auto"/>
        </w:rPr>
      </w:pPr>
      <w:r>
        <w:rPr>
          <w:rFonts w:ascii="Times New Roman" w:cs="Times New Roman" w:eastAsia="Times New Roman" w:hAnsi="Times New Roman"/>
          <w:sz w:val="12"/>
          <w:szCs w:val="12"/>
          <w:color w:val="auto"/>
        </w:rPr>
        <w:t>Joint Pension Fund of Local Union No 102 IBEW</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IBEW Local 456 Pension Plan</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Local 351 IBEW Pension</w:t>
      </w:r>
    </w:p>
    <w:p>
      <w:pPr>
        <w:ind w:left="680"/>
        <w:spacing w:after="0"/>
        <w:rPr>
          <w:sz w:val="20"/>
          <w:szCs w:val="20"/>
          <w:color w:val="auto"/>
        </w:rPr>
      </w:pPr>
      <w:r>
        <w:rPr>
          <w:rFonts w:ascii="Times New Roman" w:cs="Times New Roman" w:eastAsia="Times New Roman" w:hAnsi="Times New Roman"/>
          <w:sz w:val="13"/>
          <w:szCs w:val="13"/>
          <w:color w:val="auto"/>
        </w:rPr>
        <w:t>Plan</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Steamfitters Local Union No</w:t>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420 Pension Plan</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IBEW Local Union 98</w:t>
      </w:r>
    </w:p>
    <w:p>
      <w:pPr>
        <w:ind w:left="480"/>
        <w:spacing w:after="0"/>
        <w:rPr>
          <w:sz w:val="20"/>
          <w:szCs w:val="20"/>
          <w:color w:val="auto"/>
        </w:rPr>
      </w:pPr>
      <w:r>
        <w:rPr>
          <w:rFonts w:ascii="Times New Roman" w:cs="Times New Roman" w:eastAsia="Times New Roman" w:hAnsi="Times New Roman"/>
          <w:sz w:val="13"/>
          <w:szCs w:val="13"/>
          <w:color w:val="auto"/>
        </w:rPr>
        <w:t>Pension Plan</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Indiana Laborers Pension</w:t>
      </w:r>
    </w:p>
    <w:p>
      <w:pPr>
        <w:ind w:left="680"/>
        <w:spacing w:after="0"/>
        <w:rPr>
          <w:sz w:val="20"/>
          <w:szCs w:val="20"/>
          <w:color w:val="auto"/>
        </w:rPr>
      </w:pPr>
      <w:r>
        <w:rPr>
          <w:rFonts w:ascii="Times New Roman" w:cs="Times New Roman" w:eastAsia="Times New Roman" w:hAnsi="Times New Roman"/>
          <w:sz w:val="13"/>
          <w:szCs w:val="13"/>
          <w:color w:val="auto"/>
        </w:rPr>
        <w:t>Fund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Iron Workers Mid-America</w:t>
      </w:r>
    </w:p>
    <w:p>
      <w:pPr>
        <w:ind w:left="200"/>
        <w:spacing w:after="0"/>
        <w:rPr>
          <w:sz w:val="20"/>
          <w:szCs w:val="20"/>
          <w:color w:val="auto"/>
        </w:rPr>
      </w:pPr>
      <w:r>
        <w:rPr>
          <w:rFonts w:ascii="Times New Roman" w:cs="Times New Roman" w:eastAsia="Times New Roman" w:hAnsi="Times New Roman"/>
          <w:sz w:val="13"/>
          <w:szCs w:val="13"/>
          <w:color w:val="auto"/>
        </w:rPr>
        <w:t>Pension Plan, Local 395</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Pipe Fitters Retirement Fund,</w:t>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Local 597</w:t>
      </w:r>
    </w:p>
    <w:p>
      <w:pPr>
        <w:spacing w:after="0" w:line="26" w:lineRule="exact"/>
        <w:rPr>
          <w:sz w:val="20"/>
          <w:szCs w:val="20"/>
          <w:color w:val="auto"/>
        </w:rPr>
      </w:pPr>
    </w:p>
    <w:p>
      <w:pPr>
        <w:jc w:val="center"/>
        <w:ind w:left="40"/>
        <w:spacing w:after="0" w:line="232" w:lineRule="auto"/>
        <w:rPr>
          <w:sz w:val="20"/>
          <w:szCs w:val="20"/>
          <w:color w:val="auto"/>
        </w:rPr>
      </w:pPr>
      <w:r>
        <w:rPr>
          <w:rFonts w:ascii="Times New Roman" w:cs="Times New Roman" w:eastAsia="Times New Roman" w:hAnsi="Times New Roman"/>
          <w:sz w:val="13"/>
          <w:szCs w:val="13"/>
          <w:color w:val="auto"/>
        </w:rPr>
        <w:t>Iron Workers Pension Plan of Western Pennsylvania, Local 3</w:t>
      </w:r>
    </w:p>
    <w:p>
      <w:pPr>
        <w:spacing w:after="0" w:line="2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3"/>
          <w:szCs w:val="13"/>
          <w:color w:val="auto"/>
        </w:rPr>
        <w:t>Iron Workers Pension Plan,</w:t>
      </w:r>
    </w:p>
    <w:p>
      <w:pPr>
        <w:jc w:val="center"/>
        <w:ind w:left="40"/>
        <w:spacing w:after="0"/>
        <w:rPr>
          <w:sz w:val="20"/>
          <w:szCs w:val="20"/>
          <w:color w:val="auto"/>
        </w:rPr>
      </w:pPr>
      <w:r>
        <w:rPr>
          <w:rFonts w:ascii="Times New Roman" w:cs="Times New Roman" w:eastAsia="Times New Roman" w:hAnsi="Times New Roman"/>
          <w:sz w:val="13"/>
          <w:szCs w:val="13"/>
          <w:color w:val="auto"/>
        </w:rPr>
        <w:t>Local 55</w:t>
      </w:r>
    </w:p>
    <w:p>
      <w:pPr>
        <w:spacing w:after="0" w:line="25"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3"/>
          <w:szCs w:val="13"/>
          <w:color w:val="auto"/>
        </w:rPr>
        <w:t>National Electrical Benefit</w:t>
      </w:r>
    </w:p>
    <w:p>
      <w:pPr>
        <w:jc w:val="center"/>
        <w:ind w:left="40"/>
        <w:spacing w:after="0"/>
        <w:rPr>
          <w:sz w:val="20"/>
          <w:szCs w:val="20"/>
          <w:color w:val="auto"/>
        </w:rPr>
      </w:pPr>
      <w:r>
        <w:rPr>
          <w:rFonts w:ascii="Times New Roman" w:cs="Times New Roman" w:eastAsia="Times New Roman" w:hAnsi="Times New Roman"/>
          <w:sz w:val="13"/>
          <w:szCs w:val="13"/>
          <w:color w:val="auto"/>
        </w:rPr>
        <w:t>Fund, Local 488</w:t>
      </w:r>
    </w:p>
    <w:p>
      <w:pPr>
        <w:spacing w:after="0" w:line="26" w:lineRule="exact"/>
        <w:rPr>
          <w:sz w:val="20"/>
          <w:szCs w:val="20"/>
          <w:color w:val="auto"/>
        </w:rPr>
      </w:pPr>
    </w:p>
    <w:p>
      <w:pPr>
        <w:jc w:val="center"/>
        <w:ind w:left="40"/>
        <w:spacing w:after="0" w:line="232" w:lineRule="auto"/>
        <w:rPr>
          <w:sz w:val="20"/>
          <w:szCs w:val="20"/>
          <w:color w:val="auto"/>
        </w:rPr>
      </w:pPr>
      <w:r>
        <w:rPr>
          <w:rFonts w:ascii="Times New Roman" w:cs="Times New Roman" w:eastAsia="Times New Roman" w:hAnsi="Times New Roman"/>
          <w:sz w:val="13"/>
          <w:szCs w:val="13"/>
          <w:color w:val="auto"/>
        </w:rPr>
        <w:t>Connecticut Plumbers and Pipefitters Pension Fund, Local 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660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FIP/RP</w:t>
            </w:r>
          </w:p>
        </w:tc>
        <w:tc>
          <w:tcPr>
            <w:tcW w:w="180" w:type="dxa"/>
            <w:vAlign w:val="bottom"/>
          </w:tcPr>
          <w:p>
            <w:pPr>
              <w:spacing w:after="0"/>
              <w:rPr>
                <w:sz w:val="13"/>
                <w:szCs w:val="13"/>
                <w:color w:val="auto"/>
              </w:rPr>
            </w:pPr>
          </w:p>
        </w:tc>
        <w:tc>
          <w:tcPr>
            <w:tcW w:w="2400" w:type="dxa"/>
            <w:vAlign w:val="bottom"/>
            <w:gridSpan w:val="7"/>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 Act</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Zone Status</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Collective-</w:t>
            </w:r>
          </w:p>
        </w:tc>
        <w:tc>
          <w:tcPr>
            <w:tcW w:w="0" w:type="dxa"/>
            <w:vAlign w:val="bottom"/>
          </w:tcPr>
          <w:p>
            <w:pPr>
              <w:spacing w:after="0"/>
              <w:rPr>
                <w:sz w:val="1"/>
                <w:szCs w:val="1"/>
                <w:color w:val="auto"/>
              </w:rPr>
            </w:pPr>
          </w:p>
        </w:tc>
      </w:tr>
      <w:tr>
        <w:trPr>
          <w:trHeight w:val="52"/>
        </w:trPr>
        <w:tc>
          <w:tcPr>
            <w:tcW w:w="138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EIN/Pension</w:t>
            </w:r>
          </w:p>
        </w:tc>
        <w:tc>
          <w:tcPr>
            <w:tcW w:w="1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Pending or</w:t>
            </w: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Surcharge</w:t>
            </w: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77"/>
        </w:trPr>
        <w:tc>
          <w:tcPr>
            <w:tcW w:w="1380" w:type="dxa"/>
            <w:vAlign w:val="bottom"/>
            <w:gridSpan w:val="2"/>
            <w:vMerge w:val="continue"/>
          </w:tcPr>
          <w:p>
            <w:pPr>
              <w:spacing w:after="0"/>
              <w:rPr>
                <w:sz w:val="6"/>
                <w:szCs w:val="6"/>
                <w:color w:val="auto"/>
              </w:rPr>
            </w:pPr>
          </w:p>
        </w:tc>
        <w:tc>
          <w:tcPr>
            <w:tcW w:w="12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2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45"/>
        </w:trPr>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48-6168020/001</w:t>
            </w:r>
          </w:p>
        </w:tc>
        <w:tc>
          <w:tcPr>
            <w:tcW w:w="120" w:type="dxa"/>
            <w:vAlign w:val="bottom"/>
          </w:tcPr>
          <w:p>
            <w:pPr>
              <w:spacing w:after="0"/>
              <w:rPr>
                <w:sz w:val="21"/>
                <w:szCs w:val="21"/>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5"/>
              </w:rPr>
              <w:t>Red</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3"/>
              </w:rPr>
              <w:t>Yellow</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12,434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8,525</w:t>
            </w:r>
          </w:p>
        </w:tc>
        <w:tc>
          <w:tcPr>
            <w:tcW w:w="10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7,098</w:t>
            </w:r>
          </w:p>
        </w:tc>
        <w:tc>
          <w:tcPr>
            <w:tcW w:w="12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(1)</w:t>
            </w:r>
          </w:p>
        </w:tc>
        <w:tc>
          <w:tcPr>
            <w:tcW w:w="0" w:type="dxa"/>
            <w:vAlign w:val="bottom"/>
          </w:tcPr>
          <w:p>
            <w:pPr>
              <w:spacing w:after="0"/>
              <w:rPr>
                <w:sz w:val="1"/>
                <w:szCs w:val="1"/>
                <w:color w:val="auto"/>
              </w:rPr>
            </w:pPr>
          </w:p>
        </w:tc>
      </w:tr>
      <w:tr>
        <w:trPr>
          <w:trHeight w:val="250"/>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22-6031199/001</w:t>
            </w:r>
          </w:p>
        </w:tc>
        <w:tc>
          <w:tcPr>
            <w:tcW w:w="120" w:type="dxa"/>
            <w:vAlign w:val="bottom"/>
          </w:tcPr>
          <w:p>
            <w:pPr>
              <w:spacing w:after="0"/>
              <w:rPr>
                <w:sz w:val="21"/>
                <w:szCs w:val="21"/>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7"/>
              </w:rPr>
              <w:t>Described below</w:t>
            </w:r>
          </w:p>
        </w:tc>
        <w:tc>
          <w:tcPr>
            <w:tcW w:w="64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auto"/>
                <w:w w:val="93"/>
              </w:rPr>
              <w:t>Yellow</w:t>
            </w:r>
          </w:p>
        </w:tc>
        <w:tc>
          <w:tcPr>
            <w:tcW w:w="120" w:type="dxa"/>
            <w:vAlign w:val="bottom"/>
          </w:tcPr>
          <w:p>
            <w:pPr>
              <w:spacing w:after="0"/>
              <w:rPr>
                <w:sz w:val="21"/>
                <w:szCs w:val="21"/>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21"/>
                <w:szCs w:val="21"/>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2,391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2,709</w:t>
            </w:r>
          </w:p>
        </w:tc>
        <w:tc>
          <w:tcPr>
            <w:tcW w:w="120" w:type="dxa"/>
            <w:vAlign w:val="bottom"/>
          </w:tcPr>
          <w:p>
            <w:pPr>
              <w:spacing w:after="0"/>
              <w:rPr>
                <w:sz w:val="21"/>
                <w:szCs w:val="2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5/31/2021</w:t>
            </w:r>
          </w:p>
        </w:tc>
        <w:tc>
          <w:tcPr>
            <w:tcW w:w="0" w:type="dxa"/>
            <w:vAlign w:val="bottom"/>
          </w:tcPr>
          <w:p>
            <w:pPr>
              <w:spacing w:after="0"/>
              <w:rPr>
                <w:sz w:val="1"/>
                <w:szCs w:val="1"/>
                <w:color w:val="auto"/>
              </w:rPr>
            </w:pPr>
          </w:p>
        </w:tc>
      </w:tr>
      <w:tr>
        <w:trPr>
          <w:trHeight w:val="74"/>
        </w:trPr>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center"/>
              <w:ind w:right="119"/>
              <w:spacing w:after="0"/>
              <w:rPr>
                <w:sz w:val="20"/>
                <w:szCs w:val="20"/>
                <w:color w:val="auto"/>
              </w:rPr>
            </w:pPr>
            <w:r>
              <w:rPr>
                <w:rFonts w:ascii="Times New Roman" w:cs="Times New Roman" w:eastAsia="Times New Roman" w:hAnsi="Times New Roman"/>
                <w:sz w:val="9"/>
                <w:szCs w:val="9"/>
                <w:color w:val="auto"/>
                <w:w w:val="94"/>
              </w:rPr>
              <w:t>(2)</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22-1615726/001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2,489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2,392</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5/31/2022</w:t>
            </w:r>
          </w:p>
        </w:tc>
        <w:tc>
          <w:tcPr>
            <w:tcW w:w="0" w:type="dxa"/>
            <w:vAlign w:val="bottom"/>
          </w:tcPr>
          <w:p>
            <w:pPr>
              <w:spacing w:after="0"/>
              <w:rPr>
                <w:sz w:val="1"/>
                <w:szCs w:val="1"/>
                <w:color w:val="auto"/>
              </w:rPr>
            </w:pPr>
          </w:p>
        </w:tc>
      </w:tr>
      <w:tr>
        <w:trPr>
          <w:trHeight w:val="297"/>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22-6238995/001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6,005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2,777</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5/31/2021</w:t>
            </w:r>
          </w:p>
        </w:tc>
        <w:tc>
          <w:tcPr>
            <w:tcW w:w="0" w:type="dxa"/>
            <w:vAlign w:val="bottom"/>
          </w:tcPr>
          <w:p>
            <w:pPr>
              <w:spacing w:after="0"/>
              <w:rPr>
                <w:sz w:val="1"/>
                <w:szCs w:val="1"/>
                <w:color w:val="auto"/>
              </w:rPr>
            </w:pPr>
          </w:p>
        </w:tc>
      </w:tr>
      <w:tr>
        <w:trPr>
          <w:trHeight w:val="297"/>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22-3417366/001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2,796</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12/4/2021</w:t>
            </w:r>
          </w:p>
        </w:tc>
        <w:tc>
          <w:tcPr>
            <w:tcW w:w="0" w:type="dxa"/>
            <w:vAlign w:val="bottom"/>
          </w:tcPr>
          <w:p>
            <w:pPr>
              <w:spacing w:after="0"/>
              <w:rPr>
                <w:sz w:val="1"/>
                <w:szCs w:val="1"/>
                <w:color w:val="auto"/>
              </w:rPr>
            </w:pPr>
          </w:p>
        </w:tc>
      </w:tr>
      <w:tr>
        <w:trPr>
          <w:trHeight w:val="324"/>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23-2004424/001</w:t>
            </w:r>
          </w:p>
        </w:tc>
        <w:tc>
          <w:tcPr>
            <w:tcW w:w="120" w:type="dxa"/>
            <w:vAlign w:val="bottom"/>
          </w:tcPr>
          <w:p>
            <w:pPr>
              <w:spacing w:after="0"/>
              <w:rPr>
                <w:sz w:val="24"/>
                <w:szCs w:val="24"/>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5"/>
              </w:rPr>
              <w:t>Red</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5"/>
              </w:rPr>
              <w:t>Red</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2,234</w:t>
            </w:r>
          </w:p>
        </w:tc>
        <w:tc>
          <w:tcPr>
            <w:tcW w:w="12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4/30/2020</w:t>
            </w:r>
          </w:p>
        </w:tc>
        <w:tc>
          <w:tcPr>
            <w:tcW w:w="0" w:type="dxa"/>
            <w:vAlign w:val="bottom"/>
          </w:tcPr>
          <w:p>
            <w:pPr>
              <w:spacing w:after="0"/>
              <w:rPr>
                <w:sz w:val="1"/>
                <w:szCs w:val="1"/>
                <w:color w:val="auto"/>
              </w:rPr>
            </w:pPr>
          </w:p>
        </w:tc>
      </w:tr>
      <w:tr>
        <w:trPr>
          <w:trHeight w:val="250"/>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23-1990722/001</w:t>
            </w:r>
          </w:p>
        </w:tc>
        <w:tc>
          <w:tcPr>
            <w:tcW w:w="120" w:type="dxa"/>
            <w:vAlign w:val="bottom"/>
          </w:tcPr>
          <w:p>
            <w:pPr>
              <w:spacing w:after="0"/>
              <w:rPr>
                <w:sz w:val="21"/>
                <w:szCs w:val="21"/>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7"/>
              </w:rPr>
              <w:t>Described below</w:t>
            </w:r>
          </w:p>
        </w:tc>
        <w:tc>
          <w:tcPr>
            <w:tcW w:w="64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auto"/>
                <w:w w:val="95"/>
              </w:rPr>
              <w:t>Red</w:t>
            </w:r>
          </w:p>
        </w:tc>
        <w:tc>
          <w:tcPr>
            <w:tcW w:w="120" w:type="dxa"/>
            <w:vAlign w:val="bottom"/>
          </w:tcPr>
          <w:p>
            <w:pPr>
              <w:spacing w:after="0"/>
              <w:rPr>
                <w:sz w:val="21"/>
                <w:szCs w:val="21"/>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21"/>
                <w:szCs w:val="21"/>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1,519</w:t>
            </w:r>
          </w:p>
        </w:tc>
        <w:tc>
          <w:tcPr>
            <w:tcW w:w="120" w:type="dxa"/>
            <w:vAlign w:val="bottom"/>
          </w:tcPr>
          <w:p>
            <w:pPr>
              <w:spacing w:after="0"/>
              <w:rPr>
                <w:sz w:val="21"/>
                <w:szCs w:val="2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5/29/2020</w:t>
            </w:r>
          </w:p>
        </w:tc>
        <w:tc>
          <w:tcPr>
            <w:tcW w:w="0" w:type="dxa"/>
            <w:vAlign w:val="bottom"/>
          </w:tcPr>
          <w:p>
            <w:pPr>
              <w:spacing w:after="0"/>
              <w:rPr>
                <w:sz w:val="1"/>
                <w:szCs w:val="1"/>
                <w:color w:val="auto"/>
              </w:rPr>
            </w:pPr>
          </w:p>
        </w:tc>
      </w:tr>
      <w:tr>
        <w:trPr>
          <w:trHeight w:val="74"/>
        </w:trPr>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center"/>
              <w:ind w:right="119"/>
              <w:spacing w:after="0"/>
              <w:rPr>
                <w:sz w:val="20"/>
                <w:szCs w:val="20"/>
                <w:color w:val="auto"/>
              </w:rPr>
            </w:pPr>
            <w:r>
              <w:rPr>
                <w:rFonts w:ascii="Times New Roman" w:cs="Times New Roman" w:eastAsia="Times New Roman" w:hAnsi="Times New Roman"/>
                <w:sz w:val="9"/>
                <w:szCs w:val="9"/>
                <w:color w:val="auto"/>
                <w:w w:val="94"/>
              </w:rPr>
              <w:t>(2)</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35-6027150/001</w:t>
            </w:r>
          </w:p>
        </w:tc>
        <w:tc>
          <w:tcPr>
            <w:tcW w:w="12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7"/>
              </w:rPr>
              <w:t>Described below</w:t>
            </w:r>
          </w:p>
        </w:tc>
        <w:tc>
          <w:tcPr>
            <w:tcW w:w="64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auto"/>
                <w:w w:val="93"/>
              </w:rPr>
              <w:t>Yellow</w:t>
            </w:r>
          </w:p>
        </w:tc>
        <w:tc>
          <w:tcPr>
            <w:tcW w:w="120" w:type="dxa"/>
            <w:vAlign w:val="bottom"/>
          </w:tcPr>
          <w:p>
            <w:pPr>
              <w:spacing w:after="0"/>
              <w:rPr>
                <w:sz w:val="18"/>
                <w:szCs w:val="18"/>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18"/>
                <w:szCs w:val="18"/>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3,349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3,542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2,458</w:t>
            </w:r>
          </w:p>
        </w:tc>
        <w:tc>
          <w:tcPr>
            <w:tcW w:w="120" w:type="dxa"/>
            <w:vAlign w:val="bottom"/>
          </w:tcPr>
          <w:p>
            <w:pPr>
              <w:spacing w:after="0"/>
              <w:rPr>
                <w:sz w:val="18"/>
                <w:szCs w:val="18"/>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5/31/2020</w:t>
            </w:r>
          </w:p>
        </w:tc>
        <w:tc>
          <w:tcPr>
            <w:tcW w:w="0" w:type="dxa"/>
            <w:vAlign w:val="bottom"/>
          </w:tcPr>
          <w:p>
            <w:pPr>
              <w:spacing w:after="0"/>
              <w:rPr>
                <w:sz w:val="1"/>
                <w:szCs w:val="1"/>
                <w:color w:val="auto"/>
              </w:rPr>
            </w:pPr>
          </w:p>
        </w:tc>
      </w:tr>
      <w:tr>
        <w:trPr>
          <w:trHeight w:val="74"/>
        </w:trPr>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center"/>
              <w:ind w:right="119"/>
              <w:spacing w:after="0"/>
              <w:rPr>
                <w:sz w:val="20"/>
                <w:szCs w:val="20"/>
                <w:color w:val="auto"/>
              </w:rPr>
            </w:pPr>
            <w:r>
              <w:rPr>
                <w:rFonts w:ascii="Times New Roman" w:cs="Times New Roman" w:eastAsia="Times New Roman" w:hAnsi="Times New Roman"/>
                <w:sz w:val="9"/>
                <w:szCs w:val="9"/>
                <w:color w:val="auto"/>
                <w:w w:val="94"/>
              </w:rPr>
              <w:t>(2)</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36-6488227/001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4,412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1,785</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5/31/2024</w:t>
            </w:r>
          </w:p>
        </w:tc>
        <w:tc>
          <w:tcPr>
            <w:tcW w:w="0" w:type="dxa"/>
            <w:vAlign w:val="bottom"/>
          </w:tcPr>
          <w:p>
            <w:pPr>
              <w:spacing w:after="0"/>
              <w:rPr>
                <w:sz w:val="1"/>
                <w:szCs w:val="1"/>
                <w:color w:val="auto"/>
              </w:rPr>
            </w:pPr>
          </w:p>
        </w:tc>
      </w:tr>
      <w:tr>
        <w:trPr>
          <w:trHeight w:val="324"/>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62-6105084/001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3,469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3,682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2,563</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Described below </w:t>
            </w:r>
            <w:r>
              <w:rPr>
                <w:rFonts w:ascii="Times New Roman" w:cs="Times New Roman" w:eastAsia="Times New Roman" w:hAnsi="Times New Roman"/>
                <w:sz w:val="8"/>
                <w:szCs w:val="8"/>
                <w:color w:val="auto"/>
                <w:w w:val="97"/>
              </w:rPr>
              <w:t>(3)</w:t>
            </w:r>
          </w:p>
        </w:tc>
        <w:tc>
          <w:tcPr>
            <w:tcW w:w="0" w:type="dxa"/>
            <w:vAlign w:val="bottom"/>
          </w:tcPr>
          <w:p>
            <w:pPr>
              <w:spacing w:after="0"/>
              <w:rPr>
                <w:sz w:val="1"/>
                <w:szCs w:val="1"/>
                <w:color w:val="auto"/>
              </w:rPr>
            </w:pPr>
          </w:p>
        </w:tc>
      </w:tr>
      <w:tr>
        <w:trPr>
          <w:trHeight w:val="392"/>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25-1283169/001</w:t>
            </w:r>
          </w:p>
        </w:tc>
        <w:tc>
          <w:tcPr>
            <w:tcW w:w="120" w:type="dxa"/>
            <w:vAlign w:val="bottom"/>
          </w:tcPr>
          <w:p>
            <w:pPr>
              <w:spacing w:after="0"/>
              <w:rPr>
                <w:sz w:val="24"/>
                <w:szCs w:val="24"/>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3"/>
                <w:szCs w:val="13"/>
                <w:color w:val="auto"/>
                <w:w w:val="93"/>
              </w:rPr>
              <w:t>Yellow</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3"/>
              </w:rPr>
              <w:t>Yellow</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88"/>
              </w:rPr>
              <w:t>Yes</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748</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5/1/2021</w:t>
            </w:r>
          </w:p>
        </w:tc>
        <w:tc>
          <w:tcPr>
            <w:tcW w:w="0" w:type="dxa"/>
            <w:vAlign w:val="bottom"/>
          </w:tcPr>
          <w:p>
            <w:pPr>
              <w:spacing w:after="0"/>
              <w:rPr>
                <w:sz w:val="1"/>
                <w:szCs w:val="1"/>
                <w:color w:val="auto"/>
              </w:rPr>
            </w:pPr>
          </w:p>
        </w:tc>
      </w:tr>
      <w:tr>
        <w:trPr>
          <w:trHeight w:val="31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34-6682351/001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7"/>
              </w:rPr>
              <w:t>Described below</w:t>
            </w:r>
          </w:p>
        </w:tc>
        <w:tc>
          <w:tcPr>
            <w:tcW w:w="64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4,333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6/30/2020</w:t>
            </w:r>
          </w:p>
        </w:tc>
        <w:tc>
          <w:tcPr>
            <w:tcW w:w="0" w:type="dxa"/>
            <w:vAlign w:val="bottom"/>
          </w:tcPr>
          <w:p>
            <w:pPr>
              <w:spacing w:after="0"/>
              <w:rPr>
                <w:sz w:val="1"/>
                <w:szCs w:val="1"/>
                <w:color w:val="auto"/>
              </w:rPr>
            </w:pPr>
          </w:p>
        </w:tc>
      </w:tr>
      <w:tr>
        <w:trPr>
          <w:trHeight w:val="74"/>
        </w:trPr>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center"/>
              <w:ind w:right="119"/>
              <w:spacing w:after="0"/>
              <w:rPr>
                <w:sz w:val="20"/>
                <w:szCs w:val="20"/>
                <w:color w:val="auto"/>
              </w:rPr>
            </w:pPr>
            <w:r>
              <w:rPr>
                <w:rFonts w:ascii="Times New Roman" w:cs="Times New Roman" w:eastAsia="Times New Roman" w:hAnsi="Times New Roman"/>
                <w:sz w:val="9"/>
                <w:szCs w:val="9"/>
                <w:color w:val="auto"/>
                <w:w w:val="94"/>
              </w:rPr>
              <w:t>(2)</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53-0181657/001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4,577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1/1/2023</w:t>
            </w:r>
          </w:p>
        </w:tc>
        <w:tc>
          <w:tcPr>
            <w:tcW w:w="0" w:type="dxa"/>
            <w:vAlign w:val="bottom"/>
          </w:tcPr>
          <w:p>
            <w:pPr>
              <w:spacing w:after="0"/>
              <w:rPr>
                <w:sz w:val="1"/>
                <w:szCs w:val="1"/>
                <w:color w:val="auto"/>
              </w:rPr>
            </w:pPr>
          </w:p>
        </w:tc>
      </w:tr>
      <w:tr>
        <w:trPr>
          <w:trHeight w:val="392"/>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06-6050353/001</w:t>
            </w:r>
          </w:p>
        </w:tc>
        <w:tc>
          <w:tcPr>
            <w:tcW w:w="120" w:type="dxa"/>
            <w:vAlign w:val="bottom"/>
          </w:tcPr>
          <w:p>
            <w:pPr>
              <w:spacing w:after="0"/>
              <w:rPr>
                <w:sz w:val="24"/>
                <w:szCs w:val="24"/>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auto"/>
                <w:w w:val="94"/>
              </w:rPr>
              <w:t>Green</w:t>
            </w:r>
          </w:p>
        </w:tc>
        <w:tc>
          <w:tcPr>
            <w:tcW w:w="6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Green</w:t>
            </w:r>
          </w:p>
        </w:tc>
        <w:tc>
          <w:tcPr>
            <w:tcW w:w="1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3,307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6/1/2020</w:t>
            </w:r>
          </w:p>
        </w:tc>
        <w:tc>
          <w:tcPr>
            <w:tcW w:w="0" w:type="dxa"/>
            <w:vAlign w:val="bottom"/>
          </w:tcPr>
          <w:p>
            <w:pPr>
              <w:spacing w:after="0"/>
              <w:rPr>
                <w:sz w:val="1"/>
                <w:szCs w:val="1"/>
                <w:color w:val="auto"/>
              </w:rPr>
            </w:pPr>
          </w:p>
        </w:tc>
      </w:tr>
      <w:tr>
        <w:trPr>
          <w:trHeight w:val="41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Contributions to other multiemployer plans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20,148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17,151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19,514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contributions made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64,386</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54,724</w:t>
            </w:r>
          </w:p>
        </w:tc>
        <w:tc>
          <w:tcPr>
            <w:tcW w:w="10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48,709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-3378200</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-2966720</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-2589530</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-2177415</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-1765935</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-1354455</wp:posOffset>
            </wp:positionV>
            <wp:extent cx="72466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-857250</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-359410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160"/>
            <w:col w:w="9680"/>
          </w:cols>
          <w:pgMar w:left="240" w:top="333" w:right="239" w:bottom="1440" w:gutter="0" w:footer="0" w:header="0"/>
          <w:type w:val="continuous"/>
        </w:sectPr>
      </w:pPr>
    </w:p>
    <w:p>
      <w:pPr>
        <w:spacing w:after="0" w:line="196" w:lineRule="exact"/>
        <w:rPr>
          <w:sz w:val="20"/>
          <w:szCs w:val="20"/>
          <w:color w:val="auto"/>
        </w:rPr>
      </w:pPr>
    </w:p>
    <w:p>
      <w:pPr>
        <w:ind w:left="460" w:right="280" w:hanging="330"/>
        <w:spacing w:after="0" w:line="253" w:lineRule="auto"/>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are members of several Boilermaker unions that participate in the Boilermaker-Blacksmith National Pension Trust. The most significant of these unions are Boilermakers Local 374 and Boilermakers Local 128, which have collective bargaining agreements that expire on December 31, 2019 and April 30, 2022, respectively.</w:t>
      </w:r>
    </w:p>
    <w:p>
      <w:pPr>
        <w:ind w:left="460" w:right="60" w:hanging="330"/>
        <w:spacing w:after="0" w:line="241" w:lineRule="auto"/>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Local 164 IBEW Pension Plan, Local 98 IBEW Pension Plan, Indiana Laborers Pension Fund, and Iron Workers Pension Plan Local 55, the Company has not received a funding notification that covers the Company's fiscal year 2019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these plans have not submitted any Critical or Endangered Status Notices to the Department of Labor for calendar years that we have not received notification. The Critical or Endangered Status Notices can be accessed at https://www.dol.gov/agencies/ebsa/about-ebsa/our-activities/public-disclosure/2019-funding-status-notices.</w:t>
      </w:r>
    </w:p>
    <w:p>
      <w:pPr>
        <w:spacing w:after="0" w:line="2" w:lineRule="exact"/>
        <w:rPr>
          <w:rFonts w:ascii="Times New Roman" w:cs="Times New Roman" w:eastAsia="Times New Roman" w:hAnsi="Times New Roman"/>
          <w:sz w:val="14"/>
          <w:szCs w:val="14"/>
          <w:color w:val="auto"/>
        </w:rPr>
      </w:pPr>
    </w:p>
    <w:p>
      <w:pPr>
        <w:ind w:left="460" w:hanging="330"/>
        <w:spacing w:after="0"/>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collective bargaining agreement with Pipe Fitters Local 597 does not have an expiration date. The agreement was last renegotiated in 2012.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from the Company at the current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There were 15,812 shares issued in fiscal 2019, 21,920 shares in fiscal 2018, and 16,609 shares in fiscal 2017.</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33" w:right="2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333"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60" w:type="dxa"/>
            <w:vAlign w:val="bottom"/>
          </w:tcPr>
          <w:p>
            <w:pPr>
              <w:spacing w:after="0"/>
              <w:rPr>
                <w:sz w:val="13"/>
                <w:szCs w:val="13"/>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2019</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217,417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322,065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524,330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357,464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1,421,276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217,417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319,867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521,932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357,464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1,416,680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131,951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37,930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633,394</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19,558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2018</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1,097,738</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1,091,553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91,936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558,033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20,347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June 30,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373,384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247,423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483,254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103,449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1,207,510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373,384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240,523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481,696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101,906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1,197,509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81,003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166,742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586,030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11,908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21,602</w:t>
            </w:r>
          </w:p>
        </w:tc>
        <w:tc>
          <w:tcPr>
            <w:tcW w:w="0" w:type="dxa"/>
            <w:vAlign w:val="bottom"/>
          </w:tcPr>
          <w:p>
            <w:pPr>
              <w:spacing w:after="0"/>
              <w:rPr>
                <w:sz w:val="1"/>
                <w:szCs w:val="1"/>
                <w:color w:val="auto"/>
              </w:rPr>
            </w:pPr>
          </w:p>
        </w:tc>
      </w:tr>
      <w:tr>
        <w:trPr>
          <w:trHeight w:val="675"/>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20" w:top="333" w:right="5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Geographical information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right"/>
              <w:ind w:right="471"/>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tcBorders>
              <w:bottom w:val="single" w:sz="8" w:color="CCEEFF"/>
            </w:tcBorders>
            <w:gridSpan w:val="4"/>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193,472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174,241</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193,164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13,738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21,419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international</w:t>
            </w: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216,084</w:t>
            </w:r>
          </w:p>
        </w:tc>
        <w:tc>
          <w:tcPr>
            <w:tcW w:w="120" w:type="dxa"/>
            <w:vAlign w:val="bottom"/>
          </w:tcPr>
          <w:p>
            <w:pPr>
              <w:spacing w:after="0"/>
              <w:rPr>
                <w:sz w:val="20"/>
                <w:szCs w:val="20"/>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200,987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227,400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Information about Significant Customers:</w:t>
            </w: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0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Significant Customers as a Percentage of Segment Revenues</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5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5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Electrical</w:t>
            </w:r>
          </w:p>
        </w:tc>
        <w:tc>
          <w:tcPr>
            <w:tcW w:w="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Oil Gas &amp;</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00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15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June 30, 2019</w:t>
            </w: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one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two</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three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four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five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six</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seven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eight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nine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ten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eleven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June 30, 2018</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one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two</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three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four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five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six</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seven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eight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nine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ten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June 30, 2017</w:t>
            </w: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one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two</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three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four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five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six</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seven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333"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Ended June 30, 2019 and June 30, 2018</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80" w:type="dxa"/>
            <w:vAlign w:val="bottom"/>
          </w:tcPr>
          <w:p>
            <w:pPr>
              <w:spacing w:after="0"/>
              <w:rPr>
                <w:sz w:val="13"/>
                <w:szCs w:val="13"/>
                <w:color w:val="auto"/>
              </w:rPr>
            </w:pPr>
          </w:p>
        </w:tc>
        <w:tc>
          <w:tcPr>
            <w:tcW w:w="13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80" w:type="dxa"/>
            <w:vAlign w:val="bottom"/>
          </w:tcPr>
          <w:p>
            <w:pPr>
              <w:spacing w:after="0"/>
              <w:rPr>
                <w:sz w:val="13"/>
                <w:szCs w:val="13"/>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60" w:type="dxa"/>
            <w:vAlign w:val="bottom"/>
          </w:tcPr>
          <w:p>
            <w:pPr>
              <w:spacing w:after="0"/>
              <w:rPr>
                <w:sz w:val="13"/>
                <w:szCs w:val="13"/>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318,511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340,568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358,887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398,714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23,421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27,886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36,906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43,738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2,220</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5,527</w:t>
            </w:r>
          </w:p>
        </w:tc>
        <w:tc>
          <w:tcPr>
            <w:tcW w:w="3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12,794</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17,389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2,305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3,932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8,933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12,812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0.48</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0.14</w:t>
            </w:r>
          </w:p>
        </w:tc>
        <w:tc>
          <w:tcPr>
            <w:tcW w:w="3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2018</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269,910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282,911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245,645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293,087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28,891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26,703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14,891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21,451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7,321</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5,174</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3,824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4,532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bl>
    <w:p>
      <w:pPr>
        <w:spacing w:after="0" w:line="3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660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 June 30, 2018, and 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COL. C</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ind w:left="1900"/>
              <w:spacing w:after="0"/>
              <w:rPr>
                <w:sz w:val="20"/>
                <w:szCs w:val="20"/>
                <w:color w:val="auto"/>
              </w:rPr>
            </w:pPr>
            <w:r>
              <w:rPr>
                <w:rFonts w:ascii="Times New Roman" w:cs="Times New Roman" w:eastAsia="Times New Roman" w:hAnsi="Times New Roman"/>
                <w:sz w:val="16"/>
                <w:szCs w:val="16"/>
                <w:b w:val="1"/>
                <w:bCs w:val="1"/>
                <w:color w:val="auto"/>
              </w:rPr>
              <w:t>COL. A</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COL. B</w:t>
            </w:r>
          </w:p>
        </w:tc>
        <w:tc>
          <w:tcPr>
            <w:tcW w:w="160" w:type="dxa"/>
            <w:vAlign w:val="bottom"/>
          </w:tcPr>
          <w:p>
            <w:pPr>
              <w:spacing w:after="0"/>
              <w:rPr>
                <w:sz w:val="18"/>
                <w:szCs w:val="18"/>
                <w:color w:val="auto"/>
              </w:rPr>
            </w:pPr>
          </w:p>
        </w:tc>
        <w:tc>
          <w:tcPr>
            <w:tcW w:w="266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COL. 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COL. E</w:t>
            </w:r>
          </w:p>
        </w:tc>
        <w:tc>
          <w:tcPr>
            <w:tcW w:w="0" w:type="dxa"/>
            <w:vAlign w:val="bottom"/>
          </w:tcPr>
          <w:p>
            <w:pPr>
              <w:spacing w:after="0"/>
              <w:rPr>
                <w:sz w:val="1"/>
                <w:szCs w:val="1"/>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40" w:type="dxa"/>
            <w:vAlign w:val="bottom"/>
          </w:tcPr>
          <w:p>
            <w:pPr>
              <w:spacing w:after="0"/>
              <w:rPr>
                <w:sz w:val="12"/>
                <w:szCs w:val="12"/>
                <w:color w:val="auto"/>
              </w:rPr>
            </w:pPr>
          </w:p>
        </w:tc>
        <w:tc>
          <w:tcPr>
            <w:tcW w:w="10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5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Describe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4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2019</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9,887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11,606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7,965</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2017</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9,887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Valuation reserve for deferred tax assets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11,606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0" w:hanging="316"/>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a $5.2 million reversal of a previous reserved account receivable balance that was fully settled with an agreement with the customer.</w:t>
      </w:r>
    </w:p>
    <w:p>
      <w:pPr>
        <w:spacing w:after="0" w:line="17" w:lineRule="exact"/>
        <w:rPr>
          <w:rFonts w:ascii="Times New Roman" w:cs="Times New Roman" w:eastAsia="Times New Roman" w:hAnsi="Times New Roman"/>
          <w:sz w:val="14"/>
          <w:szCs w:val="14"/>
          <w:color w:val="auto"/>
        </w:rPr>
      </w:pPr>
    </w:p>
    <w:p>
      <w:pPr>
        <w:ind w:left="540" w:hanging="316"/>
        <w:spacing w:after="0" w:line="241" w:lineRule="auto"/>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deferred tax asset of $0.8 million created by a stock-based compensation award with a market condition that was fully reserved in fiscal 2018. In fiscal 2019, upon the final determination that the award would not vest, the Company wrote off the deferred tax asset against the reserve. The remaining balance relates to $0.5 million of fully reserved tax credits that expired in fiscal 2019.</w:t>
      </w:r>
    </w:p>
    <w:p>
      <w:pPr>
        <w:spacing w:after="0" w:line="1" w:lineRule="exact"/>
        <w:rPr>
          <w:rFonts w:ascii="Times New Roman" w:cs="Times New Roman" w:eastAsia="Times New Roman" w:hAnsi="Times New Roman"/>
          <w:sz w:val="14"/>
          <w:szCs w:val="14"/>
          <w:color w:val="auto"/>
        </w:rPr>
      </w:pPr>
    </w:p>
    <w:p>
      <w:pPr>
        <w:ind w:left="540" w:hanging="316"/>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reversal of reserved account receivable that was fully settled with cash and future backlog.</w:t>
      </w:r>
    </w:p>
    <w:p>
      <w:pPr>
        <w:spacing w:after="0" w:line="1" w:lineRule="exact"/>
        <w:rPr>
          <w:rFonts w:ascii="Times New Roman" w:cs="Times New Roman" w:eastAsia="Times New Roman" w:hAnsi="Times New Roman"/>
          <w:sz w:val="14"/>
          <w:szCs w:val="14"/>
          <w:color w:val="auto"/>
        </w:rPr>
      </w:pPr>
    </w:p>
    <w:p>
      <w:pPr>
        <w:ind w:left="540" w:right="320" w:hanging="316"/>
        <w:spacing w:after="0" w:line="241" w:lineRule="auto"/>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$0.8 million of stock-based compensation expense recognized in fiscal 2018 that was not deductible for tax purposes due to not meeting a market condition vesting requirement and to $0.3 million of foreign tax credits that expired.</w:t>
      </w:r>
    </w:p>
    <w:p>
      <w:pPr>
        <w:ind w:left="540" w:hanging="316"/>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a $0.2 million receivable written off against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-826135</wp:posOffset>
            </wp:positionV>
            <wp:extent cx="660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9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2019. Based on the foregoing, our Chief Executive Officer and Chief Financial Officer concluded that our disclosure controls and procedures were effective at the reasonable assurance level at June 30,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“Management’s Report on Internal Control over Financial Reporting” set forth in Item 8, Financial Statements and Supplementary Data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fiscal quarter that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2019 Annual Meeting of Stockholders (“Proxy Statement”). The information required by this item with respect to the Company’s executive officers is incorporated herein by reference to the section entitled “Executive Officer Information” in the Proxy Statement.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Times New Roman" w:cs="Times New Roman" w:eastAsia="Times New Roman" w:hAnsi="Times New Roman"/>
          <w:sz w:val="18"/>
          <w:szCs w:val="18"/>
          <w:u w:val="single" w:color="auto"/>
          <w:color w:val="auto"/>
        </w:rPr>
        <w:t>matrixservicecompany.com</w:t>
      </w:r>
      <w:r>
        <w:rPr>
          <w:rFonts w:ascii="Times New Roman" w:cs="Times New Roman" w:eastAsia="Times New Roman" w:hAnsi="Times New Roman"/>
          <w:sz w:val="18"/>
          <w:szCs w:val="18"/>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Discussion and Analysis" and “Executive Officer Compensation”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 of the Company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supplementary data are filed as a part of this report under “Item 8—Financial Statements and Supplementary Data” in this Annual Report on Form 10-K:</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38</w:t>
              </w:r>
            </w:hyperlink>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(Deloitte &amp; Touche LLP)</w:t>
            </w:r>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39</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Consolidated Statements of Income for the Fiscal Years Ended June 30, 2019, June 30, 2018 and June 30, 2017</w:t>
              </w:r>
            </w:hyperlink>
          </w:p>
        </w:tc>
        <w:tc>
          <w:tcPr>
            <w:tcW w:w="28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41</w:t>
              </w:r>
            </w:hyperlink>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Statements of Comprehensive Income for the Fiscal Years Ended June 30, 2019, June 30, 2018 and June 30,</w:t>
              </w:r>
            </w:hyperlink>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3">
              <w:r>
                <w:rPr>
                  <w:rFonts w:ascii="Times New Roman" w:cs="Times New Roman" w:eastAsia="Times New Roman" w:hAnsi="Times New Roman"/>
                  <w:sz w:val="18"/>
                  <w:szCs w:val="18"/>
                  <w:color w:val="0000EE"/>
                  <w:w w:val="94"/>
                </w:rPr>
                <w:t>2017</w:t>
              </w:r>
            </w:hyperlink>
          </w:p>
        </w:tc>
        <w:tc>
          <w:tcPr>
            <w:tcW w:w="6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372"/>
        </w:trPr>
        <w:tc>
          <w:tcPr>
            <w:tcW w:w="340" w:type="dxa"/>
            <w:vAlign w:val="bottom"/>
          </w:tcPr>
          <w:p>
            <w:pPr>
              <w:spacing w:after="0"/>
              <w:rPr>
                <w:sz w:val="24"/>
                <w:szCs w:val="24"/>
                <w:color w:val="auto"/>
              </w:rPr>
            </w:pPr>
          </w:p>
        </w:tc>
        <w:tc>
          <w:tcPr>
            <w:tcW w:w="4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Consolidated Balance Sheets as of June 30, 2019 and June 30, 2018</w:t>
              </w:r>
            </w:hyperlink>
          </w:p>
        </w:tc>
        <w:tc>
          <w:tcPr>
            <w:tcW w:w="5940" w:type="dxa"/>
            <w:vAlign w:val="bottom"/>
            <w:gridSpan w:val="7"/>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Cash Flows for the Fiscal Years Ended June 30, 2019, June 30, 2018 and June 30, 2017</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45</w:t>
              </w:r>
            </w:hyperlink>
          </w:p>
        </w:tc>
      </w:tr>
      <w:tr>
        <w:trPr>
          <w:trHeight w:val="20"/>
        </w:trPr>
        <w:tc>
          <w:tcPr>
            <w:tcW w:w="3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512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Statements of Changes in Stockholders’ Equity for the Fiscal Years Ended June 30, 2019, June 30, 2018 and</w:t>
              </w:r>
            </w:hyperlink>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June 30, 2017</w:t>
              </w:r>
            </w:hyperlink>
          </w:p>
        </w:tc>
        <w:tc>
          <w:tcPr>
            <w:tcW w:w="7780" w:type="dxa"/>
            <w:vAlign w:val="bottom"/>
            <w:tcBorders>
              <w:top w:val="single" w:sz="8" w:color="0000EE"/>
            </w:tcBorders>
            <w:gridSpan w:val="9"/>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47</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48</w:t>
              </w:r>
            </w:hyperlink>
          </w:p>
        </w:tc>
      </w:tr>
      <w:tr>
        <w:trPr>
          <w:trHeight w:val="372"/>
        </w:trPr>
        <w:tc>
          <w:tcPr>
            <w:tcW w:w="2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73</w:t>
              </w:r>
            </w:hyperlink>
          </w:p>
        </w:tc>
      </w:tr>
      <w:tr>
        <w:trPr>
          <w:trHeight w:val="372"/>
        </w:trPr>
        <w:tc>
          <w:tcPr>
            <w:tcW w:w="11180" w:type="dxa"/>
            <w:vAlign w:val="bottom"/>
            <w:gridSpan w:val="13"/>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Schedule II—Valuation and Qualifying Accounts</w:t>
              </w:r>
            </w:hyperlink>
          </w:p>
        </w:tc>
        <w:tc>
          <w:tcPr>
            <w:tcW w:w="180" w:type="dxa"/>
            <w:vAlign w:val="bottom"/>
          </w:tcPr>
          <w:p>
            <w:pPr>
              <w:jc w:val="right"/>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74</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is filed as a part of this report under Schedule II—Valuation and Qualifying Accounts June 30, 2019, June 30, 2018 and June 30, 2017,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60" w:right="160" w:firstLine="164"/>
        <w:spacing w:after="0" w:line="286" w:lineRule="auto"/>
        <w:tabs>
          <w:tab w:leader="none" w:pos="4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documents are included as exhibits to this Annual Report on Form 10-K. The exhibits below incorporated by reference herein are indicated as such by the information supplied in the parenthetical hereafter.</w:t>
      </w:r>
    </w:p>
    <w:p>
      <w:pPr>
        <w:spacing w:after="0" w:line="105" w:lineRule="exact"/>
        <w:rPr>
          <w:sz w:val="20"/>
          <w:szCs w:val="20"/>
          <w:color w:val="auto"/>
        </w:rPr>
      </w:pPr>
    </w:p>
    <w:p>
      <w:pPr>
        <w:ind w:left="1340" w:right="100" w:hanging="341"/>
        <w:spacing w:after="0" w:line="266" w:lineRule="auto"/>
        <w:tabs>
          <w:tab w:leader="none" w:pos="1340" w:val="left"/>
        </w:tabs>
        <w:numPr>
          <w:ilvl w:val="0"/>
          <w:numId w:val="45"/>
        </w:numPr>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Membership Interest Purchase Agreement dated as of December 12, 2016 among Matrix PDM Engineering, Inc., as purchaser, the C.</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Douglas Houston Revocable Trust U/T/A dated November 21, 2016, as seller, and C. Douglas Houston, as seller representative (Exhibit 2</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to the Company's Current Report on Form 8-K filed December 16, 2016 (File No. 1-15461).</w:t>
        </w:r>
      </w:hyperlink>
    </w:p>
    <w:p>
      <w:pPr>
        <w:spacing w:after="0" w:line="136" w:lineRule="exact"/>
        <w:rPr>
          <w:rFonts w:ascii="Times New Roman" w:cs="Times New Roman" w:eastAsia="Times New Roman" w:hAnsi="Times New Roman"/>
          <w:sz w:val="18"/>
          <w:szCs w:val="18"/>
          <w:u w:val="single" w:color="auto"/>
          <w:color w:val="0000FF"/>
        </w:rPr>
      </w:pPr>
    </w:p>
    <w:p>
      <w:pPr>
        <w:ind w:left="1340" w:right="380" w:hanging="480"/>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3.1</w:t>
      </w:r>
      <w:r>
        <w:rPr>
          <w:sz w:val="20"/>
          <w:szCs w:val="20"/>
          <w:color w:val="auto"/>
        </w:rPr>
        <w:tab/>
      </w:r>
      <w:hyperlink r:id="rId36">
        <w:r>
          <w:rPr>
            <w:rFonts w:ascii="Times New Roman" w:cs="Times New Roman" w:eastAsia="Times New Roman" w:hAnsi="Times New Roman"/>
            <w:sz w:val="18"/>
            <w:szCs w:val="18"/>
            <w:u w:val="single" w:color="auto"/>
            <w:color w:val="0000FF"/>
          </w:rPr>
          <w:t>Amended and Restated Certificate of Incorporation of Matrix Service Company (Appendix A to the Company's Proxy Statement filed</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October 7, 2016 (File 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420" w:hanging="480"/>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3.2</w:t>
      </w:r>
      <w:r>
        <w:rPr>
          <w:sz w:val="20"/>
          <w:szCs w:val="20"/>
          <w:color w:val="auto"/>
        </w:rPr>
        <w:tab/>
      </w:r>
      <w:hyperlink r:id="rId37">
        <w:r>
          <w:rPr>
            <w:rFonts w:ascii="Times New Roman" w:cs="Times New Roman" w:eastAsia="Times New Roman" w:hAnsi="Times New Roman"/>
            <w:sz w:val="18"/>
            <w:szCs w:val="18"/>
            <w:u w:val="single" w:color="auto"/>
            <w:color w:val="0000FF"/>
          </w:rPr>
          <w:t>Certification of Designations, Preferences and Rights of Series B Junior Preferred Stock dated November 12, 1999 (Exhibit 3.2 to the</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Company’s Registration Statement on Form S-3 (File No. 333-117077) filed July 1, 2004</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160" w:hanging="480"/>
        <w:spacing w:after="0" w:line="266"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3.3</w:t>
      </w:r>
      <w:r>
        <w:rPr>
          <w:sz w:val="20"/>
          <w:szCs w:val="20"/>
          <w:color w:val="auto"/>
        </w:rPr>
        <w:tab/>
      </w:r>
      <w:hyperlink r:id="rId38">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General Corporation Law of the State of Delaware dated July 11, 2005 (Exhibit 3.5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No. 1-15461) filed August 17, 2005)</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u w:val="single" w:color="auto"/>
          <w:color w:val="0000FF"/>
        </w:rPr>
      </w:pPr>
    </w:p>
    <w:p>
      <w:pPr>
        <w:ind w:left="1340" w:right="260" w:hanging="480"/>
        <w:spacing w:after="0" w:line="266"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3.4</w:t>
      </w:r>
      <w:r>
        <w:rPr>
          <w:sz w:val="20"/>
          <w:szCs w:val="20"/>
          <w:color w:val="auto"/>
        </w:rPr>
        <w:tab/>
      </w:r>
      <w:hyperlink r:id="rId39">
        <w:r>
          <w:rPr>
            <w:rFonts w:ascii="Times New Roman" w:cs="Times New Roman" w:eastAsia="Times New Roman" w:hAnsi="Times New Roman"/>
            <w:sz w:val="18"/>
            <w:szCs w:val="18"/>
            <w:u w:val="single" w:color="auto"/>
            <w:color w:val="0000FF"/>
          </w:rPr>
          <w:t>Certificate of Increase of Authorized Number of Shares of Series B Junior Participating Preferred Stock pursuant to Section 151 of the</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General Corporation Law of the State of Delaware dated October 23, 2006 (Exhibit 3.7 to the Company’s Annual Report on Form 10-K</w:t>
        </w:r>
      </w:hyperlink>
      <w:r>
        <w:rPr>
          <w:rFonts w:ascii="Times New Roman" w:cs="Times New Roman" w:eastAsia="Times New Roman" w:hAnsi="Times New Roman"/>
          <w:sz w:val="18"/>
          <w:szCs w:val="18"/>
          <w:u w:val="single" w:color="auto"/>
          <w:color w:val="0000FF"/>
        </w:rPr>
        <w:t xml:space="preserve"> </w:t>
      </w:r>
      <w:hyperlink r:id="rId39">
        <w:r>
          <w:rPr>
            <w:rFonts w:ascii="Times New Roman" w:cs="Times New Roman" w:eastAsia="Times New Roman" w:hAnsi="Times New Roman"/>
            <w:sz w:val="18"/>
            <w:szCs w:val="18"/>
            <w:u w:val="single" w:color="auto"/>
            <w:color w:val="0000FF"/>
          </w:rPr>
          <w:t>(File No. 1-15461) filed August 14, 2007)</w:t>
        </w:r>
        <w:r>
          <w:rPr>
            <w:rFonts w:ascii="Times New Roman" w:cs="Times New Roman" w:eastAsia="Times New Roman" w:hAnsi="Times New Roman"/>
            <w:sz w:val="18"/>
            <w:szCs w:val="18"/>
            <w:color w:val="000000"/>
          </w:rPr>
          <w:t>.</w:t>
        </w:r>
      </w:hyperlink>
    </w:p>
    <w:p>
      <w:pPr>
        <w:spacing w:after="0" w:line="136" w:lineRule="exact"/>
        <w:rPr>
          <w:rFonts w:ascii="Times New Roman" w:cs="Times New Roman" w:eastAsia="Times New Roman" w:hAnsi="Times New Roman"/>
          <w:sz w:val="18"/>
          <w:szCs w:val="18"/>
          <w:u w:val="single" w:color="auto"/>
          <w:color w:val="0000FF"/>
        </w:rPr>
      </w:pPr>
    </w:p>
    <w:p>
      <w:pPr>
        <w:ind w:left="1340" w:right="200" w:hanging="480"/>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3.5</w:t>
      </w:r>
      <w:r>
        <w:rPr>
          <w:sz w:val="20"/>
          <w:szCs w:val="20"/>
          <w:color w:val="auto"/>
        </w:rPr>
        <w:tab/>
      </w:r>
      <w:hyperlink r:id="rId40">
        <w:r>
          <w:rPr>
            <w:rFonts w:ascii="Times New Roman" w:cs="Times New Roman" w:eastAsia="Times New Roman" w:hAnsi="Times New Roman"/>
            <w:sz w:val="18"/>
            <w:szCs w:val="18"/>
            <w:u w:val="single" w:color="auto"/>
            <w:color w:val="0000FF"/>
          </w:rPr>
          <w:t>Second Amended and Restated Bylaws, effective as of May 4, 2017 (Exhibit 3.1 to the Company’s Quarterly Report on Form 10-Q (File</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No. 1-15461) filed May 10, 2017)</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8"/>
          <w:szCs w:val="18"/>
          <w:color w:val="auto"/>
        </w:rPr>
        <w:t>P4.1</w:t>
      </w:r>
      <w:r>
        <w:rPr>
          <w:sz w:val="20"/>
          <w:szCs w:val="20"/>
          <w:color w:val="auto"/>
        </w:rPr>
        <w:tab/>
      </w:r>
      <w:r>
        <w:rPr>
          <w:rFonts w:ascii="Times New Roman" w:cs="Times New Roman" w:eastAsia="Times New Roman" w:hAnsi="Times New Roman"/>
          <w:sz w:val="17"/>
          <w:szCs w:val="17"/>
          <w:color w:val="auto"/>
        </w:rPr>
        <w:t>Specimen Common Stock Certificate (Exhibit 4.1 to the Company’s Registration Statement on Form S-1 (File No. 33-36081) filed July 26,</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1990, P).</w:t>
      </w:r>
    </w:p>
    <w:p>
      <w:pPr>
        <w:spacing w:after="0" w:line="166" w:lineRule="exact"/>
        <w:rPr>
          <w:sz w:val="20"/>
          <w:szCs w:val="20"/>
          <w:color w:val="auto"/>
        </w:rPr>
      </w:pPr>
    </w:p>
    <w:p>
      <w:pPr>
        <w:ind w:left="7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w:anchor="page82">
        <w:r>
          <w:rPr>
            <w:rFonts w:ascii="Times New Roman" w:cs="Times New Roman" w:eastAsia="Times New Roman" w:hAnsi="Times New Roman"/>
            <w:sz w:val="17"/>
            <w:szCs w:val="17"/>
            <w:u w:val="single" w:color="auto"/>
            <w:color w:val="0000FF"/>
          </w:rPr>
          <w:t>Description of the Company's Common Stock.</w:t>
        </w:r>
      </w:hyperlink>
    </w:p>
    <w:p>
      <w:pPr>
        <w:spacing w:after="0" w:line="185" w:lineRule="exact"/>
        <w:rPr>
          <w:sz w:val="20"/>
          <w:szCs w:val="20"/>
          <w:color w:val="auto"/>
        </w:rPr>
      </w:pPr>
    </w:p>
    <w:p>
      <w:pPr>
        <w:ind w:left="6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41">
        <w:r>
          <w:rPr>
            <w:rFonts w:ascii="Times New Roman" w:cs="Times New Roman" w:eastAsia="Times New Roman" w:hAnsi="Times New Roman"/>
            <w:sz w:val="17"/>
            <w:szCs w:val="17"/>
            <w:u w:val="single" w:color="auto"/>
            <w:color w:val="0000FF"/>
          </w:rPr>
          <w:t>Matrix Service Company 2004 Stock Incentive Plan (Appendix B to the Company’s Proxy Statement filed September 15, 2006 (File No.</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u w:val="single" w:color="auto"/>
            <w:color w:val="0000FF"/>
          </w:rPr>
          <w:t>1-15461))</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40" w:right="200" w:hanging="672"/>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w:t>
      </w:r>
      <w:r>
        <w:rPr>
          <w:sz w:val="20"/>
          <w:szCs w:val="20"/>
          <w:color w:val="auto"/>
        </w:rPr>
        <w:tab/>
      </w:r>
      <w:hyperlink r:id="rId42">
        <w:r>
          <w:rPr>
            <w:rFonts w:ascii="Times New Roman" w:cs="Times New Roman" w:eastAsia="Times New Roman" w:hAnsi="Times New Roman"/>
            <w:sz w:val="18"/>
            <w:szCs w:val="18"/>
            <w:u w:val="single" w:color="auto"/>
            <w:color w:val="0000FF"/>
          </w:rPr>
          <w:t>Amendment 1 to Matrix Service Company 2004 Stock Incentive Plan (Exhibit 10 to Amended Schedule 14A filed October 4, 2006 (File</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40" w:right="140" w:hanging="672"/>
        <w:spacing w:after="0" w:line="282" w:lineRule="auto"/>
        <w:tabs>
          <w:tab w:leader="none" w:pos="13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+10.3</w:t>
      </w:r>
      <w:r>
        <w:rPr>
          <w:sz w:val="20"/>
          <w:szCs w:val="20"/>
          <w:color w:val="auto"/>
        </w:rPr>
        <w:tab/>
      </w:r>
      <w:hyperlink r:id="rId43">
        <w:r>
          <w:rPr>
            <w:rFonts w:ascii="Times New Roman" w:cs="Times New Roman" w:eastAsia="Times New Roman" w:hAnsi="Times New Roman"/>
            <w:sz w:val="18"/>
            <w:szCs w:val="18"/>
            <w:u w:val="single" w:color="auto"/>
            <w:color w:val="0000FF"/>
          </w:rPr>
          <w:t>Amendment 2 to Matrix Service Company 2004 Stock Incentive Plan (Exhibit 10.6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No. 1-15461) filed August 5, 2008)</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6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44">
        <w:r>
          <w:rPr>
            <w:rFonts w:ascii="Times New Roman" w:cs="Times New Roman" w:eastAsia="Times New Roman" w:hAnsi="Times New Roman"/>
            <w:sz w:val="17"/>
            <w:szCs w:val="17"/>
            <w:u w:val="single" w:color="auto"/>
            <w:color w:val="0000FF"/>
          </w:rPr>
          <w:t>Amendment 3 to Matrix Service Company 2004 Stock Incentive Plan (Exhibit A to the Company’s Proxy Statement filed September 11,</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2009 (File No. 1-15461))</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680"/>
        <w:spacing w:after="0"/>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45">
        <w:r>
          <w:rPr>
            <w:rFonts w:ascii="Times New Roman" w:cs="Times New Roman" w:eastAsia="Times New Roman" w:hAnsi="Times New Roman"/>
            <w:sz w:val="18"/>
            <w:szCs w:val="18"/>
            <w:u w:val="single" w:color="auto"/>
            <w:color w:val="0000FF"/>
          </w:rPr>
          <w:t>Matrix Service Company 2012 Stock and Incentive Compensation Plan (Attachment A to the Company's Proxy Statement (File No. 1-</w:t>
        </w:r>
      </w:hyperlink>
    </w:p>
    <w:p>
      <w:pPr>
        <w:spacing w:after="0" w:line="27" w:lineRule="exact"/>
        <w:rPr>
          <w:sz w:val="20"/>
          <w:szCs w:val="20"/>
          <w:color w:val="auto"/>
        </w:rPr>
      </w:pPr>
    </w:p>
    <w:p>
      <w:pPr>
        <w:ind w:left="134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15461) filed October 10, 2012)</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40" w:right="140" w:hanging="713"/>
        <w:spacing w:after="0" w:line="282" w:lineRule="auto"/>
        <w:tabs>
          <w:tab w:leader="none" w:pos="768" w:val="left"/>
        </w:tabs>
        <w:numPr>
          <w:ilvl w:val="0"/>
          <w:numId w:val="4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10.6 </w:t>
      </w:r>
      <w:hyperlink r:id="rId46">
        <w:r>
          <w:rPr>
            <w:rFonts w:ascii="Times New Roman" w:cs="Times New Roman" w:eastAsia="Times New Roman" w:hAnsi="Times New Roman"/>
            <w:sz w:val="18"/>
            <w:szCs w:val="18"/>
            <w:u w:val="single" w:color="auto"/>
            <w:color w:val="0000FF"/>
          </w:rPr>
          <w:t>Amendment Number 1 to the Matrix Service Company 2012 Stock and Incentive Compensation Plan (Exhibit A to the Company's Proxy</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Statement (File No. 1-15461) filed October 10, 2014)</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80"/>
          </w:cols>
          <w:pgMar w:left="240" w:top="121" w:right="27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right="40" w:hanging="57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+10.7</w:t>
      </w:r>
      <w:r>
        <w:rPr>
          <w:sz w:val="20"/>
          <w:szCs w:val="20"/>
          <w:color w:val="auto"/>
        </w:rPr>
        <w:tab/>
      </w:r>
      <w:hyperlink r:id="rId47">
        <w:r>
          <w:rPr>
            <w:rFonts w:ascii="Times New Roman" w:cs="Times New Roman" w:eastAsia="Times New Roman" w:hAnsi="Times New Roman"/>
            <w:sz w:val="18"/>
            <w:szCs w:val="18"/>
            <w:u w:val="single" w:color="auto"/>
            <w:color w:val="0000FF"/>
          </w:rPr>
          <w:t>Form of Long-Term Incentive Award Agreement (2012 Stock and Incentive Compensation Plan) (Exhibit 10.1 to the Company's Quarterly</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Report on Form 10-Q (File No. 1-15461) filed November 7, 2016)</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540" w:hanging="57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+10.8</w:t>
      </w:r>
      <w:r>
        <w:rPr>
          <w:sz w:val="20"/>
          <w:szCs w:val="20"/>
          <w:color w:val="auto"/>
        </w:rPr>
        <w:tab/>
      </w:r>
      <w:hyperlink r:id="rId48">
        <w:r>
          <w:rPr>
            <w:rFonts w:ascii="Times New Roman" w:cs="Times New Roman" w:eastAsia="Times New Roman" w:hAnsi="Times New Roman"/>
            <w:sz w:val="18"/>
            <w:szCs w:val="18"/>
            <w:u w:val="single" w:color="auto"/>
            <w:color w:val="0000FF"/>
          </w:rPr>
          <w:t>Form of Restricted Stock Unit Award Agreement for employees (2012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Company's Quarterly Report on Form 10-Q (File No. 1-15461) filed November 7, 2016)</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6">
        <w:r>
          <w:rPr>
            <w:rFonts w:ascii="Times New Roman" w:cs="Times New Roman" w:eastAsia="Times New Roman" w:hAnsi="Times New Roman"/>
            <w:sz w:val="17"/>
            <w:szCs w:val="17"/>
            <w:u w:val="single" w:color="auto"/>
            <w:color w:val="0000FF"/>
          </w:rPr>
          <w:t>Matrix Service Company 2016 Stock and Incentive Compensation Plan (Appendix B to the Company's Proxy Statement (File No. 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u w:val="single" w:color="auto"/>
            <w:color w:val="0000FF"/>
          </w:rPr>
          <w:t>15461), filed October 7, 2016)</w:t>
        </w:r>
        <w:r>
          <w:rPr>
            <w:rFonts w:ascii="Times New Roman" w:cs="Times New Roman" w:eastAsia="Times New Roman" w:hAnsi="Times New Roman"/>
            <w:sz w:val="18"/>
            <w:szCs w:val="18"/>
            <w:color w:val="000000"/>
          </w:rPr>
          <w:t>.</w:t>
        </w:r>
      </w:hyperlink>
    </w:p>
    <w:p>
      <w:pPr>
        <w:spacing w:after="0" w:line="166" w:lineRule="exact"/>
        <w:rPr>
          <w:sz w:val="20"/>
          <w:szCs w:val="20"/>
          <w:color w:val="auto"/>
        </w:rPr>
      </w:pPr>
    </w:p>
    <w:p>
      <w:pPr>
        <w:ind w:left="1300" w:right="64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+10.10</w:t>
      </w:r>
      <w:r>
        <w:rPr>
          <w:sz w:val="20"/>
          <w:szCs w:val="20"/>
          <w:color w:val="auto"/>
        </w:rPr>
        <w:tab/>
      </w:r>
      <w:hyperlink r:id="rId49">
        <w:r>
          <w:rPr>
            <w:rFonts w:ascii="Times New Roman" w:cs="Times New Roman" w:eastAsia="Times New Roman" w:hAnsi="Times New Roman"/>
            <w:sz w:val="18"/>
            <w:szCs w:val="18"/>
            <w:u w:val="single" w:color="auto"/>
            <w:color w:val="0000FF"/>
          </w:rPr>
          <w:t>Form of Restricted Stock Unit Award Agreement for Directors (2016 Stock and Incentive Compensation Plan) (Exhibit 10.2 to the</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Company's Quarterly Report on Form 10-Q (File No. 1-15461), filed February 9, 2017)</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120" w:hanging="661"/>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50">
        <w:r>
          <w:rPr>
            <w:rFonts w:ascii="Times New Roman" w:cs="Times New Roman" w:eastAsia="Times New Roman" w:hAnsi="Times New Roman"/>
            <w:sz w:val="18"/>
            <w:szCs w:val="18"/>
            <w:u w:val="single" w:color="auto"/>
            <w:color w:val="0000FF"/>
          </w:rPr>
          <w:t>Form of Long-Term Incentive Award Agreement (2016 Stock and Incentive Compensation Plan) (Exhibit 10.11 to the Company's Annual</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Report on Form 10-K/A (File No. 1-15461), filed September 19, 2018).</w:t>
        </w:r>
      </w:hyperlink>
    </w:p>
    <w:p>
      <w:pPr>
        <w:spacing w:after="0" w:line="121" w:lineRule="exact"/>
        <w:rPr>
          <w:sz w:val="20"/>
          <w:szCs w:val="20"/>
          <w:color w:val="auto"/>
        </w:rPr>
      </w:pPr>
    </w:p>
    <w:p>
      <w:pPr>
        <w:ind w:left="6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51">
        <w:r>
          <w:rPr>
            <w:rFonts w:ascii="Times New Roman" w:cs="Times New Roman" w:eastAsia="Times New Roman" w:hAnsi="Times New Roman"/>
            <w:sz w:val="17"/>
            <w:szCs w:val="17"/>
            <w:u w:val="single" w:color="auto"/>
            <w:color w:val="0000FF"/>
          </w:rPr>
          <w:t>Matrix Service Company 2018 Stock and Incentive Compensation Plan (Appendix A to the Company's Proxy Statement (File No. 1-</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15461), filed September 21, 2018).</w:t>
        </w:r>
      </w:hyperlink>
    </w:p>
    <w:p>
      <w:pPr>
        <w:spacing w:after="0" w:line="166" w:lineRule="exact"/>
        <w:rPr>
          <w:sz w:val="20"/>
          <w:szCs w:val="20"/>
          <w:color w:val="auto"/>
        </w:rPr>
      </w:pPr>
    </w:p>
    <w:p>
      <w:pPr>
        <w:ind w:left="1300" w:right="780" w:hanging="667"/>
        <w:spacing w:after="0" w:line="281"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52">
        <w:r>
          <w:rPr>
            <w:rFonts w:ascii="Times New Roman" w:cs="Times New Roman" w:eastAsia="Times New Roman" w:hAnsi="Times New Roman"/>
            <w:sz w:val="18"/>
            <w:szCs w:val="18"/>
            <w:u w:val="single" w:color="auto"/>
            <w:color w:val="0000FF"/>
          </w:rPr>
          <w:t>Form of Restricted Stock Unit Award Agreement for Directors (2018 Stock and Incentive Compensation Plan) (Exhibit 10 to the</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Company's Quarterly Report on Form 10-Q (File No. 1-15461), filed November 8, 2018).</w:t>
        </w:r>
      </w:hyperlink>
    </w:p>
    <w:p>
      <w:pPr>
        <w:spacing w:after="0" w:line="2" w:lineRule="exact"/>
        <w:rPr>
          <w:sz w:val="20"/>
          <w:szCs w:val="20"/>
          <w:color w:val="auto"/>
        </w:rPr>
      </w:pPr>
    </w:p>
    <w:p>
      <w:pPr>
        <w:ind w:left="130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w:t>
      </w:r>
      <w:r>
        <w:rPr>
          <w:sz w:val="20"/>
          <w:szCs w:val="20"/>
          <w:color w:val="auto"/>
        </w:rPr>
        <w:tab/>
      </w:r>
      <w:hyperlink r:id="rId53">
        <w:r>
          <w:rPr>
            <w:rFonts w:ascii="Times New Roman" w:cs="Times New Roman" w:eastAsia="Times New Roman" w:hAnsi="Times New Roman"/>
            <w:sz w:val="18"/>
            <w:szCs w:val="18"/>
            <w:u w:val="single" w:color="auto"/>
            <w:color w:val="0000FF"/>
          </w:rPr>
          <w:t>Form of Amended and Restated Severance Agreement (Exhibit 10 to the Company's Current Report on Form 8-K filed November 15, 2016</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(File No. 1-15461))</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36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w:t>
      </w:r>
      <w:r>
        <w:rPr>
          <w:sz w:val="20"/>
          <w:szCs w:val="20"/>
          <w:color w:val="auto"/>
        </w:rPr>
        <w:tab/>
      </w:r>
      <w:hyperlink r:id="rId54">
        <w:r>
          <w:rPr>
            <w:rFonts w:ascii="Times New Roman" w:cs="Times New Roman" w:eastAsia="Times New Roman" w:hAnsi="Times New Roman"/>
            <w:sz w:val="18"/>
            <w:szCs w:val="18"/>
            <w:u w:val="single" w:color="auto"/>
            <w:color w:val="0000FF"/>
          </w:rPr>
          <w:t>Amended and Restated Deferred Compensation Plan for Members of the Board of Directors (Exhibit 10.1 to the Company’s Quarterly</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Report on Form 10-Q (File No. 1-15461) filed January 8, 2009)</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hanging="667"/>
        <w:spacing w:after="0" w:line="282"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w:t>
      </w:r>
      <w:r>
        <w:rPr>
          <w:sz w:val="20"/>
          <w:szCs w:val="20"/>
          <w:color w:val="auto"/>
        </w:rPr>
        <w:tab/>
      </w:r>
      <w:hyperlink r:id="rId55">
        <w:r>
          <w:rPr>
            <w:rFonts w:ascii="Times New Roman" w:cs="Times New Roman" w:eastAsia="Times New Roman" w:hAnsi="Times New Roman"/>
            <w:sz w:val="18"/>
            <w:szCs w:val="18"/>
            <w:u w:val="single" w:color="auto"/>
            <w:color w:val="0000FF"/>
          </w:rPr>
          <w:t>Amendment 1 to Amended and Restated Deferred Compensation Plan for Members of the Board of Directors (Exhibit 10 to the Company's</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Quarterly Report on Form 10-Q (File No. 1-15461) filed November 9, 2012)</w:t>
        </w:r>
        <w:r>
          <w:rPr>
            <w:rFonts w:ascii="Times New Roman" w:cs="Times New Roman" w:eastAsia="Times New Roman" w:hAnsi="Times New Roman"/>
            <w:sz w:val="18"/>
            <w:szCs w:val="18"/>
            <w:color w:val="000000"/>
          </w:rPr>
          <w:t>.</w:t>
        </w:r>
      </w:hyperlink>
    </w:p>
    <w:p>
      <w:pPr>
        <w:spacing w:after="0" w:line="121" w:lineRule="exact"/>
        <w:rPr>
          <w:sz w:val="20"/>
          <w:szCs w:val="20"/>
          <w:color w:val="auto"/>
        </w:rPr>
      </w:pPr>
    </w:p>
    <w:p>
      <w:pPr>
        <w:ind w:left="1300" w:right="20" w:hanging="566"/>
        <w:spacing w:after="0" w:line="261" w:lineRule="auto"/>
        <w:tabs>
          <w:tab w:leader="none" w:pos="12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w:t>
      </w:r>
      <w:r>
        <w:rPr>
          <w:sz w:val="20"/>
          <w:szCs w:val="20"/>
          <w:color w:val="auto"/>
        </w:rPr>
        <w:tab/>
      </w:r>
      <w:hyperlink r:id="rId56">
        <w:r>
          <w:rPr>
            <w:rFonts w:ascii="Times New Roman" w:cs="Times New Roman" w:eastAsia="Times New Roman" w:hAnsi="Times New Roman"/>
            <w:sz w:val="18"/>
            <w:szCs w:val="18"/>
            <w:u w:val="single" w:color="auto"/>
            <w:color w:val="0000FF"/>
          </w:rPr>
          <w:t>Fourth Amended and Restated Credit Agreement dated as of February 8, 2017 among the Company and certain foreign subsidiaries, as</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Borrowers, various subsidiaries of the Company, as Guarantors, JPMorgan Chase Bank, N.A., as Administrative Agent, Lead Arranger and</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Sole Bookrunner, and the other lenders party thereto (Exhibit 10.1 to the Company's Quarterly Report on Form 10-Q (File No. 1-15461)</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filed May 10, 2017)</w:t>
        </w:r>
        <w:r>
          <w:rPr>
            <w:rFonts w:ascii="Times New Roman" w:cs="Times New Roman" w:eastAsia="Times New Roman" w:hAnsi="Times New Roman"/>
            <w:sz w:val="18"/>
            <w:szCs w:val="18"/>
            <w:color w:val="000000"/>
          </w:rPr>
          <w:t>.</w:t>
        </w:r>
      </w:hyperlink>
    </w:p>
    <w:p>
      <w:pPr>
        <w:spacing w:after="0" w:line="140" w:lineRule="exact"/>
        <w:rPr>
          <w:rFonts w:ascii="Times New Roman" w:cs="Times New Roman" w:eastAsia="Times New Roman" w:hAnsi="Times New Roman"/>
          <w:sz w:val="18"/>
          <w:szCs w:val="18"/>
          <w:u w:val="single" w:color="auto"/>
          <w:color w:val="0000FF"/>
        </w:rPr>
      </w:pPr>
    </w:p>
    <w:p>
      <w:pPr>
        <w:ind w:left="1300" w:right="640" w:hanging="566"/>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57">
        <w:r>
          <w:rPr>
            <w:rFonts w:ascii="Times New Roman" w:cs="Times New Roman" w:eastAsia="Times New Roman" w:hAnsi="Times New Roman"/>
            <w:sz w:val="18"/>
            <w:szCs w:val="18"/>
            <w:u w:val="single" w:color="auto"/>
            <w:color w:val="0000FF"/>
          </w:rPr>
          <w:t>First Amendment dated as of August 31, 2017 to Fourth Amended and Restated Credit Agreement (Exhibit 10.1 to the Company’s</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Quarterly Report on Form 10-Q (File No. 1-15461), filed November 7, 2017).</w:t>
        </w:r>
      </w:hyperlink>
    </w:p>
    <w:p>
      <w:pPr>
        <w:spacing w:after="0" w:line="121" w:lineRule="exact"/>
        <w:rPr>
          <w:sz w:val="20"/>
          <w:szCs w:val="20"/>
          <w:color w:val="auto"/>
        </w:rPr>
      </w:pPr>
    </w:p>
    <w:p>
      <w:pPr>
        <w:ind w:left="6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58">
        <w:r>
          <w:rPr>
            <w:rFonts w:ascii="Times New Roman" w:cs="Times New Roman" w:eastAsia="Times New Roman" w:hAnsi="Times New Roman"/>
            <w:sz w:val="17"/>
            <w:szCs w:val="17"/>
            <w:u w:val="single" w:color="auto"/>
            <w:color w:val="0000FF"/>
          </w:rPr>
          <w:t>Form of Indemnification Agreement (Exhibit 10.1 to the Company's Current Report on Form 8-K (File No. 1-15461) filed June 9, 2015).</w:t>
        </w:r>
      </w:hyperlink>
    </w:p>
    <w:p>
      <w:pPr>
        <w:spacing w:after="0" w:line="185" w:lineRule="exact"/>
        <w:rPr>
          <w:sz w:val="20"/>
          <w:szCs w:val="20"/>
          <w:color w:val="auto"/>
        </w:rPr>
      </w:pPr>
    </w:p>
    <w:p>
      <w:pPr>
        <w:ind w:left="86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w:anchor="page85">
        <w:r>
          <w:rPr>
            <w:rFonts w:ascii="Times New Roman" w:cs="Times New Roman" w:eastAsia="Times New Roman" w:hAnsi="Times New Roman"/>
            <w:sz w:val="17"/>
            <w:szCs w:val="17"/>
            <w:u w:val="single" w:color="auto"/>
            <w:color w:val="0000FF"/>
          </w:rPr>
          <w:t>Subsidiaries</w:t>
        </w:r>
      </w:hyperlink>
      <w:r>
        <w:rPr>
          <w:rFonts w:ascii="Times New Roman" w:cs="Times New Roman" w:eastAsia="Times New Roman" w:hAnsi="Times New Roman"/>
          <w:sz w:val="17"/>
          <w:szCs w:val="17"/>
          <w:color w:val="000000"/>
        </w:rPr>
        <w:t>.</w:t>
      </w:r>
    </w:p>
    <w:p>
      <w:pPr>
        <w:spacing w:after="0" w:line="185" w:lineRule="exact"/>
        <w:rPr>
          <w:sz w:val="20"/>
          <w:szCs w:val="20"/>
          <w:color w:val="auto"/>
        </w:rPr>
      </w:pPr>
    </w:p>
    <w:p>
      <w:pPr>
        <w:ind w:left="86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w:anchor="page86">
        <w:r>
          <w:rPr>
            <w:rFonts w:ascii="Times New Roman" w:cs="Times New Roman" w:eastAsia="Times New Roman" w:hAnsi="Times New Roman"/>
            <w:sz w:val="17"/>
            <w:szCs w:val="17"/>
            <w:u w:val="single" w:color="auto"/>
            <w:color w:val="0000FF"/>
          </w:rPr>
          <w:t>Consent of Independent Registered Public Accounting Firm—Deloitte &amp; Touche LLP</w:t>
        </w:r>
      </w:hyperlink>
      <w:r>
        <w:rPr>
          <w:rFonts w:ascii="Times New Roman" w:cs="Times New Roman" w:eastAsia="Times New Roman" w:hAnsi="Times New Roman"/>
          <w:sz w:val="17"/>
          <w:szCs w:val="17"/>
          <w:color w:val="000000"/>
        </w:rPr>
        <w:t>.</w:t>
      </w:r>
    </w:p>
    <w:p>
      <w:pPr>
        <w:spacing w:after="0" w:line="185"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87">
        <w:r>
          <w:rPr>
            <w:rFonts w:ascii="Times New Roman" w:cs="Times New Roman" w:eastAsia="Times New Roman" w:hAnsi="Times New Roman"/>
            <w:sz w:val="17"/>
            <w:szCs w:val="17"/>
            <w:u w:val="single" w:color="auto"/>
            <w:color w:val="0000FF"/>
          </w:rPr>
          <w:t>Certification Pursuant to Section 302 of Sarbanes-Oxley Act of 2002—CEO</w:t>
        </w:r>
      </w:hyperlink>
      <w:r>
        <w:rPr>
          <w:rFonts w:ascii="Times New Roman" w:cs="Times New Roman" w:eastAsia="Times New Roman" w:hAnsi="Times New Roman"/>
          <w:sz w:val="17"/>
          <w:szCs w:val="17"/>
          <w:color w:val="000000"/>
        </w:rPr>
        <w:t>.</w:t>
      </w:r>
    </w:p>
    <w:p>
      <w:pPr>
        <w:spacing w:after="0" w:line="185" w:lineRule="exact"/>
        <w:rPr>
          <w:sz w:val="20"/>
          <w:szCs w:val="20"/>
          <w:color w:val="auto"/>
        </w:rPr>
      </w:pPr>
    </w:p>
    <w:p>
      <w:pPr>
        <w:ind w:left="72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88">
        <w:r>
          <w:rPr>
            <w:rFonts w:ascii="Times New Roman" w:cs="Times New Roman" w:eastAsia="Times New Roman" w:hAnsi="Times New Roman"/>
            <w:sz w:val="17"/>
            <w:szCs w:val="17"/>
            <w:u w:val="single" w:color="auto"/>
            <w:color w:val="0000FF"/>
          </w:rPr>
          <w:t>Certification Pursuant to Section 302 of Sarbanes-Oxley Act of 2002—CFO.</w:t>
        </w:r>
      </w:hyperlink>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2000" w:type="dxa"/>
            <w:vAlign w:val="bottom"/>
            <w:gridSpan w:val="2"/>
          </w:tcPr>
          <w:p>
            <w:pPr>
              <w:spacing w:after="0"/>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Certification Pursuant to 18</w:t>
              </w:r>
            </w:hyperlink>
          </w:p>
        </w:tc>
        <w:tc>
          <w:tcPr>
            <w:tcW w:w="940" w:type="dxa"/>
            <w:vAlign w:val="bottom"/>
          </w:tcPr>
          <w:p>
            <w:pPr>
              <w:ind w:left="40"/>
              <w:spacing w:after="0"/>
              <w:rPr>
                <w:rFonts w:ascii="Times New Roman" w:cs="Times New Roman" w:eastAsia="Times New Roman" w:hAnsi="Times New Roman"/>
                <w:sz w:val="18"/>
                <w:szCs w:val="18"/>
                <w:color w:val="0000FF"/>
                <w:w w:val="98"/>
              </w:rPr>
            </w:pPr>
            <w:hyperlink w:anchor="page89">
              <w:r>
                <w:rPr>
                  <w:rFonts w:ascii="Times New Roman" w:cs="Times New Roman" w:eastAsia="Times New Roman" w:hAnsi="Times New Roman"/>
                  <w:sz w:val="18"/>
                  <w:szCs w:val="18"/>
                  <w:color w:val="0000FF"/>
                  <w:w w:val="98"/>
                </w:rPr>
                <w:t>U.S.C. 1350</w:t>
              </w:r>
            </w:hyperlink>
          </w:p>
        </w:tc>
        <w:tc>
          <w:tcPr>
            <w:tcW w:w="3860" w:type="dxa"/>
            <w:vAlign w:val="bottom"/>
            <w:gridSpan w:val="2"/>
          </w:tcPr>
          <w:p>
            <w:pPr>
              <w:ind w:left="20"/>
              <w:spacing w:after="0"/>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(section 906 of Sarbanes-Oxley Act of 2002)—CEO</w:t>
              </w:r>
            </w:hyperlink>
            <w:r>
              <w:rPr>
                <w:rFonts w:ascii="Times New Roman" w:cs="Times New Roman" w:eastAsia="Times New Roman" w:hAnsi="Times New Roman"/>
                <w:sz w:val="18"/>
                <w:szCs w:val="18"/>
                <w:color w:val="000000"/>
                <w:w w:val="99"/>
              </w:rPr>
              <w:t>.</w:t>
            </w: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*32.2</w:t>
            </w:r>
          </w:p>
        </w:tc>
        <w:tc>
          <w:tcPr>
            <w:tcW w:w="2000" w:type="dxa"/>
            <w:vAlign w:val="bottom"/>
            <w:gridSpan w:val="2"/>
          </w:tcPr>
          <w:p>
            <w:pPr>
              <w:spacing w:after="0"/>
              <w:rPr>
                <w:rFonts w:ascii="Times New Roman" w:cs="Times New Roman" w:eastAsia="Times New Roman" w:hAnsi="Times New Roman"/>
                <w:sz w:val="18"/>
                <w:szCs w:val="18"/>
                <w:color w:val="0000FF"/>
                <w:w w:val="99"/>
              </w:rPr>
            </w:pPr>
            <w:hyperlink w:anchor="page90">
              <w:r>
                <w:rPr>
                  <w:rFonts w:ascii="Times New Roman" w:cs="Times New Roman" w:eastAsia="Times New Roman" w:hAnsi="Times New Roman"/>
                  <w:sz w:val="18"/>
                  <w:szCs w:val="18"/>
                  <w:color w:val="0000FF"/>
                  <w:w w:val="99"/>
                </w:rPr>
                <w:t>Certification Pursuant to 18</w:t>
              </w:r>
            </w:hyperlink>
          </w:p>
        </w:tc>
        <w:tc>
          <w:tcPr>
            <w:tcW w:w="940" w:type="dxa"/>
            <w:vAlign w:val="bottom"/>
          </w:tcPr>
          <w:p>
            <w:pPr>
              <w:ind w:left="40"/>
              <w:spacing w:after="0"/>
              <w:rPr>
                <w:rFonts w:ascii="Times New Roman" w:cs="Times New Roman" w:eastAsia="Times New Roman" w:hAnsi="Times New Roman"/>
                <w:sz w:val="18"/>
                <w:szCs w:val="18"/>
                <w:color w:val="0000FF"/>
                <w:w w:val="98"/>
              </w:rPr>
            </w:pPr>
            <w:hyperlink w:anchor="page90">
              <w:r>
                <w:rPr>
                  <w:rFonts w:ascii="Times New Roman" w:cs="Times New Roman" w:eastAsia="Times New Roman" w:hAnsi="Times New Roman"/>
                  <w:sz w:val="18"/>
                  <w:szCs w:val="18"/>
                  <w:color w:val="0000FF"/>
                  <w:w w:val="98"/>
                </w:rPr>
                <w:t>U.S.C. 1350</w:t>
              </w:r>
            </w:hyperlink>
          </w:p>
        </w:tc>
        <w:tc>
          <w:tcPr>
            <w:tcW w:w="3860" w:type="dxa"/>
            <w:vAlign w:val="bottom"/>
            <w:gridSpan w:val="2"/>
          </w:tcPr>
          <w:p>
            <w:pPr>
              <w:ind w:left="20"/>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(section 906 of Sarbanes-Oxley Act of 2002)—CFO</w:t>
              </w:r>
            </w:hyperlink>
            <w:r>
              <w:rPr>
                <w:rFonts w:ascii="Times New Roman" w:cs="Times New Roman" w:eastAsia="Times New Roman" w:hAnsi="Times New Roman"/>
                <w:sz w:val="18"/>
                <w:szCs w:val="18"/>
                <w:color w:val="000000"/>
              </w:rPr>
              <w:t>.</w:t>
            </w:r>
          </w:p>
        </w:tc>
      </w:tr>
      <w:tr>
        <w:trPr>
          <w:trHeight w:val="37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2000" w:type="dxa"/>
            <w:vAlign w:val="bottom"/>
            <w:tcBorders>
              <w:top w:val="single" w:sz="8" w:color="0000FF"/>
            </w:tcBorders>
            <w:gridSpan w:val="2"/>
          </w:tcPr>
          <w:p>
            <w:pPr>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Mine Safety Disclosure</w:t>
              </w:r>
            </w:hyperlink>
            <w:r>
              <w:rPr>
                <w:rFonts w:ascii="Times New Roman" w:cs="Times New Roman" w:eastAsia="Times New Roman" w:hAnsi="Times New Roman"/>
                <w:sz w:val="18"/>
                <w:szCs w:val="18"/>
                <w:color w:val="000000"/>
              </w:rPr>
              <w:t>.</w:t>
            </w:r>
          </w:p>
        </w:tc>
        <w:tc>
          <w:tcPr>
            <w:tcW w:w="940" w:type="dxa"/>
            <w:vAlign w:val="bottom"/>
            <w:tcBorders>
              <w:top w:val="single" w:sz="8" w:color="0000FF"/>
            </w:tcBorders>
          </w:tcPr>
          <w:p>
            <w:pPr>
              <w:spacing w:after="0"/>
              <w:rPr>
                <w:sz w:val="24"/>
                <w:szCs w:val="24"/>
                <w:color w:val="auto"/>
              </w:rPr>
            </w:pPr>
          </w:p>
        </w:tc>
        <w:tc>
          <w:tcPr>
            <w:tcW w:w="38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*101.INS</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*101.SCH</w:t>
            </w: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*101.CAL</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*101.DEF</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*101.LAB</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*101.PRE</w:t>
            </w: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+Management Contract or Compensatory Plan.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 Paper filing.</w:t>
      </w:r>
    </w:p>
    <w:p>
      <w:pPr>
        <w:sectPr>
          <w:pgSz w:w="11900" w:h="16838" w:orient="portrait"/>
          <w:cols w:equalWidth="0" w:num="1">
            <w:col w:w="11340"/>
          </w:cols>
          <w:pgMar w:left="240" w:top="121" w:right="319" w:bottom="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240" w:top="121" w:right="319" w:bottom="50" w:gutter="0" w:footer="0" w:header="0"/>
          <w:type w:val="continuous"/>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6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87" w:lineRule="exact"/>
        <w:rPr>
          <w:sz w:val="20"/>
          <w:szCs w:val="20"/>
          <w:color w:val="auto"/>
        </w:rPr>
      </w:pPr>
    </w:p>
    <w:p>
      <w:pPr>
        <w:ind w:left="40"/>
        <w:spacing w:after="0"/>
        <w:tabs>
          <w:tab w:leader="none" w:pos="7200" w:val="left"/>
          <w:tab w:leader="none" w:pos="8880" w:val="left"/>
        </w:tabs>
        <w:rPr>
          <w:sz w:val="20"/>
          <w:szCs w:val="20"/>
          <w:color w:val="auto"/>
        </w:rPr>
      </w:pPr>
      <w:r>
        <w:rPr>
          <w:rFonts w:ascii="Times New Roman" w:cs="Times New Roman" w:eastAsia="Times New Roman" w:hAnsi="Times New Roman"/>
          <w:sz w:val="18"/>
          <w:szCs w:val="18"/>
          <w:color w:val="auto"/>
        </w:rPr>
        <w:t>Date : September 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36830</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John R. Hewitt, President and</w:t>
      </w:r>
    </w:p>
    <w:p>
      <w:pPr>
        <w:spacing w:after="0" w:line="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6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560" w:type="dxa"/>
            <w:vAlign w:val="bottom"/>
          </w:tcPr>
          <w:p>
            <w:pPr>
              <w:spacing w:after="0"/>
              <w:rPr>
                <w:sz w:val="13"/>
                <w:szCs w:val="13"/>
                <w:color w:val="auto"/>
              </w:rPr>
            </w:pP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Jim W. Mogg</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Jim W. Mogg</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John R. Hewitt</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40" w:type="dxa"/>
            <w:vAlign w:val="bottom"/>
            <w:gridSpan w:val="3"/>
            <w:vMerge w:val="restart"/>
          </w:tcPr>
          <w:p>
            <w:pPr>
              <w:jc w:val="center"/>
              <w:ind w:left="1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John R. Hewitt</w:t>
            </w:r>
          </w:p>
        </w:tc>
        <w:tc>
          <w:tcPr>
            <w:tcW w:w="5040" w:type="dxa"/>
            <w:vAlign w:val="bottom"/>
            <w:gridSpan w:val="3"/>
            <w:vMerge w:val="continue"/>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132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Kevin S. Cavanah</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8"/>
              </w:rPr>
              <w:t>Vice President</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vMerge w:val="continue"/>
          </w:tcPr>
          <w:p>
            <w:pPr>
              <w:spacing w:after="0"/>
              <w:rPr>
                <w:sz w:val="20"/>
                <w:szCs w:val="20"/>
                <w:color w:val="auto"/>
              </w:rPr>
            </w:pPr>
          </w:p>
        </w:tc>
        <w:tc>
          <w:tcPr>
            <w:tcW w:w="2460" w:type="dxa"/>
            <w:vAlign w:val="bottom"/>
            <w:gridSpan w:val="3"/>
            <w:vMerge w:val="continue"/>
          </w:tcPr>
          <w:p>
            <w:pPr>
              <w:spacing w:after="0"/>
              <w:rPr>
                <w:sz w:val="20"/>
                <w:szCs w:val="20"/>
                <w:color w:val="auto"/>
              </w:rPr>
            </w:pPr>
          </w:p>
        </w:tc>
        <w:tc>
          <w:tcPr>
            <w:tcW w:w="504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40" w:type="dxa"/>
            <w:vAlign w:val="bottom"/>
            <w:gridSpan w:val="3"/>
            <w:vMerge w:val="restart"/>
          </w:tcPr>
          <w:p>
            <w:pPr>
              <w:jc w:val="center"/>
              <w:ind w:left="11"/>
              <w:spacing w:after="0"/>
              <w:rPr>
                <w:sz w:val="20"/>
                <w:szCs w:val="20"/>
                <w:color w:val="auto"/>
              </w:rPr>
            </w:pPr>
            <w:r>
              <w:rPr>
                <w:rFonts w:ascii="Times New Roman" w:cs="Times New Roman" w:eastAsia="Times New Roman" w:hAnsi="Times New Roman"/>
                <w:sz w:val="18"/>
                <w:szCs w:val="18"/>
                <w:color w:val="auto"/>
                <w:w w:val="99"/>
              </w:rPr>
              <w:t>(Principal Accounting and</w:t>
            </w: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Kevin S. Cavanah</w:t>
            </w:r>
          </w:p>
        </w:tc>
        <w:tc>
          <w:tcPr>
            <w:tcW w:w="504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4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Martha Z. Carnes</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Martha Z. Carnes</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John D. Chandler</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John D. Chandler</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John W. Gibson</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John W. Gibson</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Liane K. Hinrichs</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Liane K. Hinrichs</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/S/</w:t>
            </w: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James H. Miller</w:t>
            </w:r>
          </w:p>
        </w:tc>
        <w:tc>
          <w:tcPr>
            <w:tcW w:w="504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rPr>
              <w:t>September 4, 2019</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James H. Miller</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THE COMPANY’S COMMON STOCK</w:t>
      </w: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Company’s Common Stock Registered</w:t>
      </w:r>
    </w:p>
    <w:p>
      <w:pPr>
        <w:spacing w:after="0" w:line="17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Under Section 12 of the Securities Exchange Act of 1934</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Matrix Service Company’s common stock is based on and qualified by the Company’s Amended and Restated Certificate of Incorporation (the “Certificate of Incorporation”) and Second Amended and Restated Bylaws (“Bylaws”). For a complete description of the terms and provisions of the Company’s common stock, refer to the Certificate of Incorporation and Bylaws, both of which are filed as exhibits to this Annual Report on Form 10-K.</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w:t>
      </w:r>
    </w:p>
    <w:p>
      <w:pPr>
        <w:spacing w:after="0" w:line="175"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Currently we have authority to issue 60,000,000 shares of common stock, $0.01 par value per share. The outstanding shares of our common stock are fully paid and nonassessable. Holders of common stock have no preemptive rights and have no rights to convert their common stock into any other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per share on all matters to be voted on by stockholders. Holders of common stock do not have cumulative voting rights with respect to the election of directors or as to any other matter to be voted upon by the holders of common stock. The vote of the holders of a majority of the issued and outstanding shares of our common stock is required to amend our restated certificate of incorporation, except that the vote of the holders of at least 66-2/3% of the issued and outstanding shares of our common stock is required to amend the provisions in our restated certificate of incorporation that:</w:t>
      </w:r>
    </w:p>
    <w:p>
      <w:pPr>
        <w:spacing w:after="0" w:line="13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rights entitling the holders thereof to purchase from us shares of capital stock or other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taking action by written consent;</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Chairman of our board of directors to call a special meeting of stockholders only upon the request of a majority of the members of our board of directors;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business to be conducted at any special meeting of stockholders to that business presented by the Chairman of the board of directors only upon the request of a majority of the members of our board of directors;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 series of preferred stock to elect additional directors under certain circumstances, limit the number of members of the board of directors to not less than three nor more than 15 as may from time to time be provided in our Bylaws or increased or decreased from time to time as prescribed in our Bylaws.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Bylaws may be amended by our board of directors without the vote or consent of the holders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17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holders of common stock are entitled to receive ratably such dividends as may be declared by our board of directors in its discretion from funds legally available. In the event of a liquidation, dissolution, or winding up of our Company, holders of common stock are entitled to share ratably in all assets remaining after payment of liabilities and the liquidation preference of any outstanding preferred stock.</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credit agreement limits the amount of cash dividends we can pay on our common stock.</w:t>
      </w:r>
    </w:p>
    <w:p>
      <w:pPr>
        <w:sectPr>
          <w:pgSz w:w="11900" w:h="16838" w:orient="portrait"/>
          <w:cols w:equalWidth="0" w:num="1">
            <w:col w:w="11420"/>
          </w:cols>
          <w:pgMar w:left="240" w:top="73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Diminution of Rights of Common Stock</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our common stock may be materially adversely diminished by the terms of any series of preferred stock that we may issue in the future. Our restated certificate of incorporation currently authorizes our board of directors to issue up to 5,000,000 shares of one or more series of preferred stock having such rights, privileges and preferences as may be determined by our board of directors in its discretion without the vote, consent or approval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Provisions of the Delaware General Corporation Law (“DGCL”) and of our Certificate of Incorporation and Bylaws may delay, defer or prevent a change of control of our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General Corporation Law</w:t>
      </w:r>
    </w:p>
    <w:p>
      <w:pPr>
        <w:spacing w:after="0" w:line="17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DGCL provides certain restrictions on business combinations involving interested parties. Under the DGCL, a corporation may not engage in a business combination with any holder of 15% or more of its capital stock unless the holder has held the stock for three years or, among other things, the board of directors has approved the transaction. Our board of directors could rely on this provision of the DGCL to prevent or delay an acquisition of us.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73"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granted to it in our Certificate of Incorporation to issue up to 5,000,000 shares of preferred stock and to determine the price, rights, preferences, privileges and restrictions, including voting rights of those shares, without any further vote or action by our stockholders. The purpose of authorizing the board of directors to determine the price, rights, preferences, privileges and restrictions is to eliminate delays associated with a stockholder vote on specific issuances. The issuance of preferred stock, while providing flexibility in connection with possible acquisitions and other corporate purposes, could, among other things, adversely affect the voting power of the holders of our common stock and, under certain circumstances, make it more difficult for a third party to gain control of us.</w:t>
      </w:r>
    </w:p>
    <w:p>
      <w:pPr>
        <w:spacing w:after="0" w:line="13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stockholders must give written notice to nominate a candidate for director or present a proposal to stockholders to be considered at the meeting, which must be delivered to us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 Any such recommendation should be accompanied by a written statement from the person recommended, giving his or her consent to be named as a nominee and, if nominated and elected, to serve as a director. The written notice should also be accompanied by a completed director nominee questionnaire in the form required by the Company and a completed and signed written representation and agreement (executed by the nominee in the form provided by the Secretary of the Company upon written request) that such person:</w:t>
      </w:r>
    </w:p>
    <w:p>
      <w:pPr>
        <w:spacing w:after="0" w:line="135" w:lineRule="exact"/>
        <w:rPr>
          <w:sz w:val="20"/>
          <w:szCs w:val="20"/>
          <w:color w:val="auto"/>
        </w:rPr>
      </w:pPr>
    </w:p>
    <w:p>
      <w:pPr>
        <w:ind w:left="660" w:right="20" w:hanging="328"/>
        <w:spacing w:after="0" w:line="261" w:lineRule="auto"/>
        <w:tabs>
          <w:tab w:leader="none" w:pos="7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with such person’s fiduciary duties under applicable law;</w:t>
      </w:r>
    </w:p>
    <w:p>
      <w:pPr>
        <w:spacing w:after="0" w:line="12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122"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be in compliance, if elected as a director, and will comply with, applicable law and all applicable publicly disclosed corporate governance, conflict of interest, corporate opportunities, confidentiality and stock ownership and trading policies and guidelines of the Company;</w:t>
      </w:r>
    </w:p>
    <w:p>
      <w:pPr>
        <w:spacing w:after="0" w:line="84"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in accordance with the Board’ policies or guidelines on director elections; and</w:t>
      </w:r>
    </w:p>
    <w:p>
      <w:pPr>
        <w:sectPr>
          <w:pgSz w:w="11900" w:h="16838" w:orient="portrait"/>
          <w:cols w:equalWidth="0" w:num="1">
            <w:col w:w="11400"/>
          </w:cols>
          <w:pgMar w:left="240" w:top="900" w:right="259" w:bottom="1440" w:gutter="0" w:footer="0" w:header="0"/>
        </w:sectPr>
      </w:pPr>
    </w:p>
    <w:bookmarkStart w:id="83" w:name="page84"/>
    <w:bookmarkEnd w:id="83"/>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serve a full term if elected as a director of the Company.</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written notice must also set forth, as to the stockholder giving the notice and the beneficial owner, if any, on whose behalf the nomination or proposal is made:</w:t>
      </w:r>
    </w:p>
    <w:p>
      <w:pPr>
        <w:spacing w:after="0" w:line="10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and of such beneficial owner;</w:t>
      </w:r>
    </w:p>
    <w:p>
      <w:pPr>
        <w:spacing w:after="0" w:line="17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capital stock of the Company that are owned beneficially and held of record by such stockholder and such beneficial owner;</w:t>
      </w:r>
    </w:p>
    <w:p>
      <w:pPr>
        <w:spacing w:after="0" w:line="107"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strategy or objective, if any, of such stockholder and its associated person who is not an individual and a copy of the prospectus, offering memorandum or similar document, if any, provided to investors or potential investors in such stockholder and each such associated person;</w:t>
      </w:r>
    </w:p>
    <w:p>
      <w:pPr>
        <w:spacing w:after="0" w:line="84"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any short positions or other derivative positions relating to the Company’s shares of such stockholder and such beneficial owner, such information to be updated to reflect any material change in such positions through the time of the annual meeting;</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proxy, contract, arrangement, understanding or relationship pursuant to which such stockholder or such beneficial owner has a right to vote any shares of any security of the Company;</w:t>
      </w:r>
    </w:p>
    <w:p>
      <w:pPr>
        <w:spacing w:after="0" w:line="107" w:lineRule="exact"/>
        <w:rPr>
          <w:rFonts w:ascii="Times New Roman" w:cs="Times New Roman" w:eastAsia="Times New Roman" w:hAnsi="Times New Roman"/>
          <w:sz w:val="18"/>
          <w:szCs w:val="18"/>
          <w:color w:val="auto"/>
        </w:rPr>
      </w:pPr>
    </w:p>
    <w:p>
      <w:pPr>
        <w:jc w:val="both"/>
        <w:ind w:left="660" w:right="140" w:hanging="328"/>
        <w:spacing w:after="0" w:line="313"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such stockholder is a holder of record of the Company’s stock entitled to vote at such meeting, will continue to be so through the date of the meeting and intends to appear in person or by proxy at the meeting to bring such nomination or other business before the meeting;</w:t>
      </w:r>
    </w:p>
    <w:p>
      <w:pPr>
        <w:spacing w:after="0" w:line="84"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such stockholder or beneficial owner intends or is part of a group that intends to deliver a proxy statement or form of proxy to holders of at least the percentage of the voting power of the Company’s outstanding stock required to approve or adopt the proposal or to elect each such nominee;</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any security of any entity that was publicly disclosed as a peer by the Company;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the nomination or other business between or among such stockholder, beneficial owner or any other person.</w:t>
      </w:r>
    </w:p>
    <w:p>
      <w:pPr>
        <w:spacing w:after="0" w:line="10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Stockholders do not have the right to call special meetings of stockholders. Only the Chairman of our board of directors upon the request of a majority of the board of directors may call a special meeting of stockholders. The only business that may be conducted at a special meeting of stockholders is the business presented at the meeting by the Chairman of our board of directors upon the request of a majority of the members of our board of directors. Actions may not be taken by stockholders by written consent in lieu of a meeting of stockholders.</w:t>
      </w:r>
    </w:p>
    <w:p>
      <w:pPr>
        <w:spacing w:after="0" w:line="12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above provisions contained in our Certificate of Incorporation and Bylaws are intended to enhance the likelihood of continuity and stability in the composition of our board and in the policies formulated by them and to discourage certain types of transactions that may involve an actual or threatened change in control of our Company in a manner deemed by our board of directors to not be in the best interests of our stockholders. These provisions are designed to reduce our vulnerability to an unsolicited acquisition proposal and to discourage certain tactics that may be used in proxy contests. However, these provisions could have the effect of discouraging others from making tender offers for our shares and also may have the effect of preventing changes in our Company or management.</w:t>
      </w:r>
    </w:p>
    <w:p>
      <w:pPr>
        <w:sectPr>
          <w:pgSz w:w="11900" w:h="16838" w:orient="portrait"/>
          <w:cols w:equalWidth="0" w:num="1">
            <w:col w:w="11300"/>
          </w:cols>
          <w:pgMar w:left="240" w:top="904"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Inc., an Oklahoma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Inc., an Oklahoma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North American Construction,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PDM,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International Holding Company, Ltd., a British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Ltd., a South Korean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Applied Technologies, Pty. Ltd., an Australian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Interests,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Consulting, LLC, a Louisiana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Products and Services S. de R.L. de C.V., a Mexican limited liability variable stock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VI, LLC, a U.S. Virgin Island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Aquatic Solutions, Inc., an Oklahoma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MSI Federal Contracting,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Matrix-SJC,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Devco USA,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Dynamics, LLC, a Qatar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Service International, LLC, a Delaware limited liability company</w:t>
      </w:r>
    </w:p>
    <w:p>
      <w:pPr>
        <w:sectPr>
          <w:pgSz w:w="11900" w:h="16838" w:orient="portrait"/>
          <w:cols w:equalWidth="0" w:num="1">
            <w:col w:w="11420"/>
          </w:cols>
          <w:pgMar w:left="240" w:top="576"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Forms S-8:</w:t>
      </w:r>
    </w:p>
    <w:p>
      <w:pPr>
        <w:spacing w:after="0" w:line="225" w:lineRule="exact"/>
        <w:rPr>
          <w:sz w:val="20"/>
          <w:szCs w:val="20"/>
          <w:color w:val="auto"/>
        </w:rPr>
      </w:pPr>
    </w:p>
    <w:p>
      <w:pPr>
        <w:ind w:left="340" w:right="640"/>
        <w:spacing w:after="0" w:line="501" w:lineRule="auto"/>
        <w:rPr>
          <w:sz w:val="20"/>
          <w:szCs w:val="20"/>
          <w:color w:val="auto"/>
        </w:rPr>
      </w:pPr>
      <w:r>
        <w:rPr>
          <w:rFonts w:ascii="Times New Roman" w:cs="Times New Roman" w:eastAsia="Times New Roman" w:hAnsi="Times New Roman"/>
          <w:sz w:val="18"/>
          <w:szCs w:val="18"/>
          <w:color w:val="auto"/>
        </w:rPr>
        <w:t>Registration Statement on Form S-8 (File No. 333-228052) related to the Matrix Service Company 2018 Stock and Incentive Compensation Plan Registration Statement on Form S-8 (File No. 333-214590) related to the Matrix Service Company 2016 Stock and Incentive Compensation Plan Registration Statement on Form S-8 (File No. 333-203207) related to the Matrix Service Company 2012 Stock and Incentive Compensation Plan Registration Statement on Form S-8 (File No. 333-184982) related to the Matrix Service Company 2012 Stock and Incentive Compensation Plan Registration Statement on Form S-8 (File No. 333-171247) related to the Matrix Service Company 2011 Employee Stock Purchase Plan Registration Statement on Form S-8 (File No. 333-171245) related to the Matrix Service Company 2004 Stock Incentive Plan Registration Statement on Form S-8 (File No. 333-119840) related to the Matrix Service Company 2004 Stock Option Plan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September 4, 2019, relating to the consolidated financial statements and financial statement schedules of Matrix Service Company and subsidiaries, and the effectiveness of Matrix Service Company and subsidiaries’ internal control over financial reporting, appearing in the Annual Report on Form 10-K of Matrix Service Company for the year ended June 30, 2019.</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2019</w:t>
      </w:r>
    </w:p>
    <w:p>
      <w:pPr>
        <w:sectPr>
          <w:pgSz w:w="11900" w:h="16838" w:orient="portrait"/>
          <w:cols w:equalWidth="0" w:num="1">
            <w:col w:w="11420"/>
          </w:cols>
          <w:pgMar w:left="240" w:top="65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September 4, 2019</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18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September 4, 2019</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87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2019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September 4, 2019</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Matrix Service Company (the “Company”) on Form 10-K for the period ending June 30, 2019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September 4, 2019</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87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90" w:name="page91"/>
    <w:bookmarkEnd w:id="90"/>
    <w:p>
      <w:pPr>
        <w:ind w:left="1062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twelve months ended June 30, 2019:</w:t>
      </w:r>
    </w:p>
    <w:p>
      <w:pPr>
        <w:spacing w:after="0" w:line="156"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94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Mine or</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Received Notice</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of Potential to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Operating</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Total Number</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Have Pattern of</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Name/MSHA</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104(d)</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of Mining</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Violations Under</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Legal Actions</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Identification</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Section 104 S&amp;S</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Citations and</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3"/>
              </w:rPr>
              <w:t>(2)</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Related</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Section 104(e)</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Section 104(e)</w:t>
            </w:r>
            <w:r>
              <w:rPr>
                <w:rFonts w:ascii="Times New Roman" w:cs="Times New Roman" w:eastAsia="Times New Roman" w:hAnsi="Times New Roman"/>
                <w:sz w:val="8"/>
                <w:szCs w:val="8"/>
                <w:color w:val="auto"/>
                <w:w w:val="97"/>
              </w:rPr>
              <w:t>(7)</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Number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Citations</w:t>
            </w:r>
            <w:r>
              <w:rPr>
                <w:rFonts w:ascii="Times New Roman" w:cs="Times New Roman" w:eastAsia="Times New Roman" w:hAnsi="Times New Roman"/>
                <w:sz w:val="8"/>
                <w:szCs w:val="8"/>
                <w:color w:val="auto"/>
              </w:rPr>
              <w:t>(1)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(2)</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Violations</w:t>
            </w:r>
            <w:r>
              <w:rPr>
                <w:rFonts w:ascii="Times New Roman" w:cs="Times New Roman" w:eastAsia="Times New Roman" w:hAnsi="Times New Roman"/>
                <w:sz w:val="8"/>
                <w:szCs w:val="8"/>
                <w:color w:val="auto"/>
              </w:rPr>
              <w:t>(4)</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r>
              <w:rPr>
                <w:rFonts w:ascii="Times New Roman" w:cs="Times New Roman" w:eastAsia="Times New Roman" w:hAnsi="Times New Roman"/>
                <w:sz w:val="8"/>
                <w:szCs w:val="8"/>
                <w:color w:val="auto"/>
              </w:rPr>
              <w:t>(5)</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0"/>
                <w:szCs w:val="10"/>
                <w:color w:val="auto"/>
              </w:rPr>
              <w:t>(yes/no)</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Freeport</w:t>
            </w: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McMoran</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86"/>
        </w:trPr>
        <w:tc>
          <w:tcPr>
            <w:tcW w:w="94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Morenci Inc. 02-</w:t>
            </w: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94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00024</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Freeport</w:t>
            </w: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McMoran Safford</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Inc. 02-03131</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Big Island Mine</w:t>
            </w:r>
          </w:p>
        </w:tc>
        <w:tc>
          <w:tcPr>
            <w:tcW w:w="92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&amp; Refinery 48-</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00154</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Solvay Chemicals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Inc. 48-01295</w:t>
            </w:r>
          </w:p>
        </w:tc>
        <w:tc>
          <w:tcPr>
            <w:tcW w:w="9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Permanente</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Cement Plant &amp;</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No</w:t>
            </w:r>
          </w:p>
        </w:tc>
        <w:tc>
          <w:tcPr>
            <w:tcW w:w="9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0"/>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Quarry 04-04075</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 w:right="360" w:hanging="252"/>
        <w:spacing w:after="0" w:line="322" w:lineRule="auto"/>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6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upperLetter"/>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lvl w:ilvl="1">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lowerRoman"/>
      <w:start w:val="3"/>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upperLetter"/>
      <w:start w:val="1"/>
    </w:lvl>
  </w:abstractNum>
  <w:abstractNum w:abstractNumId="43">
    <w:nsid w:val="579478FE"/>
    <w:multiLevelType w:val="hybridMultilevel"/>
    <w:lvl w:ilvl="0">
      <w:lvlJc w:val="left"/>
      <w:lvlText w:val="(%1)"/>
      <w:numFmt w:val="decimal"/>
      <w:start w:val="3"/>
    </w:lvl>
  </w:abstractNum>
  <w:abstractNum w:abstractNumId="44">
    <w:nsid w:val="749ABB43"/>
    <w:multiLevelType w:val="hybridMultilevel"/>
    <w:lvl w:ilvl="0">
      <w:lvlJc w:val="left"/>
      <w:lvlText w:val="2"/>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35" Type="http://schemas.openxmlformats.org/officeDocument/2006/relationships/hyperlink" Target="http://www.sec.gov/Archives/edgar/data/866273/000086627316000284/exhibit2.htm" TargetMode="External"/><Relationship Id="rId36" Type="http://schemas.openxmlformats.org/officeDocument/2006/relationships/hyperlink" Target="http://www.sec.gov/Archives/edgar/data/866273/000086627316000233/proxystatementfiscal2016de.htm" TargetMode="External"/><Relationship Id="rId37" Type="http://schemas.openxmlformats.org/officeDocument/2006/relationships/hyperlink" Target="http://www.sec.gov/Archives/edgar/data/866273/000119312504113071/dex32.htm" TargetMode="External"/><Relationship Id="rId38" Type="http://schemas.openxmlformats.org/officeDocument/2006/relationships/hyperlink" Target="http://www.sec.gov/Archives/edgar/data/866273/000119312505169705/dex35.htm" TargetMode="External"/><Relationship Id="rId39" Type="http://schemas.openxmlformats.org/officeDocument/2006/relationships/hyperlink" Target="http://www.sec.gov/Archives/edgar/data/866273/000119312507182493/dex37.htm" TargetMode="External"/><Relationship Id="rId40" Type="http://schemas.openxmlformats.org/officeDocument/2006/relationships/hyperlink" Target="http://www.sec.gov/Archives/edgar/data/866273/000086627317000018/exhibit31secondamendedandr.htm" TargetMode="External"/><Relationship Id="rId41" Type="http://schemas.openxmlformats.org/officeDocument/2006/relationships/hyperlink" Target="http://www.sec.gov/Archives/edgar/data/866273/000119312506191449/ddef14a.htm" TargetMode="External"/><Relationship Id="rId42" Type="http://schemas.openxmlformats.org/officeDocument/2006/relationships/hyperlink" Target="http://www.sec.gov/Archives/edgar/data/866273/000119312506202415/dex10.htm" TargetMode="External"/><Relationship Id="rId43" Type="http://schemas.openxmlformats.org/officeDocument/2006/relationships/hyperlink" Target="http://www.sec.gov/Archives/edgar/data/866273/000119312508166640/dex106.htm" TargetMode="External"/><Relationship Id="rId44" Type="http://schemas.openxmlformats.org/officeDocument/2006/relationships/hyperlink" Target="http://www.sec.gov/Archives/edgar/data/866273/000119312509190436/ddef14a.htm" TargetMode="External"/><Relationship Id="rId45" Type="http://schemas.openxmlformats.org/officeDocument/2006/relationships/hyperlink" Target="http://www.sec.gov/Archives/edgar/data/866273/000119312512419606/d410615ddef14a.htm" TargetMode="External"/><Relationship Id="rId46" Type="http://schemas.openxmlformats.org/officeDocument/2006/relationships/hyperlink" Target="http://www.sec.gov/Archives/edgar/data/866273/000086627314000094/proxystatementfiscal2014.htm" TargetMode="External"/><Relationship Id="rId47" Type="http://schemas.openxmlformats.org/officeDocument/2006/relationships/hyperlink" Target="http://www.sec.gov/Archives/edgar/data/866273/000086627316000241/exhibit101-mtrxx2016x9x30x.htm" TargetMode="External"/><Relationship Id="rId48" Type="http://schemas.openxmlformats.org/officeDocument/2006/relationships/hyperlink" Target="http://www.sec.gov/Archives/edgar/data/866273/000086627316000241/exhibit102-mtrxx2016x9x30x.htm" TargetMode="External"/><Relationship Id="rId49" Type="http://schemas.openxmlformats.org/officeDocument/2006/relationships/hyperlink" Target="http://www.sec.gov/Archives/edgar/data/866273/000086627317000006/exhibit102-mtrxx2016x12x31.htm" TargetMode="External"/><Relationship Id="rId50" Type="http://schemas.openxmlformats.org/officeDocument/2006/relationships/hyperlink" Target="http://www.sec.gov/Archives/edgar/data/866273/000086627318000092/exhibit1011-mtrxx2018x06x3.htm" TargetMode="External"/><Relationship Id="rId51" Type="http://schemas.openxmlformats.org/officeDocument/2006/relationships/hyperlink" Target="http://www.sec.gov/Archives/edgar/data/866273/000086627318000095/proxystatementfiscal2018de.htm" TargetMode="External"/><Relationship Id="rId52" Type="http://schemas.openxmlformats.org/officeDocument/2006/relationships/hyperlink" Target="http://www.sec.gov/Archives/edgar/data/866273/000086627318000128/exhibit10-nonxemployeedire.htm" TargetMode="External"/><Relationship Id="rId53" Type="http://schemas.openxmlformats.org/officeDocument/2006/relationships/hyperlink" Target="http://www.sec.gov/Archives/edgar/data/866273/000086627316000248/exhibit10-formofamendedand.htm" TargetMode="External"/><Relationship Id="rId54" Type="http://schemas.openxmlformats.org/officeDocument/2006/relationships/hyperlink" Target="http://www.sec.gov/Archives/edgar/data/866273/000119312509003061/dex101.htm" TargetMode="External"/><Relationship Id="rId55" Type="http://schemas.openxmlformats.org/officeDocument/2006/relationships/hyperlink" Target="http://www.sec.gov/Archives/edgar/data/866273/000119312512462895/d411459dex10.htm" TargetMode="External"/><Relationship Id="rId56" Type="http://schemas.openxmlformats.org/officeDocument/2006/relationships/hyperlink" Target="http://www.sec.gov/Archives/edgar/data/866273/000086627317000018/exhibit101fourthamendedand.htm" TargetMode="External"/><Relationship Id="rId57" Type="http://schemas.openxmlformats.org/officeDocument/2006/relationships/hyperlink" Target="http://www.sec.gov/Archives/edgar/data/866273/000086627317000122/exhibit101firstamendmentto.htm" TargetMode="External"/><Relationship Id="rId58" Type="http://schemas.openxmlformats.org/officeDocument/2006/relationships/hyperlink" Target="http://www.sec.gov/Archives/edgar/data/866273/000086627315000036/exhibit101-mtrxx2015x06x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2019-12-28T06:24:46Z</dcterms:created>
  <dcterms:modified xsi:type="dcterms:W3CDTF">2019-12-28T06:24:46Z</dcterms:modified>
</cp:coreProperties>
</file>