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60718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161290</wp:posOffset>
            </wp:positionV>
            <wp:extent cx="60718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378" w:lineRule="exact"/>
        <w:rPr>
          <w:sz w:val="24"/>
          <w:szCs w:val="24"/>
          <w:color w:val="auto"/>
        </w:rPr>
      </w:pPr>
    </w:p>
    <w:p>
      <w:pPr>
        <w:jc w:val="center"/>
        <w:ind w:right="-267"/>
        <w:spacing w:after="0"/>
        <w:rPr>
          <w:sz w:val="20"/>
          <w:szCs w:val="20"/>
          <w:color w:val="auto"/>
        </w:rPr>
      </w:pPr>
      <w:r>
        <w:rPr>
          <w:rFonts w:ascii="Arial" w:cs="Arial" w:eastAsia="Arial" w:hAnsi="Arial"/>
          <w:sz w:val="25"/>
          <w:szCs w:val="25"/>
          <w:b w:val="1"/>
          <w:bCs w:val="1"/>
          <w:color w:val="auto"/>
        </w:rPr>
        <w:t>UNITED STATES</w:t>
      </w:r>
    </w:p>
    <w:p>
      <w:pPr>
        <w:jc w:val="center"/>
        <w:ind w:right="-267"/>
        <w:spacing w:after="0" w:line="215" w:lineRule="auto"/>
        <w:rPr>
          <w:sz w:val="20"/>
          <w:szCs w:val="20"/>
          <w:color w:val="auto"/>
        </w:rPr>
      </w:pPr>
      <w:r>
        <w:rPr>
          <w:rFonts w:ascii="Arial" w:cs="Arial" w:eastAsia="Arial" w:hAnsi="Arial"/>
          <w:sz w:val="25"/>
          <w:szCs w:val="25"/>
          <w:b w:val="1"/>
          <w:bCs w:val="1"/>
          <w:color w:val="auto"/>
        </w:rPr>
        <w:t>SECURITIES AND EXCHANGE COMMISSION</w:t>
      </w:r>
    </w:p>
    <w:p>
      <w:pPr>
        <w:jc w:val="center"/>
        <w:ind w:right="-267"/>
        <w:spacing w:after="0"/>
        <w:rPr>
          <w:sz w:val="20"/>
          <w:szCs w:val="20"/>
          <w:color w:val="auto"/>
        </w:rPr>
      </w:pPr>
      <w:r>
        <w:rPr>
          <w:rFonts w:ascii="Arial" w:cs="Arial" w:eastAsia="Arial" w:hAnsi="Arial"/>
          <w:sz w:val="25"/>
          <w:szCs w:val="25"/>
          <w:b w:val="1"/>
          <w:bCs w:val="1"/>
          <w:color w:val="auto"/>
        </w:rPr>
        <w:t>WASHINGTON, D.C. 20549</w:t>
      </w:r>
    </w:p>
    <w:p>
      <w:pPr>
        <w:spacing w:after="0" w:line="126" w:lineRule="exact"/>
        <w:rPr>
          <w:sz w:val="24"/>
          <w:szCs w:val="24"/>
          <w:color w:val="auto"/>
        </w:rPr>
      </w:pPr>
    </w:p>
    <w:p>
      <w:pPr>
        <w:jc w:val="center"/>
        <w:ind w:right="-267"/>
        <w:spacing w:after="0"/>
        <w:rPr>
          <w:sz w:val="20"/>
          <w:szCs w:val="20"/>
          <w:color w:val="auto"/>
        </w:rPr>
      </w:pPr>
      <w:r>
        <w:rPr>
          <w:rFonts w:ascii="Arial" w:cs="Arial" w:eastAsia="Arial" w:hAnsi="Arial"/>
          <w:sz w:val="25"/>
          <w:szCs w:val="25"/>
          <w:b w:val="1"/>
          <w:bCs w:val="1"/>
          <w:color w:val="auto"/>
        </w:rPr>
        <w:t>SCHEDULE 14A</w:t>
      </w:r>
    </w:p>
    <w:p>
      <w:pPr>
        <w:spacing w:after="0" w:line="206" w:lineRule="exact"/>
        <w:rPr>
          <w:sz w:val="24"/>
          <w:szCs w:val="24"/>
          <w:color w:val="auto"/>
        </w:rPr>
      </w:pPr>
    </w:p>
    <w:p>
      <w:pPr>
        <w:jc w:val="center"/>
        <w:ind w:right="-267"/>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18" w:lineRule="exact"/>
        <w:rPr>
          <w:sz w:val="24"/>
          <w:szCs w:val="24"/>
          <w:color w:val="auto"/>
        </w:rPr>
      </w:pPr>
    </w:p>
    <w:p>
      <w:pPr>
        <w:jc w:val="center"/>
        <w:ind w:right="-267"/>
        <w:spacing w:after="0"/>
        <w:rPr>
          <w:sz w:val="20"/>
          <w:szCs w:val="20"/>
          <w:color w:val="auto"/>
        </w:rPr>
      </w:pPr>
      <w:r>
        <w:rPr>
          <w:rFonts w:ascii="Arial" w:cs="Arial" w:eastAsia="Arial" w:hAnsi="Arial"/>
          <w:sz w:val="18"/>
          <w:szCs w:val="18"/>
          <w:b w:val="1"/>
          <w:bCs w:val="1"/>
          <w:color w:val="auto"/>
        </w:rPr>
        <w:t>Securities Exchange Act of 1934</w:t>
      </w:r>
    </w:p>
    <w:p>
      <w:pPr>
        <w:spacing w:after="0" w:line="57" w:lineRule="exact"/>
        <w:rPr>
          <w:sz w:val="24"/>
          <w:szCs w:val="24"/>
          <w:color w:val="auto"/>
        </w:rPr>
      </w:pPr>
    </w:p>
    <w:p>
      <w:pPr>
        <w:ind w:left="7"/>
        <w:spacing w:after="0" w:line="207" w:lineRule="exact"/>
        <w:tabs>
          <w:tab w:leader="none" w:pos="2446"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Filed by a Party other than the Registrant o</w:t>
      </w:r>
    </w:p>
    <w:p>
      <w:pPr>
        <w:spacing w:after="0" w:line="163" w:lineRule="exact"/>
        <w:rPr>
          <w:sz w:val="24"/>
          <w:szCs w:val="24"/>
          <w:color w:val="auto"/>
        </w:rPr>
      </w:pPr>
    </w:p>
    <w:p>
      <w:pPr>
        <w:ind w:left="7"/>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387" w:hanging="383"/>
        <w:spacing w:after="0"/>
        <w:tabs>
          <w:tab w:leader="none" w:pos="387"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36" w:lineRule="exact"/>
        <w:rPr>
          <w:rFonts w:ascii="Arial" w:cs="Arial" w:eastAsia="Arial" w:hAnsi="Arial"/>
          <w:sz w:val="18"/>
          <w:szCs w:val="18"/>
          <w:color w:val="auto"/>
        </w:rPr>
      </w:pPr>
    </w:p>
    <w:p>
      <w:pPr>
        <w:ind w:left="7" w:right="2639" w:hanging="3"/>
        <w:spacing w:after="0" w:line="233" w:lineRule="exact"/>
        <w:tabs>
          <w:tab w:leader="none" w:pos="385"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Confidential, For Use of the Commission Only (as permitted by Rule 14a-(e)(2)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6" w:lineRule="exact"/>
        <w:rPr>
          <w:rFonts w:ascii="Arial" w:cs="Arial" w:eastAsia="Arial" w:hAnsi="Arial"/>
          <w:sz w:val="18"/>
          <w:szCs w:val="18"/>
          <w:color w:val="auto"/>
        </w:rPr>
      </w:pPr>
    </w:p>
    <w:p>
      <w:pPr>
        <w:ind w:left="387" w:hanging="383"/>
        <w:spacing w:after="0"/>
        <w:tabs>
          <w:tab w:leader="none" w:pos="387"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36" w:lineRule="exact"/>
        <w:rPr>
          <w:rFonts w:ascii="Arial" w:cs="Arial" w:eastAsia="Arial" w:hAnsi="Arial"/>
          <w:sz w:val="18"/>
          <w:szCs w:val="18"/>
          <w:color w:val="auto"/>
        </w:rPr>
      </w:pPr>
    </w:p>
    <w:p>
      <w:pPr>
        <w:ind w:left="387" w:hanging="383"/>
        <w:spacing w:after="0"/>
        <w:tabs>
          <w:tab w:leader="none" w:pos="387"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34" w:lineRule="exact"/>
        <w:rPr>
          <w:sz w:val="24"/>
          <w:szCs w:val="24"/>
          <w:color w:val="auto"/>
        </w:rPr>
      </w:pPr>
    </w:p>
    <w:p>
      <w:pPr>
        <w:jc w:val="center"/>
        <w:ind w:right="-267"/>
        <w:spacing w:after="0"/>
        <w:rPr>
          <w:sz w:val="20"/>
          <w:szCs w:val="20"/>
          <w:color w:val="auto"/>
        </w:rPr>
      </w:pPr>
      <w:r>
        <w:rPr>
          <w:rFonts w:ascii="Arial" w:cs="Arial" w:eastAsia="Arial" w:hAnsi="Arial"/>
          <w:sz w:val="40"/>
          <w:szCs w:val="40"/>
          <w:b w:val="1"/>
          <w:bCs w:val="1"/>
          <w:color w:val="auto"/>
        </w:rPr>
        <w:t>Matrix Service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27305</wp:posOffset>
            </wp:positionV>
            <wp:extent cx="60718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47" w:lineRule="exact"/>
        <w:rPr>
          <w:sz w:val="24"/>
          <w:szCs w:val="24"/>
          <w:color w:val="auto"/>
        </w:rPr>
      </w:pPr>
    </w:p>
    <w:p>
      <w:pPr>
        <w:jc w:val="center"/>
        <w:ind w:right="-267"/>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46" w:lineRule="exact"/>
        <w:rPr>
          <w:sz w:val="24"/>
          <w:szCs w:val="24"/>
          <w:color w:val="auto"/>
        </w:rPr>
      </w:pPr>
    </w:p>
    <w:p>
      <w:pPr>
        <w:jc w:val="center"/>
        <w:ind w:right="-267"/>
        <w:spacing w:after="0"/>
        <w:rPr>
          <w:sz w:val="20"/>
          <w:szCs w:val="20"/>
          <w:color w:val="auto"/>
        </w:rPr>
      </w:pPr>
      <w:r>
        <w:rPr>
          <w:rFonts w:ascii="Arial" w:cs="Arial" w:eastAsia="Arial" w:hAnsi="Arial"/>
          <w:sz w:val="36"/>
          <w:szCs w:val="36"/>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60718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50" w:lineRule="exact"/>
        <w:rPr>
          <w:sz w:val="24"/>
          <w:szCs w:val="24"/>
          <w:color w:val="auto"/>
        </w:rPr>
      </w:pPr>
    </w:p>
    <w:p>
      <w:pPr>
        <w:ind w:left="1687"/>
        <w:spacing w:after="0"/>
        <w:rPr>
          <w:sz w:val="20"/>
          <w:szCs w:val="20"/>
          <w:color w:val="auto"/>
        </w:rPr>
      </w:pPr>
      <w:r>
        <w:rPr>
          <w:rFonts w:ascii="Arial" w:cs="Arial" w:eastAsia="Arial" w:hAnsi="Arial"/>
          <w:sz w:val="18"/>
          <w:szCs w:val="18"/>
          <w:b w:val="1"/>
          <w:bCs w:val="1"/>
          <w:color w:val="auto"/>
        </w:rPr>
        <w:t>(Name of Person(s) Filing Proxy Statement, if Other Than the Registrant</w:t>
      </w:r>
      <w:r>
        <w:rPr>
          <w:rFonts w:ascii="Arial" w:cs="Arial" w:eastAsia="Arial" w:hAnsi="Arial"/>
          <w:sz w:val="18"/>
          <w:szCs w:val="18"/>
          <w:color w:val="auto"/>
        </w:rPr>
        <w:t>)</w:t>
      </w:r>
    </w:p>
    <w:p>
      <w:pPr>
        <w:spacing w:after="0" w:line="139" w:lineRule="exact"/>
        <w:rPr>
          <w:sz w:val="24"/>
          <w:szCs w:val="24"/>
          <w:color w:val="auto"/>
        </w:rPr>
      </w:pPr>
    </w:p>
    <w:p>
      <w:pPr>
        <w:ind w:left="7"/>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387" w:hanging="387"/>
        <w:spacing w:after="0"/>
        <w:tabs>
          <w:tab w:leader="none" w:pos="387"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36" w:lineRule="exact"/>
        <w:rPr>
          <w:sz w:val="24"/>
          <w:szCs w:val="24"/>
          <w:color w:val="auto"/>
        </w:rPr>
      </w:pPr>
    </w:p>
    <w:p>
      <w:pPr>
        <w:ind w:left="387" w:hanging="383"/>
        <w:spacing w:after="0"/>
        <w:tabs>
          <w:tab w:leader="none" w:pos="387"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22" w:lineRule="exact"/>
        <w:rPr>
          <w:rFonts w:ascii="Arial" w:cs="Arial" w:eastAsia="Arial" w:hAnsi="Arial"/>
          <w:sz w:val="18"/>
          <w:szCs w:val="18"/>
          <w:color w:val="auto"/>
        </w:rPr>
      </w:pPr>
    </w:p>
    <w:p>
      <w:pPr>
        <w:ind w:left="827" w:hanging="449"/>
        <w:spacing w:after="0"/>
        <w:tabs>
          <w:tab w:leader="none" w:pos="827"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65" w:lineRule="exact"/>
        <w:rPr>
          <w:rFonts w:ascii="Arial" w:cs="Arial" w:eastAsia="Arial" w:hAnsi="Arial"/>
          <w:sz w:val="18"/>
          <w:szCs w:val="18"/>
          <w:color w:val="auto"/>
        </w:rPr>
      </w:pPr>
    </w:p>
    <w:p>
      <w:pPr>
        <w:ind w:left="827" w:hanging="449"/>
        <w:spacing w:after="0"/>
        <w:tabs>
          <w:tab w:leader="none" w:pos="827"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827" w:right="99" w:hanging="449"/>
        <w:spacing w:after="0" w:line="246" w:lineRule="auto"/>
        <w:tabs>
          <w:tab w:leader="none" w:pos="827"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50" w:lineRule="exact"/>
        <w:rPr>
          <w:rFonts w:ascii="Arial" w:cs="Arial" w:eastAsia="Arial" w:hAnsi="Arial"/>
          <w:sz w:val="18"/>
          <w:szCs w:val="18"/>
          <w:color w:val="auto"/>
        </w:rPr>
      </w:pPr>
    </w:p>
    <w:p>
      <w:pPr>
        <w:ind w:left="827" w:hanging="449"/>
        <w:spacing w:after="0"/>
        <w:tabs>
          <w:tab w:leader="none" w:pos="827"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827" w:hanging="449"/>
        <w:spacing w:after="0"/>
        <w:tabs>
          <w:tab w:leader="none" w:pos="827"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65" w:lineRule="exact"/>
        <w:rPr>
          <w:rFonts w:ascii="Arial" w:cs="Arial" w:eastAsia="Arial" w:hAnsi="Arial"/>
          <w:sz w:val="18"/>
          <w:szCs w:val="18"/>
          <w:color w:val="auto"/>
        </w:rPr>
      </w:pPr>
    </w:p>
    <w:p>
      <w:pPr>
        <w:ind w:left="387" w:hanging="383"/>
        <w:spacing w:after="0"/>
        <w:tabs>
          <w:tab w:leader="none" w:pos="387"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65" w:lineRule="exact"/>
        <w:rPr>
          <w:rFonts w:ascii="Arial" w:cs="Arial" w:eastAsia="Arial" w:hAnsi="Arial"/>
          <w:sz w:val="18"/>
          <w:szCs w:val="18"/>
          <w:color w:val="auto"/>
        </w:rPr>
      </w:pPr>
    </w:p>
    <w:p>
      <w:pPr>
        <w:jc w:val="both"/>
        <w:ind w:left="387" w:right="99" w:hanging="383"/>
        <w:spacing w:after="0"/>
        <w:tabs>
          <w:tab w:leader="none" w:pos="387"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 w:lineRule="exact"/>
        <w:rPr>
          <w:rFonts w:ascii="Arial" w:cs="Arial" w:eastAsia="Arial" w:hAnsi="Arial"/>
          <w:sz w:val="18"/>
          <w:szCs w:val="18"/>
          <w:color w:val="auto"/>
        </w:rPr>
      </w:pPr>
    </w:p>
    <w:p>
      <w:pPr>
        <w:ind w:left="827" w:hanging="449"/>
        <w:spacing w:after="0"/>
        <w:tabs>
          <w:tab w:leader="none" w:pos="827"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827" w:hanging="449"/>
        <w:spacing w:after="0"/>
        <w:tabs>
          <w:tab w:leader="none" w:pos="827"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827" w:hanging="449"/>
        <w:spacing w:after="0"/>
        <w:tabs>
          <w:tab w:leader="none" w:pos="827"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827" w:hanging="449"/>
        <w:spacing w:after="0"/>
        <w:tabs>
          <w:tab w:leader="none" w:pos="827"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493395</wp:posOffset>
            </wp:positionH>
            <wp:positionV relativeFrom="paragraph">
              <wp:posOffset>-3088640</wp:posOffset>
            </wp:positionV>
            <wp:extent cx="55486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4863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-2788920</wp:posOffset>
            </wp:positionV>
            <wp:extent cx="55486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4863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-2359660</wp:posOffset>
            </wp:positionV>
            <wp:extent cx="55486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4863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-2059940</wp:posOffset>
            </wp:positionV>
            <wp:extent cx="55486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4863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-1759585</wp:posOffset>
            </wp:positionV>
            <wp:extent cx="55486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4863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-756285</wp:posOffset>
            </wp:positionV>
            <wp:extent cx="55486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4863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-455930</wp:posOffset>
            </wp:positionV>
            <wp:extent cx="55486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4863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-156210</wp:posOffset>
            </wp:positionV>
            <wp:extent cx="55486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4863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143510</wp:posOffset>
            </wp:positionV>
            <wp:extent cx="55486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4863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340995</wp:posOffset>
            </wp:positionV>
            <wp:extent cx="60718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649605</wp:posOffset>
            </wp:positionV>
            <wp:extent cx="607187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286"/>
          </w:cols>
          <w:pgMar w:left="1173" w:top="238" w:right="1440"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92075</wp:posOffset>
            </wp:positionV>
            <wp:extent cx="6800850" cy="9313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00850" cy="9313545"/>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92075</wp:posOffset>
            </wp:positionV>
            <wp:extent cx="6791960" cy="9313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91960" cy="9313545"/>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92075</wp:posOffset>
            </wp:positionV>
            <wp:extent cx="6791960" cy="9313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91960" cy="9313545"/>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92075</wp:posOffset>
            </wp:positionV>
            <wp:extent cx="6791960" cy="9313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91960" cy="9313545"/>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92075</wp:posOffset>
            </wp:positionV>
            <wp:extent cx="6791960" cy="9313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91960" cy="9313545"/>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92075</wp:posOffset>
            </wp:positionV>
            <wp:extent cx="6791960" cy="9313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91960" cy="9313545"/>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20" w:type="dxa"/>
            <w:vAlign w:val="bottom"/>
            <w:gridSpan w:val="10"/>
          </w:tcPr>
          <w:p>
            <w:pPr>
              <w:jc w:val="center"/>
              <w:ind w:right="2560"/>
              <w:spacing w:after="0"/>
              <w:rPr>
                <w:sz w:val="20"/>
                <w:szCs w:val="20"/>
                <w:color w:val="auto"/>
              </w:rPr>
            </w:pPr>
            <w:r>
              <w:rPr>
                <w:rFonts w:ascii="Arial" w:cs="Arial" w:eastAsia="Arial" w:hAnsi="Arial"/>
                <w:sz w:val="18"/>
                <w:szCs w:val="18"/>
                <w:b w:val="1"/>
                <w:bCs w:val="1"/>
                <w:color w:val="61DA16"/>
                <w:w w:val="98"/>
              </w:rPr>
              <w:t>MATRIX SERVICE COMPANY</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20" w:type="dxa"/>
            <w:vAlign w:val="bottom"/>
            <w:gridSpan w:val="10"/>
          </w:tcPr>
          <w:p>
            <w:pPr>
              <w:jc w:val="center"/>
              <w:ind w:right="2560"/>
              <w:spacing w:after="0" w:line="189" w:lineRule="exact"/>
              <w:rPr>
                <w:sz w:val="20"/>
                <w:szCs w:val="20"/>
                <w:color w:val="auto"/>
              </w:rPr>
            </w:pPr>
            <w:r>
              <w:rPr>
                <w:rFonts w:ascii="Arial" w:cs="Arial" w:eastAsia="Arial" w:hAnsi="Arial"/>
                <w:sz w:val="18"/>
                <w:szCs w:val="18"/>
                <w:b w:val="1"/>
                <w:bCs w:val="1"/>
                <w:color w:val="61DA16"/>
                <w:w w:val="99"/>
              </w:rPr>
              <w:t>5100 E. Skelly Dr., Ste. 100</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0" w:type="dxa"/>
            <w:vAlign w:val="bottom"/>
            <w:gridSpan w:val="7"/>
          </w:tcPr>
          <w:p>
            <w:pPr>
              <w:jc w:val="center"/>
              <w:ind w:right="2980"/>
              <w:spacing w:after="0" w:line="189" w:lineRule="exact"/>
              <w:rPr>
                <w:sz w:val="20"/>
                <w:szCs w:val="20"/>
                <w:color w:val="auto"/>
              </w:rPr>
            </w:pPr>
            <w:r>
              <w:rPr>
                <w:rFonts w:ascii="Arial" w:cs="Arial" w:eastAsia="Arial" w:hAnsi="Arial"/>
                <w:sz w:val="18"/>
                <w:szCs w:val="18"/>
                <w:b w:val="1"/>
                <w:bCs w:val="1"/>
                <w:color w:val="61DA16"/>
                <w:w w:val="99"/>
              </w:rPr>
              <w:t>Tulsa, OK 74135</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9"/>
        </w:trPr>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700" w:type="dxa"/>
            <w:vAlign w:val="bottom"/>
            <w:gridSpan w:val="14"/>
          </w:tcPr>
          <w:p>
            <w:pPr>
              <w:jc w:val="center"/>
              <w:ind w:right="1860"/>
              <w:spacing w:after="0"/>
              <w:rPr>
                <w:sz w:val="20"/>
                <w:szCs w:val="20"/>
                <w:color w:val="auto"/>
              </w:rPr>
            </w:pPr>
            <w:r>
              <w:rPr>
                <w:rFonts w:ascii="Arial" w:cs="Arial" w:eastAsia="Arial" w:hAnsi="Arial"/>
                <w:sz w:val="18"/>
                <w:szCs w:val="18"/>
                <w:b w:val="1"/>
                <w:bCs w:val="1"/>
                <w:color w:val="61DA16"/>
                <w:w w:val="98"/>
              </w:rPr>
              <w:t>PROXY STATEMENT - TABLE OF CONTENTS</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Page</w:t>
            </w:r>
          </w:p>
        </w:tc>
      </w:tr>
      <w:tr>
        <w:trPr>
          <w:trHeight w:val="162"/>
        </w:trPr>
        <w:tc>
          <w:tcPr>
            <w:tcW w:w="8560" w:type="dxa"/>
            <w:vAlign w:val="bottom"/>
            <w:gridSpan w:val="30"/>
            <w:shd w:val="clear" w:color="auto" w:fill="D7F5C4"/>
          </w:tcPr>
          <w:p>
            <w:pPr>
              <w:spacing w:after="0"/>
              <w:rPr>
                <w:rFonts w:ascii="Arial" w:cs="Arial" w:eastAsia="Arial" w:hAnsi="Arial"/>
                <w:sz w:val="14"/>
                <w:szCs w:val="14"/>
                <w:color w:val="0000EE"/>
              </w:rPr>
            </w:pPr>
            <w:hyperlink w:anchor="page9">
              <w:r>
                <w:rPr>
                  <w:rFonts w:ascii="Arial" w:cs="Arial" w:eastAsia="Arial" w:hAnsi="Arial"/>
                  <w:sz w:val="14"/>
                  <w:szCs w:val="14"/>
                  <w:color w:val="0000EE"/>
                </w:rPr>
                <w:t>Solicitation and Revocation of Proxies</w:t>
              </w:r>
            </w:hyperlink>
          </w:p>
        </w:tc>
        <w:tc>
          <w:tcPr>
            <w:tcW w:w="1000" w:type="dxa"/>
            <w:vAlign w:val="bottom"/>
            <w:gridSpan w:val="4"/>
            <w:shd w:val="clear" w:color="auto" w:fill="D7F5C4"/>
          </w:tcPr>
          <w:p>
            <w:pPr>
              <w:jc w:val="right"/>
              <w:ind w:right="100"/>
              <w:spacing w:after="0"/>
              <w:rPr>
                <w:rFonts w:ascii="Arial" w:cs="Arial" w:eastAsia="Arial" w:hAnsi="Arial"/>
                <w:sz w:val="14"/>
                <w:szCs w:val="14"/>
                <w:color w:val="0000EE"/>
              </w:rPr>
            </w:pPr>
            <w:hyperlink w:anchor="page9">
              <w:r>
                <w:rPr>
                  <w:rFonts w:ascii="Arial" w:cs="Arial" w:eastAsia="Arial" w:hAnsi="Arial"/>
                  <w:sz w:val="14"/>
                  <w:szCs w:val="14"/>
                  <w:color w:val="0000EE"/>
                </w:rPr>
                <w:t>1</w:t>
              </w:r>
            </w:hyperlink>
          </w:p>
        </w:tc>
      </w:tr>
      <w:tr>
        <w:trPr>
          <w:trHeight w:val="27"/>
        </w:trPr>
        <w:tc>
          <w:tcPr>
            <w:tcW w:w="1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320" w:type="dxa"/>
            <w:vAlign w:val="bottom"/>
            <w:tcBorders>
              <w:left w:val="single" w:sz="8" w:color="0000EE"/>
              <w:right w:val="single" w:sz="8" w:color="D7F5C4"/>
            </w:tcBorders>
            <w:shd w:val="clear" w:color="auto" w:fill="D7F5C4"/>
          </w:tcPr>
          <w:p>
            <w:pPr>
              <w:spacing w:after="0"/>
              <w:rPr>
                <w:sz w:val="2"/>
                <w:szCs w:val="2"/>
                <w:color w:val="auto"/>
              </w:rPr>
            </w:pPr>
          </w:p>
        </w:tc>
        <w:tc>
          <w:tcPr>
            <w:tcW w:w="200" w:type="dxa"/>
            <w:vAlign w:val="bottom"/>
            <w:tcBorders>
              <w:left w:val="single" w:sz="8" w:color="D7F5C4"/>
              <w:right w:val="single" w:sz="8" w:color="D7F5C4"/>
            </w:tcBorders>
            <w:shd w:val="clear" w:color="auto" w:fill="D7F5C4"/>
          </w:tcPr>
          <w:p>
            <w:pPr>
              <w:spacing w:after="0"/>
              <w:rPr>
                <w:sz w:val="2"/>
                <w:szCs w:val="2"/>
                <w:color w:val="auto"/>
              </w:rPr>
            </w:pPr>
          </w:p>
        </w:tc>
        <w:tc>
          <w:tcPr>
            <w:tcW w:w="140" w:type="dxa"/>
            <w:vAlign w:val="bottom"/>
            <w:tcBorders>
              <w:right w:val="single" w:sz="8" w:color="D7F5C4"/>
            </w:tcBorders>
            <w:shd w:val="clear" w:color="auto" w:fill="D7F5C4"/>
          </w:tcPr>
          <w:p>
            <w:pPr>
              <w:spacing w:after="0"/>
              <w:rPr>
                <w:sz w:val="2"/>
                <w:szCs w:val="2"/>
                <w:color w:val="auto"/>
              </w:rPr>
            </w:pPr>
          </w:p>
        </w:tc>
        <w:tc>
          <w:tcPr>
            <w:tcW w:w="300" w:type="dxa"/>
            <w:vAlign w:val="bottom"/>
            <w:tcBorders>
              <w:left w:val="single" w:sz="8" w:color="D7F5C4"/>
            </w:tcBorders>
            <w:shd w:val="clear" w:color="auto" w:fill="D7F5C4"/>
          </w:tcPr>
          <w:p>
            <w:pPr>
              <w:spacing w:after="0"/>
              <w:rPr>
                <w:sz w:val="2"/>
                <w:szCs w:val="2"/>
                <w:color w:val="auto"/>
              </w:rPr>
            </w:pPr>
          </w:p>
        </w:tc>
        <w:tc>
          <w:tcPr>
            <w:tcW w:w="160" w:type="dxa"/>
            <w:vAlign w:val="bottom"/>
            <w:shd w:val="clear" w:color="auto" w:fill="D7F5C4"/>
          </w:tcPr>
          <w:p>
            <w:pPr>
              <w:spacing w:after="0"/>
              <w:rPr>
                <w:sz w:val="2"/>
                <w:szCs w:val="2"/>
                <w:color w:val="auto"/>
              </w:rPr>
            </w:pPr>
          </w:p>
        </w:tc>
        <w:tc>
          <w:tcPr>
            <w:tcW w:w="80" w:type="dxa"/>
            <w:vAlign w:val="bottom"/>
            <w:shd w:val="clear" w:color="auto" w:fill="D7F5C4"/>
          </w:tcPr>
          <w:p>
            <w:pPr>
              <w:spacing w:after="0"/>
              <w:rPr>
                <w:sz w:val="2"/>
                <w:szCs w:val="2"/>
                <w:color w:val="auto"/>
              </w:rPr>
            </w:pPr>
          </w:p>
        </w:tc>
        <w:tc>
          <w:tcPr>
            <w:tcW w:w="140" w:type="dxa"/>
            <w:vAlign w:val="bottom"/>
            <w:tcBorders>
              <w:right w:val="single" w:sz="8" w:color="D7F5C4"/>
            </w:tcBorders>
            <w:shd w:val="clear" w:color="auto" w:fill="D7F5C4"/>
          </w:tcPr>
          <w:p>
            <w:pPr>
              <w:spacing w:after="0"/>
              <w:rPr>
                <w:sz w:val="2"/>
                <w:szCs w:val="2"/>
                <w:color w:val="auto"/>
              </w:rPr>
            </w:pPr>
          </w:p>
        </w:tc>
        <w:tc>
          <w:tcPr>
            <w:tcW w:w="160" w:type="dxa"/>
            <w:vAlign w:val="bottom"/>
            <w:tcBorders>
              <w:left w:val="single" w:sz="8" w:color="D7F5C4"/>
            </w:tcBorders>
            <w:shd w:val="clear" w:color="auto" w:fill="D7F5C4"/>
          </w:tcPr>
          <w:p>
            <w:pPr>
              <w:spacing w:after="0"/>
              <w:rPr>
                <w:sz w:val="2"/>
                <w:szCs w:val="2"/>
                <w:color w:val="auto"/>
              </w:rPr>
            </w:pPr>
          </w:p>
        </w:tc>
        <w:tc>
          <w:tcPr>
            <w:tcW w:w="120" w:type="dxa"/>
            <w:vAlign w:val="bottom"/>
            <w:shd w:val="clear" w:color="auto" w:fill="D7F5C4"/>
          </w:tcPr>
          <w:p>
            <w:pPr>
              <w:spacing w:after="0"/>
              <w:rPr>
                <w:sz w:val="2"/>
                <w:szCs w:val="2"/>
                <w:color w:val="auto"/>
              </w:rPr>
            </w:pPr>
          </w:p>
        </w:tc>
        <w:tc>
          <w:tcPr>
            <w:tcW w:w="300" w:type="dxa"/>
            <w:vAlign w:val="bottom"/>
            <w:shd w:val="clear" w:color="auto" w:fill="D7F5C4"/>
          </w:tcPr>
          <w:p>
            <w:pPr>
              <w:spacing w:after="0"/>
              <w:rPr>
                <w:sz w:val="2"/>
                <w:szCs w:val="2"/>
                <w:color w:val="auto"/>
              </w:rPr>
            </w:pPr>
          </w:p>
        </w:tc>
        <w:tc>
          <w:tcPr>
            <w:tcW w:w="160" w:type="dxa"/>
            <w:vAlign w:val="bottom"/>
            <w:shd w:val="clear" w:color="auto" w:fill="D7F5C4"/>
          </w:tcPr>
          <w:p>
            <w:pPr>
              <w:spacing w:after="0"/>
              <w:rPr>
                <w:sz w:val="2"/>
                <w:szCs w:val="2"/>
                <w:color w:val="auto"/>
              </w:rPr>
            </w:pPr>
          </w:p>
        </w:tc>
        <w:tc>
          <w:tcPr>
            <w:tcW w:w="200" w:type="dxa"/>
            <w:vAlign w:val="bottom"/>
            <w:shd w:val="clear" w:color="auto" w:fill="D7F5C4"/>
          </w:tcPr>
          <w:p>
            <w:pPr>
              <w:spacing w:after="0"/>
              <w:rPr>
                <w:sz w:val="2"/>
                <w:szCs w:val="2"/>
                <w:color w:val="auto"/>
              </w:rPr>
            </w:pPr>
          </w:p>
        </w:tc>
        <w:tc>
          <w:tcPr>
            <w:tcW w:w="900" w:type="dxa"/>
            <w:vAlign w:val="bottom"/>
            <w:shd w:val="clear" w:color="auto" w:fill="D7F5C4"/>
          </w:tcPr>
          <w:p>
            <w:pPr>
              <w:spacing w:after="0"/>
              <w:rPr>
                <w:sz w:val="2"/>
                <w:szCs w:val="2"/>
                <w:color w:val="auto"/>
              </w:rPr>
            </w:pPr>
          </w:p>
        </w:tc>
        <w:tc>
          <w:tcPr>
            <w:tcW w:w="540" w:type="dxa"/>
            <w:vAlign w:val="bottom"/>
            <w:shd w:val="clear" w:color="auto" w:fill="D7F5C4"/>
          </w:tcPr>
          <w:p>
            <w:pPr>
              <w:spacing w:after="0"/>
              <w:rPr>
                <w:sz w:val="2"/>
                <w:szCs w:val="2"/>
                <w:color w:val="auto"/>
              </w:rPr>
            </w:pPr>
          </w:p>
        </w:tc>
        <w:tc>
          <w:tcPr>
            <w:tcW w:w="2020" w:type="dxa"/>
            <w:vAlign w:val="bottom"/>
            <w:shd w:val="clear" w:color="auto" w:fill="D7F5C4"/>
          </w:tcPr>
          <w:p>
            <w:pPr>
              <w:spacing w:after="0"/>
              <w:rPr>
                <w:sz w:val="2"/>
                <w:szCs w:val="2"/>
                <w:color w:val="auto"/>
              </w:rPr>
            </w:pPr>
          </w:p>
        </w:tc>
        <w:tc>
          <w:tcPr>
            <w:tcW w:w="480" w:type="dxa"/>
            <w:vAlign w:val="bottom"/>
            <w:shd w:val="clear" w:color="auto" w:fill="D7F5C4"/>
          </w:tcPr>
          <w:p>
            <w:pPr>
              <w:spacing w:after="0"/>
              <w:rPr>
                <w:sz w:val="2"/>
                <w:szCs w:val="2"/>
                <w:color w:val="auto"/>
              </w:rPr>
            </w:pPr>
          </w:p>
        </w:tc>
        <w:tc>
          <w:tcPr>
            <w:tcW w:w="740" w:type="dxa"/>
            <w:vAlign w:val="bottom"/>
            <w:shd w:val="clear" w:color="auto" w:fill="D7F5C4"/>
          </w:tcPr>
          <w:p>
            <w:pPr>
              <w:spacing w:after="0"/>
              <w:rPr>
                <w:sz w:val="2"/>
                <w:szCs w:val="2"/>
                <w:color w:val="auto"/>
              </w:rPr>
            </w:pPr>
          </w:p>
        </w:tc>
        <w:tc>
          <w:tcPr>
            <w:tcW w:w="80" w:type="dxa"/>
            <w:vAlign w:val="bottom"/>
            <w:shd w:val="clear" w:color="auto" w:fill="D7F5C4"/>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D7F5C4"/>
          </w:tcPr>
          <w:p>
            <w:pPr>
              <w:spacing w:after="0"/>
              <w:rPr>
                <w:sz w:val="2"/>
                <w:szCs w:val="2"/>
                <w:color w:val="auto"/>
              </w:rPr>
            </w:pPr>
          </w:p>
        </w:tc>
      </w:tr>
      <w:tr>
        <w:trPr>
          <w:trHeight w:val="162"/>
        </w:trPr>
        <w:tc>
          <w:tcPr>
            <w:tcW w:w="1840" w:type="dxa"/>
            <w:vAlign w:val="bottom"/>
            <w:gridSpan w:val="10"/>
          </w:tcPr>
          <w:p>
            <w:pPr>
              <w:spacing w:after="0"/>
              <w:rPr>
                <w:rFonts w:ascii="Arial" w:cs="Arial" w:eastAsia="Arial" w:hAnsi="Arial"/>
                <w:sz w:val="14"/>
                <w:szCs w:val="14"/>
                <w:color w:val="0000EE"/>
              </w:rPr>
            </w:pPr>
            <w:hyperlink w:anchor="page10">
              <w:r>
                <w:rPr>
                  <w:rFonts w:ascii="Arial" w:cs="Arial" w:eastAsia="Arial" w:hAnsi="Arial"/>
                  <w:sz w:val="14"/>
                  <w:szCs w:val="14"/>
                  <w:color w:val="0000EE"/>
                </w:rPr>
                <w:t>Stockholders Entitled to Vote</w:t>
              </w:r>
            </w:hyperlink>
          </w:p>
        </w:tc>
        <w:tc>
          <w:tcPr>
            <w:tcW w:w="500" w:type="dxa"/>
            <w:vAlign w:val="bottom"/>
            <w:gridSpan w:val="4"/>
          </w:tcPr>
          <w:p>
            <w:pPr>
              <w:spacing w:after="0"/>
              <w:rPr>
                <w:sz w:val="14"/>
                <w:szCs w:val="14"/>
                <w:color w:val="auto"/>
              </w:rPr>
            </w:pPr>
          </w:p>
        </w:tc>
        <w:tc>
          <w:tcPr>
            <w:tcW w:w="6220" w:type="dxa"/>
            <w:vAlign w:val="bottom"/>
            <w:gridSpan w:val="16"/>
          </w:tcPr>
          <w:p>
            <w:pPr>
              <w:spacing w:after="0"/>
              <w:rPr>
                <w:sz w:val="14"/>
                <w:szCs w:val="14"/>
                <w:color w:val="auto"/>
              </w:rPr>
            </w:pPr>
          </w:p>
        </w:tc>
        <w:tc>
          <w:tcPr>
            <w:tcW w:w="820" w:type="dxa"/>
            <w:vAlign w:val="bottom"/>
            <w:gridSpan w:val="2"/>
          </w:tcPr>
          <w:p>
            <w:pPr>
              <w:spacing w:after="0"/>
              <w:rPr>
                <w:sz w:val="14"/>
                <w:szCs w:val="14"/>
                <w:color w:val="auto"/>
              </w:rPr>
            </w:pPr>
          </w:p>
        </w:tc>
        <w:tc>
          <w:tcPr>
            <w:tcW w:w="180" w:type="dxa"/>
            <w:vAlign w:val="bottom"/>
            <w:gridSpan w:val="2"/>
          </w:tcPr>
          <w:p>
            <w:pPr>
              <w:jc w:val="right"/>
              <w:ind w:right="100"/>
              <w:spacing w:after="0"/>
              <w:rPr>
                <w:rFonts w:ascii="Arial" w:cs="Arial" w:eastAsia="Arial" w:hAnsi="Arial"/>
                <w:sz w:val="14"/>
                <w:szCs w:val="14"/>
                <w:color w:val="0000EE"/>
                <w:w w:val="76"/>
              </w:rPr>
            </w:pPr>
            <w:hyperlink w:anchor="page10">
              <w:r>
                <w:rPr>
                  <w:rFonts w:ascii="Arial" w:cs="Arial" w:eastAsia="Arial" w:hAnsi="Arial"/>
                  <w:sz w:val="14"/>
                  <w:szCs w:val="14"/>
                  <w:color w:val="0000EE"/>
                  <w:w w:val="76"/>
                </w:rPr>
                <w:t>2</w:t>
              </w:r>
            </w:hyperlink>
          </w:p>
        </w:tc>
      </w:tr>
      <w:tr>
        <w:trPr>
          <w:trHeight w:val="27"/>
        </w:trPr>
        <w:tc>
          <w:tcPr>
            <w:tcW w:w="1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8560" w:type="dxa"/>
            <w:vAlign w:val="bottom"/>
            <w:gridSpan w:val="30"/>
            <w:shd w:val="clear" w:color="auto" w:fill="D7F5C4"/>
          </w:tcPr>
          <w:p>
            <w:pPr>
              <w:spacing w:after="0"/>
              <w:rPr>
                <w:rFonts w:ascii="Arial" w:cs="Arial" w:eastAsia="Arial" w:hAnsi="Arial"/>
                <w:sz w:val="14"/>
                <w:szCs w:val="14"/>
                <w:color w:val="0000EE"/>
              </w:rPr>
            </w:pPr>
            <w:hyperlink w:anchor="page11">
              <w:r>
                <w:rPr>
                  <w:rFonts w:ascii="Arial" w:cs="Arial" w:eastAsia="Arial" w:hAnsi="Arial"/>
                  <w:sz w:val="14"/>
                  <w:szCs w:val="14"/>
                  <w:color w:val="0000EE"/>
                </w:rPr>
                <w:t>Proposal Number 1: Election of Directors</w:t>
              </w:r>
            </w:hyperlink>
          </w:p>
        </w:tc>
        <w:tc>
          <w:tcPr>
            <w:tcW w:w="1000" w:type="dxa"/>
            <w:vAlign w:val="bottom"/>
            <w:gridSpan w:val="4"/>
            <w:shd w:val="clear" w:color="auto" w:fill="D7F5C4"/>
          </w:tcPr>
          <w:p>
            <w:pPr>
              <w:jc w:val="right"/>
              <w:ind w:right="100"/>
              <w:spacing w:after="0"/>
              <w:rPr>
                <w:rFonts w:ascii="Arial" w:cs="Arial" w:eastAsia="Arial" w:hAnsi="Arial"/>
                <w:sz w:val="14"/>
                <w:szCs w:val="14"/>
                <w:color w:val="0000EE"/>
              </w:rPr>
            </w:pPr>
            <w:hyperlink w:anchor="page11">
              <w:r>
                <w:rPr>
                  <w:rFonts w:ascii="Arial" w:cs="Arial" w:eastAsia="Arial" w:hAnsi="Arial"/>
                  <w:sz w:val="14"/>
                  <w:szCs w:val="14"/>
                  <w:color w:val="0000EE"/>
                </w:rPr>
                <w:t>3</w:t>
              </w:r>
            </w:hyperlink>
          </w:p>
        </w:tc>
      </w:tr>
      <w:tr>
        <w:trPr>
          <w:trHeight w:val="27"/>
        </w:trPr>
        <w:tc>
          <w:tcPr>
            <w:tcW w:w="1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320" w:type="dxa"/>
            <w:vAlign w:val="bottom"/>
            <w:tcBorders>
              <w:left w:val="single" w:sz="8" w:color="0000EE"/>
              <w:right w:val="single" w:sz="8" w:color="0000EE"/>
            </w:tcBorders>
            <w:shd w:val="clear" w:color="auto" w:fill="0000EE"/>
          </w:tcPr>
          <w:p>
            <w:pPr>
              <w:spacing w:after="0"/>
              <w:rPr>
                <w:sz w:val="2"/>
                <w:szCs w:val="2"/>
                <w:color w:val="auto"/>
              </w:rPr>
            </w:pPr>
          </w:p>
        </w:tc>
        <w:tc>
          <w:tcPr>
            <w:tcW w:w="200" w:type="dxa"/>
            <w:vAlign w:val="bottom"/>
            <w:tcBorders>
              <w:left w:val="single" w:sz="8" w:color="D7F5C4"/>
              <w:right w:val="single" w:sz="8" w:color="D7F5C4"/>
            </w:tcBorders>
            <w:shd w:val="clear" w:color="auto" w:fill="D7F5C4"/>
          </w:tcPr>
          <w:p>
            <w:pPr>
              <w:spacing w:after="0"/>
              <w:rPr>
                <w:sz w:val="2"/>
                <w:szCs w:val="2"/>
                <w:color w:val="auto"/>
              </w:rPr>
            </w:pPr>
          </w:p>
        </w:tc>
        <w:tc>
          <w:tcPr>
            <w:tcW w:w="140" w:type="dxa"/>
            <w:vAlign w:val="bottom"/>
            <w:tcBorders>
              <w:right w:val="single" w:sz="8" w:color="D7F5C4"/>
            </w:tcBorders>
            <w:shd w:val="clear" w:color="auto" w:fill="D7F5C4"/>
          </w:tcPr>
          <w:p>
            <w:pPr>
              <w:spacing w:after="0"/>
              <w:rPr>
                <w:sz w:val="2"/>
                <w:szCs w:val="2"/>
                <w:color w:val="auto"/>
              </w:rPr>
            </w:pPr>
          </w:p>
        </w:tc>
        <w:tc>
          <w:tcPr>
            <w:tcW w:w="300" w:type="dxa"/>
            <w:vAlign w:val="bottom"/>
            <w:tcBorders>
              <w:left w:val="single" w:sz="8" w:color="D7F5C4"/>
            </w:tcBorders>
            <w:shd w:val="clear" w:color="auto" w:fill="D7F5C4"/>
          </w:tcPr>
          <w:p>
            <w:pPr>
              <w:spacing w:after="0"/>
              <w:rPr>
                <w:sz w:val="2"/>
                <w:szCs w:val="2"/>
                <w:color w:val="auto"/>
              </w:rPr>
            </w:pPr>
          </w:p>
        </w:tc>
        <w:tc>
          <w:tcPr>
            <w:tcW w:w="160" w:type="dxa"/>
            <w:vAlign w:val="bottom"/>
            <w:shd w:val="clear" w:color="auto" w:fill="D7F5C4"/>
          </w:tcPr>
          <w:p>
            <w:pPr>
              <w:spacing w:after="0"/>
              <w:rPr>
                <w:sz w:val="2"/>
                <w:szCs w:val="2"/>
                <w:color w:val="auto"/>
              </w:rPr>
            </w:pPr>
          </w:p>
        </w:tc>
        <w:tc>
          <w:tcPr>
            <w:tcW w:w="80" w:type="dxa"/>
            <w:vAlign w:val="bottom"/>
            <w:shd w:val="clear" w:color="auto" w:fill="D7F5C4"/>
          </w:tcPr>
          <w:p>
            <w:pPr>
              <w:spacing w:after="0"/>
              <w:rPr>
                <w:sz w:val="2"/>
                <w:szCs w:val="2"/>
                <w:color w:val="auto"/>
              </w:rPr>
            </w:pPr>
          </w:p>
        </w:tc>
        <w:tc>
          <w:tcPr>
            <w:tcW w:w="140" w:type="dxa"/>
            <w:vAlign w:val="bottom"/>
            <w:tcBorders>
              <w:right w:val="single" w:sz="8" w:color="D7F5C4"/>
            </w:tcBorders>
            <w:shd w:val="clear" w:color="auto" w:fill="D7F5C4"/>
          </w:tcPr>
          <w:p>
            <w:pPr>
              <w:spacing w:after="0"/>
              <w:rPr>
                <w:sz w:val="2"/>
                <w:szCs w:val="2"/>
                <w:color w:val="auto"/>
              </w:rPr>
            </w:pPr>
          </w:p>
        </w:tc>
        <w:tc>
          <w:tcPr>
            <w:tcW w:w="160" w:type="dxa"/>
            <w:vAlign w:val="bottom"/>
            <w:tcBorders>
              <w:left w:val="single" w:sz="8" w:color="D7F5C4"/>
            </w:tcBorders>
            <w:shd w:val="clear" w:color="auto" w:fill="D7F5C4"/>
          </w:tcPr>
          <w:p>
            <w:pPr>
              <w:spacing w:after="0"/>
              <w:rPr>
                <w:sz w:val="2"/>
                <w:szCs w:val="2"/>
                <w:color w:val="auto"/>
              </w:rPr>
            </w:pPr>
          </w:p>
        </w:tc>
        <w:tc>
          <w:tcPr>
            <w:tcW w:w="120" w:type="dxa"/>
            <w:vAlign w:val="bottom"/>
            <w:shd w:val="clear" w:color="auto" w:fill="D7F5C4"/>
          </w:tcPr>
          <w:p>
            <w:pPr>
              <w:spacing w:after="0"/>
              <w:rPr>
                <w:sz w:val="2"/>
                <w:szCs w:val="2"/>
                <w:color w:val="auto"/>
              </w:rPr>
            </w:pPr>
          </w:p>
        </w:tc>
        <w:tc>
          <w:tcPr>
            <w:tcW w:w="300" w:type="dxa"/>
            <w:vAlign w:val="bottom"/>
            <w:shd w:val="clear" w:color="auto" w:fill="D7F5C4"/>
          </w:tcPr>
          <w:p>
            <w:pPr>
              <w:spacing w:after="0"/>
              <w:rPr>
                <w:sz w:val="2"/>
                <w:szCs w:val="2"/>
                <w:color w:val="auto"/>
              </w:rPr>
            </w:pPr>
          </w:p>
        </w:tc>
        <w:tc>
          <w:tcPr>
            <w:tcW w:w="160" w:type="dxa"/>
            <w:vAlign w:val="bottom"/>
            <w:shd w:val="clear" w:color="auto" w:fill="D7F5C4"/>
          </w:tcPr>
          <w:p>
            <w:pPr>
              <w:spacing w:after="0"/>
              <w:rPr>
                <w:sz w:val="2"/>
                <w:szCs w:val="2"/>
                <w:color w:val="auto"/>
              </w:rPr>
            </w:pPr>
          </w:p>
        </w:tc>
        <w:tc>
          <w:tcPr>
            <w:tcW w:w="200" w:type="dxa"/>
            <w:vAlign w:val="bottom"/>
            <w:shd w:val="clear" w:color="auto" w:fill="D7F5C4"/>
          </w:tcPr>
          <w:p>
            <w:pPr>
              <w:spacing w:after="0"/>
              <w:rPr>
                <w:sz w:val="2"/>
                <w:szCs w:val="2"/>
                <w:color w:val="auto"/>
              </w:rPr>
            </w:pPr>
          </w:p>
        </w:tc>
        <w:tc>
          <w:tcPr>
            <w:tcW w:w="900" w:type="dxa"/>
            <w:vAlign w:val="bottom"/>
            <w:shd w:val="clear" w:color="auto" w:fill="D7F5C4"/>
          </w:tcPr>
          <w:p>
            <w:pPr>
              <w:spacing w:after="0"/>
              <w:rPr>
                <w:sz w:val="2"/>
                <w:szCs w:val="2"/>
                <w:color w:val="auto"/>
              </w:rPr>
            </w:pPr>
          </w:p>
        </w:tc>
        <w:tc>
          <w:tcPr>
            <w:tcW w:w="540" w:type="dxa"/>
            <w:vAlign w:val="bottom"/>
            <w:shd w:val="clear" w:color="auto" w:fill="D7F5C4"/>
          </w:tcPr>
          <w:p>
            <w:pPr>
              <w:spacing w:after="0"/>
              <w:rPr>
                <w:sz w:val="2"/>
                <w:szCs w:val="2"/>
                <w:color w:val="auto"/>
              </w:rPr>
            </w:pPr>
          </w:p>
        </w:tc>
        <w:tc>
          <w:tcPr>
            <w:tcW w:w="2020" w:type="dxa"/>
            <w:vAlign w:val="bottom"/>
            <w:shd w:val="clear" w:color="auto" w:fill="D7F5C4"/>
          </w:tcPr>
          <w:p>
            <w:pPr>
              <w:spacing w:after="0"/>
              <w:rPr>
                <w:sz w:val="2"/>
                <w:szCs w:val="2"/>
                <w:color w:val="auto"/>
              </w:rPr>
            </w:pPr>
          </w:p>
        </w:tc>
        <w:tc>
          <w:tcPr>
            <w:tcW w:w="480" w:type="dxa"/>
            <w:vAlign w:val="bottom"/>
            <w:shd w:val="clear" w:color="auto" w:fill="D7F5C4"/>
          </w:tcPr>
          <w:p>
            <w:pPr>
              <w:spacing w:after="0"/>
              <w:rPr>
                <w:sz w:val="2"/>
                <w:szCs w:val="2"/>
                <w:color w:val="auto"/>
              </w:rPr>
            </w:pPr>
          </w:p>
        </w:tc>
        <w:tc>
          <w:tcPr>
            <w:tcW w:w="740" w:type="dxa"/>
            <w:vAlign w:val="bottom"/>
            <w:shd w:val="clear" w:color="auto" w:fill="D7F5C4"/>
          </w:tcPr>
          <w:p>
            <w:pPr>
              <w:spacing w:after="0"/>
              <w:rPr>
                <w:sz w:val="2"/>
                <w:szCs w:val="2"/>
                <w:color w:val="auto"/>
              </w:rPr>
            </w:pPr>
          </w:p>
        </w:tc>
        <w:tc>
          <w:tcPr>
            <w:tcW w:w="80" w:type="dxa"/>
            <w:vAlign w:val="bottom"/>
            <w:shd w:val="clear" w:color="auto" w:fill="D7F5C4"/>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D7F5C4"/>
          </w:tcPr>
          <w:p>
            <w:pPr>
              <w:spacing w:after="0"/>
              <w:rPr>
                <w:sz w:val="2"/>
                <w:szCs w:val="2"/>
                <w:color w:val="auto"/>
              </w:rPr>
            </w:pPr>
          </w:p>
        </w:tc>
      </w:tr>
      <w:tr>
        <w:trPr>
          <w:trHeight w:val="162"/>
        </w:trPr>
        <w:tc>
          <w:tcPr>
            <w:tcW w:w="180" w:type="dxa"/>
            <w:vAlign w:val="bottom"/>
          </w:tcPr>
          <w:p>
            <w:pPr>
              <w:spacing w:after="0"/>
              <w:rPr>
                <w:sz w:val="14"/>
                <w:szCs w:val="14"/>
                <w:color w:val="auto"/>
              </w:rPr>
            </w:pPr>
          </w:p>
        </w:tc>
        <w:tc>
          <w:tcPr>
            <w:tcW w:w="2040" w:type="dxa"/>
            <w:vAlign w:val="bottom"/>
            <w:gridSpan w:val="12"/>
          </w:tcPr>
          <w:p>
            <w:pPr>
              <w:spacing w:after="0"/>
              <w:rPr>
                <w:rFonts w:ascii="Arial" w:cs="Arial" w:eastAsia="Arial" w:hAnsi="Arial"/>
                <w:sz w:val="14"/>
                <w:szCs w:val="14"/>
                <w:color w:val="0000EE"/>
              </w:rPr>
            </w:pPr>
            <w:hyperlink w:anchor="page12">
              <w:r>
                <w:rPr>
                  <w:rFonts w:ascii="Arial" w:cs="Arial" w:eastAsia="Arial" w:hAnsi="Arial"/>
                  <w:sz w:val="14"/>
                  <w:szCs w:val="14"/>
                  <w:color w:val="0000EE"/>
                </w:rPr>
                <w:t>Nominated Director Biographies</w:t>
              </w:r>
            </w:hyperlink>
          </w:p>
        </w:tc>
        <w:tc>
          <w:tcPr>
            <w:tcW w:w="440" w:type="dxa"/>
            <w:vAlign w:val="bottom"/>
            <w:gridSpan w:val="2"/>
          </w:tcPr>
          <w:p>
            <w:pPr>
              <w:spacing w:after="0"/>
              <w:rPr>
                <w:sz w:val="14"/>
                <w:szCs w:val="14"/>
                <w:color w:val="auto"/>
              </w:rPr>
            </w:pPr>
          </w:p>
        </w:tc>
        <w:tc>
          <w:tcPr>
            <w:tcW w:w="5900" w:type="dxa"/>
            <w:vAlign w:val="bottom"/>
            <w:gridSpan w:val="15"/>
          </w:tcPr>
          <w:p>
            <w:pPr>
              <w:spacing w:after="0"/>
              <w:rPr>
                <w:sz w:val="14"/>
                <w:szCs w:val="14"/>
                <w:color w:val="auto"/>
              </w:rPr>
            </w:pPr>
          </w:p>
        </w:tc>
        <w:tc>
          <w:tcPr>
            <w:tcW w:w="820" w:type="dxa"/>
            <w:vAlign w:val="bottom"/>
            <w:gridSpan w:val="2"/>
          </w:tcPr>
          <w:p>
            <w:pPr>
              <w:spacing w:after="0"/>
              <w:rPr>
                <w:sz w:val="14"/>
                <w:szCs w:val="14"/>
                <w:color w:val="auto"/>
              </w:rPr>
            </w:pPr>
          </w:p>
        </w:tc>
        <w:tc>
          <w:tcPr>
            <w:tcW w:w="180" w:type="dxa"/>
            <w:vAlign w:val="bottom"/>
            <w:gridSpan w:val="2"/>
          </w:tcPr>
          <w:p>
            <w:pPr>
              <w:jc w:val="right"/>
              <w:ind w:right="100"/>
              <w:spacing w:after="0"/>
              <w:rPr>
                <w:rFonts w:ascii="Arial" w:cs="Arial" w:eastAsia="Arial" w:hAnsi="Arial"/>
                <w:sz w:val="14"/>
                <w:szCs w:val="14"/>
                <w:color w:val="0000EE"/>
                <w:w w:val="76"/>
              </w:rPr>
            </w:pPr>
            <w:hyperlink w:anchor="page12">
              <w:r>
                <w:rPr>
                  <w:rFonts w:ascii="Arial" w:cs="Arial" w:eastAsia="Arial" w:hAnsi="Arial"/>
                  <w:sz w:val="14"/>
                  <w:szCs w:val="14"/>
                  <w:color w:val="0000EE"/>
                  <w:w w:val="76"/>
                </w:rPr>
                <w:t>4</w:t>
              </w:r>
            </w:hyperlink>
          </w:p>
        </w:tc>
      </w:tr>
      <w:tr>
        <w:trPr>
          <w:trHeight w:val="27"/>
        </w:trPr>
        <w:tc>
          <w:tcPr>
            <w:tcW w:w="180" w:type="dxa"/>
            <w:vAlign w:val="bottom"/>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8560" w:type="dxa"/>
            <w:vAlign w:val="bottom"/>
            <w:gridSpan w:val="30"/>
            <w:shd w:val="clear" w:color="auto" w:fill="D7F5C4"/>
          </w:tcPr>
          <w:p>
            <w:pPr>
              <w:spacing w:after="0"/>
              <w:rPr>
                <w:rFonts w:ascii="Arial" w:cs="Arial" w:eastAsia="Arial" w:hAnsi="Arial"/>
                <w:sz w:val="14"/>
                <w:szCs w:val="14"/>
                <w:color w:val="0000EE"/>
              </w:rPr>
            </w:pPr>
            <w:hyperlink w:anchor="page18">
              <w:r>
                <w:rPr>
                  <w:rFonts w:ascii="Arial" w:cs="Arial" w:eastAsia="Arial" w:hAnsi="Arial"/>
                  <w:sz w:val="14"/>
                  <w:szCs w:val="14"/>
                  <w:color w:val="0000EE"/>
                </w:rPr>
                <w:t>Corporate Governance and Board Matters</w:t>
              </w:r>
            </w:hyperlink>
          </w:p>
        </w:tc>
        <w:tc>
          <w:tcPr>
            <w:tcW w:w="1000" w:type="dxa"/>
            <w:vAlign w:val="bottom"/>
            <w:gridSpan w:val="4"/>
            <w:shd w:val="clear" w:color="auto" w:fill="D7F5C4"/>
          </w:tcPr>
          <w:p>
            <w:pPr>
              <w:jc w:val="right"/>
              <w:ind w:right="100"/>
              <w:spacing w:after="0"/>
              <w:rPr>
                <w:rFonts w:ascii="Arial" w:cs="Arial" w:eastAsia="Arial" w:hAnsi="Arial"/>
                <w:sz w:val="14"/>
                <w:szCs w:val="14"/>
                <w:color w:val="0000EE"/>
              </w:rPr>
            </w:pPr>
            <w:hyperlink w:anchor="page18">
              <w:r>
                <w:rPr>
                  <w:rFonts w:ascii="Arial" w:cs="Arial" w:eastAsia="Arial" w:hAnsi="Arial"/>
                  <w:sz w:val="14"/>
                  <w:szCs w:val="14"/>
                  <w:color w:val="0000EE"/>
                </w:rPr>
                <w:t>10</w:t>
              </w:r>
            </w:hyperlink>
          </w:p>
        </w:tc>
      </w:tr>
      <w:tr>
        <w:trPr>
          <w:trHeight w:val="27"/>
        </w:trPr>
        <w:tc>
          <w:tcPr>
            <w:tcW w:w="1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320" w:type="dxa"/>
            <w:vAlign w:val="bottom"/>
            <w:tcBorders>
              <w:left w:val="single" w:sz="8" w:color="0000EE"/>
              <w:right w:val="single" w:sz="8" w:color="0000EE"/>
            </w:tcBorders>
            <w:shd w:val="clear" w:color="auto" w:fill="0000EE"/>
          </w:tcPr>
          <w:p>
            <w:pPr>
              <w:spacing w:after="0"/>
              <w:rPr>
                <w:sz w:val="2"/>
                <w:szCs w:val="2"/>
                <w:color w:val="auto"/>
              </w:rPr>
            </w:pPr>
          </w:p>
        </w:tc>
        <w:tc>
          <w:tcPr>
            <w:tcW w:w="200" w:type="dxa"/>
            <w:vAlign w:val="bottom"/>
            <w:tcBorders>
              <w:left w:val="single" w:sz="8" w:color="0000EE"/>
              <w:right w:val="single" w:sz="8" w:color="D7F5C4"/>
            </w:tcBorders>
            <w:shd w:val="clear" w:color="auto" w:fill="D7F5C4"/>
          </w:tcPr>
          <w:p>
            <w:pPr>
              <w:spacing w:after="0"/>
              <w:rPr>
                <w:sz w:val="2"/>
                <w:szCs w:val="2"/>
                <w:color w:val="auto"/>
              </w:rPr>
            </w:pPr>
          </w:p>
        </w:tc>
        <w:tc>
          <w:tcPr>
            <w:tcW w:w="140" w:type="dxa"/>
            <w:vAlign w:val="bottom"/>
            <w:tcBorders>
              <w:right w:val="single" w:sz="8" w:color="D7F5C4"/>
            </w:tcBorders>
            <w:shd w:val="clear" w:color="auto" w:fill="D7F5C4"/>
          </w:tcPr>
          <w:p>
            <w:pPr>
              <w:spacing w:after="0"/>
              <w:rPr>
                <w:sz w:val="2"/>
                <w:szCs w:val="2"/>
                <w:color w:val="auto"/>
              </w:rPr>
            </w:pPr>
          </w:p>
        </w:tc>
        <w:tc>
          <w:tcPr>
            <w:tcW w:w="300" w:type="dxa"/>
            <w:vAlign w:val="bottom"/>
            <w:tcBorders>
              <w:left w:val="single" w:sz="8" w:color="D7F5C4"/>
            </w:tcBorders>
            <w:shd w:val="clear" w:color="auto" w:fill="D7F5C4"/>
          </w:tcPr>
          <w:p>
            <w:pPr>
              <w:spacing w:after="0"/>
              <w:rPr>
                <w:sz w:val="2"/>
                <w:szCs w:val="2"/>
                <w:color w:val="auto"/>
              </w:rPr>
            </w:pPr>
          </w:p>
        </w:tc>
        <w:tc>
          <w:tcPr>
            <w:tcW w:w="160" w:type="dxa"/>
            <w:vAlign w:val="bottom"/>
            <w:shd w:val="clear" w:color="auto" w:fill="D7F5C4"/>
          </w:tcPr>
          <w:p>
            <w:pPr>
              <w:spacing w:after="0"/>
              <w:rPr>
                <w:sz w:val="2"/>
                <w:szCs w:val="2"/>
                <w:color w:val="auto"/>
              </w:rPr>
            </w:pPr>
          </w:p>
        </w:tc>
        <w:tc>
          <w:tcPr>
            <w:tcW w:w="80" w:type="dxa"/>
            <w:vAlign w:val="bottom"/>
            <w:shd w:val="clear" w:color="auto" w:fill="D7F5C4"/>
          </w:tcPr>
          <w:p>
            <w:pPr>
              <w:spacing w:after="0"/>
              <w:rPr>
                <w:sz w:val="2"/>
                <w:szCs w:val="2"/>
                <w:color w:val="auto"/>
              </w:rPr>
            </w:pPr>
          </w:p>
        </w:tc>
        <w:tc>
          <w:tcPr>
            <w:tcW w:w="140" w:type="dxa"/>
            <w:vAlign w:val="bottom"/>
            <w:tcBorders>
              <w:right w:val="single" w:sz="8" w:color="D7F5C4"/>
            </w:tcBorders>
            <w:shd w:val="clear" w:color="auto" w:fill="D7F5C4"/>
          </w:tcPr>
          <w:p>
            <w:pPr>
              <w:spacing w:after="0"/>
              <w:rPr>
                <w:sz w:val="2"/>
                <w:szCs w:val="2"/>
                <w:color w:val="auto"/>
              </w:rPr>
            </w:pPr>
          </w:p>
        </w:tc>
        <w:tc>
          <w:tcPr>
            <w:tcW w:w="160" w:type="dxa"/>
            <w:vAlign w:val="bottom"/>
            <w:tcBorders>
              <w:left w:val="single" w:sz="8" w:color="D7F5C4"/>
            </w:tcBorders>
            <w:shd w:val="clear" w:color="auto" w:fill="D7F5C4"/>
          </w:tcPr>
          <w:p>
            <w:pPr>
              <w:spacing w:after="0"/>
              <w:rPr>
                <w:sz w:val="2"/>
                <w:szCs w:val="2"/>
                <w:color w:val="auto"/>
              </w:rPr>
            </w:pPr>
          </w:p>
        </w:tc>
        <w:tc>
          <w:tcPr>
            <w:tcW w:w="120" w:type="dxa"/>
            <w:vAlign w:val="bottom"/>
            <w:shd w:val="clear" w:color="auto" w:fill="D7F5C4"/>
          </w:tcPr>
          <w:p>
            <w:pPr>
              <w:spacing w:after="0"/>
              <w:rPr>
                <w:sz w:val="2"/>
                <w:szCs w:val="2"/>
                <w:color w:val="auto"/>
              </w:rPr>
            </w:pPr>
          </w:p>
        </w:tc>
        <w:tc>
          <w:tcPr>
            <w:tcW w:w="300" w:type="dxa"/>
            <w:vAlign w:val="bottom"/>
            <w:shd w:val="clear" w:color="auto" w:fill="D7F5C4"/>
          </w:tcPr>
          <w:p>
            <w:pPr>
              <w:spacing w:after="0"/>
              <w:rPr>
                <w:sz w:val="2"/>
                <w:szCs w:val="2"/>
                <w:color w:val="auto"/>
              </w:rPr>
            </w:pPr>
          </w:p>
        </w:tc>
        <w:tc>
          <w:tcPr>
            <w:tcW w:w="160" w:type="dxa"/>
            <w:vAlign w:val="bottom"/>
            <w:shd w:val="clear" w:color="auto" w:fill="D7F5C4"/>
          </w:tcPr>
          <w:p>
            <w:pPr>
              <w:spacing w:after="0"/>
              <w:rPr>
                <w:sz w:val="2"/>
                <w:szCs w:val="2"/>
                <w:color w:val="auto"/>
              </w:rPr>
            </w:pPr>
          </w:p>
        </w:tc>
        <w:tc>
          <w:tcPr>
            <w:tcW w:w="200" w:type="dxa"/>
            <w:vAlign w:val="bottom"/>
            <w:shd w:val="clear" w:color="auto" w:fill="D7F5C4"/>
          </w:tcPr>
          <w:p>
            <w:pPr>
              <w:spacing w:after="0"/>
              <w:rPr>
                <w:sz w:val="2"/>
                <w:szCs w:val="2"/>
                <w:color w:val="auto"/>
              </w:rPr>
            </w:pPr>
          </w:p>
        </w:tc>
        <w:tc>
          <w:tcPr>
            <w:tcW w:w="900" w:type="dxa"/>
            <w:vAlign w:val="bottom"/>
            <w:shd w:val="clear" w:color="auto" w:fill="D7F5C4"/>
          </w:tcPr>
          <w:p>
            <w:pPr>
              <w:spacing w:after="0"/>
              <w:rPr>
                <w:sz w:val="2"/>
                <w:szCs w:val="2"/>
                <w:color w:val="auto"/>
              </w:rPr>
            </w:pPr>
          </w:p>
        </w:tc>
        <w:tc>
          <w:tcPr>
            <w:tcW w:w="540" w:type="dxa"/>
            <w:vAlign w:val="bottom"/>
            <w:shd w:val="clear" w:color="auto" w:fill="D7F5C4"/>
          </w:tcPr>
          <w:p>
            <w:pPr>
              <w:spacing w:after="0"/>
              <w:rPr>
                <w:sz w:val="2"/>
                <w:szCs w:val="2"/>
                <w:color w:val="auto"/>
              </w:rPr>
            </w:pPr>
          </w:p>
        </w:tc>
        <w:tc>
          <w:tcPr>
            <w:tcW w:w="2020" w:type="dxa"/>
            <w:vAlign w:val="bottom"/>
            <w:shd w:val="clear" w:color="auto" w:fill="D7F5C4"/>
          </w:tcPr>
          <w:p>
            <w:pPr>
              <w:spacing w:after="0"/>
              <w:rPr>
                <w:sz w:val="2"/>
                <w:szCs w:val="2"/>
                <w:color w:val="auto"/>
              </w:rPr>
            </w:pPr>
          </w:p>
        </w:tc>
        <w:tc>
          <w:tcPr>
            <w:tcW w:w="480" w:type="dxa"/>
            <w:vAlign w:val="bottom"/>
            <w:shd w:val="clear" w:color="auto" w:fill="D7F5C4"/>
          </w:tcPr>
          <w:p>
            <w:pPr>
              <w:spacing w:after="0"/>
              <w:rPr>
                <w:sz w:val="2"/>
                <w:szCs w:val="2"/>
                <w:color w:val="auto"/>
              </w:rPr>
            </w:pPr>
          </w:p>
        </w:tc>
        <w:tc>
          <w:tcPr>
            <w:tcW w:w="740" w:type="dxa"/>
            <w:vAlign w:val="bottom"/>
            <w:shd w:val="clear" w:color="auto" w:fill="D7F5C4"/>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D7F5C4"/>
          </w:tcPr>
          <w:p>
            <w:pPr>
              <w:spacing w:after="0"/>
              <w:rPr>
                <w:sz w:val="2"/>
                <w:szCs w:val="2"/>
                <w:color w:val="auto"/>
              </w:rPr>
            </w:pPr>
          </w:p>
        </w:tc>
      </w:tr>
      <w:tr>
        <w:trPr>
          <w:trHeight w:val="162"/>
        </w:trPr>
        <w:tc>
          <w:tcPr>
            <w:tcW w:w="180" w:type="dxa"/>
            <w:vAlign w:val="bottom"/>
          </w:tcPr>
          <w:p>
            <w:pPr>
              <w:spacing w:after="0"/>
              <w:rPr>
                <w:sz w:val="14"/>
                <w:szCs w:val="14"/>
                <w:color w:val="auto"/>
              </w:rPr>
            </w:pPr>
          </w:p>
        </w:tc>
        <w:tc>
          <w:tcPr>
            <w:tcW w:w="2480" w:type="dxa"/>
            <w:vAlign w:val="bottom"/>
            <w:gridSpan w:val="14"/>
          </w:tcPr>
          <w:p>
            <w:pPr>
              <w:spacing w:after="0"/>
              <w:rPr>
                <w:rFonts w:ascii="Arial" w:cs="Arial" w:eastAsia="Arial" w:hAnsi="Arial"/>
                <w:sz w:val="14"/>
                <w:szCs w:val="14"/>
                <w:color w:val="0000EE"/>
              </w:rPr>
            </w:pPr>
            <w:hyperlink w:anchor="page18">
              <w:r>
                <w:rPr>
                  <w:rFonts w:ascii="Arial" w:cs="Arial" w:eastAsia="Arial" w:hAnsi="Arial"/>
                  <w:sz w:val="14"/>
                  <w:szCs w:val="14"/>
                  <w:color w:val="0000EE"/>
                </w:rPr>
                <w:t>Director Independence Guidelines</w:t>
              </w:r>
            </w:hyperlink>
          </w:p>
        </w:tc>
        <w:tc>
          <w:tcPr>
            <w:tcW w:w="5900" w:type="dxa"/>
            <w:vAlign w:val="bottom"/>
            <w:gridSpan w:val="15"/>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gridSpan w:val="3"/>
          </w:tcPr>
          <w:p>
            <w:pPr>
              <w:jc w:val="right"/>
              <w:ind w:right="100"/>
              <w:spacing w:after="0"/>
              <w:rPr>
                <w:rFonts w:ascii="Arial" w:cs="Arial" w:eastAsia="Arial" w:hAnsi="Arial"/>
                <w:sz w:val="14"/>
                <w:szCs w:val="14"/>
                <w:color w:val="0000EE"/>
                <w:w w:val="89"/>
              </w:rPr>
            </w:pPr>
            <w:hyperlink w:anchor="page18">
              <w:r>
                <w:rPr>
                  <w:rFonts w:ascii="Arial" w:cs="Arial" w:eastAsia="Arial" w:hAnsi="Arial"/>
                  <w:sz w:val="14"/>
                  <w:szCs w:val="14"/>
                  <w:color w:val="0000EE"/>
                  <w:w w:val="89"/>
                </w:rPr>
                <w:t>10</w:t>
              </w:r>
            </w:hyperlink>
          </w:p>
        </w:tc>
      </w:tr>
      <w:tr>
        <w:trPr>
          <w:trHeight w:val="27"/>
        </w:trPr>
        <w:tc>
          <w:tcPr>
            <w:tcW w:w="180" w:type="dxa"/>
            <w:vAlign w:val="bottom"/>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180" w:type="dxa"/>
            <w:vAlign w:val="bottom"/>
            <w:shd w:val="clear" w:color="auto" w:fill="D7F5C4"/>
          </w:tcPr>
          <w:p>
            <w:pPr>
              <w:spacing w:after="0"/>
              <w:rPr>
                <w:sz w:val="14"/>
                <w:szCs w:val="14"/>
                <w:color w:val="auto"/>
              </w:rPr>
            </w:pPr>
          </w:p>
        </w:tc>
        <w:tc>
          <w:tcPr>
            <w:tcW w:w="3500" w:type="dxa"/>
            <w:vAlign w:val="bottom"/>
            <w:tcBorders>
              <w:right w:val="single" w:sz="8" w:color="D7F5C4"/>
            </w:tcBorders>
            <w:gridSpan w:val="20"/>
            <w:shd w:val="clear" w:color="auto" w:fill="D7F5C4"/>
          </w:tcPr>
          <w:p>
            <w:pPr>
              <w:spacing w:after="0"/>
              <w:rPr>
                <w:rFonts w:ascii="Arial" w:cs="Arial" w:eastAsia="Arial" w:hAnsi="Arial"/>
                <w:sz w:val="14"/>
                <w:szCs w:val="14"/>
                <w:color w:val="0000EE"/>
              </w:rPr>
            </w:pPr>
            <w:hyperlink w:anchor="page18">
              <w:r>
                <w:rPr>
                  <w:rFonts w:ascii="Arial" w:cs="Arial" w:eastAsia="Arial" w:hAnsi="Arial"/>
                  <w:sz w:val="14"/>
                  <w:szCs w:val="14"/>
                  <w:color w:val="0000EE"/>
                </w:rPr>
                <w:t>Board Leadership Structure and Role in Risk Oversight</w:t>
              </w:r>
            </w:hyperlink>
          </w:p>
        </w:tc>
        <w:tc>
          <w:tcPr>
            <w:tcW w:w="4880" w:type="dxa"/>
            <w:vAlign w:val="bottom"/>
            <w:tcBorders>
              <w:left w:val="single" w:sz="8" w:color="D7F5C4"/>
            </w:tcBorders>
            <w:gridSpan w:val="9"/>
            <w:shd w:val="clear" w:color="auto" w:fill="D7F5C4"/>
          </w:tcPr>
          <w:p>
            <w:pPr>
              <w:spacing w:after="0"/>
              <w:rPr>
                <w:sz w:val="14"/>
                <w:szCs w:val="14"/>
                <w:color w:val="auto"/>
              </w:rPr>
            </w:pPr>
          </w:p>
        </w:tc>
        <w:tc>
          <w:tcPr>
            <w:tcW w:w="740" w:type="dxa"/>
            <w:vAlign w:val="bottom"/>
            <w:shd w:val="clear" w:color="auto" w:fill="D7F5C4"/>
          </w:tcPr>
          <w:p>
            <w:pPr>
              <w:spacing w:after="0"/>
              <w:rPr>
                <w:sz w:val="14"/>
                <w:szCs w:val="14"/>
                <w:color w:val="auto"/>
              </w:rPr>
            </w:pPr>
          </w:p>
        </w:tc>
        <w:tc>
          <w:tcPr>
            <w:tcW w:w="260" w:type="dxa"/>
            <w:vAlign w:val="bottom"/>
            <w:gridSpan w:val="3"/>
            <w:shd w:val="clear" w:color="auto" w:fill="D7F5C4"/>
          </w:tcPr>
          <w:p>
            <w:pPr>
              <w:jc w:val="right"/>
              <w:ind w:right="100"/>
              <w:spacing w:after="0"/>
              <w:rPr>
                <w:rFonts w:ascii="Arial" w:cs="Arial" w:eastAsia="Arial" w:hAnsi="Arial"/>
                <w:sz w:val="14"/>
                <w:szCs w:val="14"/>
                <w:color w:val="0000EE"/>
                <w:w w:val="89"/>
              </w:rPr>
            </w:pPr>
            <w:hyperlink w:anchor="page18">
              <w:r>
                <w:rPr>
                  <w:rFonts w:ascii="Arial" w:cs="Arial" w:eastAsia="Arial" w:hAnsi="Arial"/>
                  <w:sz w:val="14"/>
                  <w:szCs w:val="14"/>
                  <w:color w:val="0000EE"/>
                  <w:w w:val="89"/>
                </w:rPr>
                <w:t>10</w:t>
              </w:r>
            </w:hyperlink>
          </w:p>
        </w:tc>
      </w:tr>
      <w:tr>
        <w:trPr>
          <w:trHeight w:val="27"/>
        </w:trPr>
        <w:tc>
          <w:tcPr>
            <w:tcW w:w="180" w:type="dxa"/>
            <w:vAlign w:val="bottom"/>
            <w:shd w:val="clear" w:color="auto" w:fill="D7F5C4"/>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320" w:type="dxa"/>
            <w:vAlign w:val="bottom"/>
            <w:tcBorders>
              <w:left w:val="single" w:sz="8" w:color="0000EE"/>
              <w:right w:val="single" w:sz="8" w:color="0000EE"/>
            </w:tcBorders>
            <w:shd w:val="clear" w:color="auto" w:fill="0000EE"/>
          </w:tcPr>
          <w:p>
            <w:pPr>
              <w:spacing w:after="0"/>
              <w:rPr>
                <w:sz w:val="2"/>
                <w:szCs w:val="2"/>
                <w:color w:val="auto"/>
              </w:rPr>
            </w:pPr>
          </w:p>
        </w:tc>
        <w:tc>
          <w:tcPr>
            <w:tcW w:w="200" w:type="dxa"/>
            <w:vAlign w:val="bottom"/>
            <w:tcBorders>
              <w:left w:val="single" w:sz="8" w:color="0000EE"/>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30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60" w:type="dxa"/>
            <w:vAlign w:val="bottom"/>
            <w:tcBorders>
              <w:left w:val="single" w:sz="8" w:color="D7F5C4"/>
            </w:tcBorders>
            <w:shd w:val="clear" w:color="auto" w:fill="D7F5C4"/>
          </w:tcPr>
          <w:p>
            <w:pPr>
              <w:spacing w:after="0"/>
              <w:rPr>
                <w:sz w:val="2"/>
                <w:szCs w:val="2"/>
                <w:color w:val="auto"/>
              </w:rPr>
            </w:pPr>
          </w:p>
        </w:tc>
        <w:tc>
          <w:tcPr>
            <w:tcW w:w="120" w:type="dxa"/>
            <w:vAlign w:val="bottom"/>
            <w:shd w:val="clear" w:color="auto" w:fill="D7F5C4"/>
          </w:tcPr>
          <w:p>
            <w:pPr>
              <w:spacing w:after="0"/>
              <w:rPr>
                <w:sz w:val="2"/>
                <w:szCs w:val="2"/>
                <w:color w:val="auto"/>
              </w:rPr>
            </w:pPr>
          </w:p>
        </w:tc>
        <w:tc>
          <w:tcPr>
            <w:tcW w:w="300" w:type="dxa"/>
            <w:vAlign w:val="bottom"/>
            <w:shd w:val="clear" w:color="auto" w:fill="D7F5C4"/>
          </w:tcPr>
          <w:p>
            <w:pPr>
              <w:spacing w:after="0"/>
              <w:rPr>
                <w:sz w:val="2"/>
                <w:szCs w:val="2"/>
                <w:color w:val="auto"/>
              </w:rPr>
            </w:pPr>
          </w:p>
        </w:tc>
        <w:tc>
          <w:tcPr>
            <w:tcW w:w="160" w:type="dxa"/>
            <w:vAlign w:val="bottom"/>
            <w:shd w:val="clear" w:color="auto" w:fill="D7F5C4"/>
          </w:tcPr>
          <w:p>
            <w:pPr>
              <w:spacing w:after="0"/>
              <w:rPr>
                <w:sz w:val="2"/>
                <w:szCs w:val="2"/>
                <w:color w:val="auto"/>
              </w:rPr>
            </w:pPr>
          </w:p>
        </w:tc>
        <w:tc>
          <w:tcPr>
            <w:tcW w:w="200" w:type="dxa"/>
            <w:vAlign w:val="bottom"/>
            <w:shd w:val="clear" w:color="auto" w:fill="D7F5C4"/>
          </w:tcPr>
          <w:p>
            <w:pPr>
              <w:spacing w:after="0"/>
              <w:rPr>
                <w:sz w:val="2"/>
                <w:szCs w:val="2"/>
                <w:color w:val="auto"/>
              </w:rPr>
            </w:pPr>
          </w:p>
        </w:tc>
        <w:tc>
          <w:tcPr>
            <w:tcW w:w="900" w:type="dxa"/>
            <w:vAlign w:val="bottom"/>
            <w:shd w:val="clear" w:color="auto" w:fill="D7F5C4"/>
          </w:tcPr>
          <w:p>
            <w:pPr>
              <w:spacing w:after="0"/>
              <w:rPr>
                <w:sz w:val="2"/>
                <w:szCs w:val="2"/>
                <w:color w:val="auto"/>
              </w:rPr>
            </w:pPr>
          </w:p>
        </w:tc>
        <w:tc>
          <w:tcPr>
            <w:tcW w:w="540" w:type="dxa"/>
            <w:vAlign w:val="bottom"/>
            <w:shd w:val="clear" w:color="auto" w:fill="D7F5C4"/>
          </w:tcPr>
          <w:p>
            <w:pPr>
              <w:spacing w:after="0"/>
              <w:rPr>
                <w:sz w:val="2"/>
                <w:szCs w:val="2"/>
                <w:color w:val="auto"/>
              </w:rPr>
            </w:pPr>
          </w:p>
        </w:tc>
        <w:tc>
          <w:tcPr>
            <w:tcW w:w="2020" w:type="dxa"/>
            <w:vAlign w:val="bottom"/>
            <w:shd w:val="clear" w:color="auto" w:fill="D7F5C4"/>
          </w:tcPr>
          <w:p>
            <w:pPr>
              <w:spacing w:after="0"/>
              <w:rPr>
                <w:sz w:val="2"/>
                <w:szCs w:val="2"/>
                <w:color w:val="auto"/>
              </w:rPr>
            </w:pPr>
          </w:p>
        </w:tc>
        <w:tc>
          <w:tcPr>
            <w:tcW w:w="480" w:type="dxa"/>
            <w:vAlign w:val="bottom"/>
            <w:shd w:val="clear" w:color="auto" w:fill="D7F5C4"/>
          </w:tcPr>
          <w:p>
            <w:pPr>
              <w:spacing w:after="0"/>
              <w:rPr>
                <w:sz w:val="2"/>
                <w:szCs w:val="2"/>
                <w:color w:val="auto"/>
              </w:rPr>
            </w:pPr>
          </w:p>
        </w:tc>
        <w:tc>
          <w:tcPr>
            <w:tcW w:w="740" w:type="dxa"/>
            <w:vAlign w:val="bottom"/>
            <w:shd w:val="clear" w:color="auto" w:fill="D7F5C4"/>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D7F5C4"/>
          </w:tcPr>
          <w:p>
            <w:pPr>
              <w:spacing w:after="0"/>
              <w:rPr>
                <w:sz w:val="2"/>
                <w:szCs w:val="2"/>
                <w:color w:val="auto"/>
              </w:rPr>
            </w:pPr>
          </w:p>
        </w:tc>
      </w:tr>
      <w:tr>
        <w:trPr>
          <w:trHeight w:val="162"/>
        </w:trPr>
        <w:tc>
          <w:tcPr>
            <w:tcW w:w="180" w:type="dxa"/>
            <w:vAlign w:val="bottom"/>
          </w:tcPr>
          <w:p>
            <w:pPr>
              <w:spacing w:after="0"/>
              <w:rPr>
                <w:sz w:val="14"/>
                <w:szCs w:val="14"/>
                <w:color w:val="auto"/>
              </w:rPr>
            </w:pPr>
          </w:p>
        </w:tc>
        <w:tc>
          <w:tcPr>
            <w:tcW w:w="3500" w:type="dxa"/>
            <w:vAlign w:val="bottom"/>
            <w:gridSpan w:val="20"/>
          </w:tcPr>
          <w:p>
            <w:pPr>
              <w:spacing w:after="0"/>
              <w:rPr>
                <w:rFonts w:ascii="Arial" w:cs="Arial" w:eastAsia="Arial" w:hAnsi="Arial"/>
                <w:sz w:val="14"/>
                <w:szCs w:val="14"/>
                <w:color w:val="0000EE"/>
              </w:rPr>
            </w:pPr>
            <w:hyperlink w:anchor="page19">
              <w:r>
                <w:rPr>
                  <w:rFonts w:ascii="Arial" w:cs="Arial" w:eastAsia="Arial" w:hAnsi="Arial"/>
                  <w:sz w:val="14"/>
                  <w:szCs w:val="14"/>
                  <w:color w:val="0000EE"/>
                </w:rPr>
                <w:t>Meetings and Committees of the Board</w:t>
              </w:r>
            </w:hyperlink>
          </w:p>
        </w:tc>
        <w:tc>
          <w:tcPr>
            <w:tcW w:w="4880" w:type="dxa"/>
            <w:vAlign w:val="bottom"/>
            <w:gridSpan w:val="9"/>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gridSpan w:val="3"/>
          </w:tcPr>
          <w:p>
            <w:pPr>
              <w:jc w:val="right"/>
              <w:ind w:right="100"/>
              <w:spacing w:after="0"/>
              <w:rPr>
                <w:rFonts w:ascii="Arial" w:cs="Arial" w:eastAsia="Arial" w:hAnsi="Arial"/>
                <w:sz w:val="14"/>
                <w:szCs w:val="14"/>
                <w:color w:val="0000EE"/>
                <w:w w:val="89"/>
              </w:rPr>
            </w:pPr>
            <w:hyperlink w:anchor="page19">
              <w:r>
                <w:rPr>
                  <w:rFonts w:ascii="Arial" w:cs="Arial" w:eastAsia="Arial" w:hAnsi="Arial"/>
                  <w:sz w:val="14"/>
                  <w:szCs w:val="14"/>
                  <w:color w:val="0000EE"/>
                  <w:w w:val="89"/>
                </w:rPr>
                <w:t>11</w:t>
              </w:r>
            </w:hyperlink>
          </w:p>
        </w:tc>
      </w:tr>
      <w:tr>
        <w:trPr>
          <w:trHeight w:val="27"/>
        </w:trPr>
        <w:tc>
          <w:tcPr>
            <w:tcW w:w="180" w:type="dxa"/>
            <w:vAlign w:val="bottom"/>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320" w:type="dxa"/>
            <w:vAlign w:val="bottom"/>
            <w:tcBorders>
              <w:left w:val="single" w:sz="8" w:color="0000EE"/>
              <w:right w:val="single" w:sz="8" w:color="0000EE"/>
            </w:tcBorders>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180" w:type="dxa"/>
            <w:vAlign w:val="bottom"/>
            <w:shd w:val="clear" w:color="auto" w:fill="D7F5C4"/>
          </w:tcPr>
          <w:p>
            <w:pPr>
              <w:spacing w:after="0"/>
              <w:rPr>
                <w:sz w:val="14"/>
                <w:szCs w:val="14"/>
                <w:color w:val="auto"/>
              </w:rPr>
            </w:pPr>
          </w:p>
        </w:tc>
        <w:tc>
          <w:tcPr>
            <w:tcW w:w="2480" w:type="dxa"/>
            <w:vAlign w:val="bottom"/>
            <w:tcBorders>
              <w:right w:val="single" w:sz="8" w:color="D7F5C4"/>
            </w:tcBorders>
            <w:gridSpan w:val="14"/>
            <w:shd w:val="clear" w:color="auto" w:fill="D7F5C4"/>
          </w:tcPr>
          <w:p>
            <w:pPr>
              <w:spacing w:after="0"/>
              <w:rPr>
                <w:rFonts w:ascii="Arial" w:cs="Arial" w:eastAsia="Arial" w:hAnsi="Arial"/>
                <w:sz w:val="14"/>
                <w:szCs w:val="14"/>
                <w:color w:val="0000EE"/>
              </w:rPr>
            </w:pPr>
            <w:hyperlink w:anchor="page21">
              <w:r>
                <w:rPr>
                  <w:rFonts w:ascii="Arial" w:cs="Arial" w:eastAsia="Arial" w:hAnsi="Arial"/>
                  <w:sz w:val="14"/>
                  <w:szCs w:val="14"/>
                  <w:color w:val="0000EE"/>
                </w:rPr>
                <w:t>Director Nomination Process</w:t>
              </w:r>
            </w:hyperlink>
          </w:p>
        </w:tc>
        <w:tc>
          <w:tcPr>
            <w:tcW w:w="5900" w:type="dxa"/>
            <w:vAlign w:val="bottom"/>
            <w:tcBorders>
              <w:left w:val="single" w:sz="8" w:color="D7F5C4"/>
            </w:tcBorders>
            <w:gridSpan w:val="15"/>
            <w:shd w:val="clear" w:color="auto" w:fill="D7F5C4"/>
          </w:tcPr>
          <w:p>
            <w:pPr>
              <w:spacing w:after="0"/>
              <w:rPr>
                <w:sz w:val="14"/>
                <w:szCs w:val="14"/>
                <w:color w:val="auto"/>
              </w:rPr>
            </w:pPr>
          </w:p>
        </w:tc>
        <w:tc>
          <w:tcPr>
            <w:tcW w:w="740" w:type="dxa"/>
            <w:vAlign w:val="bottom"/>
            <w:shd w:val="clear" w:color="auto" w:fill="D7F5C4"/>
          </w:tcPr>
          <w:p>
            <w:pPr>
              <w:spacing w:after="0"/>
              <w:rPr>
                <w:sz w:val="14"/>
                <w:szCs w:val="14"/>
                <w:color w:val="auto"/>
              </w:rPr>
            </w:pPr>
          </w:p>
        </w:tc>
        <w:tc>
          <w:tcPr>
            <w:tcW w:w="260" w:type="dxa"/>
            <w:vAlign w:val="bottom"/>
            <w:gridSpan w:val="3"/>
            <w:shd w:val="clear" w:color="auto" w:fill="D7F5C4"/>
          </w:tcPr>
          <w:p>
            <w:pPr>
              <w:jc w:val="right"/>
              <w:ind w:right="100"/>
              <w:spacing w:after="0"/>
              <w:rPr>
                <w:rFonts w:ascii="Arial" w:cs="Arial" w:eastAsia="Arial" w:hAnsi="Arial"/>
                <w:sz w:val="14"/>
                <w:szCs w:val="14"/>
                <w:color w:val="0000EE"/>
                <w:w w:val="89"/>
              </w:rPr>
            </w:pPr>
            <w:hyperlink w:anchor="page21">
              <w:r>
                <w:rPr>
                  <w:rFonts w:ascii="Arial" w:cs="Arial" w:eastAsia="Arial" w:hAnsi="Arial"/>
                  <w:sz w:val="14"/>
                  <w:szCs w:val="14"/>
                  <w:color w:val="0000EE"/>
                  <w:w w:val="89"/>
                </w:rPr>
                <w:t>13</w:t>
              </w:r>
            </w:hyperlink>
          </w:p>
        </w:tc>
      </w:tr>
      <w:tr>
        <w:trPr>
          <w:trHeight w:val="27"/>
        </w:trPr>
        <w:tc>
          <w:tcPr>
            <w:tcW w:w="180" w:type="dxa"/>
            <w:vAlign w:val="bottom"/>
            <w:shd w:val="clear" w:color="auto" w:fill="D7F5C4"/>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D7F5C4"/>
            </w:tcBorders>
            <w:shd w:val="clear" w:color="auto" w:fill="0000EE"/>
          </w:tcPr>
          <w:p>
            <w:pPr>
              <w:spacing w:after="0"/>
              <w:rPr>
                <w:sz w:val="2"/>
                <w:szCs w:val="2"/>
                <w:color w:val="auto"/>
              </w:rPr>
            </w:pPr>
          </w:p>
        </w:tc>
        <w:tc>
          <w:tcPr>
            <w:tcW w:w="120" w:type="dxa"/>
            <w:vAlign w:val="bottom"/>
            <w:tcBorders>
              <w:left w:val="single" w:sz="8" w:color="D7F5C4"/>
            </w:tcBorders>
            <w:shd w:val="clear" w:color="auto" w:fill="D7F5C4"/>
          </w:tcPr>
          <w:p>
            <w:pPr>
              <w:spacing w:after="0"/>
              <w:rPr>
                <w:sz w:val="2"/>
                <w:szCs w:val="2"/>
                <w:color w:val="auto"/>
              </w:rPr>
            </w:pPr>
          </w:p>
        </w:tc>
        <w:tc>
          <w:tcPr>
            <w:tcW w:w="80" w:type="dxa"/>
            <w:vAlign w:val="bottom"/>
            <w:tcBorders>
              <w:left w:val="single" w:sz="8" w:color="D7F5C4"/>
            </w:tcBorders>
            <w:shd w:val="clear" w:color="auto" w:fill="D7F5C4"/>
          </w:tcPr>
          <w:p>
            <w:pPr>
              <w:spacing w:after="0"/>
              <w:rPr>
                <w:sz w:val="2"/>
                <w:szCs w:val="2"/>
                <w:color w:val="auto"/>
              </w:rPr>
            </w:pPr>
          </w:p>
        </w:tc>
        <w:tc>
          <w:tcPr>
            <w:tcW w:w="120" w:type="dxa"/>
            <w:vAlign w:val="bottom"/>
            <w:tcBorders>
              <w:left w:val="single" w:sz="8" w:color="D7F5C4"/>
            </w:tcBorders>
            <w:shd w:val="clear" w:color="auto" w:fill="D7F5C4"/>
          </w:tcPr>
          <w:p>
            <w:pPr>
              <w:spacing w:after="0"/>
              <w:rPr>
                <w:sz w:val="2"/>
                <w:szCs w:val="2"/>
                <w:color w:val="auto"/>
              </w:rPr>
            </w:pPr>
          </w:p>
        </w:tc>
        <w:tc>
          <w:tcPr>
            <w:tcW w:w="320" w:type="dxa"/>
            <w:vAlign w:val="bottom"/>
            <w:tcBorders>
              <w:left w:val="single" w:sz="8" w:color="D7F5C4"/>
              <w:right w:val="single" w:sz="8" w:color="D7F5C4"/>
            </w:tcBorders>
            <w:shd w:val="clear" w:color="auto" w:fill="D7F5C4"/>
          </w:tcPr>
          <w:p>
            <w:pPr>
              <w:spacing w:after="0"/>
              <w:rPr>
                <w:sz w:val="2"/>
                <w:szCs w:val="2"/>
                <w:color w:val="auto"/>
              </w:rPr>
            </w:pPr>
          </w:p>
        </w:tc>
        <w:tc>
          <w:tcPr>
            <w:tcW w:w="200" w:type="dxa"/>
            <w:vAlign w:val="bottom"/>
            <w:tcBorders>
              <w:left w:val="single" w:sz="8" w:color="D7F5C4"/>
              <w:right w:val="single" w:sz="8" w:color="D7F5C4"/>
            </w:tcBorders>
            <w:shd w:val="clear" w:color="auto" w:fill="D7F5C4"/>
          </w:tcPr>
          <w:p>
            <w:pPr>
              <w:spacing w:after="0"/>
              <w:rPr>
                <w:sz w:val="2"/>
                <w:szCs w:val="2"/>
                <w:color w:val="auto"/>
              </w:rPr>
            </w:pPr>
          </w:p>
        </w:tc>
        <w:tc>
          <w:tcPr>
            <w:tcW w:w="140" w:type="dxa"/>
            <w:vAlign w:val="bottom"/>
            <w:tcBorders>
              <w:right w:val="single" w:sz="8" w:color="D7F5C4"/>
            </w:tcBorders>
            <w:shd w:val="clear" w:color="auto" w:fill="D7F5C4"/>
          </w:tcPr>
          <w:p>
            <w:pPr>
              <w:spacing w:after="0"/>
              <w:rPr>
                <w:sz w:val="2"/>
                <w:szCs w:val="2"/>
                <w:color w:val="auto"/>
              </w:rPr>
            </w:pPr>
          </w:p>
        </w:tc>
        <w:tc>
          <w:tcPr>
            <w:tcW w:w="300" w:type="dxa"/>
            <w:vAlign w:val="bottom"/>
            <w:tcBorders>
              <w:left w:val="single" w:sz="8" w:color="D7F5C4"/>
            </w:tcBorders>
            <w:shd w:val="clear" w:color="auto" w:fill="D7F5C4"/>
          </w:tcPr>
          <w:p>
            <w:pPr>
              <w:spacing w:after="0"/>
              <w:rPr>
                <w:sz w:val="2"/>
                <w:szCs w:val="2"/>
                <w:color w:val="auto"/>
              </w:rPr>
            </w:pPr>
          </w:p>
        </w:tc>
        <w:tc>
          <w:tcPr>
            <w:tcW w:w="160" w:type="dxa"/>
            <w:vAlign w:val="bottom"/>
            <w:shd w:val="clear" w:color="auto" w:fill="D7F5C4"/>
          </w:tcPr>
          <w:p>
            <w:pPr>
              <w:spacing w:after="0"/>
              <w:rPr>
                <w:sz w:val="2"/>
                <w:szCs w:val="2"/>
                <w:color w:val="auto"/>
              </w:rPr>
            </w:pPr>
          </w:p>
        </w:tc>
        <w:tc>
          <w:tcPr>
            <w:tcW w:w="80" w:type="dxa"/>
            <w:vAlign w:val="bottom"/>
            <w:shd w:val="clear" w:color="auto" w:fill="D7F5C4"/>
          </w:tcPr>
          <w:p>
            <w:pPr>
              <w:spacing w:after="0"/>
              <w:rPr>
                <w:sz w:val="2"/>
                <w:szCs w:val="2"/>
                <w:color w:val="auto"/>
              </w:rPr>
            </w:pPr>
          </w:p>
        </w:tc>
        <w:tc>
          <w:tcPr>
            <w:tcW w:w="140" w:type="dxa"/>
            <w:vAlign w:val="bottom"/>
            <w:tcBorders>
              <w:right w:val="single" w:sz="8" w:color="D7F5C4"/>
            </w:tcBorders>
            <w:shd w:val="clear" w:color="auto" w:fill="D7F5C4"/>
          </w:tcPr>
          <w:p>
            <w:pPr>
              <w:spacing w:after="0"/>
              <w:rPr>
                <w:sz w:val="2"/>
                <w:szCs w:val="2"/>
                <w:color w:val="auto"/>
              </w:rPr>
            </w:pPr>
          </w:p>
        </w:tc>
        <w:tc>
          <w:tcPr>
            <w:tcW w:w="160" w:type="dxa"/>
            <w:vAlign w:val="bottom"/>
            <w:tcBorders>
              <w:left w:val="single" w:sz="8" w:color="D7F5C4"/>
            </w:tcBorders>
            <w:shd w:val="clear" w:color="auto" w:fill="D7F5C4"/>
          </w:tcPr>
          <w:p>
            <w:pPr>
              <w:spacing w:after="0"/>
              <w:rPr>
                <w:sz w:val="2"/>
                <w:szCs w:val="2"/>
                <w:color w:val="auto"/>
              </w:rPr>
            </w:pPr>
          </w:p>
        </w:tc>
        <w:tc>
          <w:tcPr>
            <w:tcW w:w="120" w:type="dxa"/>
            <w:vAlign w:val="bottom"/>
            <w:shd w:val="clear" w:color="auto" w:fill="D7F5C4"/>
          </w:tcPr>
          <w:p>
            <w:pPr>
              <w:spacing w:after="0"/>
              <w:rPr>
                <w:sz w:val="2"/>
                <w:szCs w:val="2"/>
                <w:color w:val="auto"/>
              </w:rPr>
            </w:pPr>
          </w:p>
        </w:tc>
        <w:tc>
          <w:tcPr>
            <w:tcW w:w="300" w:type="dxa"/>
            <w:vAlign w:val="bottom"/>
            <w:shd w:val="clear" w:color="auto" w:fill="D7F5C4"/>
          </w:tcPr>
          <w:p>
            <w:pPr>
              <w:spacing w:after="0"/>
              <w:rPr>
                <w:sz w:val="2"/>
                <w:szCs w:val="2"/>
                <w:color w:val="auto"/>
              </w:rPr>
            </w:pPr>
          </w:p>
        </w:tc>
        <w:tc>
          <w:tcPr>
            <w:tcW w:w="160" w:type="dxa"/>
            <w:vAlign w:val="bottom"/>
            <w:shd w:val="clear" w:color="auto" w:fill="D7F5C4"/>
          </w:tcPr>
          <w:p>
            <w:pPr>
              <w:spacing w:after="0"/>
              <w:rPr>
                <w:sz w:val="2"/>
                <w:szCs w:val="2"/>
                <w:color w:val="auto"/>
              </w:rPr>
            </w:pPr>
          </w:p>
        </w:tc>
        <w:tc>
          <w:tcPr>
            <w:tcW w:w="200" w:type="dxa"/>
            <w:vAlign w:val="bottom"/>
            <w:shd w:val="clear" w:color="auto" w:fill="D7F5C4"/>
          </w:tcPr>
          <w:p>
            <w:pPr>
              <w:spacing w:after="0"/>
              <w:rPr>
                <w:sz w:val="2"/>
                <w:szCs w:val="2"/>
                <w:color w:val="auto"/>
              </w:rPr>
            </w:pPr>
          </w:p>
        </w:tc>
        <w:tc>
          <w:tcPr>
            <w:tcW w:w="900" w:type="dxa"/>
            <w:vAlign w:val="bottom"/>
            <w:shd w:val="clear" w:color="auto" w:fill="D7F5C4"/>
          </w:tcPr>
          <w:p>
            <w:pPr>
              <w:spacing w:after="0"/>
              <w:rPr>
                <w:sz w:val="2"/>
                <w:szCs w:val="2"/>
                <w:color w:val="auto"/>
              </w:rPr>
            </w:pPr>
          </w:p>
        </w:tc>
        <w:tc>
          <w:tcPr>
            <w:tcW w:w="540" w:type="dxa"/>
            <w:vAlign w:val="bottom"/>
            <w:shd w:val="clear" w:color="auto" w:fill="D7F5C4"/>
          </w:tcPr>
          <w:p>
            <w:pPr>
              <w:spacing w:after="0"/>
              <w:rPr>
                <w:sz w:val="2"/>
                <w:szCs w:val="2"/>
                <w:color w:val="auto"/>
              </w:rPr>
            </w:pPr>
          </w:p>
        </w:tc>
        <w:tc>
          <w:tcPr>
            <w:tcW w:w="2020" w:type="dxa"/>
            <w:vAlign w:val="bottom"/>
            <w:shd w:val="clear" w:color="auto" w:fill="D7F5C4"/>
          </w:tcPr>
          <w:p>
            <w:pPr>
              <w:spacing w:after="0"/>
              <w:rPr>
                <w:sz w:val="2"/>
                <w:szCs w:val="2"/>
                <w:color w:val="auto"/>
              </w:rPr>
            </w:pPr>
          </w:p>
        </w:tc>
        <w:tc>
          <w:tcPr>
            <w:tcW w:w="480" w:type="dxa"/>
            <w:vAlign w:val="bottom"/>
            <w:shd w:val="clear" w:color="auto" w:fill="D7F5C4"/>
          </w:tcPr>
          <w:p>
            <w:pPr>
              <w:spacing w:after="0"/>
              <w:rPr>
                <w:sz w:val="2"/>
                <w:szCs w:val="2"/>
                <w:color w:val="auto"/>
              </w:rPr>
            </w:pPr>
          </w:p>
        </w:tc>
        <w:tc>
          <w:tcPr>
            <w:tcW w:w="740" w:type="dxa"/>
            <w:vAlign w:val="bottom"/>
            <w:shd w:val="clear" w:color="auto" w:fill="D7F5C4"/>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D7F5C4"/>
          </w:tcPr>
          <w:p>
            <w:pPr>
              <w:spacing w:after="0"/>
              <w:rPr>
                <w:sz w:val="2"/>
                <w:szCs w:val="2"/>
                <w:color w:val="auto"/>
              </w:rPr>
            </w:pPr>
          </w:p>
        </w:tc>
      </w:tr>
      <w:tr>
        <w:trPr>
          <w:trHeight w:val="162"/>
        </w:trPr>
        <w:tc>
          <w:tcPr>
            <w:tcW w:w="180" w:type="dxa"/>
            <w:vAlign w:val="bottom"/>
          </w:tcPr>
          <w:p>
            <w:pPr>
              <w:spacing w:after="0"/>
              <w:rPr>
                <w:sz w:val="14"/>
                <w:szCs w:val="14"/>
                <w:color w:val="auto"/>
              </w:rPr>
            </w:pPr>
          </w:p>
        </w:tc>
        <w:tc>
          <w:tcPr>
            <w:tcW w:w="1840" w:type="dxa"/>
            <w:vAlign w:val="bottom"/>
            <w:gridSpan w:val="10"/>
          </w:tcPr>
          <w:p>
            <w:pPr>
              <w:spacing w:after="0"/>
              <w:rPr>
                <w:rFonts w:ascii="Arial" w:cs="Arial" w:eastAsia="Arial" w:hAnsi="Arial"/>
                <w:sz w:val="14"/>
                <w:szCs w:val="14"/>
                <w:color w:val="0000EE"/>
              </w:rPr>
            </w:pPr>
            <w:hyperlink w:anchor="page23">
              <w:r>
                <w:rPr>
                  <w:rFonts w:ascii="Arial" w:cs="Arial" w:eastAsia="Arial" w:hAnsi="Arial"/>
                  <w:sz w:val="14"/>
                  <w:szCs w:val="14"/>
                  <w:color w:val="0000EE"/>
                </w:rPr>
                <w:t>Executive Sessions</w:t>
              </w:r>
            </w:hyperlink>
          </w:p>
        </w:tc>
        <w:tc>
          <w:tcPr>
            <w:tcW w:w="6540" w:type="dxa"/>
            <w:vAlign w:val="bottom"/>
            <w:gridSpan w:val="19"/>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gridSpan w:val="3"/>
          </w:tcPr>
          <w:p>
            <w:pPr>
              <w:jc w:val="right"/>
              <w:ind w:right="100"/>
              <w:spacing w:after="0"/>
              <w:rPr>
                <w:rFonts w:ascii="Arial" w:cs="Arial" w:eastAsia="Arial" w:hAnsi="Arial"/>
                <w:sz w:val="14"/>
                <w:szCs w:val="14"/>
                <w:color w:val="0000EE"/>
                <w:w w:val="89"/>
              </w:rPr>
            </w:pPr>
            <w:hyperlink w:anchor="page23">
              <w:r>
                <w:rPr>
                  <w:rFonts w:ascii="Arial" w:cs="Arial" w:eastAsia="Arial" w:hAnsi="Arial"/>
                  <w:sz w:val="14"/>
                  <w:szCs w:val="14"/>
                  <w:color w:val="0000EE"/>
                  <w:w w:val="89"/>
                </w:rPr>
                <w:t>15</w:t>
              </w:r>
            </w:hyperlink>
          </w:p>
        </w:tc>
      </w:tr>
      <w:tr>
        <w:trPr>
          <w:trHeight w:val="27"/>
        </w:trPr>
        <w:tc>
          <w:tcPr>
            <w:tcW w:w="180" w:type="dxa"/>
            <w:vAlign w:val="bottom"/>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180" w:type="dxa"/>
            <w:vAlign w:val="bottom"/>
            <w:shd w:val="clear" w:color="auto" w:fill="D7F5C4"/>
          </w:tcPr>
          <w:p>
            <w:pPr>
              <w:spacing w:after="0"/>
              <w:rPr>
                <w:sz w:val="14"/>
                <w:szCs w:val="14"/>
                <w:color w:val="auto"/>
              </w:rPr>
            </w:pPr>
          </w:p>
        </w:tc>
        <w:tc>
          <w:tcPr>
            <w:tcW w:w="8380" w:type="dxa"/>
            <w:vAlign w:val="bottom"/>
            <w:gridSpan w:val="29"/>
            <w:shd w:val="clear" w:color="auto" w:fill="D7F5C4"/>
          </w:tcPr>
          <w:p>
            <w:pPr>
              <w:spacing w:after="0"/>
              <w:rPr>
                <w:rFonts w:ascii="Arial" w:cs="Arial" w:eastAsia="Arial" w:hAnsi="Arial"/>
                <w:sz w:val="14"/>
                <w:szCs w:val="14"/>
                <w:color w:val="0000EE"/>
              </w:rPr>
            </w:pPr>
            <w:hyperlink w:anchor="page23">
              <w:r>
                <w:rPr>
                  <w:rFonts w:ascii="Arial" w:cs="Arial" w:eastAsia="Arial" w:hAnsi="Arial"/>
                  <w:sz w:val="14"/>
                  <w:szCs w:val="14"/>
                  <w:color w:val="0000EE"/>
                </w:rPr>
                <w:t>Communications with the Board</w:t>
              </w:r>
            </w:hyperlink>
          </w:p>
        </w:tc>
        <w:tc>
          <w:tcPr>
            <w:tcW w:w="1000" w:type="dxa"/>
            <w:vAlign w:val="bottom"/>
            <w:gridSpan w:val="4"/>
            <w:shd w:val="clear" w:color="auto" w:fill="D7F5C4"/>
          </w:tcPr>
          <w:p>
            <w:pPr>
              <w:jc w:val="right"/>
              <w:ind w:right="100"/>
              <w:spacing w:after="0"/>
              <w:rPr>
                <w:rFonts w:ascii="Arial" w:cs="Arial" w:eastAsia="Arial" w:hAnsi="Arial"/>
                <w:sz w:val="14"/>
                <w:szCs w:val="14"/>
                <w:color w:val="0000EE"/>
              </w:rPr>
            </w:pPr>
            <w:hyperlink w:anchor="page23">
              <w:r>
                <w:rPr>
                  <w:rFonts w:ascii="Arial" w:cs="Arial" w:eastAsia="Arial" w:hAnsi="Arial"/>
                  <w:sz w:val="14"/>
                  <w:szCs w:val="14"/>
                  <w:color w:val="0000EE"/>
                </w:rPr>
                <w:t>15</w:t>
              </w:r>
            </w:hyperlink>
          </w:p>
        </w:tc>
      </w:tr>
      <w:tr>
        <w:trPr>
          <w:trHeight w:val="27"/>
        </w:trPr>
        <w:tc>
          <w:tcPr>
            <w:tcW w:w="180" w:type="dxa"/>
            <w:vAlign w:val="bottom"/>
            <w:shd w:val="clear" w:color="auto" w:fill="D7F5C4"/>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D7F5C4"/>
          </w:tcPr>
          <w:p>
            <w:pPr>
              <w:spacing w:after="0"/>
              <w:rPr>
                <w:sz w:val="2"/>
                <w:szCs w:val="2"/>
                <w:color w:val="auto"/>
              </w:rPr>
            </w:pPr>
          </w:p>
        </w:tc>
        <w:tc>
          <w:tcPr>
            <w:tcW w:w="120" w:type="dxa"/>
            <w:vAlign w:val="bottom"/>
            <w:tcBorders>
              <w:left w:val="single" w:sz="8" w:color="D7F5C4"/>
            </w:tcBorders>
            <w:shd w:val="clear" w:color="auto" w:fill="D7F5C4"/>
          </w:tcPr>
          <w:p>
            <w:pPr>
              <w:spacing w:after="0"/>
              <w:rPr>
                <w:sz w:val="2"/>
                <w:szCs w:val="2"/>
                <w:color w:val="auto"/>
              </w:rPr>
            </w:pPr>
          </w:p>
        </w:tc>
        <w:tc>
          <w:tcPr>
            <w:tcW w:w="320" w:type="dxa"/>
            <w:vAlign w:val="bottom"/>
            <w:tcBorders>
              <w:left w:val="single" w:sz="8" w:color="D7F5C4"/>
              <w:right w:val="single" w:sz="8" w:color="D7F5C4"/>
            </w:tcBorders>
            <w:shd w:val="clear" w:color="auto" w:fill="D7F5C4"/>
          </w:tcPr>
          <w:p>
            <w:pPr>
              <w:spacing w:after="0"/>
              <w:rPr>
                <w:sz w:val="2"/>
                <w:szCs w:val="2"/>
                <w:color w:val="auto"/>
              </w:rPr>
            </w:pPr>
          </w:p>
        </w:tc>
        <w:tc>
          <w:tcPr>
            <w:tcW w:w="200" w:type="dxa"/>
            <w:vAlign w:val="bottom"/>
            <w:tcBorders>
              <w:left w:val="single" w:sz="8" w:color="D7F5C4"/>
              <w:right w:val="single" w:sz="8" w:color="D7F5C4"/>
            </w:tcBorders>
            <w:shd w:val="clear" w:color="auto" w:fill="D7F5C4"/>
          </w:tcPr>
          <w:p>
            <w:pPr>
              <w:spacing w:after="0"/>
              <w:rPr>
                <w:sz w:val="2"/>
                <w:szCs w:val="2"/>
                <w:color w:val="auto"/>
              </w:rPr>
            </w:pPr>
          </w:p>
        </w:tc>
        <w:tc>
          <w:tcPr>
            <w:tcW w:w="140" w:type="dxa"/>
            <w:vAlign w:val="bottom"/>
            <w:tcBorders>
              <w:right w:val="single" w:sz="8" w:color="D7F5C4"/>
            </w:tcBorders>
            <w:shd w:val="clear" w:color="auto" w:fill="D7F5C4"/>
          </w:tcPr>
          <w:p>
            <w:pPr>
              <w:spacing w:after="0"/>
              <w:rPr>
                <w:sz w:val="2"/>
                <w:szCs w:val="2"/>
                <w:color w:val="auto"/>
              </w:rPr>
            </w:pPr>
          </w:p>
        </w:tc>
        <w:tc>
          <w:tcPr>
            <w:tcW w:w="300" w:type="dxa"/>
            <w:vAlign w:val="bottom"/>
            <w:tcBorders>
              <w:left w:val="single" w:sz="8" w:color="D7F5C4"/>
            </w:tcBorders>
            <w:shd w:val="clear" w:color="auto" w:fill="D7F5C4"/>
          </w:tcPr>
          <w:p>
            <w:pPr>
              <w:spacing w:after="0"/>
              <w:rPr>
                <w:sz w:val="2"/>
                <w:szCs w:val="2"/>
                <w:color w:val="auto"/>
              </w:rPr>
            </w:pPr>
          </w:p>
        </w:tc>
        <w:tc>
          <w:tcPr>
            <w:tcW w:w="160" w:type="dxa"/>
            <w:vAlign w:val="bottom"/>
            <w:shd w:val="clear" w:color="auto" w:fill="D7F5C4"/>
          </w:tcPr>
          <w:p>
            <w:pPr>
              <w:spacing w:after="0"/>
              <w:rPr>
                <w:sz w:val="2"/>
                <w:szCs w:val="2"/>
                <w:color w:val="auto"/>
              </w:rPr>
            </w:pPr>
          </w:p>
        </w:tc>
        <w:tc>
          <w:tcPr>
            <w:tcW w:w="80" w:type="dxa"/>
            <w:vAlign w:val="bottom"/>
            <w:shd w:val="clear" w:color="auto" w:fill="D7F5C4"/>
          </w:tcPr>
          <w:p>
            <w:pPr>
              <w:spacing w:after="0"/>
              <w:rPr>
                <w:sz w:val="2"/>
                <w:szCs w:val="2"/>
                <w:color w:val="auto"/>
              </w:rPr>
            </w:pPr>
          </w:p>
        </w:tc>
        <w:tc>
          <w:tcPr>
            <w:tcW w:w="140" w:type="dxa"/>
            <w:vAlign w:val="bottom"/>
            <w:tcBorders>
              <w:right w:val="single" w:sz="8" w:color="D7F5C4"/>
            </w:tcBorders>
            <w:shd w:val="clear" w:color="auto" w:fill="D7F5C4"/>
          </w:tcPr>
          <w:p>
            <w:pPr>
              <w:spacing w:after="0"/>
              <w:rPr>
                <w:sz w:val="2"/>
                <w:szCs w:val="2"/>
                <w:color w:val="auto"/>
              </w:rPr>
            </w:pPr>
          </w:p>
        </w:tc>
        <w:tc>
          <w:tcPr>
            <w:tcW w:w="160" w:type="dxa"/>
            <w:vAlign w:val="bottom"/>
            <w:tcBorders>
              <w:left w:val="single" w:sz="8" w:color="D7F5C4"/>
            </w:tcBorders>
            <w:shd w:val="clear" w:color="auto" w:fill="D7F5C4"/>
          </w:tcPr>
          <w:p>
            <w:pPr>
              <w:spacing w:after="0"/>
              <w:rPr>
                <w:sz w:val="2"/>
                <w:szCs w:val="2"/>
                <w:color w:val="auto"/>
              </w:rPr>
            </w:pPr>
          </w:p>
        </w:tc>
        <w:tc>
          <w:tcPr>
            <w:tcW w:w="120" w:type="dxa"/>
            <w:vAlign w:val="bottom"/>
            <w:shd w:val="clear" w:color="auto" w:fill="D7F5C4"/>
          </w:tcPr>
          <w:p>
            <w:pPr>
              <w:spacing w:after="0"/>
              <w:rPr>
                <w:sz w:val="2"/>
                <w:szCs w:val="2"/>
                <w:color w:val="auto"/>
              </w:rPr>
            </w:pPr>
          </w:p>
        </w:tc>
        <w:tc>
          <w:tcPr>
            <w:tcW w:w="300" w:type="dxa"/>
            <w:vAlign w:val="bottom"/>
            <w:shd w:val="clear" w:color="auto" w:fill="D7F5C4"/>
          </w:tcPr>
          <w:p>
            <w:pPr>
              <w:spacing w:after="0"/>
              <w:rPr>
                <w:sz w:val="2"/>
                <w:szCs w:val="2"/>
                <w:color w:val="auto"/>
              </w:rPr>
            </w:pPr>
          </w:p>
        </w:tc>
        <w:tc>
          <w:tcPr>
            <w:tcW w:w="160" w:type="dxa"/>
            <w:vAlign w:val="bottom"/>
            <w:shd w:val="clear" w:color="auto" w:fill="D7F5C4"/>
          </w:tcPr>
          <w:p>
            <w:pPr>
              <w:spacing w:after="0"/>
              <w:rPr>
                <w:sz w:val="2"/>
                <w:szCs w:val="2"/>
                <w:color w:val="auto"/>
              </w:rPr>
            </w:pPr>
          </w:p>
        </w:tc>
        <w:tc>
          <w:tcPr>
            <w:tcW w:w="200" w:type="dxa"/>
            <w:vAlign w:val="bottom"/>
            <w:shd w:val="clear" w:color="auto" w:fill="D7F5C4"/>
          </w:tcPr>
          <w:p>
            <w:pPr>
              <w:spacing w:after="0"/>
              <w:rPr>
                <w:sz w:val="2"/>
                <w:szCs w:val="2"/>
                <w:color w:val="auto"/>
              </w:rPr>
            </w:pPr>
          </w:p>
        </w:tc>
        <w:tc>
          <w:tcPr>
            <w:tcW w:w="900" w:type="dxa"/>
            <w:vAlign w:val="bottom"/>
            <w:shd w:val="clear" w:color="auto" w:fill="D7F5C4"/>
          </w:tcPr>
          <w:p>
            <w:pPr>
              <w:spacing w:after="0"/>
              <w:rPr>
                <w:sz w:val="2"/>
                <w:szCs w:val="2"/>
                <w:color w:val="auto"/>
              </w:rPr>
            </w:pPr>
          </w:p>
        </w:tc>
        <w:tc>
          <w:tcPr>
            <w:tcW w:w="540" w:type="dxa"/>
            <w:vAlign w:val="bottom"/>
            <w:shd w:val="clear" w:color="auto" w:fill="D7F5C4"/>
          </w:tcPr>
          <w:p>
            <w:pPr>
              <w:spacing w:after="0"/>
              <w:rPr>
                <w:sz w:val="2"/>
                <w:szCs w:val="2"/>
                <w:color w:val="auto"/>
              </w:rPr>
            </w:pPr>
          </w:p>
        </w:tc>
        <w:tc>
          <w:tcPr>
            <w:tcW w:w="2020" w:type="dxa"/>
            <w:vAlign w:val="bottom"/>
            <w:shd w:val="clear" w:color="auto" w:fill="D7F5C4"/>
          </w:tcPr>
          <w:p>
            <w:pPr>
              <w:spacing w:after="0"/>
              <w:rPr>
                <w:sz w:val="2"/>
                <w:szCs w:val="2"/>
                <w:color w:val="auto"/>
              </w:rPr>
            </w:pPr>
          </w:p>
        </w:tc>
        <w:tc>
          <w:tcPr>
            <w:tcW w:w="480" w:type="dxa"/>
            <w:vAlign w:val="bottom"/>
            <w:shd w:val="clear" w:color="auto" w:fill="D7F5C4"/>
          </w:tcPr>
          <w:p>
            <w:pPr>
              <w:spacing w:after="0"/>
              <w:rPr>
                <w:sz w:val="2"/>
                <w:szCs w:val="2"/>
                <w:color w:val="auto"/>
              </w:rPr>
            </w:pPr>
          </w:p>
        </w:tc>
        <w:tc>
          <w:tcPr>
            <w:tcW w:w="740" w:type="dxa"/>
            <w:vAlign w:val="bottom"/>
            <w:shd w:val="clear" w:color="auto" w:fill="D7F5C4"/>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D7F5C4"/>
          </w:tcPr>
          <w:p>
            <w:pPr>
              <w:spacing w:after="0"/>
              <w:rPr>
                <w:sz w:val="2"/>
                <w:szCs w:val="2"/>
                <w:color w:val="auto"/>
              </w:rPr>
            </w:pPr>
          </w:p>
        </w:tc>
      </w:tr>
      <w:tr>
        <w:trPr>
          <w:trHeight w:val="162"/>
        </w:trPr>
        <w:tc>
          <w:tcPr>
            <w:tcW w:w="180" w:type="dxa"/>
            <w:vAlign w:val="bottom"/>
          </w:tcPr>
          <w:p>
            <w:pPr>
              <w:spacing w:after="0"/>
              <w:rPr>
                <w:sz w:val="14"/>
                <w:szCs w:val="14"/>
                <w:color w:val="auto"/>
              </w:rPr>
            </w:pPr>
          </w:p>
        </w:tc>
        <w:tc>
          <w:tcPr>
            <w:tcW w:w="3660" w:type="dxa"/>
            <w:vAlign w:val="bottom"/>
            <w:gridSpan w:val="21"/>
          </w:tcPr>
          <w:p>
            <w:pPr>
              <w:spacing w:after="0"/>
              <w:rPr>
                <w:rFonts w:ascii="Arial" w:cs="Arial" w:eastAsia="Arial" w:hAnsi="Arial"/>
                <w:sz w:val="14"/>
                <w:szCs w:val="14"/>
                <w:color w:val="0000EE"/>
              </w:rPr>
            </w:pPr>
            <w:hyperlink w:anchor="page23">
              <w:r>
                <w:rPr>
                  <w:rFonts w:ascii="Arial" w:cs="Arial" w:eastAsia="Arial" w:hAnsi="Arial"/>
                  <w:sz w:val="14"/>
                  <w:szCs w:val="14"/>
                  <w:color w:val="0000EE"/>
                </w:rPr>
                <w:t>Equity Ownership Guidelines for Non-Employee Directors</w:t>
              </w:r>
            </w:hyperlink>
          </w:p>
        </w:tc>
        <w:tc>
          <w:tcPr>
            <w:tcW w:w="4720" w:type="dxa"/>
            <w:vAlign w:val="bottom"/>
            <w:gridSpan w:val="8"/>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gridSpan w:val="3"/>
          </w:tcPr>
          <w:p>
            <w:pPr>
              <w:jc w:val="right"/>
              <w:ind w:right="100"/>
              <w:spacing w:after="0"/>
              <w:rPr>
                <w:rFonts w:ascii="Arial" w:cs="Arial" w:eastAsia="Arial" w:hAnsi="Arial"/>
                <w:sz w:val="14"/>
                <w:szCs w:val="14"/>
                <w:color w:val="0000EE"/>
                <w:w w:val="89"/>
              </w:rPr>
            </w:pPr>
            <w:hyperlink w:anchor="page23">
              <w:r>
                <w:rPr>
                  <w:rFonts w:ascii="Arial" w:cs="Arial" w:eastAsia="Arial" w:hAnsi="Arial"/>
                  <w:sz w:val="14"/>
                  <w:szCs w:val="14"/>
                  <w:color w:val="0000EE"/>
                  <w:w w:val="89"/>
                </w:rPr>
                <w:t>15</w:t>
              </w:r>
            </w:hyperlink>
          </w:p>
        </w:tc>
      </w:tr>
      <w:tr>
        <w:trPr>
          <w:trHeight w:val="27"/>
        </w:trPr>
        <w:tc>
          <w:tcPr>
            <w:tcW w:w="180" w:type="dxa"/>
            <w:vAlign w:val="bottom"/>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320" w:type="dxa"/>
            <w:vAlign w:val="bottom"/>
            <w:tcBorders>
              <w:left w:val="single" w:sz="8" w:color="0000EE"/>
              <w:right w:val="single" w:sz="8" w:color="0000EE"/>
            </w:tcBorders>
            <w:shd w:val="clear" w:color="auto" w:fill="0000EE"/>
          </w:tcPr>
          <w:p>
            <w:pPr>
              <w:spacing w:after="0"/>
              <w:rPr>
                <w:sz w:val="2"/>
                <w:szCs w:val="2"/>
                <w:color w:val="auto"/>
              </w:rPr>
            </w:pPr>
          </w:p>
        </w:tc>
        <w:tc>
          <w:tcPr>
            <w:tcW w:w="200" w:type="dxa"/>
            <w:vAlign w:val="bottom"/>
            <w:tcBorders>
              <w:left w:val="single" w:sz="8" w:color="0000EE"/>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30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8560" w:type="dxa"/>
            <w:vAlign w:val="bottom"/>
            <w:gridSpan w:val="30"/>
            <w:shd w:val="clear" w:color="auto" w:fill="D7F5C4"/>
          </w:tcPr>
          <w:p>
            <w:pPr>
              <w:spacing w:after="0"/>
              <w:rPr>
                <w:rFonts w:ascii="Arial" w:cs="Arial" w:eastAsia="Arial" w:hAnsi="Arial"/>
                <w:sz w:val="14"/>
                <w:szCs w:val="14"/>
                <w:color w:val="0000EE"/>
              </w:rPr>
            </w:pPr>
            <w:hyperlink w:anchor="page24">
              <w:r>
                <w:rPr>
                  <w:rFonts w:ascii="Arial" w:cs="Arial" w:eastAsia="Arial" w:hAnsi="Arial"/>
                  <w:sz w:val="14"/>
                  <w:szCs w:val="14"/>
                  <w:color w:val="0000EE"/>
                </w:rPr>
                <w:t>Director Compensation</w:t>
              </w:r>
            </w:hyperlink>
          </w:p>
        </w:tc>
        <w:tc>
          <w:tcPr>
            <w:tcW w:w="1000" w:type="dxa"/>
            <w:vAlign w:val="bottom"/>
            <w:gridSpan w:val="4"/>
            <w:shd w:val="clear" w:color="auto" w:fill="D7F5C4"/>
          </w:tcPr>
          <w:p>
            <w:pPr>
              <w:jc w:val="right"/>
              <w:ind w:right="100"/>
              <w:spacing w:after="0"/>
              <w:rPr>
                <w:rFonts w:ascii="Arial" w:cs="Arial" w:eastAsia="Arial" w:hAnsi="Arial"/>
                <w:sz w:val="14"/>
                <w:szCs w:val="14"/>
                <w:color w:val="0000EE"/>
              </w:rPr>
            </w:pPr>
            <w:hyperlink w:anchor="page24">
              <w:r>
                <w:rPr>
                  <w:rFonts w:ascii="Arial" w:cs="Arial" w:eastAsia="Arial" w:hAnsi="Arial"/>
                  <w:sz w:val="14"/>
                  <w:szCs w:val="14"/>
                  <w:color w:val="0000EE"/>
                </w:rPr>
                <w:t>16</w:t>
              </w:r>
            </w:hyperlink>
          </w:p>
        </w:tc>
      </w:tr>
      <w:tr>
        <w:trPr>
          <w:trHeight w:val="27"/>
        </w:trPr>
        <w:tc>
          <w:tcPr>
            <w:tcW w:w="1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D7F5C4"/>
          </w:tcPr>
          <w:p>
            <w:pPr>
              <w:spacing w:after="0"/>
              <w:rPr>
                <w:sz w:val="2"/>
                <w:szCs w:val="2"/>
                <w:color w:val="auto"/>
              </w:rPr>
            </w:pPr>
          </w:p>
        </w:tc>
        <w:tc>
          <w:tcPr>
            <w:tcW w:w="80" w:type="dxa"/>
            <w:vAlign w:val="bottom"/>
            <w:tcBorders>
              <w:left w:val="single" w:sz="8" w:color="D7F5C4"/>
            </w:tcBorders>
            <w:shd w:val="clear" w:color="auto" w:fill="D7F5C4"/>
          </w:tcPr>
          <w:p>
            <w:pPr>
              <w:spacing w:after="0"/>
              <w:rPr>
                <w:sz w:val="2"/>
                <w:szCs w:val="2"/>
                <w:color w:val="auto"/>
              </w:rPr>
            </w:pPr>
          </w:p>
        </w:tc>
        <w:tc>
          <w:tcPr>
            <w:tcW w:w="80" w:type="dxa"/>
            <w:vAlign w:val="bottom"/>
            <w:shd w:val="clear" w:color="auto" w:fill="D7F5C4"/>
          </w:tcPr>
          <w:p>
            <w:pPr>
              <w:spacing w:after="0"/>
              <w:rPr>
                <w:sz w:val="2"/>
                <w:szCs w:val="2"/>
                <w:color w:val="auto"/>
              </w:rPr>
            </w:pPr>
          </w:p>
        </w:tc>
        <w:tc>
          <w:tcPr>
            <w:tcW w:w="100" w:type="dxa"/>
            <w:vAlign w:val="bottom"/>
            <w:shd w:val="clear" w:color="auto" w:fill="D7F5C4"/>
          </w:tcPr>
          <w:p>
            <w:pPr>
              <w:spacing w:after="0"/>
              <w:rPr>
                <w:sz w:val="2"/>
                <w:szCs w:val="2"/>
                <w:color w:val="auto"/>
              </w:rPr>
            </w:pPr>
          </w:p>
        </w:tc>
        <w:tc>
          <w:tcPr>
            <w:tcW w:w="180" w:type="dxa"/>
            <w:vAlign w:val="bottom"/>
            <w:tcBorders>
              <w:right w:val="single" w:sz="8" w:color="D7F5C4"/>
            </w:tcBorders>
            <w:shd w:val="clear" w:color="auto" w:fill="D7F5C4"/>
          </w:tcPr>
          <w:p>
            <w:pPr>
              <w:spacing w:after="0"/>
              <w:rPr>
                <w:sz w:val="2"/>
                <w:szCs w:val="2"/>
                <w:color w:val="auto"/>
              </w:rPr>
            </w:pPr>
          </w:p>
        </w:tc>
        <w:tc>
          <w:tcPr>
            <w:tcW w:w="120" w:type="dxa"/>
            <w:vAlign w:val="bottom"/>
            <w:tcBorders>
              <w:left w:val="single" w:sz="8" w:color="D7F5C4"/>
            </w:tcBorders>
            <w:shd w:val="clear" w:color="auto" w:fill="D7F5C4"/>
          </w:tcPr>
          <w:p>
            <w:pPr>
              <w:spacing w:after="0"/>
              <w:rPr>
                <w:sz w:val="2"/>
                <w:szCs w:val="2"/>
                <w:color w:val="auto"/>
              </w:rPr>
            </w:pPr>
          </w:p>
        </w:tc>
        <w:tc>
          <w:tcPr>
            <w:tcW w:w="80" w:type="dxa"/>
            <w:vAlign w:val="bottom"/>
            <w:tcBorders>
              <w:left w:val="single" w:sz="8" w:color="D7F5C4"/>
            </w:tcBorders>
            <w:shd w:val="clear" w:color="auto" w:fill="D7F5C4"/>
          </w:tcPr>
          <w:p>
            <w:pPr>
              <w:spacing w:after="0"/>
              <w:rPr>
                <w:sz w:val="2"/>
                <w:szCs w:val="2"/>
                <w:color w:val="auto"/>
              </w:rPr>
            </w:pPr>
          </w:p>
        </w:tc>
        <w:tc>
          <w:tcPr>
            <w:tcW w:w="120" w:type="dxa"/>
            <w:vAlign w:val="bottom"/>
            <w:tcBorders>
              <w:left w:val="single" w:sz="8" w:color="D7F5C4"/>
            </w:tcBorders>
            <w:shd w:val="clear" w:color="auto" w:fill="D7F5C4"/>
          </w:tcPr>
          <w:p>
            <w:pPr>
              <w:spacing w:after="0"/>
              <w:rPr>
                <w:sz w:val="2"/>
                <w:szCs w:val="2"/>
                <w:color w:val="auto"/>
              </w:rPr>
            </w:pPr>
          </w:p>
        </w:tc>
        <w:tc>
          <w:tcPr>
            <w:tcW w:w="320" w:type="dxa"/>
            <w:vAlign w:val="bottom"/>
            <w:tcBorders>
              <w:left w:val="single" w:sz="8" w:color="D7F5C4"/>
              <w:right w:val="single" w:sz="8" w:color="D7F5C4"/>
            </w:tcBorders>
            <w:shd w:val="clear" w:color="auto" w:fill="D7F5C4"/>
          </w:tcPr>
          <w:p>
            <w:pPr>
              <w:spacing w:after="0"/>
              <w:rPr>
                <w:sz w:val="2"/>
                <w:szCs w:val="2"/>
                <w:color w:val="auto"/>
              </w:rPr>
            </w:pPr>
          </w:p>
        </w:tc>
        <w:tc>
          <w:tcPr>
            <w:tcW w:w="200" w:type="dxa"/>
            <w:vAlign w:val="bottom"/>
            <w:tcBorders>
              <w:left w:val="single" w:sz="8" w:color="D7F5C4"/>
              <w:right w:val="single" w:sz="8" w:color="D7F5C4"/>
            </w:tcBorders>
            <w:shd w:val="clear" w:color="auto" w:fill="D7F5C4"/>
          </w:tcPr>
          <w:p>
            <w:pPr>
              <w:spacing w:after="0"/>
              <w:rPr>
                <w:sz w:val="2"/>
                <w:szCs w:val="2"/>
                <w:color w:val="auto"/>
              </w:rPr>
            </w:pPr>
          </w:p>
        </w:tc>
        <w:tc>
          <w:tcPr>
            <w:tcW w:w="140" w:type="dxa"/>
            <w:vAlign w:val="bottom"/>
            <w:tcBorders>
              <w:right w:val="single" w:sz="8" w:color="D7F5C4"/>
            </w:tcBorders>
            <w:shd w:val="clear" w:color="auto" w:fill="D7F5C4"/>
          </w:tcPr>
          <w:p>
            <w:pPr>
              <w:spacing w:after="0"/>
              <w:rPr>
                <w:sz w:val="2"/>
                <w:szCs w:val="2"/>
                <w:color w:val="auto"/>
              </w:rPr>
            </w:pPr>
          </w:p>
        </w:tc>
        <w:tc>
          <w:tcPr>
            <w:tcW w:w="300" w:type="dxa"/>
            <w:vAlign w:val="bottom"/>
            <w:tcBorders>
              <w:left w:val="single" w:sz="8" w:color="D7F5C4"/>
            </w:tcBorders>
            <w:shd w:val="clear" w:color="auto" w:fill="D7F5C4"/>
          </w:tcPr>
          <w:p>
            <w:pPr>
              <w:spacing w:after="0"/>
              <w:rPr>
                <w:sz w:val="2"/>
                <w:szCs w:val="2"/>
                <w:color w:val="auto"/>
              </w:rPr>
            </w:pPr>
          </w:p>
        </w:tc>
        <w:tc>
          <w:tcPr>
            <w:tcW w:w="160" w:type="dxa"/>
            <w:vAlign w:val="bottom"/>
            <w:shd w:val="clear" w:color="auto" w:fill="D7F5C4"/>
          </w:tcPr>
          <w:p>
            <w:pPr>
              <w:spacing w:after="0"/>
              <w:rPr>
                <w:sz w:val="2"/>
                <w:szCs w:val="2"/>
                <w:color w:val="auto"/>
              </w:rPr>
            </w:pPr>
          </w:p>
        </w:tc>
        <w:tc>
          <w:tcPr>
            <w:tcW w:w="80" w:type="dxa"/>
            <w:vAlign w:val="bottom"/>
            <w:shd w:val="clear" w:color="auto" w:fill="D7F5C4"/>
          </w:tcPr>
          <w:p>
            <w:pPr>
              <w:spacing w:after="0"/>
              <w:rPr>
                <w:sz w:val="2"/>
                <w:szCs w:val="2"/>
                <w:color w:val="auto"/>
              </w:rPr>
            </w:pPr>
          </w:p>
        </w:tc>
        <w:tc>
          <w:tcPr>
            <w:tcW w:w="140" w:type="dxa"/>
            <w:vAlign w:val="bottom"/>
            <w:tcBorders>
              <w:right w:val="single" w:sz="8" w:color="D7F5C4"/>
            </w:tcBorders>
            <w:shd w:val="clear" w:color="auto" w:fill="D7F5C4"/>
          </w:tcPr>
          <w:p>
            <w:pPr>
              <w:spacing w:after="0"/>
              <w:rPr>
                <w:sz w:val="2"/>
                <w:szCs w:val="2"/>
                <w:color w:val="auto"/>
              </w:rPr>
            </w:pPr>
          </w:p>
        </w:tc>
        <w:tc>
          <w:tcPr>
            <w:tcW w:w="160" w:type="dxa"/>
            <w:vAlign w:val="bottom"/>
            <w:tcBorders>
              <w:left w:val="single" w:sz="8" w:color="D7F5C4"/>
            </w:tcBorders>
            <w:shd w:val="clear" w:color="auto" w:fill="D7F5C4"/>
          </w:tcPr>
          <w:p>
            <w:pPr>
              <w:spacing w:after="0"/>
              <w:rPr>
                <w:sz w:val="2"/>
                <w:szCs w:val="2"/>
                <w:color w:val="auto"/>
              </w:rPr>
            </w:pPr>
          </w:p>
        </w:tc>
        <w:tc>
          <w:tcPr>
            <w:tcW w:w="120" w:type="dxa"/>
            <w:vAlign w:val="bottom"/>
            <w:shd w:val="clear" w:color="auto" w:fill="D7F5C4"/>
          </w:tcPr>
          <w:p>
            <w:pPr>
              <w:spacing w:after="0"/>
              <w:rPr>
                <w:sz w:val="2"/>
                <w:szCs w:val="2"/>
                <w:color w:val="auto"/>
              </w:rPr>
            </w:pPr>
          </w:p>
        </w:tc>
        <w:tc>
          <w:tcPr>
            <w:tcW w:w="300" w:type="dxa"/>
            <w:vAlign w:val="bottom"/>
            <w:shd w:val="clear" w:color="auto" w:fill="D7F5C4"/>
          </w:tcPr>
          <w:p>
            <w:pPr>
              <w:spacing w:after="0"/>
              <w:rPr>
                <w:sz w:val="2"/>
                <w:szCs w:val="2"/>
                <w:color w:val="auto"/>
              </w:rPr>
            </w:pPr>
          </w:p>
        </w:tc>
        <w:tc>
          <w:tcPr>
            <w:tcW w:w="160" w:type="dxa"/>
            <w:vAlign w:val="bottom"/>
            <w:shd w:val="clear" w:color="auto" w:fill="D7F5C4"/>
          </w:tcPr>
          <w:p>
            <w:pPr>
              <w:spacing w:after="0"/>
              <w:rPr>
                <w:sz w:val="2"/>
                <w:szCs w:val="2"/>
                <w:color w:val="auto"/>
              </w:rPr>
            </w:pPr>
          </w:p>
        </w:tc>
        <w:tc>
          <w:tcPr>
            <w:tcW w:w="200" w:type="dxa"/>
            <w:vAlign w:val="bottom"/>
            <w:shd w:val="clear" w:color="auto" w:fill="D7F5C4"/>
          </w:tcPr>
          <w:p>
            <w:pPr>
              <w:spacing w:after="0"/>
              <w:rPr>
                <w:sz w:val="2"/>
                <w:szCs w:val="2"/>
                <w:color w:val="auto"/>
              </w:rPr>
            </w:pPr>
          </w:p>
        </w:tc>
        <w:tc>
          <w:tcPr>
            <w:tcW w:w="900" w:type="dxa"/>
            <w:vAlign w:val="bottom"/>
            <w:shd w:val="clear" w:color="auto" w:fill="D7F5C4"/>
          </w:tcPr>
          <w:p>
            <w:pPr>
              <w:spacing w:after="0"/>
              <w:rPr>
                <w:sz w:val="2"/>
                <w:szCs w:val="2"/>
                <w:color w:val="auto"/>
              </w:rPr>
            </w:pPr>
          </w:p>
        </w:tc>
        <w:tc>
          <w:tcPr>
            <w:tcW w:w="540" w:type="dxa"/>
            <w:vAlign w:val="bottom"/>
            <w:shd w:val="clear" w:color="auto" w:fill="D7F5C4"/>
          </w:tcPr>
          <w:p>
            <w:pPr>
              <w:spacing w:after="0"/>
              <w:rPr>
                <w:sz w:val="2"/>
                <w:szCs w:val="2"/>
                <w:color w:val="auto"/>
              </w:rPr>
            </w:pPr>
          </w:p>
        </w:tc>
        <w:tc>
          <w:tcPr>
            <w:tcW w:w="2020" w:type="dxa"/>
            <w:vAlign w:val="bottom"/>
            <w:shd w:val="clear" w:color="auto" w:fill="D7F5C4"/>
          </w:tcPr>
          <w:p>
            <w:pPr>
              <w:spacing w:after="0"/>
              <w:rPr>
                <w:sz w:val="2"/>
                <w:szCs w:val="2"/>
                <w:color w:val="auto"/>
              </w:rPr>
            </w:pPr>
          </w:p>
        </w:tc>
        <w:tc>
          <w:tcPr>
            <w:tcW w:w="480" w:type="dxa"/>
            <w:vAlign w:val="bottom"/>
            <w:shd w:val="clear" w:color="auto" w:fill="D7F5C4"/>
          </w:tcPr>
          <w:p>
            <w:pPr>
              <w:spacing w:after="0"/>
              <w:rPr>
                <w:sz w:val="2"/>
                <w:szCs w:val="2"/>
                <w:color w:val="auto"/>
              </w:rPr>
            </w:pPr>
          </w:p>
        </w:tc>
        <w:tc>
          <w:tcPr>
            <w:tcW w:w="740" w:type="dxa"/>
            <w:vAlign w:val="bottom"/>
            <w:shd w:val="clear" w:color="auto" w:fill="D7F5C4"/>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D7F5C4"/>
          </w:tcPr>
          <w:p>
            <w:pPr>
              <w:spacing w:after="0"/>
              <w:rPr>
                <w:sz w:val="2"/>
                <w:szCs w:val="2"/>
                <w:color w:val="auto"/>
              </w:rPr>
            </w:pPr>
          </w:p>
        </w:tc>
      </w:tr>
      <w:tr>
        <w:trPr>
          <w:trHeight w:val="162"/>
        </w:trPr>
        <w:tc>
          <w:tcPr>
            <w:tcW w:w="180" w:type="dxa"/>
            <w:vAlign w:val="bottom"/>
          </w:tcPr>
          <w:p>
            <w:pPr>
              <w:spacing w:after="0"/>
              <w:rPr>
                <w:sz w:val="14"/>
                <w:szCs w:val="14"/>
                <w:color w:val="auto"/>
              </w:rPr>
            </w:pPr>
          </w:p>
        </w:tc>
        <w:tc>
          <w:tcPr>
            <w:tcW w:w="1240" w:type="dxa"/>
            <w:vAlign w:val="bottom"/>
            <w:gridSpan w:val="5"/>
          </w:tcPr>
          <w:p>
            <w:pPr>
              <w:spacing w:after="0"/>
              <w:rPr>
                <w:rFonts w:ascii="Arial" w:cs="Arial" w:eastAsia="Arial" w:hAnsi="Arial"/>
                <w:sz w:val="14"/>
                <w:szCs w:val="14"/>
                <w:color w:val="0000EE"/>
              </w:rPr>
            </w:pPr>
            <w:hyperlink w:anchor="page24">
              <w:r>
                <w:rPr>
                  <w:rFonts w:ascii="Arial" w:cs="Arial" w:eastAsia="Arial" w:hAnsi="Arial"/>
                  <w:sz w:val="14"/>
                  <w:szCs w:val="14"/>
                  <w:color w:val="0000EE"/>
                </w:rPr>
                <w:t>General</w:t>
              </w:r>
            </w:hyperlink>
          </w:p>
        </w:tc>
        <w:tc>
          <w:tcPr>
            <w:tcW w:w="7140" w:type="dxa"/>
            <w:vAlign w:val="bottom"/>
            <w:gridSpan w:val="24"/>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gridSpan w:val="3"/>
          </w:tcPr>
          <w:p>
            <w:pPr>
              <w:jc w:val="right"/>
              <w:ind w:right="100"/>
              <w:spacing w:after="0"/>
              <w:rPr>
                <w:rFonts w:ascii="Arial" w:cs="Arial" w:eastAsia="Arial" w:hAnsi="Arial"/>
                <w:sz w:val="14"/>
                <w:szCs w:val="14"/>
                <w:color w:val="0000EE"/>
                <w:w w:val="89"/>
              </w:rPr>
            </w:pPr>
            <w:hyperlink w:anchor="page24">
              <w:r>
                <w:rPr>
                  <w:rFonts w:ascii="Arial" w:cs="Arial" w:eastAsia="Arial" w:hAnsi="Arial"/>
                  <w:sz w:val="14"/>
                  <w:szCs w:val="14"/>
                  <w:color w:val="0000EE"/>
                  <w:w w:val="89"/>
                </w:rPr>
                <w:t>16</w:t>
              </w:r>
            </w:hyperlink>
          </w:p>
        </w:tc>
      </w:tr>
      <w:tr>
        <w:trPr>
          <w:trHeight w:val="27"/>
        </w:trPr>
        <w:tc>
          <w:tcPr>
            <w:tcW w:w="180" w:type="dxa"/>
            <w:vAlign w:val="bottom"/>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180" w:type="dxa"/>
            <w:vAlign w:val="bottom"/>
            <w:shd w:val="clear" w:color="auto" w:fill="D7F5C4"/>
          </w:tcPr>
          <w:p>
            <w:pPr>
              <w:spacing w:after="0"/>
              <w:rPr>
                <w:sz w:val="14"/>
                <w:szCs w:val="14"/>
                <w:color w:val="auto"/>
              </w:rPr>
            </w:pPr>
          </w:p>
        </w:tc>
        <w:tc>
          <w:tcPr>
            <w:tcW w:w="8380" w:type="dxa"/>
            <w:vAlign w:val="bottom"/>
            <w:gridSpan w:val="29"/>
            <w:shd w:val="clear" w:color="auto" w:fill="D7F5C4"/>
          </w:tcPr>
          <w:p>
            <w:pPr>
              <w:spacing w:after="0"/>
              <w:rPr>
                <w:rFonts w:ascii="Arial" w:cs="Arial" w:eastAsia="Arial" w:hAnsi="Arial"/>
                <w:sz w:val="14"/>
                <w:szCs w:val="14"/>
                <w:color w:val="0000EE"/>
              </w:rPr>
            </w:pPr>
            <w:hyperlink w:anchor="page25">
              <w:r>
                <w:rPr>
                  <w:rFonts w:ascii="Arial" w:cs="Arial" w:eastAsia="Arial" w:hAnsi="Arial"/>
                  <w:sz w:val="14"/>
                  <w:szCs w:val="14"/>
                  <w:color w:val="0000EE"/>
                </w:rPr>
                <w:t>Director Compensation</w:t>
              </w:r>
            </w:hyperlink>
          </w:p>
        </w:tc>
        <w:tc>
          <w:tcPr>
            <w:tcW w:w="1000" w:type="dxa"/>
            <w:vAlign w:val="bottom"/>
            <w:gridSpan w:val="4"/>
            <w:shd w:val="clear" w:color="auto" w:fill="D7F5C4"/>
          </w:tcPr>
          <w:p>
            <w:pPr>
              <w:jc w:val="right"/>
              <w:ind w:right="100"/>
              <w:spacing w:after="0"/>
              <w:rPr>
                <w:rFonts w:ascii="Arial" w:cs="Arial" w:eastAsia="Arial" w:hAnsi="Arial"/>
                <w:sz w:val="14"/>
                <w:szCs w:val="14"/>
                <w:color w:val="0000EE"/>
              </w:rPr>
            </w:pPr>
            <w:hyperlink w:anchor="page25">
              <w:r>
                <w:rPr>
                  <w:rFonts w:ascii="Arial" w:cs="Arial" w:eastAsia="Arial" w:hAnsi="Arial"/>
                  <w:sz w:val="14"/>
                  <w:szCs w:val="14"/>
                  <w:color w:val="0000EE"/>
                </w:rPr>
                <w:t>17</w:t>
              </w:r>
            </w:hyperlink>
          </w:p>
        </w:tc>
      </w:tr>
      <w:tr>
        <w:trPr>
          <w:trHeight w:val="27"/>
        </w:trPr>
        <w:tc>
          <w:tcPr>
            <w:tcW w:w="180" w:type="dxa"/>
            <w:vAlign w:val="bottom"/>
            <w:shd w:val="clear" w:color="auto" w:fill="D7F5C4"/>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D7F5C4"/>
          </w:tcPr>
          <w:p>
            <w:pPr>
              <w:spacing w:after="0"/>
              <w:rPr>
                <w:sz w:val="2"/>
                <w:szCs w:val="2"/>
                <w:color w:val="auto"/>
              </w:rPr>
            </w:pPr>
          </w:p>
        </w:tc>
        <w:tc>
          <w:tcPr>
            <w:tcW w:w="80" w:type="dxa"/>
            <w:vAlign w:val="bottom"/>
            <w:shd w:val="clear" w:color="auto" w:fill="D7F5C4"/>
          </w:tcPr>
          <w:p>
            <w:pPr>
              <w:spacing w:after="0"/>
              <w:rPr>
                <w:sz w:val="2"/>
                <w:szCs w:val="2"/>
                <w:color w:val="auto"/>
              </w:rPr>
            </w:pPr>
          </w:p>
        </w:tc>
        <w:tc>
          <w:tcPr>
            <w:tcW w:w="100" w:type="dxa"/>
            <w:vAlign w:val="bottom"/>
            <w:shd w:val="clear" w:color="auto" w:fill="D7F5C4"/>
          </w:tcPr>
          <w:p>
            <w:pPr>
              <w:spacing w:after="0"/>
              <w:rPr>
                <w:sz w:val="2"/>
                <w:szCs w:val="2"/>
                <w:color w:val="auto"/>
              </w:rPr>
            </w:pPr>
          </w:p>
        </w:tc>
        <w:tc>
          <w:tcPr>
            <w:tcW w:w="180" w:type="dxa"/>
            <w:vAlign w:val="bottom"/>
            <w:tcBorders>
              <w:right w:val="single" w:sz="8" w:color="D7F5C4"/>
            </w:tcBorders>
            <w:shd w:val="clear" w:color="auto" w:fill="D7F5C4"/>
          </w:tcPr>
          <w:p>
            <w:pPr>
              <w:spacing w:after="0"/>
              <w:rPr>
                <w:sz w:val="2"/>
                <w:szCs w:val="2"/>
                <w:color w:val="auto"/>
              </w:rPr>
            </w:pPr>
          </w:p>
        </w:tc>
        <w:tc>
          <w:tcPr>
            <w:tcW w:w="120" w:type="dxa"/>
            <w:vAlign w:val="bottom"/>
            <w:tcBorders>
              <w:left w:val="single" w:sz="8" w:color="D7F5C4"/>
            </w:tcBorders>
            <w:shd w:val="clear" w:color="auto" w:fill="D7F5C4"/>
          </w:tcPr>
          <w:p>
            <w:pPr>
              <w:spacing w:after="0"/>
              <w:rPr>
                <w:sz w:val="2"/>
                <w:szCs w:val="2"/>
                <w:color w:val="auto"/>
              </w:rPr>
            </w:pPr>
          </w:p>
        </w:tc>
        <w:tc>
          <w:tcPr>
            <w:tcW w:w="80" w:type="dxa"/>
            <w:vAlign w:val="bottom"/>
            <w:tcBorders>
              <w:left w:val="single" w:sz="8" w:color="D7F5C4"/>
            </w:tcBorders>
            <w:shd w:val="clear" w:color="auto" w:fill="D7F5C4"/>
          </w:tcPr>
          <w:p>
            <w:pPr>
              <w:spacing w:after="0"/>
              <w:rPr>
                <w:sz w:val="2"/>
                <w:szCs w:val="2"/>
                <w:color w:val="auto"/>
              </w:rPr>
            </w:pPr>
          </w:p>
        </w:tc>
        <w:tc>
          <w:tcPr>
            <w:tcW w:w="120" w:type="dxa"/>
            <w:vAlign w:val="bottom"/>
            <w:tcBorders>
              <w:left w:val="single" w:sz="8" w:color="D7F5C4"/>
            </w:tcBorders>
            <w:shd w:val="clear" w:color="auto" w:fill="D7F5C4"/>
          </w:tcPr>
          <w:p>
            <w:pPr>
              <w:spacing w:after="0"/>
              <w:rPr>
                <w:sz w:val="2"/>
                <w:szCs w:val="2"/>
                <w:color w:val="auto"/>
              </w:rPr>
            </w:pPr>
          </w:p>
        </w:tc>
        <w:tc>
          <w:tcPr>
            <w:tcW w:w="320" w:type="dxa"/>
            <w:vAlign w:val="bottom"/>
            <w:tcBorders>
              <w:left w:val="single" w:sz="8" w:color="D7F5C4"/>
              <w:right w:val="single" w:sz="8" w:color="D7F5C4"/>
            </w:tcBorders>
            <w:shd w:val="clear" w:color="auto" w:fill="D7F5C4"/>
          </w:tcPr>
          <w:p>
            <w:pPr>
              <w:spacing w:after="0"/>
              <w:rPr>
                <w:sz w:val="2"/>
                <w:szCs w:val="2"/>
                <w:color w:val="auto"/>
              </w:rPr>
            </w:pPr>
          </w:p>
        </w:tc>
        <w:tc>
          <w:tcPr>
            <w:tcW w:w="200" w:type="dxa"/>
            <w:vAlign w:val="bottom"/>
            <w:tcBorders>
              <w:left w:val="single" w:sz="8" w:color="D7F5C4"/>
              <w:right w:val="single" w:sz="8" w:color="D7F5C4"/>
            </w:tcBorders>
            <w:shd w:val="clear" w:color="auto" w:fill="D7F5C4"/>
          </w:tcPr>
          <w:p>
            <w:pPr>
              <w:spacing w:after="0"/>
              <w:rPr>
                <w:sz w:val="2"/>
                <w:szCs w:val="2"/>
                <w:color w:val="auto"/>
              </w:rPr>
            </w:pPr>
          </w:p>
        </w:tc>
        <w:tc>
          <w:tcPr>
            <w:tcW w:w="140" w:type="dxa"/>
            <w:vAlign w:val="bottom"/>
            <w:tcBorders>
              <w:right w:val="single" w:sz="8" w:color="D7F5C4"/>
            </w:tcBorders>
            <w:shd w:val="clear" w:color="auto" w:fill="D7F5C4"/>
          </w:tcPr>
          <w:p>
            <w:pPr>
              <w:spacing w:after="0"/>
              <w:rPr>
                <w:sz w:val="2"/>
                <w:szCs w:val="2"/>
                <w:color w:val="auto"/>
              </w:rPr>
            </w:pPr>
          </w:p>
        </w:tc>
        <w:tc>
          <w:tcPr>
            <w:tcW w:w="300" w:type="dxa"/>
            <w:vAlign w:val="bottom"/>
            <w:tcBorders>
              <w:left w:val="single" w:sz="8" w:color="D7F5C4"/>
            </w:tcBorders>
            <w:shd w:val="clear" w:color="auto" w:fill="D7F5C4"/>
          </w:tcPr>
          <w:p>
            <w:pPr>
              <w:spacing w:after="0"/>
              <w:rPr>
                <w:sz w:val="2"/>
                <w:szCs w:val="2"/>
                <w:color w:val="auto"/>
              </w:rPr>
            </w:pPr>
          </w:p>
        </w:tc>
        <w:tc>
          <w:tcPr>
            <w:tcW w:w="160" w:type="dxa"/>
            <w:vAlign w:val="bottom"/>
            <w:shd w:val="clear" w:color="auto" w:fill="D7F5C4"/>
          </w:tcPr>
          <w:p>
            <w:pPr>
              <w:spacing w:after="0"/>
              <w:rPr>
                <w:sz w:val="2"/>
                <w:szCs w:val="2"/>
                <w:color w:val="auto"/>
              </w:rPr>
            </w:pPr>
          </w:p>
        </w:tc>
        <w:tc>
          <w:tcPr>
            <w:tcW w:w="80" w:type="dxa"/>
            <w:vAlign w:val="bottom"/>
            <w:shd w:val="clear" w:color="auto" w:fill="D7F5C4"/>
          </w:tcPr>
          <w:p>
            <w:pPr>
              <w:spacing w:after="0"/>
              <w:rPr>
                <w:sz w:val="2"/>
                <w:szCs w:val="2"/>
                <w:color w:val="auto"/>
              </w:rPr>
            </w:pPr>
          </w:p>
        </w:tc>
        <w:tc>
          <w:tcPr>
            <w:tcW w:w="140" w:type="dxa"/>
            <w:vAlign w:val="bottom"/>
            <w:tcBorders>
              <w:right w:val="single" w:sz="8" w:color="D7F5C4"/>
            </w:tcBorders>
            <w:shd w:val="clear" w:color="auto" w:fill="D7F5C4"/>
          </w:tcPr>
          <w:p>
            <w:pPr>
              <w:spacing w:after="0"/>
              <w:rPr>
                <w:sz w:val="2"/>
                <w:szCs w:val="2"/>
                <w:color w:val="auto"/>
              </w:rPr>
            </w:pPr>
          </w:p>
        </w:tc>
        <w:tc>
          <w:tcPr>
            <w:tcW w:w="160" w:type="dxa"/>
            <w:vAlign w:val="bottom"/>
            <w:tcBorders>
              <w:left w:val="single" w:sz="8" w:color="D7F5C4"/>
            </w:tcBorders>
            <w:shd w:val="clear" w:color="auto" w:fill="D7F5C4"/>
          </w:tcPr>
          <w:p>
            <w:pPr>
              <w:spacing w:after="0"/>
              <w:rPr>
                <w:sz w:val="2"/>
                <w:szCs w:val="2"/>
                <w:color w:val="auto"/>
              </w:rPr>
            </w:pPr>
          </w:p>
        </w:tc>
        <w:tc>
          <w:tcPr>
            <w:tcW w:w="120" w:type="dxa"/>
            <w:vAlign w:val="bottom"/>
            <w:shd w:val="clear" w:color="auto" w:fill="D7F5C4"/>
          </w:tcPr>
          <w:p>
            <w:pPr>
              <w:spacing w:after="0"/>
              <w:rPr>
                <w:sz w:val="2"/>
                <w:szCs w:val="2"/>
                <w:color w:val="auto"/>
              </w:rPr>
            </w:pPr>
          </w:p>
        </w:tc>
        <w:tc>
          <w:tcPr>
            <w:tcW w:w="300" w:type="dxa"/>
            <w:vAlign w:val="bottom"/>
            <w:shd w:val="clear" w:color="auto" w:fill="D7F5C4"/>
          </w:tcPr>
          <w:p>
            <w:pPr>
              <w:spacing w:after="0"/>
              <w:rPr>
                <w:sz w:val="2"/>
                <w:szCs w:val="2"/>
                <w:color w:val="auto"/>
              </w:rPr>
            </w:pPr>
          </w:p>
        </w:tc>
        <w:tc>
          <w:tcPr>
            <w:tcW w:w="160" w:type="dxa"/>
            <w:vAlign w:val="bottom"/>
            <w:shd w:val="clear" w:color="auto" w:fill="D7F5C4"/>
          </w:tcPr>
          <w:p>
            <w:pPr>
              <w:spacing w:after="0"/>
              <w:rPr>
                <w:sz w:val="2"/>
                <w:szCs w:val="2"/>
                <w:color w:val="auto"/>
              </w:rPr>
            </w:pPr>
          </w:p>
        </w:tc>
        <w:tc>
          <w:tcPr>
            <w:tcW w:w="200" w:type="dxa"/>
            <w:vAlign w:val="bottom"/>
            <w:shd w:val="clear" w:color="auto" w:fill="D7F5C4"/>
          </w:tcPr>
          <w:p>
            <w:pPr>
              <w:spacing w:after="0"/>
              <w:rPr>
                <w:sz w:val="2"/>
                <w:szCs w:val="2"/>
                <w:color w:val="auto"/>
              </w:rPr>
            </w:pPr>
          </w:p>
        </w:tc>
        <w:tc>
          <w:tcPr>
            <w:tcW w:w="900" w:type="dxa"/>
            <w:vAlign w:val="bottom"/>
            <w:shd w:val="clear" w:color="auto" w:fill="D7F5C4"/>
          </w:tcPr>
          <w:p>
            <w:pPr>
              <w:spacing w:after="0"/>
              <w:rPr>
                <w:sz w:val="2"/>
                <w:szCs w:val="2"/>
                <w:color w:val="auto"/>
              </w:rPr>
            </w:pPr>
          </w:p>
        </w:tc>
        <w:tc>
          <w:tcPr>
            <w:tcW w:w="540" w:type="dxa"/>
            <w:vAlign w:val="bottom"/>
            <w:shd w:val="clear" w:color="auto" w:fill="D7F5C4"/>
          </w:tcPr>
          <w:p>
            <w:pPr>
              <w:spacing w:after="0"/>
              <w:rPr>
                <w:sz w:val="2"/>
                <w:szCs w:val="2"/>
                <w:color w:val="auto"/>
              </w:rPr>
            </w:pPr>
          </w:p>
        </w:tc>
        <w:tc>
          <w:tcPr>
            <w:tcW w:w="2020" w:type="dxa"/>
            <w:vAlign w:val="bottom"/>
            <w:shd w:val="clear" w:color="auto" w:fill="D7F5C4"/>
          </w:tcPr>
          <w:p>
            <w:pPr>
              <w:spacing w:after="0"/>
              <w:rPr>
                <w:sz w:val="2"/>
                <w:szCs w:val="2"/>
                <w:color w:val="auto"/>
              </w:rPr>
            </w:pPr>
          </w:p>
        </w:tc>
        <w:tc>
          <w:tcPr>
            <w:tcW w:w="480" w:type="dxa"/>
            <w:vAlign w:val="bottom"/>
            <w:shd w:val="clear" w:color="auto" w:fill="D7F5C4"/>
          </w:tcPr>
          <w:p>
            <w:pPr>
              <w:spacing w:after="0"/>
              <w:rPr>
                <w:sz w:val="2"/>
                <w:szCs w:val="2"/>
                <w:color w:val="auto"/>
              </w:rPr>
            </w:pPr>
          </w:p>
        </w:tc>
        <w:tc>
          <w:tcPr>
            <w:tcW w:w="740" w:type="dxa"/>
            <w:vAlign w:val="bottom"/>
            <w:shd w:val="clear" w:color="auto" w:fill="D7F5C4"/>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D7F5C4"/>
          </w:tcPr>
          <w:p>
            <w:pPr>
              <w:spacing w:after="0"/>
              <w:rPr>
                <w:sz w:val="2"/>
                <w:szCs w:val="2"/>
                <w:color w:val="auto"/>
              </w:rPr>
            </w:pPr>
          </w:p>
        </w:tc>
      </w:tr>
      <w:tr>
        <w:trPr>
          <w:trHeight w:val="162"/>
        </w:trPr>
        <w:tc>
          <w:tcPr>
            <w:tcW w:w="1580" w:type="dxa"/>
            <w:vAlign w:val="bottom"/>
            <w:gridSpan w:val="7"/>
          </w:tcPr>
          <w:p>
            <w:pPr>
              <w:spacing w:after="0"/>
              <w:rPr>
                <w:rFonts w:ascii="Arial" w:cs="Arial" w:eastAsia="Arial" w:hAnsi="Arial"/>
                <w:sz w:val="14"/>
                <w:szCs w:val="14"/>
                <w:color w:val="0000EE"/>
                <w:w w:val="99"/>
              </w:rPr>
            </w:pPr>
            <w:hyperlink w:anchor="page26">
              <w:r>
                <w:rPr>
                  <w:rFonts w:ascii="Arial" w:cs="Arial" w:eastAsia="Arial" w:hAnsi="Arial"/>
                  <w:sz w:val="14"/>
                  <w:szCs w:val="14"/>
                  <w:color w:val="0000EE"/>
                  <w:w w:val="99"/>
                </w:rPr>
                <w:t>Audit Committee Matters</w:t>
              </w:r>
            </w:hyperlink>
          </w:p>
        </w:tc>
        <w:tc>
          <w:tcPr>
            <w:tcW w:w="6980" w:type="dxa"/>
            <w:vAlign w:val="bottom"/>
            <w:gridSpan w:val="23"/>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gridSpan w:val="3"/>
          </w:tcPr>
          <w:p>
            <w:pPr>
              <w:jc w:val="right"/>
              <w:ind w:right="100"/>
              <w:spacing w:after="0"/>
              <w:rPr>
                <w:rFonts w:ascii="Arial" w:cs="Arial" w:eastAsia="Arial" w:hAnsi="Arial"/>
                <w:sz w:val="14"/>
                <w:szCs w:val="14"/>
                <w:color w:val="0000EE"/>
                <w:w w:val="89"/>
              </w:rPr>
            </w:pPr>
            <w:hyperlink w:anchor="page26">
              <w:r>
                <w:rPr>
                  <w:rFonts w:ascii="Arial" w:cs="Arial" w:eastAsia="Arial" w:hAnsi="Arial"/>
                  <w:sz w:val="14"/>
                  <w:szCs w:val="14"/>
                  <w:color w:val="0000EE"/>
                  <w:w w:val="89"/>
                </w:rPr>
                <w:t>18</w:t>
              </w:r>
            </w:hyperlink>
          </w:p>
        </w:tc>
      </w:tr>
      <w:tr>
        <w:trPr>
          <w:trHeight w:val="27"/>
        </w:trPr>
        <w:tc>
          <w:tcPr>
            <w:tcW w:w="1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180" w:type="dxa"/>
            <w:vAlign w:val="bottom"/>
            <w:shd w:val="clear" w:color="auto" w:fill="D7F5C4"/>
          </w:tcPr>
          <w:p>
            <w:pPr>
              <w:spacing w:after="0"/>
              <w:rPr>
                <w:sz w:val="14"/>
                <w:szCs w:val="14"/>
                <w:color w:val="auto"/>
              </w:rPr>
            </w:pPr>
          </w:p>
        </w:tc>
        <w:tc>
          <w:tcPr>
            <w:tcW w:w="2820" w:type="dxa"/>
            <w:vAlign w:val="bottom"/>
            <w:tcBorders>
              <w:right w:val="single" w:sz="8" w:color="D7F5C4"/>
            </w:tcBorders>
            <w:gridSpan w:val="16"/>
            <w:shd w:val="clear" w:color="auto" w:fill="D7F5C4"/>
          </w:tcPr>
          <w:p>
            <w:pPr>
              <w:spacing w:after="0"/>
              <w:rPr>
                <w:rFonts w:ascii="Arial" w:cs="Arial" w:eastAsia="Arial" w:hAnsi="Arial"/>
                <w:sz w:val="14"/>
                <w:szCs w:val="14"/>
                <w:color w:val="0000EE"/>
              </w:rPr>
            </w:pPr>
            <w:hyperlink w:anchor="page26">
              <w:r>
                <w:rPr>
                  <w:rFonts w:ascii="Arial" w:cs="Arial" w:eastAsia="Arial" w:hAnsi="Arial"/>
                  <w:sz w:val="14"/>
                  <w:szCs w:val="14"/>
                  <w:color w:val="0000EE"/>
                </w:rPr>
                <w:t>Report of the Audit Committee of the Board</w:t>
              </w:r>
            </w:hyperlink>
          </w:p>
        </w:tc>
        <w:tc>
          <w:tcPr>
            <w:tcW w:w="5560" w:type="dxa"/>
            <w:vAlign w:val="bottom"/>
            <w:tcBorders>
              <w:left w:val="single" w:sz="8" w:color="D7F5C4"/>
            </w:tcBorders>
            <w:gridSpan w:val="13"/>
            <w:shd w:val="clear" w:color="auto" w:fill="D7F5C4"/>
          </w:tcPr>
          <w:p>
            <w:pPr>
              <w:spacing w:after="0"/>
              <w:rPr>
                <w:sz w:val="14"/>
                <w:szCs w:val="14"/>
                <w:color w:val="auto"/>
              </w:rPr>
            </w:pPr>
          </w:p>
        </w:tc>
        <w:tc>
          <w:tcPr>
            <w:tcW w:w="740" w:type="dxa"/>
            <w:vAlign w:val="bottom"/>
            <w:shd w:val="clear" w:color="auto" w:fill="D7F5C4"/>
          </w:tcPr>
          <w:p>
            <w:pPr>
              <w:spacing w:after="0"/>
              <w:rPr>
                <w:sz w:val="14"/>
                <w:szCs w:val="14"/>
                <w:color w:val="auto"/>
              </w:rPr>
            </w:pPr>
          </w:p>
        </w:tc>
        <w:tc>
          <w:tcPr>
            <w:tcW w:w="260" w:type="dxa"/>
            <w:vAlign w:val="bottom"/>
            <w:gridSpan w:val="3"/>
            <w:shd w:val="clear" w:color="auto" w:fill="D7F5C4"/>
          </w:tcPr>
          <w:p>
            <w:pPr>
              <w:jc w:val="right"/>
              <w:ind w:right="100"/>
              <w:spacing w:after="0"/>
              <w:rPr>
                <w:rFonts w:ascii="Arial" w:cs="Arial" w:eastAsia="Arial" w:hAnsi="Arial"/>
                <w:sz w:val="14"/>
                <w:szCs w:val="14"/>
                <w:color w:val="0000EE"/>
                <w:w w:val="89"/>
              </w:rPr>
            </w:pPr>
            <w:hyperlink w:anchor="page26">
              <w:r>
                <w:rPr>
                  <w:rFonts w:ascii="Arial" w:cs="Arial" w:eastAsia="Arial" w:hAnsi="Arial"/>
                  <w:sz w:val="14"/>
                  <w:szCs w:val="14"/>
                  <w:color w:val="0000EE"/>
                  <w:w w:val="89"/>
                </w:rPr>
                <w:t>18</w:t>
              </w:r>
            </w:hyperlink>
          </w:p>
        </w:tc>
      </w:tr>
      <w:tr>
        <w:trPr>
          <w:trHeight w:val="27"/>
        </w:trPr>
        <w:tc>
          <w:tcPr>
            <w:tcW w:w="180" w:type="dxa"/>
            <w:vAlign w:val="bottom"/>
            <w:shd w:val="clear" w:color="auto" w:fill="D7F5C4"/>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320" w:type="dxa"/>
            <w:vAlign w:val="bottom"/>
            <w:tcBorders>
              <w:left w:val="single" w:sz="8" w:color="0000EE"/>
              <w:right w:val="single" w:sz="8" w:color="0000EE"/>
            </w:tcBorders>
            <w:shd w:val="clear" w:color="auto" w:fill="0000EE"/>
          </w:tcPr>
          <w:p>
            <w:pPr>
              <w:spacing w:after="0"/>
              <w:rPr>
                <w:sz w:val="2"/>
                <w:szCs w:val="2"/>
                <w:color w:val="auto"/>
              </w:rPr>
            </w:pPr>
          </w:p>
        </w:tc>
        <w:tc>
          <w:tcPr>
            <w:tcW w:w="200" w:type="dxa"/>
            <w:vAlign w:val="bottom"/>
            <w:tcBorders>
              <w:left w:val="single" w:sz="8" w:color="0000EE"/>
              <w:right w:val="single" w:sz="8" w:color="0000EE"/>
            </w:tcBorders>
            <w:shd w:val="clear" w:color="auto" w:fill="0000EE"/>
          </w:tcPr>
          <w:p>
            <w:pPr>
              <w:spacing w:after="0"/>
              <w:rPr>
                <w:sz w:val="2"/>
                <w:szCs w:val="2"/>
                <w:color w:val="auto"/>
              </w:rPr>
            </w:pPr>
          </w:p>
        </w:tc>
        <w:tc>
          <w:tcPr>
            <w:tcW w:w="140" w:type="dxa"/>
            <w:vAlign w:val="bottom"/>
            <w:tcBorders>
              <w:right w:val="single" w:sz="8" w:color="D7F5C4"/>
            </w:tcBorders>
            <w:shd w:val="clear" w:color="auto" w:fill="0000EE"/>
          </w:tcPr>
          <w:p>
            <w:pPr>
              <w:spacing w:after="0"/>
              <w:rPr>
                <w:sz w:val="2"/>
                <w:szCs w:val="2"/>
                <w:color w:val="auto"/>
              </w:rPr>
            </w:pPr>
          </w:p>
        </w:tc>
        <w:tc>
          <w:tcPr>
            <w:tcW w:w="300" w:type="dxa"/>
            <w:vAlign w:val="bottom"/>
            <w:tcBorders>
              <w:left w:val="single" w:sz="8" w:color="D7F5C4"/>
            </w:tcBorders>
            <w:shd w:val="clear" w:color="auto" w:fill="D7F5C4"/>
          </w:tcPr>
          <w:p>
            <w:pPr>
              <w:spacing w:after="0"/>
              <w:rPr>
                <w:sz w:val="2"/>
                <w:szCs w:val="2"/>
                <w:color w:val="auto"/>
              </w:rPr>
            </w:pPr>
          </w:p>
        </w:tc>
        <w:tc>
          <w:tcPr>
            <w:tcW w:w="160" w:type="dxa"/>
            <w:vAlign w:val="bottom"/>
            <w:shd w:val="clear" w:color="auto" w:fill="D7F5C4"/>
          </w:tcPr>
          <w:p>
            <w:pPr>
              <w:spacing w:after="0"/>
              <w:rPr>
                <w:sz w:val="2"/>
                <w:szCs w:val="2"/>
                <w:color w:val="auto"/>
              </w:rPr>
            </w:pPr>
          </w:p>
        </w:tc>
        <w:tc>
          <w:tcPr>
            <w:tcW w:w="80" w:type="dxa"/>
            <w:vAlign w:val="bottom"/>
            <w:shd w:val="clear" w:color="auto" w:fill="D7F5C4"/>
          </w:tcPr>
          <w:p>
            <w:pPr>
              <w:spacing w:after="0"/>
              <w:rPr>
                <w:sz w:val="2"/>
                <w:szCs w:val="2"/>
                <w:color w:val="auto"/>
              </w:rPr>
            </w:pPr>
          </w:p>
        </w:tc>
        <w:tc>
          <w:tcPr>
            <w:tcW w:w="140" w:type="dxa"/>
            <w:vAlign w:val="bottom"/>
            <w:tcBorders>
              <w:right w:val="single" w:sz="8" w:color="D7F5C4"/>
            </w:tcBorders>
            <w:shd w:val="clear" w:color="auto" w:fill="D7F5C4"/>
          </w:tcPr>
          <w:p>
            <w:pPr>
              <w:spacing w:after="0"/>
              <w:rPr>
                <w:sz w:val="2"/>
                <w:szCs w:val="2"/>
                <w:color w:val="auto"/>
              </w:rPr>
            </w:pPr>
          </w:p>
        </w:tc>
        <w:tc>
          <w:tcPr>
            <w:tcW w:w="160" w:type="dxa"/>
            <w:vAlign w:val="bottom"/>
            <w:tcBorders>
              <w:left w:val="single" w:sz="8" w:color="D7F5C4"/>
            </w:tcBorders>
            <w:shd w:val="clear" w:color="auto" w:fill="D7F5C4"/>
          </w:tcPr>
          <w:p>
            <w:pPr>
              <w:spacing w:after="0"/>
              <w:rPr>
                <w:sz w:val="2"/>
                <w:szCs w:val="2"/>
                <w:color w:val="auto"/>
              </w:rPr>
            </w:pPr>
          </w:p>
        </w:tc>
        <w:tc>
          <w:tcPr>
            <w:tcW w:w="120" w:type="dxa"/>
            <w:vAlign w:val="bottom"/>
            <w:shd w:val="clear" w:color="auto" w:fill="D7F5C4"/>
          </w:tcPr>
          <w:p>
            <w:pPr>
              <w:spacing w:after="0"/>
              <w:rPr>
                <w:sz w:val="2"/>
                <w:szCs w:val="2"/>
                <w:color w:val="auto"/>
              </w:rPr>
            </w:pPr>
          </w:p>
        </w:tc>
        <w:tc>
          <w:tcPr>
            <w:tcW w:w="300" w:type="dxa"/>
            <w:vAlign w:val="bottom"/>
            <w:shd w:val="clear" w:color="auto" w:fill="D7F5C4"/>
          </w:tcPr>
          <w:p>
            <w:pPr>
              <w:spacing w:after="0"/>
              <w:rPr>
                <w:sz w:val="2"/>
                <w:szCs w:val="2"/>
                <w:color w:val="auto"/>
              </w:rPr>
            </w:pPr>
          </w:p>
        </w:tc>
        <w:tc>
          <w:tcPr>
            <w:tcW w:w="160" w:type="dxa"/>
            <w:vAlign w:val="bottom"/>
            <w:shd w:val="clear" w:color="auto" w:fill="D7F5C4"/>
          </w:tcPr>
          <w:p>
            <w:pPr>
              <w:spacing w:after="0"/>
              <w:rPr>
                <w:sz w:val="2"/>
                <w:szCs w:val="2"/>
                <w:color w:val="auto"/>
              </w:rPr>
            </w:pPr>
          </w:p>
        </w:tc>
        <w:tc>
          <w:tcPr>
            <w:tcW w:w="200" w:type="dxa"/>
            <w:vAlign w:val="bottom"/>
            <w:shd w:val="clear" w:color="auto" w:fill="D7F5C4"/>
          </w:tcPr>
          <w:p>
            <w:pPr>
              <w:spacing w:after="0"/>
              <w:rPr>
                <w:sz w:val="2"/>
                <w:szCs w:val="2"/>
                <w:color w:val="auto"/>
              </w:rPr>
            </w:pPr>
          </w:p>
        </w:tc>
        <w:tc>
          <w:tcPr>
            <w:tcW w:w="900" w:type="dxa"/>
            <w:vAlign w:val="bottom"/>
            <w:shd w:val="clear" w:color="auto" w:fill="D7F5C4"/>
          </w:tcPr>
          <w:p>
            <w:pPr>
              <w:spacing w:after="0"/>
              <w:rPr>
                <w:sz w:val="2"/>
                <w:szCs w:val="2"/>
                <w:color w:val="auto"/>
              </w:rPr>
            </w:pPr>
          </w:p>
        </w:tc>
        <w:tc>
          <w:tcPr>
            <w:tcW w:w="540" w:type="dxa"/>
            <w:vAlign w:val="bottom"/>
            <w:shd w:val="clear" w:color="auto" w:fill="D7F5C4"/>
          </w:tcPr>
          <w:p>
            <w:pPr>
              <w:spacing w:after="0"/>
              <w:rPr>
                <w:sz w:val="2"/>
                <w:szCs w:val="2"/>
                <w:color w:val="auto"/>
              </w:rPr>
            </w:pPr>
          </w:p>
        </w:tc>
        <w:tc>
          <w:tcPr>
            <w:tcW w:w="2020" w:type="dxa"/>
            <w:vAlign w:val="bottom"/>
            <w:shd w:val="clear" w:color="auto" w:fill="D7F5C4"/>
          </w:tcPr>
          <w:p>
            <w:pPr>
              <w:spacing w:after="0"/>
              <w:rPr>
                <w:sz w:val="2"/>
                <w:szCs w:val="2"/>
                <w:color w:val="auto"/>
              </w:rPr>
            </w:pPr>
          </w:p>
        </w:tc>
        <w:tc>
          <w:tcPr>
            <w:tcW w:w="480" w:type="dxa"/>
            <w:vAlign w:val="bottom"/>
            <w:shd w:val="clear" w:color="auto" w:fill="D7F5C4"/>
          </w:tcPr>
          <w:p>
            <w:pPr>
              <w:spacing w:after="0"/>
              <w:rPr>
                <w:sz w:val="2"/>
                <w:szCs w:val="2"/>
                <w:color w:val="auto"/>
              </w:rPr>
            </w:pPr>
          </w:p>
        </w:tc>
        <w:tc>
          <w:tcPr>
            <w:tcW w:w="740" w:type="dxa"/>
            <w:vAlign w:val="bottom"/>
            <w:shd w:val="clear" w:color="auto" w:fill="D7F5C4"/>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D7F5C4"/>
          </w:tcPr>
          <w:p>
            <w:pPr>
              <w:spacing w:after="0"/>
              <w:rPr>
                <w:sz w:val="2"/>
                <w:szCs w:val="2"/>
                <w:color w:val="auto"/>
              </w:rPr>
            </w:pPr>
          </w:p>
        </w:tc>
      </w:tr>
      <w:tr>
        <w:trPr>
          <w:trHeight w:val="162"/>
        </w:trPr>
        <w:tc>
          <w:tcPr>
            <w:tcW w:w="180" w:type="dxa"/>
            <w:vAlign w:val="bottom"/>
          </w:tcPr>
          <w:p>
            <w:pPr>
              <w:spacing w:after="0"/>
              <w:rPr>
                <w:sz w:val="14"/>
                <w:szCs w:val="14"/>
                <w:color w:val="auto"/>
              </w:rPr>
            </w:pPr>
          </w:p>
        </w:tc>
        <w:tc>
          <w:tcPr>
            <w:tcW w:w="8380" w:type="dxa"/>
            <w:vAlign w:val="bottom"/>
            <w:gridSpan w:val="29"/>
          </w:tcPr>
          <w:p>
            <w:pPr>
              <w:spacing w:after="0"/>
              <w:rPr>
                <w:rFonts w:ascii="Arial" w:cs="Arial" w:eastAsia="Arial" w:hAnsi="Arial"/>
                <w:sz w:val="14"/>
                <w:szCs w:val="14"/>
                <w:color w:val="0000EE"/>
              </w:rPr>
            </w:pPr>
            <w:hyperlink w:anchor="page27">
              <w:r>
                <w:rPr>
                  <w:rFonts w:ascii="Arial" w:cs="Arial" w:eastAsia="Arial" w:hAnsi="Arial"/>
                  <w:sz w:val="14"/>
                  <w:szCs w:val="14"/>
                  <w:color w:val="0000EE"/>
                </w:rPr>
                <w:t>Fees of Independent Registered Public Accounting Firm</w:t>
              </w:r>
            </w:hyperlink>
          </w:p>
        </w:tc>
        <w:tc>
          <w:tcPr>
            <w:tcW w:w="1000" w:type="dxa"/>
            <w:vAlign w:val="bottom"/>
            <w:gridSpan w:val="4"/>
          </w:tcPr>
          <w:p>
            <w:pPr>
              <w:jc w:val="right"/>
              <w:ind w:right="100"/>
              <w:spacing w:after="0"/>
              <w:rPr>
                <w:rFonts w:ascii="Arial" w:cs="Arial" w:eastAsia="Arial" w:hAnsi="Arial"/>
                <w:sz w:val="14"/>
                <w:szCs w:val="14"/>
                <w:color w:val="0000EE"/>
              </w:rPr>
            </w:pPr>
            <w:hyperlink w:anchor="page27">
              <w:r>
                <w:rPr>
                  <w:rFonts w:ascii="Arial" w:cs="Arial" w:eastAsia="Arial" w:hAnsi="Arial"/>
                  <w:sz w:val="14"/>
                  <w:szCs w:val="14"/>
                  <w:color w:val="0000EE"/>
                </w:rPr>
                <w:t>19</w:t>
              </w:r>
            </w:hyperlink>
          </w:p>
        </w:tc>
      </w:tr>
      <w:tr>
        <w:trPr>
          <w:trHeight w:val="27"/>
        </w:trPr>
        <w:tc>
          <w:tcPr>
            <w:tcW w:w="180" w:type="dxa"/>
            <w:vAlign w:val="bottom"/>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320" w:type="dxa"/>
            <w:vAlign w:val="bottom"/>
            <w:tcBorders>
              <w:left w:val="single" w:sz="8" w:color="0000EE"/>
              <w:right w:val="single" w:sz="8" w:color="0000EE"/>
            </w:tcBorders>
            <w:shd w:val="clear" w:color="auto" w:fill="0000EE"/>
          </w:tcPr>
          <w:p>
            <w:pPr>
              <w:spacing w:after="0"/>
              <w:rPr>
                <w:sz w:val="2"/>
                <w:szCs w:val="2"/>
                <w:color w:val="auto"/>
              </w:rPr>
            </w:pPr>
          </w:p>
        </w:tc>
        <w:tc>
          <w:tcPr>
            <w:tcW w:w="200" w:type="dxa"/>
            <w:vAlign w:val="bottom"/>
            <w:tcBorders>
              <w:left w:val="single" w:sz="8" w:color="0000EE"/>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30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60" w:type="dxa"/>
            <w:vAlign w:val="bottom"/>
            <w:tcBorders>
              <w:left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180" w:type="dxa"/>
            <w:vAlign w:val="bottom"/>
            <w:shd w:val="clear" w:color="auto" w:fill="D7F5C4"/>
          </w:tcPr>
          <w:p>
            <w:pPr>
              <w:spacing w:after="0"/>
              <w:rPr>
                <w:sz w:val="14"/>
                <w:szCs w:val="14"/>
                <w:color w:val="auto"/>
              </w:rPr>
            </w:pPr>
          </w:p>
        </w:tc>
        <w:tc>
          <w:tcPr>
            <w:tcW w:w="3500" w:type="dxa"/>
            <w:vAlign w:val="bottom"/>
            <w:tcBorders>
              <w:right w:val="single" w:sz="8" w:color="D7F5C4"/>
            </w:tcBorders>
            <w:gridSpan w:val="20"/>
            <w:shd w:val="clear" w:color="auto" w:fill="D7F5C4"/>
          </w:tcPr>
          <w:p>
            <w:pPr>
              <w:spacing w:after="0"/>
              <w:rPr>
                <w:rFonts w:ascii="Arial" w:cs="Arial" w:eastAsia="Arial" w:hAnsi="Arial"/>
                <w:sz w:val="14"/>
                <w:szCs w:val="14"/>
                <w:color w:val="0000EE"/>
              </w:rPr>
            </w:pPr>
            <w:hyperlink w:anchor="page27">
              <w:r>
                <w:rPr>
                  <w:rFonts w:ascii="Arial" w:cs="Arial" w:eastAsia="Arial" w:hAnsi="Arial"/>
                  <w:sz w:val="14"/>
                  <w:szCs w:val="14"/>
                  <w:color w:val="0000EE"/>
                </w:rPr>
                <w:t>Audit Committee Pre-Approval Policy</w:t>
              </w:r>
            </w:hyperlink>
          </w:p>
        </w:tc>
        <w:tc>
          <w:tcPr>
            <w:tcW w:w="4880" w:type="dxa"/>
            <w:vAlign w:val="bottom"/>
            <w:tcBorders>
              <w:left w:val="single" w:sz="8" w:color="D7F5C4"/>
            </w:tcBorders>
            <w:gridSpan w:val="9"/>
            <w:shd w:val="clear" w:color="auto" w:fill="D7F5C4"/>
          </w:tcPr>
          <w:p>
            <w:pPr>
              <w:spacing w:after="0"/>
              <w:rPr>
                <w:sz w:val="14"/>
                <w:szCs w:val="14"/>
                <w:color w:val="auto"/>
              </w:rPr>
            </w:pPr>
          </w:p>
        </w:tc>
        <w:tc>
          <w:tcPr>
            <w:tcW w:w="740" w:type="dxa"/>
            <w:vAlign w:val="bottom"/>
            <w:shd w:val="clear" w:color="auto" w:fill="D7F5C4"/>
          </w:tcPr>
          <w:p>
            <w:pPr>
              <w:spacing w:after="0"/>
              <w:rPr>
                <w:sz w:val="14"/>
                <w:szCs w:val="14"/>
                <w:color w:val="auto"/>
              </w:rPr>
            </w:pPr>
          </w:p>
        </w:tc>
        <w:tc>
          <w:tcPr>
            <w:tcW w:w="260" w:type="dxa"/>
            <w:vAlign w:val="bottom"/>
            <w:gridSpan w:val="3"/>
            <w:shd w:val="clear" w:color="auto" w:fill="D7F5C4"/>
          </w:tcPr>
          <w:p>
            <w:pPr>
              <w:jc w:val="right"/>
              <w:ind w:right="100"/>
              <w:spacing w:after="0"/>
              <w:rPr>
                <w:rFonts w:ascii="Arial" w:cs="Arial" w:eastAsia="Arial" w:hAnsi="Arial"/>
                <w:sz w:val="14"/>
                <w:szCs w:val="14"/>
                <w:color w:val="0000EE"/>
                <w:w w:val="89"/>
              </w:rPr>
            </w:pPr>
            <w:hyperlink w:anchor="page27">
              <w:r>
                <w:rPr>
                  <w:rFonts w:ascii="Arial" w:cs="Arial" w:eastAsia="Arial" w:hAnsi="Arial"/>
                  <w:sz w:val="14"/>
                  <w:szCs w:val="14"/>
                  <w:color w:val="0000EE"/>
                  <w:w w:val="89"/>
                </w:rPr>
                <w:t>19</w:t>
              </w:r>
            </w:hyperlink>
          </w:p>
        </w:tc>
      </w:tr>
      <w:tr>
        <w:trPr>
          <w:trHeight w:val="27"/>
        </w:trPr>
        <w:tc>
          <w:tcPr>
            <w:tcW w:w="180" w:type="dxa"/>
            <w:vAlign w:val="bottom"/>
            <w:shd w:val="clear" w:color="auto" w:fill="D7F5C4"/>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320" w:type="dxa"/>
            <w:vAlign w:val="bottom"/>
            <w:tcBorders>
              <w:left w:val="single" w:sz="8" w:color="0000EE"/>
              <w:right w:val="single" w:sz="8" w:color="0000EE"/>
            </w:tcBorders>
            <w:shd w:val="clear" w:color="auto" w:fill="0000EE"/>
          </w:tcPr>
          <w:p>
            <w:pPr>
              <w:spacing w:after="0"/>
              <w:rPr>
                <w:sz w:val="2"/>
                <w:szCs w:val="2"/>
                <w:color w:val="auto"/>
              </w:rPr>
            </w:pPr>
          </w:p>
        </w:tc>
        <w:tc>
          <w:tcPr>
            <w:tcW w:w="200" w:type="dxa"/>
            <w:vAlign w:val="bottom"/>
            <w:tcBorders>
              <w:left w:val="single" w:sz="8" w:color="D7F5C4"/>
              <w:right w:val="single" w:sz="8" w:color="D7F5C4"/>
            </w:tcBorders>
            <w:shd w:val="clear" w:color="auto" w:fill="D7F5C4"/>
          </w:tcPr>
          <w:p>
            <w:pPr>
              <w:spacing w:after="0"/>
              <w:rPr>
                <w:sz w:val="2"/>
                <w:szCs w:val="2"/>
                <w:color w:val="auto"/>
              </w:rPr>
            </w:pPr>
          </w:p>
        </w:tc>
        <w:tc>
          <w:tcPr>
            <w:tcW w:w="140" w:type="dxa"/>
            <w:vAlign w:val="bottom"/>
            <w:tcBorders>
              <w:right w:val="single" w:sz="8" w:color="D7F5C4"/>
            </w:tcBorders>
            <w:shd w:val="clear" w:color="auto" w:fill="D7F5C4"/>
          </w:tcPr>
          <w:p>
            <w:pPr>
              <w:spacing w:after="0"/>
              <w:rPr>
                <w:sz w:val="2"/>
                <w:szCs w:val="2"/>
                <w:color w:val="auto"/>
              </w:rPr>
            </w:pPr>
          </w:p>
        </w:tc>
        <w:tc>
          <w:tcPr>
            <w:tcW w:w="300" w:type="dxa"/>
            <w:vAlign w:val="bottom"/>
            <w:tcBorders>
              <w:left w:val="single" w:sz="8" w:color="D7F5C4"/>
            </w:tcBorders>
            <w:shd w:val="clear" w:color="auto" w:fill="D7F5C4"/>
          </w:tcPr>
          <w:p>
            <w:pPr>
              <w:spacing w:after="0"/>
              <w:rPr>
                <w:sz w:val="2"/>
                <w:szCs w:val="2"/>
                <w:color w:val="auto"/>
              </w:rPr>
            </w:pPr>
          </w:p>
        </w:tc>
        <w:tc>
          <w:tcPr>
            <w:tcW w:w="160" w:type="dxa"/>
            <w:vAlign w:val="bottom"/>
            <w:shd w:val="clear" w:color="auto" w:fill="D7F5C4"/>
          </w:tcPr>
          <w:p>
            <w:pPr>
              <w:spacing w:after="0"/>
              <w:rPr>
                <w:sz w:val="2"/>
                <w:szCs w:val="2"/>
                <w:color w:val="auto"/>
              </w:rPr>
            </w:pPr>
          </w:p>
        </w:tc>
        <w:tc>
          <w:tcPr>
            <w:tcW w:w="80" w:type="dxa"/>
            <w:vAlign w:val="bottom"/>
            <w:shd w:val="clear" w:color="auto" w:fill="D7F5C4"/>
          </w:tcPr>
          <w:p>
            <w:pPr>
              <w:spacing w:after="0"/>
              <w:rPr>
                <w:sz w:val="2"/>
                <w:szCs w:val="2"/>
                <w:color w:val="auto"/>
              </w:rPr>
            </w:pPr>
          </w:p>
        </w:tc>
        <w:tc>
          <w:tcPr>
            <w:tcW w:w="140" w:type="dxa"/>
            <w:vAlign w:val="bottom"/>
            <w:tcBorders>
              <w:right w:val="single" w:sz="8" w:color="D7F5C4"/>
            </w:tcBorders>
            <w:shd w:val="clear" w:color="auto" w:fill="D7F5C4"/>
          </w:tcPr>
          <w:p>
            <w:pPr>
              <w:spacing w:after="0"/>
              <w:rPr>
                <w:sz w:val="2"/>
                <w:szCs w:val="2"/>
                <w:color w:val="auto"/>
              </w:rPr>
            </w:pPr>
          </w:p>
        </w:tc>
        <w:tc>
          <w:tcPr>
            <w:tcW w:w="160" w:type="dxa"/>
            <w:vAlign w:val="bottom"/>
            <w:tcBorders>
              <w:left w:val="single" w:sz="8" w:color="D7F5C4"/>
            </w:tcBorders>
            <w:shd w:val="clear" w:color="auto" w:fill="D7F5C4"/>
          </w:tcPr>
          <w:p>
            <w:pPr>
              <w:spacing w:after="0"/>
              <w:rPr>
                <w:sz w:val="2"/>
                <w:szCs w:val="2"/>
                <w:color w:val="auto"/>
              </w:rPr>
            </w:pPr>
          </w:p>
        </w:tc>
        <w:tc>
          <w:tcPr>
            <w:tcW w:w="120" w:type="dxa"/>
            <w:vAlign w:val="bottom"/>
            <w:shd w:val="clear" w:color="auto" w:fill="D7F5C4"/>
          </w:tcPr>
          <w:p>
            <w:pPr>
              <w:spacing w:after="0"/>
              <w:rPr>
                <w:sz w:val="2"/>
                <w:szCs w:val="2"/>
                <w:color w:val="auto"/>
              </w:rPr>
            </w:pPr>
          </w:p>
        </w:tc>
        <w:tc>
          <w:tcPr>
            <w:tcW w:w="300" w:type="dxa"/>
            <w:vAlign w:val="bottom"/>
            <w:shd w:val="clear" w:color="auto" w:fill="D7F5C4"/>
          </w:tcPr>
          <w:p>
            <w:pPr>
              <w:spacing w:after="0"/>
              <w:rPr>
                <w:sz w:val="2"/>
                <w:szCs w:val="2"/>
                <w:color w:val="auto"/>
              </w:rPr>
            </w:pPr>
          </w:p>
        </w:tc>
        <w:tc>
          <w:tcPr>
            <w:tcW w:w="160" w:type="dxa"/>
            <w:vAlign w:val="bottom"/>
            <w:shd w:val="clear" w:color="auto" w:fill="D7F5C4"/>
          </w:tcPr>
          <w:p>
            <w:pPr>
              <w:spacing w:after="0"/>
              <w:rPr>
                <w:sz w:val="2"/>
                <w:szCs w:val="2"/>
                <w:color w:val="auto"/>
              </w:rPr>
            </w:pPr>
          </w:p>
        </w:tc>
        <w:tc>
          <w:tcPr>
            <w:tcW w:w="200" w:type="dxa"/>
            <w:vAlign w:val="bottom"/>
            <w:shd w:val="clear" w:color="auto" w:fill="D7F5C4"/>
          </w:tcPr>
          <w:p>
            <w:pPr>
              <w:spacing w:after="0"/>
              <w:rPr>
                <w:sz w:val="2"/>
                <w:szCs w:val="2"/>
                <w:color w:val="auto"/>
              </w:rPr>
            </w:pPr>
          </w:p>
        </w:tc>
        <w:tc>
          <w:tcPr>
            <w:tcW w:w="900" w:type="dxa"/>
            <w:vAlign w:val="bottom"/>
            <w:shd w:val="clear" w:color="auto" w:fill="D7F5C4"/>
          </w:tcPr>
          <w:p>
            <w:pPr>
              <w:spacing w:after="0"/>
              <w:rPr>
                <w:sz w:val="2"/>
                <w:szCs w:val="2"/>
                <w:color w:val="auto"/>
              </w:rPr>
            </w:pPr>
          </w:p>
        </w:tc>
        <w:tc>
          <w:tcPr>
            <w:tcW w:w="540" w:type="dxa"/>
            <w:vAlign w:val="bottom"/>
            <w:shd w:val="clear" w:color="auto" w:fill="D7F5C4"/>
          </w:tcPr>
          <w:p>
            <w:pPr>
              <w:spacing w:after="0"/>
              <w:rPr>
                <w:sz w:val="2"/>
                <w:szCs w:val="2"/>
                <w:color w:val="auto"/>
              </w:rPr>
            </w:pPr>
          </w:p>
        </w:tc>
        <w:tc>
          <w:tcPr>
            <w:tcW w:w="2020" w:type="dxa"/>
            <w:vAlign w:val="bottom"/>
            <w:shd w:val="clear" w:color="auto" w:fill="D7F5C4"/>
          </w:tcPr>
          <w:p>
            <w:pPr>
              <w:spacing w:after="0"/>
              <w:rPr>
                <w:sz w:val="2"/>
                <w:szCs w:val="2"/>
                <w:color w:val="auto"/>
              </w:rPr>
            </w:pPr>
          </w:p>
        </w:tc>
        <w:tc>
          <w:tcPr>
            <w:tcW w:w="480" w:type="dxa"/>
            <w:vAlign w:val="bottom"/>
            <w:shd w:val="clear" w:color="auto" w:fill="D7F5C4"/>
          </w:tcPr>
          <w:p>
            <w:pPr>
              <w:spacing w:after="0"/>
              <w:rPr>
                <w:sz w:val="2"/>
                <w:szCs w:val="2"/>
                <w:color w:val="auto"/>
              </w:rPr>
            </w:pPr>
          </w:p>
        </w:tc>
        <w:tc>
          <w:tcPr>
            <w:tcW w:w="740" w:type="dxa"/>
            <w:vAlign w:val="bottom"/>
            <w:shd w:val="clear" w:color="auto" w:fill="D7F5C4"/>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D7F5C4"/>
          </w:tcPr>
          <w:p>
            <w:pPr>
              <w:spacing w:after="0"/>
              <w:rPr>
                <w:sz w:val="2"/>
                <w:szCs w:val="2"/>
                <w:color w:val="auto"/>
              </w:rPr>
            </w:pPr>
          </w:p>
        </w:tc>
      </w:tr>
      <w:tr>
        <w:trPr>
          <w:trHeight w:val="162"/>
        </w:trPr>
        <w:tc>
          <w:tcPr>
            <w:tcW w:w="8560" w:type="dxa"/>
            <w:vAlign w:val="bottom"/>
            <w:gridSpan w:val="30"/>
          </w:tcPr>
          <w:p>
            <w:pPr>
              <w:spacing w:after="0"/>
              <w:rPr>
                <w:rFonts w:ascii="Arial" w:cs="Arial" w:eastAsia="Arial" w:hAnsi="Arial"/>
                <w:sz w:val="14"/>
                <w:szCs w:val="14"/>
                <w:color w:val="0000EE"/>
              </w:rPr>
            </w:pPr>
            <w:hyperlink w:anchor="page27">
              <w:r>
                <w:rPr>
                  <w:rFonts w:ascii="Arial" w:cs="Arial" w:eastAsia="Arial" w:hAnsi="Arial"/>
                  <w:sz w:val="14"/>
                  <w:szCs w:val="14"/>
                  <w:color w:val="0000EE"/>
                </w:rPr>
                <w:t>Proposal Number 2: Ratification of Selection of Independent Registered Public Accounting Firm</w:t>
              </w:r>
            </w:hyperlink>
          </w:p>
        </w:tc>
        <w:tc>
          <w:tcPr>
            <w:tcW w:w="1000" w:type="dxa"/>
            <w:vAlign w:val="bottom"/>
            <w:gridSpan w:val="4"/>
          </w:tcPr>
          <w:p>
            <w:pPr>
              <w:jc w:val="right"/>
              <w:ind w:right="100"/>
              <w:spacing w:after="0"/>
              <w:rPr>
                <w:rFonts w:ascii="Arial" w:cs="Arial" w:eastAsia="Arial" w:hAnsi="Arial"/>
                <w:sz w:val="14"/>
                <w:szCs w:val="14"/>
                <w:color w:val="0000EE"/>
              </w:rPr>
            </w:pPr>
            <w:hyperlink w:anchor="page27">
              <w:r>
                <w:rPr>
                  <w:rFonts w:ascii="Arial" w:cs="Arial" w:eastAsia="Arial" w:hAnsi="Arial"/>
                  <w:sz w:val="14"/>
                  <w:szCs w:val="14"/>
                  <w:color w:val="0000EE"/>
                </w:rPr>
                <w:t>19</w:t>
              </w:r>
            </w:hyperlink>
          </w:p>
        </w:tc>
      </w:tr>
      <w:tr>
        <w:trPr>
          <w:trHeight w:val="27"/>
        </w:trPr>
        <w:tc>
          <w:tcPr>
            <w:tcW w:w="1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320" w:type="dxa"/>
            <w:vAlign w:val="bottom"/>
            <w:tcBorders>
              <w:left w:val="single" w:sz="8" w:color="0000EE"/>
              <w:right w:val="single" w:sz="8" w:color="0000EE"/>
            </w:tcBorders>
            <w:shd w:val="clear" w:color="auto" w:fill="0000EE"/>
          </w:tcPr>
          <w:p>
            <w:pPr>
              <w:spacing w:after="0"/>
              <w:rPr>
                <w:sz w:val="2"/>
                <w:szCs w:val="2"/>
                <w:color w:val="auto"/>
              </w:rPr>
            </w:pPr>
          </w:p>
        </w:tc>
        <w:tc>
          <w:tcPr>
            <w:tcW w:w="200" w:type="dxa"/>
            <w:vAlign w:val="bottom"/>
            <w:tcBorders>
              <w:left w:val="single" w:sz="8" w:color="0000EE"/>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30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2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1840" w:type="dxa"/>
            <w:vAlign w:val="bottom"/>
            <w:gridSpan w:val="10"/>
            <w:shd w:val="clear" w:color="auto" w:fill="D7F5C4"/>
          </w:tcPr>
          <w:p>
            <w:pPr>
              <w:spacing w:after="0"/>
              <w:rPr>
                <w:rFonts w:ascii="Arial" w:cs="Arial" w:eastAsia="Arial" w:hAnsi="Arial"/>
                <w:sz w:val="14"/>
                <w:szCs w:val="14"/>
                <w:color w:val="0000EE"/>
              </w:rPr>
            </w:pPr>
            <w:hyperlink w:anchor="page28">
              <w:r>
                <w:rPr>
                  <w:rFonts w:ascii="Arial" w:cs="Arial" w:eastAsia="Arial" w:hAnsi="Arial"/>
                  <w:sz w:val="14"/>
                  <w:szCs w:val="14"/>
                  <w:color w:val="0000EE"/>
                </w:rPr>
                <w:t>Executive Officer Information</w:t>
              </w:r>
            </w:hyperlink>
          </w:p>
        </w:tc>
        <w:tc>
          <w:tcPr>
            <w:tcW w:w="4220" w:type="dxa"/>
            <w:vAlign w:val="bottom"/>
            <w:gridSpan w:val="18"/>
            <w:shd w:val="clear" w:color="auto" w:fill="D7F5C4"/>
          </w:tcPr>
          <w:p>
            <w:pPr>
              <w:spacing w:after="0"/>
              <w:rPr>
                <w:sz w:val="14"/>
                <w:szCs w:val="14"/>
                <w:color w:val="auto"/>
              </w:rPr>
            </w:pPr>
          </w:p>
        </w:tc>
        <w:tc>
          <w:tcPr>
            <w:tcW w:w="2500" w:type="dxa"/>
            <w:vAlign w:val="bottom"/>
            <w:gridSpan w:val="2"/>
            <w:shd w:val="clear" w:color="auto" w:fill="D7F5C4"/>
          </w:tcPr>
          <w:p>
            <w:pPr>
              <w:spacing w:after="0"/>
              <w:rPr>
                <w:sz w:val="14"/>
                <w:szCs w:val="14"/>
                <w:color w:val="auto"/>
              </w:rPr>
            </w:pPr>
          </w:p>
        </w:tc>
        <w:tc>
          <w:tcPr>
            <w:tcW w:w="740" w:type="dxa"/>
            <w:vAlign w:val="bottom"/>
            <w:shd w:val="clear" w:color="auto" w:fill="D7F5C4"/>
          </w:tcPr>
          <w:p>
            <w:pPr>
              <w:spacing w:after="0"/>
              <w:rPr>
                <w:sz w:val="14"/>
                <w:szCs w:val="14"/>
                <w:color w:val="auto"/>
              </w:rPr>
            </w:pPr>
          </w:p>
        </w:tc>
        <w:tc>
          <w:tcPr>
            <w:tcW w:w="260" w:type="dxa"/>
            <w:vAlign w:val="bottom"/>
            <w:gridSpan w:val="3"/>
            <w:shd w:val="clear" w:color="auto" w:fill="D7F5C4"/>
          </w:tcPr>
          <w:p>
            <w:pPr>
              <w:jc w:val="right"/>
              <w:ind w:right="100"/>
              <w:spacing w:after="0"/>
              <w:rPr>
                <w:rFonts w:ascii="Arial" w:cs="Arial" w:eastAsia="Arial" w:hAnsi="Arial"/>
                <w:sz w:val="14"/>
                <w:szCs w:val="14"/>
                <w:color w:val="0000EE"/>
                <w:w w:val="89"/>
              </w:rPr>
            </w:pPr>
            <w:hyperlink w:anchor="page28">
              <w:r>
                <w:rPr>
                  <w:rFonts w:ascii="Arial" w:cs="Arial" w:eastAsia="Arial" w:hAnsi="Arial"/>
                  <w:sz w:val="14"/>
                  <w:szCs w:val="14"/>
                  <w:color w:val="0000EE"/>
                  <w:w w:val="89"/>
                </w:rPr>
                <w:t>20</w:t>
              </w:r>
            </w:hyperlink>
          </w:p>
        </w:tc>
      </w:tr>
      <w:tr>
        <w:trPr>
          <w:trHeight w:val="27"/>
        </w:trPr>
        <w:tc>
          <w:tcPr>
            <w:tcW w:w="1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D7F5C4"/>
            </w:tcBorders>
            <w:shd w:val="clear" w:color="auto" w:fill="D7F5C4"/>
          </w:tcPr>
          <w:p>
            <w:pPr>
              <w:spacing w:after="0"/>
              <w:rPr>
                <w:sz w:val="2"/>
                <w:szCs w:val="2"/>
                <w:color w:val="auto"/>
              </w:rPr>
            </w:pPr>
          </w:p>
        </w:tc>
        <w:tc>
          <w:tcPr>
            <w:tcW w:w="120" w:type="dxa"/>
            <w:vAlign w:val="bottom"/>
            <w:tcBorders>
              <w:left w:val="single" w:sz="8" w:color="D7F5C4"/>
            </w:tcBorders>
            <w:shd w:val="clear" w:color="auto" w:fill="D7F5C4"/>
          </w:tcPr>
          <w:p>
            <w:pPr>
              <w:spacing w:after="0"/>
              <w:rPr>
                <w:sz w:val="2"/>
                <w:szCs w:val="2"/>
                <w:color w:val="auto"/>
              </w:rPr>
            </w:pPr>
          </w:p>
        </w:tc>
        <w:tc>
          <w:tcPr>
            <w:tcW w:w="80" w:type="dxa"/>
            <w:vAlign w:val="bottom"/>
            <w:tcBorders>
              <w:left w:val="single" w:sz="8" w:color="D7F5C4"/>
            </w:tcBorders>
            <w:shd w:val="clear" w:color="auto" w:fill="D7F5C4"/>
          </w:tcPr>
          <w:p>
            <w:pPr>
              <w:spacing w:after="0"/>
              <w:rPr>
                <w:sz w:val="2"/>
                <w:szCs w:val="2"/>
                <w:color w:val="auto"/>
              </w:rPr>
            </w:pPr>
          </w:p>
        </w:tc>
        <w:tc>
          <w:tcPr>
            <w:tcW w:w="120" w:type="dxa"/>
            <w:vAlign w:val="bottom"/>
            <w:tcBorders>
              <w:left w:val="single" w:sz="8" w:color="D7F5C4"/>
            </w:tcBorders>
            <w:shd w:val="clear" w:color="auto" w:fill="D7F5C4"/>
          </w:tcPr>
          <w:p>
            <w:pPr>
              <w:spacing w:after="0"/>
              <w:rPr>
                <w:sz w:val="2"/>
                <w:szCs w:val="2"/>
                <w:color w:val="auto"/>
              </w:rPr>
            </w:pPr>
          </w:p>
        </w:tc>
        <w:tc>
          <w:tcPr>
            <w:tcW w:w="320" w:type="dxa"/>
            <w:vAlign w:val="bottom"/>
            <w:tcBorders>
              <w:left w:val="single" w:sz="8" w:color="D7F5C4"/>
              <w:right w:val="single" w:sz="8" w:color="D7F5C4"/>
            </w:tcBorders>
            <w:shd w:val="clear" w:color="auto" w:fill="D7F5C4"/>
          </w:tcPr>
          <w:p>
            <w:pPr>
              <w:spacing w:after="0"/>
              <w:rPr>
                <w:sz w:val="2"/>
                <w:szCs w:val="2"/>
                <w:color w:val="auto"/>
              </w:rPr>
            </w:pPr>
          </w:p>
        </w:tc>
        <w:tc>
          <w:tcPr>
            <w:tcW w:w="200" w:type="dxa"/>
            <w:vAlign w:val="bottom"/>
            <w:tcBorders>
              <w:left w:val="single" w:sz="8" w:color="D7F5C4"/>
              <w:right w:val="single" w:sz="8" w:color="D7F5C4"/>
            </w:tcBorders>
            <w:shd w:val="clear" w:color="auto" w:fill="D7F5C4"/>
          </w:tcPr>
          <w:p>
            <w:pPr>
              <w:spacing w:after="0"/>
              <w:rPr>
                <w:sz w:val="2"/>
                <w:szCs w:val="2"/>
                <w:color w:val="auto"/>
              </w:rPr>
            </w:pPr>
          </w:p>
        </w:tc>
        <w:tc>
          <w:tcPr>
            <w:tcW w:w="140" w:type="dxa"/>
            <w:vAlign w:val="bottom"/>
            <w:tcBorders>
              <w:right w:val="single" w:sz="8" w:color="D7F5C4"/>
            </w:tcBorders>
            <w:shd w:val="clear" w:color="auto" w:fill="D7F5C4"/>
          </w:tcPr>
          <w:p>
            <w:pPr>
              <w:spacing w:after="0"/>
              <w:rPr>
                <w:sz w:val="2"/>
                <w:szCs w:val="2"/>
                <w:color w:val="auto"/>
              </w:rPr>
            </w:pPr>
          </w:p>
        </w:tc>
        <w:tc>
          <w:tcPr>
            <w:tcW w:w="300" w:type="dxa"/>
            <w:vAlign w:val="bottom"/>
            <w:tcBorders>
              <w:left w:val="single" w:sz="8" w:color="D7F5C4"/>
            </w:tcBorders>
            <w:shd w:val="clear" w:color="auto" w:fill="D7F5C4"/>
          </w:tcPr>
          <w:p>
            <w:pPr>
              <w:spacing w:after="0"/>
              <w:rPr>
                <w:sz w:val="2"/>
                <w:szCs w:val="2"/>
                <w:color w:val="auto"/>
              </w:rPr>
            </w:pPr>
          </w:p>
        </w:tc>
        <w:tc>
          <w:tcPr>
            <w:tcW w:w="160" w:type="dxa"/>
            <w:vAlign w:val="bottom"/>
            <w:shd w:val="clear" w:color="auto" w:fill="D7F5C4"/>
          </w:tcPr>
          <w:p>
            <w:pPr>
              <w:spacing w:after="0"/>
              <w:rPr>
                <w:sz w:val="2"/>
                <w:szCs w:val="2"/>
                <w:color w:val="auto"/>
              </w:rPr>
            </w:pPr>
          </w:p>
        </w:tc>
        <w:tc>
          <w:tcPr>
            <w:tcW w:w="80" w:type="dxa"/>
            <w:vAlign w:val="bottom"/>
            <w:shd w:val="clear" w:color="auto" w:fill="D7F5C4"/>
          </w:tcPr>
          <w:p>
            <w:pPr>
              <w:spacing w:after="0"/>
              <w:rPr>
                <w:sz w:val="2"/>
                <w:szCs w:val="2"/>
                <w:color w:val="auto"/>
              </w:rPr>
            </w:pPr>
          </w:p>
        </w:tc>
        <w:tc>
          <w:tcPr>
            <w:tcW w:w="140" w:type="dxa"/>
            <w:vAlign w:val="bottom"/>
            <w:tcBorders>
              <w:right w:val="single" w:sz="8" w:color="D7F5C4"/>
            </w:tcBorders>
            <w:shd w:val="clear" w:color="auto" w:fill="D7F5C4"/>
          </w:tcPr>
          <w:p>
            <w:pPr>
              <w:spacing w:after="0"/>
              <w:rPr>
                <w:sz w:val="2"/>
                <w:szCs w:val="2"/>
                <w:color w:val="auto"/>
              </w:rPr>
            </w:pPr>
          </w:p>
        </w:tc>
        <w:tc>
          <w:tcPr>
            <w:tcW w:w="160" w:type="dxa"/>
            <w:vAlign w:val="bottom"/>
            <w:tcBorders>
              <w:left w:val="single" w:sz="8" w:color="D7F5C4"/>
            </w:tcBorders>
            <w:shd w:val="clear" w:color="auto" w:fill="D7F5C4"/>
          </w:tcPr>
          <w:p>
            <w:pPr>
              <w:spacing w:after="0"/>
              <w:rPr>
                <w:sz w:val="2"/>
                <w:szCs w:val="2"/>
                <w:color w:val="auto"/>
              </w:rPr>
            </w:pPr>
          </w:p>
        </w:tc>
        <w:tc>
          <w:tcPr>
            <w:tcW w:w="120" w:type="dxa"/>
            <w:vAlign w:val="bottom"/>
            <w:shd w:val="clear" w:color="auto" w:fill="D7F5C4"/>
          </w:tcPr>
          <w:p>
            <w:pPr>
              <w:spacing w:after="0"/>
              <w:rPr>
                <w:sz w:val="2"/>
                <w:szCs w:val="2"/>
                <w:color w:val="auto"/>
              </w:rPr>
            </w:pPr>
          </w:p>
        </w:tc>
        <w:tc>
          <w:tcPr>
            <w:tcW w:w="300" w:type="dxa"/>
            <w:vAlign w:val="bottom"/>
            <w:shd w:val="clear" w:color="auto" w:fill="D7F5C4"/>
          </w:tcPr>
          <w:p>
            <w:pPr>
              <w:spacing w:after="0"/>
              <w:rPr>
                <w:sz w:val="2"/>
                <w:szCs w:val="2"/>
                <w:color w:val="auto"/>
              </w:rPr>
            </w:pPr>
          </w:p>
        </w:tc>
        <w:tc>
          <w:tcPr>
            <w:tcW w:w="160" w:type="dxa"/>
            <w:vAlign w:val="bottom"/>
            <w:shd w:val="clear" w:color="auto" w:fill="D7F5C4"/>
          </w:tcPr>
          <w:p>
            <w:pPr>
              <w:spacing w:after="0"/>
              <w:rPr>
                <w:sz w:val="2"/>
                <w:szCs w:val="2"/>
                <w:color w:val="auto"/>
              </w:rPr>
            </w:pPr>
          </w:p>
        </w:tc>
        <w:tc>
          <w:tcPr>
            <w:tcW w:w="200" w:type="dxa"/>
            <w:vAlign w:val="bottom"/>
            <w:shd w:val="clear" w:color="auto" w:fill="D7F5C4"/>
          </w:tcPr>
          <w:p>
            <w:pPr>
              <w:spacing w:after="0"/>
              <w:rPr>
                <w:sz w:val="2"/>
                <w:szCs w:val="2"/>
                <w:color w:val="auto"/>
              </w:rPr>
            </w:pPr>
          </w:p>
        </w:tc>
        <w:tc>
          <w:tcPr>
            <w:tcW w:w="900" w:type="dxa"/>
            <w:vAlign w:val="bottom"/>
            <w:shd w:val="clear" w:color="auto" w:fill="D7F5C4"/>
          </w:tcPr>
          <w:p>
            <w:pPr>
              <w:spacing w:after="0"/>
              <w:rPr>
                <w:sz w:val="2"/>
                <w:szCs w:val="2"/>
                <w:color w:val="auto"/>
              </w:rPr>
            </w:pPr>
          </w:p>
        </w:tc>
        <w:tc>
          <w:tcPr>
            <w:tcW w:w="540" w:type="dxa"/>
            <w:vAlign w:val="bottom"/>
            <w:shd w:val="clear" w:color="auto" w:fill="D7F5C4"/>
          </w:tcPr>
          <w:p>
            <w:pPr>
              <w:spacing w:after="0"/>
              <w:rPr>
                <w:sz w:val="2"/>
                <w:szCs w:val="2"/>
                <w:color w:val="auto"/>
              </w:rPr>
            </w:pPr>
          </w:p>
        </w:tc>
        <w:tc>
          <w:tcPr>
            <w:tcW w:w="2020" w:type="dxa"/>
            <w:vAlign w:val="bottom"/>
            <w:shd w:val="clear" w:color="auto" w:fill="D7F5C4"/>
          </w:tcPr>
          <w:p>
            <w:pPr>
              <w:spacing w:after="0"/>
              <w:rPr>
                <w:sz w:val="2"/>
                <w:szCs w:val="2"/>
                <w:color w:val="auto"/>
              </w:rPr>
            </w:pPr>
          </w:p>
        </w:tc>
        <w:tc>
          <w:tcPr>
            <w:tcW w:w="480" w:type="dxa"/>
            <w:vAlign w:val="bottom"/>
            <w:shd w:val="clear" w:color="auto" w:fill="D7F5C4"/>
          </w:tcPr>
          <w:p>
            <w:pPr>
              <w:spacing w:after="0"/>
              <w:rPr>
                <w:sz w:val="2"/>
                <w:szCs w:val="2"/>
                <w:color w:val="auto"/>
              </w:rPr>
            </w:pPr>
          </w:p>
        </w:tc>
        <w:tc>
          <w:tcPr>
            <w:tcW w:w="740" w:type="dxa"/>
            <w:vAlign w:val="bottom"/>
            <w:shd w:val="clear" w:color="auto" w:fill="D7F5C4"/>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D7F5C4"/>
          </w:tcPr>
          <w:p>
            <w:pPr>
              <w:spacing w:after="0"/>
              <w:rPr>
                <w:sz w:val="2"/>
                <w:szCs w:val="2"/>
                <w:color w:val="auto"/>
              </w:rPr>
            </w:pPr>
          </w:p>
        </w:tc>
      </w:tr>
      <w:tr>
        <w:trPr>
          <w:trHeight w:val="162"/>
        </w:trPr>
        <w:tc>
          <w:tcPr>
            <w:tcW w:w="180" w:type="dxa"/>
            <w:vAlign w:val="bottom"/>
          </w:tcPr>
          <w:p>
            <w:pPr>
              <w:spacing w:after="0"/>
              <w:rPr>
                <w:sz w:val="14"/>
                <w:szCs w:val="14"/>
                <w:color w:val="auto"/>
              </w:rPr>
            </w:pPr>
          </w:p>
        </w:tc>
        <w:tc>
          <w:tcPr>
            <w:tcW w:w="1840" w:type="dxa"/>
            <w:vAlign w:val="bottom"/>
            <w:gridSpan w:val="10"/>
          </w:tcPr>
          <w:p>
            <w:pPr>
              <w:spacing w:after="0"/>
              <w:rPr>
                <w:rFonts w:ascii="Arial" w:cs="Arial" w:eastAsia="Arial" w:hAnsi="Arial"/>
                <w:sz w:val="14"/>
                <w:szCs w:val="14"/>
                <w:color w:val="0000EE"/>
                <w:w w:val="97"/>
              </w:rPr>
            </w:pPr>
            <w:hyperlink w:anchor="page28">
              <w:r>
                <w:rPr>
                  <w:rFonts w:ascii="Arial" w:cs="Arial" w:eastAsia="Arial" w:hAnsi="Arial"/>
                  <w:sz w:val="14"/>
                  <w:szCs w:val="14"/>
                  <w:color w:val="0000EE"/>
                  <w:w w:val="97"/>
                </w:rPr>
                <w:t>Executive Officer Biographies</w:t>
              </w:r>
            </w:hyperlink>
          </w:p>
        </w:tc>
        <w:tc>
          <w:tcPr>
            <w:tcW w:w="6540" w:type="dxa"/>
            <w:vAlign w:val="bottom"/>
            <w:gridSpan w:val="19"/>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gridSpan w:val="3"/>
          </w:tcPr>
          <w:p>
            <w:pPr>
              <w:jc w:val="right"/>
              <w:ind w:right="100"/>
              <w:spacing w:after="0"/>
              <w:rPr>
                <w:rFonts w:ascii="Arial" w:cs="Arial" w:eastAsia="Arial" w:hAnsi="Arial"/>
                <w:sz w:val="14"/>
                <w:szCs w:val="14"/>
                <w:color w:val="0000EE"/>
                <w:w w:val="89"/>
              </w:rPr>
            </w:pPr>
            <w:hyperlink w:anchor="page28">
              <w:r>
                <w:rPr>
                  <w:rFonts w:ascii="Arial" w:cs="Arial" w:eastAsia="Arial" w:hAnsi="Arial"/>
                  <w:sz w:val="14"/>
                  <w:szCs w:val="14"/>
                  <w:color w:val="0000EE"/>
                  <w:w w:val="89"/>
                </w:rPr>
                <w:t>20</w:t>
              </w:r>
            </w:hyperlink>
          </w:p>
        </w:tc>
      </w:tr>
      <w:tr>
        <w:trPr>
          <w:trHeight w:val="27"/>
        </w:trPr>
        <w:tc>
          <w:tcPr>
            <w:tcW w:w="180" w:type="dxa"/>
            <w:vAlign w:val="bottom"/>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2660" w:type="dxa"/>
            <w:vAlign w:val="bottom"/>
            <w:tcBorders>
              <w:right w:val="single" w:sz="8" w:color="D7F5C4"/>
            </w:tcBorders>
            <w:gridSpan w:val="15"/>
            <w:shd w:val="clear" w:color="auto" w:fill="D7F5C4"/>
          </w:tcPr>
          <w:p>
            <w:pPr>
              <w:spacing w:after="0"/>
              <w:rPr>
                <w:rFonts w:ascii="Arial" w:cs="Arial" w:eastAsia="Arial" w:hAnsi="Arial"/>
                <w:sz w:val="14"/>
                <w:szCs w:val="14"/>
                <w:color w:val="0000EE"/>
              </w:rPr>
            </w:pPr>
            <w:hyperlink w:anchor="page30">
              <w:r>
                <w:rPr>
                  <w:rFonts w:ascii="Arial" w:cs="Arial" w:eastAsia="Arial" w:hAnsi="Arial"/>
                  <w:sz w:val="14"/>
                  <w:szCs w:val="14"/>
                  <w:color w:val="0000EE"/>
                </w:rPr>
                <w:t>Compensation Discussion and Analysis</w:t>
              </w:r>
            </w:hyperlink>
          </w:p>
        </w:tc>
        <w:tc>
          <w:tcPr>
            <w:tcW w:w="5900" w:type="dxa"/>
            <w:vAlign w:val="bottom"/>
            <w:tcBorders>
              <w:left w:val="single" w:sz="8" w:color="D7F5C4"/>
            </w:tcBorders>
            <w:gridSpan w:val="15"/>
            <w:shd w:val="clear" w:color="auto" w:fill="D7F5C4"/>
          </w:tcPr>
          <w:p>
            <w:pPr>
              <w:spacing w:after="0"/>
              <w:rPr>
                <w:sz w:val="14"/>
                <w:szCs w:val="14"/>
                <w:color w:val="auto"/>
              </w:rPr>
            </w:pPr>
          </w:p>
        </w:tc>
        <w:tc>
          <w:tcPr>
            <w:tcW w:w="740" w:type="dxa"/>
            <w:vAlign w:val="bottom"/>
            <w:shd w:val="clear" w:color="auto" w:fill="D7F5C4"/>
          </w:tcPr>
          <w:p>
            <w:pPr>
              <w:spacing w:after="0"/>
              <w:rPr>
                <w:sz w:val="14"/>
                <w:szCs w:val="14"/>
                <w:color w:val="auto"/>
              </w:rPr>
            </w:pPr>
          </w:p>
        </w:tc>
        <w:tc>
          <w:tcPr>
            <w:tcW w:w="260" w:type="dxa"/>
            <w:vAlign w:val="bottom"/>
            <w:gridSpan w:val="3"/>
            <w:shd w:val="clear" w:color="auto" w:fill="D7F5C4"/>
          </w:tcPr>
          <w:p>
            <w:pPr>
              <w:jc w:val="right"/>
              <w:ind w:right="100"/>
              <w:spacing w:after="0"/>
              <w:rPr>
                <w:rFonts w:ascii="Arial" w:cs="Arial" w:eastAsia="Arial" w:hAnsi="Arial"/>
                <w:sz w:val="14"/>
                <w:szCs w:val="14"/>
                <w:color w:val="0000EE"/>
                <w:w w:val="89"/>
              </w:rPr>
            </w:pPr>
            <w:hyperlink w:anchor="page30">
              <w:r>
                <w:rPr>
                  <w:rFonts w:ascii="Arial" w:cs="Arial" w:eastAsia="Arial" w:hAnsi="Arial"/>
                  <w:sz w:val="14"/>
                  <w:szCs w:val="14"/>
                  <w:color w:val="0000EE"/>
                  <w:w w:val="89"/>
                </w:rPr>
                <w:t>22</w:t>
              </w:r>
            </w:hyperlink>
          </w:p>
        </w:tc>
      </w:tr>
      <w:tr>
        <w:trPr>
          <w:trHeight w:val="27"/>
        </w:trPr>
        <w:tc>
          <w:tcPr>
            <w:tcW w:w="1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320" w:type="dxa"/>
            <w:vAlign w:val="bottom"/>
            <w:tcBorders>
              <w:left w:val="single" w:sz="8" w:color="0000EE"/>
              <w:right w:val="single" w:sz="8" w:color="D7F5C4"/>
            </w:tcBorders>
            <w:shd w:val="clear" w:color="auto" w:fill="0000EE"/>
          </w:tcPr>
          <w:p>
            <w:pPr>
              <w:spacing w:after="0"/>
              <w:rPr>
                <w:sz w:val="2"/>
                <w:szCs w:val="2"/>
                <w:color w:val="auto"/>
              </w:rPr>
            </w:pPr>
          </w:p>
        </w:tc>
        <w:tc>
          <w:tcPr>
            <w:tcW w:w="200" w:type="dxa"/>
            <w:vAlign w:val="bottom"/>
            <w:tcBorders>
              <w:left w:val="single" w:sz="8" w:color="D7F5C4"/>
              <w:right w:val="single" w:sz="8" w:color="D7F5C4"/>
            </w:tcBorders>
            <w:shd w:val="clear" w:color="auto" w:fill="D7F5C4"/>
          </w:tcPr>
          <w:p>
            <w:pPr>
              <w:spacing w:after="0"/>
              <w:rPr>
                <w:sz w:val="2"/>
                <w:szCs w:val="2"/>
                <w:color w:val="auto"/>
              </w:rPr>
            </w:pPr>
          </w:p>
        </w:tc>
        <w:tc>
          <w:tcPr>
            <w:tcW w:w="140" w:type="dxa"/>
            <w:vAlign w:val="bottom"/>
            <w:tcBorders>
              <w:right w:val="single" w:sz="8" w:color="D7F5C4"/>
            </w:tcBorders>
            <w:shd w:val="clear" w:color="auto" w:fill="D7F5C4"/>
          </w:tcPr>
          <w:p>
            <w:pPr>
              <w:spacing w:after="0"/>
              <w:rPr>
                <w:sz w:val="2"/>
                <w:szCs w:val="2"/>
                <w:color w:val="auto"/>
              </w:rPr>
            </w:pPr>
          </w:p>
        </w:tc>
        <w:tc>
          <w:tcPr>
            <w:tcW w:w="300" w:type="dxa"/>
            <w:vAlign w:val="bottom"/>
            <w:tcBorders>
              <w:left w:val="single" w:sz="8" w:color="D7F5C4"/>
            </w:tcBorders>
            <w:shd w:val="clear" w:color="auto" w:fill="D7F5C4"/>
          </w:tcPr>
          <w:p>
            <w:pPr>
              <w:spacing w:after="0"/>
              <w:rPr>
                <w:sz w:val="2"/>
                <w:szCs w:val="2"/>
                <w:color w:val="auto"/>
              </w:rPr>
            </w:pPr>
          </w:p>
        </w:tc>
        <w:tc>
          <w:tcPr>
            <w:tcW w:w="160" w:type="dxa"/>
            <w:vAlign w:val="bottom"/>
            <w:shd w:val="clear" w:color="auto" w:fill="D7F5C4"/>
          </w:tcPr>
          <w:p>
            <w:pPr>
              <w:spacing w:after="0"/>
              <w:rPr>
                <w:sz w:val="2"/>
                <w:szCs w:val="2"/>
                <w:color w:val="auto"/>
              </w:rPr>
            </w:pPr>
          </w:p>
        </w:tc>
        <w:tc>
          <w:tcPr>
            <w:tcW w:w="80" w:type="dxa"/>
            <w:vAlign w:val="bottom"/>
            <w:shd w:val="clear" w:color="auto" w:fill="D7F5C4"/>
          </w:tcPr>
          <w:p>
            <w:pPr>
              <w:spacing w:after="0"/>
              <w:rPr>
                <w:sz w:val="2"/>
                <w:szCs w:val="2"/>
                <w:color w:val="auto"/>
              </w:rPr>
            </w:pPr>
          </w:p>
        </w:tc>
        <w:tc>
          <w:tcPr>
            <w:tcW w:w="140" w:type="dxa"/>
            <w:vAlign w:val="bottom"/>
            <w:tcBorders>
              <w:right w:val="single" w:sz="8" w:color="D7F5C4"/>
            </w:tcBorders>
            <w:shd w:val="clear" w:color="auto" w:fill="D7F5C4"/>
          </w:tcPr>
          <w:p>
            <w:pPr>
              <w:spacing w:after="0"/>
              <w:rPr>
                <w:sz w:val="2"/>
                <w:szCs w:val="2"/>
                <w:color w:val="auto"/>
              </w:rPr>
            </w:pPr>
          </w:p>
        </w:tc>
        <w:tc>
          <w:tcPr>
            <w:tcW w:w="160" w:type="dxa"/>
            <w:vAlign w:val="bottom"/>
            <w:tcBorders>
              <w:left w:val="single" w:sz="8" w:color="D7F5C4"/>
            </w:tcBorders>
            <w:shd w:val="clear" w:color="auto" w:fill="D7F5C4"/>
          </w:tcPr>
          <w:p>
            <w:pPr>
              <w:spacing w:after="0"/>
              <w:rPr>
                <w:sz w:val="2"/>
                <w:szCs w:val="2"/>
                <w:color w:val="auto"/>
              </w:rPr>
            </w:pPr>
          </w:p>
        </w:tc>
        <w:tc>
          <w:tcPr>
            <w:tcW w:w="120" w:type="dxa"/>
            <w:vAlign w:val="bottom"/>
            <w:shd w:val="clear" w:color="auto" w:fill="D7F5C4"/>
          </w:tcPr>
          <w:p>
            <w:pPr>
              <w:spacing w:after="0"/>
              <w:rPr>
                <w:sz w:val="2"/>
                <w:szCs w:val="2"/>
                <w:color w:val="auto"/>
              </w:rPr>
            </w:pPr>
          </w:p>
        </w:tc>
        <w:tc>
          <w:tcPr>
            <w:tcW w:w="300" w:type="dxa"/>
            <w:vAlign w:val="bottom"/>
            <w:shd w:val="clear" w:color="auto" w:fill="D7F5C4"/>
          </w:tcPr>
          <w:p>
            <w:pPr>
              <w:spacing w:after="0"/>
              <w:rPr>
                <w:sz w:val="2"/>
                <w:szCs w:val="2"/>
                <w:color w:val="auto"/>
              </w:rPr>
            </w:pPr>
          </w:p>
        </w:tc>
        <w:tc>
          <w:tcPr>
            <w:tcW w:w="160" w:type="dxa"/>
            <w:vAlign w:val="bottom"/>
            <w:shd w:val="clear" w:color="auto" w:fill="D7F5C4"/>
          </w:tcPr>
          <w:p>
            <w:pPr>
              <w:spacing w:after="0"/>
              <w:rPr>
                <w:sz w:val="2"/>
                <w:szCs w:val="2"/>
                <w:color w:val="auto"/>
              </w:rPr>
            </w:pPr>
          </w:p>
        </w:tc>
        <w:tc>
          <w:tcPr>
            <w:tcW w:w="200" w:type="dxa"/>
            <w:vAlign w:val="bottom"/>
            <w:shd w:val="clear" w:color="auto" w:fill="D7F5C4"/>
          </w:tcPr>
          <w:p>
            <w:pPr>
              <w:spacing w:after="0"/>
              <w:rPr>
                <w:sz w:val="2"/>
                <w:szCs w:val="2"/>
                <w:color w:val="auto"/>
              </w:rPr>
            </w:pPr>
          </w:p>
        </w:tc>
        <w:tc>
          <w:tcPr>
            <w:tcW w:w="900" w:type="dxa"/>
            <w:vAlign w:val="bottom"/>
            <w:shd w:val="clear" w:color="auto" w:fill="D7F5C4"/>
          </w:tcPr>
          <w:p>
            <w:pPr>
              <w:spacing w:after="0"/>
              <w:rPr>
                <w:sz w:val="2"/>
                <w:szCs w:val="2"/>
                <w:color w:val="auto"/>
              </w:rPr>
            </w:pPr>
          </w:p>
        </w:tc>
        <w:tc>
          <w:tcPr>
            <w:tcW w:w="540" w:type="dxa"/>
            <w:vAlign w:val="bottom"/>
            <w:shd w:val="clear" w:color="auto" w:fill="D7F5C4"/>
          </w:tcPr>
          <w:p>
            <w:pPr>
              <w:spacing w:after="0"/>
              <w:rPr>
                <w:sz w:val="2"/>
                <w:szCs w:val="2"/>
                <w:color w:val="auto"/>
              </w:rPr>
            </w:pPr>
          </w:p>
        </w:tc>
        <w:tc>
          <w:tcPr>
            <w:tcW w:w="2020" w:type="dxa"/>
            <w:vAlign w:val="bottom"/>
            <w:shd w:val="clear" w:color="auto" w:fill="D7F5C4"/>
          </w:tcPr>
          <w:p>
            <w:pPr>
              <w:spacing w:after="0"/>
              <w:rPr>
                <w:sz w:val="2"/>
                <w:szCs w:val="2"/>
                <w:color w:val="auto"/>
              </w:rPr>
            </w:pPr>
          </w:p>
        </w:tc>
        <w:tc>
          <w:tcPr>
            <w:tcW w:w="480" w:type="dxa"/>
            <w:vAlign w:val="bottom"/>
            <w:shd w:val="clear" w:color="auto" w:fill="D7F5C4"/>
          </w:tcPr>
          <w:p>
            <w:pPr>
              <w:spacing w:after="0"/>
              <w:rPr>
                <w:sz w:val="2"/>
                <w:szCs w:val="2"/>
                <w:color w:val="auto"/>
              </w:rPr>
            </w:pPr>
          </w:p>
        </w:tc>
        <w:tc>
          <w:tcPr>
            <w:tcW w:w="740" w:type="dxa"/>
            <w:vAlign w:val="bottom"/>
            <w:shd w:val="clear" w:color="auto" w:fill="D7F5C4"/>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D7F5C4"/>
          </w:tcPr>
          <w:p>
            <w:pPr>
              <w:spacing w:after="0"/>
              <w:rPr>
                <w:sz w:val="2"/>
                <w:szCs w:val="2"/>
                <w:color w:val="auto"/>
              </w:rPr>
            </w:pPr>
          </w:p>
        </w:tc>
      </w:tr>
      <w:tr>
        <w:trPr>
          <w:trHeight w:val="162"/>
        </w:trPr>
        <w:tc>
          <w:tcPr>
            <w:tcW w:w="180" w:type="dxa"/>
            <w:vAlign w:val="bottom"/>
          </w:tcPr>
          <w:p>
            <w:pPr>
              <w:spacing w:after="0"/>
              <w:rPr>
                <w:sz w:val="14"/>
                <w:szCs w:val="14"/>
                <w:color w:val="auto"/>
              </w:rPr>
            </w:pPr>
          </w:p>
        </w:tc>
        <w:tc>
          <w:tcPr>
            <w:tcW w:w="1240" w:type="dxa"/>
            <w:vAlign w:val="bottom"/>
            <w:gridSpan w:val="5"/>
          </w:tcPr>
          <w:p>
            <w:pPr>
              <w:spacing w:after="0"/>
              <w:rPr>
                <w:rFonts w:ascii="Arial" w:cs="Arial" w:eastAsia="Arial" w:hAnsi="Arial"/>
                <w:sz w:val="14"/>
                <w:szCs w:val="14"/>
                <w:color w:val="0000EE"/>
                <w:w w:val="96"/>
              </w:rPr>
            </w:pPr>
            <w:hyperlink w:anchor="page30">
              <w:r>
                <w:rPr>
                  <w:rFonts w:ascii="Arial" w:cs="Arial" w:eastAsia="Arial" w:hAnsi="Arial"/>
                  <w:sz w:val="14"/>
                  <w:szCs w:val="14"/>
                  <w:color w:val="0000EE"/>
                  <w:w w:val="96"/>
                </w:rPr>
                <w:t>Executive Summary</w:t>
              </w:r>
            </w:hyperlink>
          </w:p>
        </w:tc>
        <w:tc>
          <w:tcPr>
            <w:tcW w:w="1240" w:type="dxa"/>
            <w:vAlign w:val="bottom"/>
            <w:gridSpan w:val="9"/>
          </w:tcPr>
          <w:p>
            <w:pPr>
              <w:spacing w:after="0"/>
              <w:rPr>
                <w:sz w:val="14"/>
                <w:szCs w:val="14"/>
                <w:color w:val="auto"/>
              </w:rPr>
            </w:pPr>
          </w:p>
        </w:tc>
        <w:tc>
          <w:tcPr>
            <w:tcW w:w="5900" w:type="dxa"/>
            <w:vAlign w:val="bottom"/>
            <w:gridSpan w:val="15"/>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gridSpan w:val="3"/>
          </w:tcPr>
          <w:p>
            <w:pPr>
              <w:jc w:val="right"/>
              <w:ind w:right="100"/>
              <w:spacing w:after="0"/>
              <w:rPr>
                <w:rFonts w:ascii="Arial" w:cs="Arial" w:eastAsia="Arial" w:hAnsi="Arial"/>
                <w:sz w:val="14"/>
                <w:szCs w:val="14"/>
                <w:color w:val="0000EE"/>
                <w:w w:val="89"/>
              </w:rPr>
            </w:pPr>
            <w:hyperlink w:anchor="page30">
              <w:r>
                <w:rPr>
                  <w:rFonts w:ascii="Arial" w:cs="Arial" w:eastAsia="Arial" w:hAnsi="Arial"/>
                  <w:sz w:val="14"/>
                  <w:szCs w:val="14"/>
                  <w:color w:val="0000EE"/>
                  <w:w w:val="89"/>
                </w:rPr>
                <w:t>22</w:t>
              </w:r>
            </w:hyperlink>
          </w:p>
        </w:tc>
      </w:tr>
      <w:tr>
        <w:trPr>
          <w:trHeight w:val="27"/>
        </w:trPr>
        <w:tc>
          <w:tcPr>
            <w:tcW w:w="180" w:type="dxa"/>
            <w:vAlign w:val="bottom"/>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180" w:type="dxa"/>
            <w:vAlign w:val="bottom"/>
            <w:shd w:val="clear" w:color="auto" w:fill="D7F5C4"/>
          </w:tcPr>
          <w:p>
            <w:pPr>
              <w:spacing w:after="0"/>
              <w:rPr>
                <w:sz w:val="14"/>
                <w:szCs w:val="14"/>
                <w:color w:val="auto"/>
              </w:rPr>
            </w:pPr>
          </w:p>
        </w:tc>
        <w:tc>
          <w:tcPr>
            <w:tcW w:w="2680" w:type="dxa"/>
            <w:vAlign w:val="bottom"/>
            <w:tcBorders>
              <w:right w:val="single" w:sz="8" w:color="D7F5C4"/>
            </w:tcBorders>
            <w:gridSpan w:val="15"/>
            <w:shd w:val="clear" w:color="auto" w:fill="D7F5C4"/>
          </w:tcPr>
          <w:p>
            <w:pPr>
              <w:spacing w:after="0"/>
              <w:rPr>
                <w:rFonts w:ascii="Arial" w:cs="Arial" w:eastAsia="Arial" w:hAnsi="Arial"/>
                <w:sz w:val="14"/>
                <w:szCs w:val="14"/>
                <w:color w:val="0000EE"/>
              </w:rPr>
            </w:pPr>
            <w:hyperlink w:anchor="page32">
              <w:r>
                <w:rPr>
                  <w:rFonts w:ascii="Arial" w:cs="Arial" w:eastAsia="Arial" w:hAnsi="Arial"/>
                  <w:sz w:val="14"/>
                  <w:szCs w:val="14"/>
                  <w:color w:val="0000EE"/>
                </w:rPr>
                <w:t>Compensation Philosophy and Objectives</w:t>
              </w:r>
            </w:hyperlink>
          </w:p>
        </w:tc>
        <w:tc>
          <w:tcPr>
            <w:tcW w:w="5700" w:type="dxa"/>
            <w:vAlign w:val="bottom"/>
            <w:gridSpan w:val="14"/>
            <w:shd w:val="clear" w:color="auto" w:fill="D7F5C4"/>
          </w:tcPr>
          <w:p>
            <w:pPr>
              <w:spacing w:after="0"/>
              <w:rPr>
                <w:sz w:val="14"/>
                <w:szCs w:val="14"/>
                <w:color w:val="auto"/>
              </w:rPr>
            </w:pPr>
          </w:p>
        </w:tc>
        <w:tc>
          <w:tcPr>
            <w:tcW w:w="740" w:type="dxa"/>
            <w:vAlign w:val="bottom"/>
            <w:shd w:val="clear" w:color="auto" w:fill="D7F5C4"/>
          </w:tcPr>
          <w:p>
            <w:pPr>
              <w:spacing w:after="0"/>
              <w:rPr>
                <w:sz w:val="14"/>
                <w:szCs w:val="14"/>
                <w:color w:val="auto"/>
              </w:rPr>
            </w:pPr>
          </w:p>
        </w:tc>
        <w:tc>
          <w:tcPr>
            <w:tcW w:w="260" w:type="dxa"/>
            <w:vAlign w:val="bottom"/>
            <w:gridSpan w:val="3"/>
            <w:shd w:val="clear" w:color="auto" w:fill="D7F5C4"/>
          </w:tcPr>
          <w:p>
            <w:pPr>
              <w:jc w:val="right"/>
              <w:ind w:right="100"/>
              <w:spacing w:after="0"/>
              <w:rPr>
                <w:rFonts w:ascii="Arial" w:cs="Arial" w:eastAsia="Arial" w:hAnsi="Arial"/>
                <w:sz w:val="14"/>
                <w:szCs w:val="14"/>
                <w:color w:val="0000EE"/>
                <w:w w:val="89"/>
              </w:rPr>
            </w:pPr>
            <w:hyperlink w:anchor="page32">
              <w:r>
                <w:rPr>
                  <w:rFonts w:ascii="Arial" w:cs="Arial" w:eastAsia="Arial" w:hAnsi="Arial"/>
                  <w:sz w:val="14"/>
                  <w:szCs w:val="14"/>
                  <w:color w:val="0000EE"/>
                  <w:w w:val="89"/>
                </w:rPr>
                <w:t>24</w:t>
              </w:r>
            </w:hyperlink>
          </w:p>
        </w:tc>
      </w:tr>
      <w:tr>
        <w:trPr>
          <w:trHeight w:val="27"/>
        </w:trPr>
        <w:tc>
          <w:tcPr>
            <w:tcW w:w="180" w:type="dxa"/>
            <w:vAlign w:val="bottom"/>
            <w:shd w:val="clear" w:color="auto" w:fill="D7F5C4"/>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320" w:type="dxa"/>
            <w:vAlign w:val="bottom"/>
            <w:tcBorders>
              <w:left w:val="single" w:sz="8" w:color="0000EE"/>
              <w:right w:val="single" w:sz="8" w:color="0000EE"/>
            </w:tcBorders>
            <w:shd w:val="clear" w:color="auto" w:fill="0000EE"/>
          </w:tcPr>
          <w:p>
            <w:pPr>
              <w:spacing w:after="0"/>
              <w:rPr>
                <w:sz w:val="2"/>
                <w:szCs w:val="2"/>
                <w:color w:val="auto"/>
              </w:rPr>
            </w:pPr>
          </w:p>
        </w:tc>
        <w:tc>
          <w:tcPr>
            <w:tcW w:w="200" w:type="dxa"/>
            <w:vAlign w:val="bottom"/>
            <w:tcBorders>
              <w:left w:val="single" w:sz="8" w:color="0000EE"/>
              <w:right w:val="single" w:sz="8" w:color="D7F5C4"/>
            </w:tcBorders>
            <w:shd w:val="clear" w:color="auto" w:fill="0000EE"/>
          </w:tcPr>
          <w:p>
            <w:pPr>
              <w:spacing w:after="0"/>
              <w:rPr>
                <w:sz w:val="2"/>
                <w:szCs w:val="2"/>
                <w:color w:val="auto"/>
              </w:rPr>
            </w:pPr>
          </w:p>
        </w:tc>
        <w:tc>
          <w:tcPr>
            <w:tcW w:w="140" w:type="dxa"/>
            <w:vAlign w:val="bottom"/>
            <w:tcBorders>
              <w:right w:val="single" w:sz="8" w:color="D7F5C4"/>
            </w:tcBorders>
            <w:shd w:val="clear" w:color="auto" w:fill="D7F5C4"/>
          </w:tcPr>
          <w:p>
            <w:pPr>
              <w:spacing w:after="0"/>
              <w:rPr>
                <w:sz w:val="2"/>
                <w:szCs w:val="2"/>
                <w:color w:val="auto"/>
              </w:rPr>
            </w:pPr>
          </w:p>
        </w:tc>
        <w:tc>
          <w:tcPr>
            <w:tcW w:w="300" w:type="dxa"/>
            <w:vAlign w:val="bottom"/>
            <w:tcBorders>
              <w:left w:val="single" w:sz="8" w:color="D7F5C4"/>
            </w:tcBorders>
            <w:shd w:val="clear" w:color="auto" w:fill="D7F5C4"/>
          </w:tcPr>
          <w:p>
            <w:pPr>
              <w:spacing w:after="0"/>
              <w:rPr>
                <w:sz w:val="2"/>
                <w:szCs w:val="2"/>
                <w:color w:val="auto"/>
              </w:rPr>
            </w:pPr>
          </w:p>
        </w:tc>
        <w:tc>
          <w:tcPr>
            <w:tcW w:w="160" w:type="dxa"/>
            <w:vAlign w:val="bottom"/>
            <w:shd w:val="clear" w:color="auto" w:fill="D7F5C4"/>
          </w:tcPr>
          <w:p>
            <w:pPr>
              <w:spacing w:after="0"/>
              <w:rPr>
                <w:sz w:val="2"/>
                <w:szCs w:val="2"/>
                <w:color w:val="auto"/>
              </w:rPr>
            </w:pPr>
          </w:p>
        </w:tc>
        <w:tc>
          <w:tcPr>
            <w:tcW w:w="80" w:type="dxa"/>
            <w:vAlign w:val="bottom"/>
            <w:shd w:val="clear" w:color="auto" w:fill="D7F5C4"/>
          </w:tcPr>
          <w:p>
            <w:pPr>
              <w:spacing w:after="0"/>
              <w:rPr>
                <w:sz w:val="2"/>
                <w:szCs w:val="2"/>
                <w:color w:val="auto"/>
              </w:rPr>
            </w:pPr>
          </w:p>
        </w:tc>
        <w:tc>
          <w:tcPr>
            <w:tcW w:w="140" w:type="dxa"/>
            <w:vAlign w:val="bottom"/>
            <w:tcBorders>
              <w:right w:val="single" w:sz="8" w:color="D7F5C4"/>
            </w:tcBorders>
            <w:shd w:val="clear" w:color="auto" w:fill="D7F5C4"/>
          </w:tcPr>
          <w:p>
            <w:pPr>
              <w:spacing w:after="0"/>
              <w:rPr>
                <w:sz w:val="2"/>
                <w:szCs w:val="2"/>
                <w:color w:val="auto"/>
              </w:rPr>
            </w:pPr>
          </w:p>
        </w:tc>
        <w:tc>
          <w:tcPr>
            <w:tcW w:w="160" w:type="dxa"/>
            <w:vAlign w:val="bottom"/>
            <w:tcBorders>
              <w:left w:val="single" w:sz="8" w:color="D7F5C4"/>
            </w:tcBorders>
            <w:shd w:val="clear" w:color="auto" w:fill="D7F5C4"/>
          </w:tcPr>
          <w:p>
            <w:pPr>
              <w:spacing w:after="0"/>
              <w:rPr>
                <w:sz w:val="2"/>
                <w:szCs w:val="2"/>
                <w:color w:val="auto"/>
              </w:rPr>
            </w:pPr>
          </w:p>
        </w:tc>
        <w:tc>
          <w:tcPr>
            <w:tcW w:w="120" w:type="dxa"/>
            <w:vAlign w:val="bottom"/>
            <w:shd w:val="clear" w:color="auto" w:fill="D7F5C4"/>
          </w:tcPr>
          <w:p>
            <w:pPr>
              <w:spacing w:after="0"/>
              <w:rPr>
                <w:sz w:val="2"/>
                <w:szCs w:val="2"/>
                <w:color w:val="auto"/>
              </w:rPr>
            </w:pPr>
          </w:p>
        </w:tc>
        <w:tc>
          <w:tcPr>
            <w:tcW w:w="300" w:type="dxa"/>
            <w:vAlign w:val="bottom"/>
            <w:shd w:val="clear" w:color="auto" w:fill="D7F5C4"/>
          </w:tcPr>
          <w:p>
            <w:pPr>
              <w:spacing w:after="0"/>
              <w:rPr>
                <w:sz w:val="2"/>
                <w:szCs w:val="2"/>
                <w:color w:val="auto"/>
              </w:rPr>
            </w:pPr>
          </w:p>
        </w:tc>
        <w:tc>
          <w:tcPr>
            <w:tcW w:w="160" w:type="dxa"/>
            <w:vAlign w:val="bottom"/>
            <w:shd w:val="clear" w:color="auto" w:fill="D7F5C4"/>
          </w:tcPr>
          <w:p>
            <w:pPr>
              <w:spacing w:after="0"/>
              <w:rPr>
                <w:sz w:val="2"/>
                <w:szCs w:val="2"/>
                <w:color w:val="auto"/>
              </w:rPr>
            </w:pPr>
          </w:p>
        </w:tc>
        <w:tc>
          <w:tcPr>
            <w:tcW w:w="200" w:type="dxa"/>
            <w:vAlign w:val="bottom"/>
            <w:shd w:val="clear" w:color="auto" w:fill="D7F5C4"/>
          </w:tcPr>
          <w:p>
            <w:pPr>
              <w:spacing w:after="0"/>
              <w:rPr>
                <w:sz w:val="2"/>
                <w:szCs w:val="2"/>
                <w:color w:val="auto"/>
              </w:rPr>
            </w:pPr>
          </w:p>
        </w:tc>
        <w:tc>
          <w:tcPr>
            <w:tcW w:w="900" w:type="dxa"/>
            <w:vAlign w:val="bottom"/>
            <w:shd w:val="clear" w:color="auto" w:fill="D7F5C4"/>
          </w:tcPr>
          <w:p>
            <w:pPr>
              <w:spacing w:after="0"/>
              <w:rPr>
                <w:sz w:val="2"/>
                <w:szCs w:val="2"/>
                <w:color w:val="auto"/>
              </w:rPr>
            </w:pPr>
          </w:p>
        </w:tc>
        <w:tc>
          <w:tcPr>
            <w:tcW w:w="540" w:type="dxa"/>
            <w:vAlign w:val="bottom"/>
            <w:shd w:val="clear" w:color="auto" w:fill="D7F5C4"/>
          </w:tcPr>
          <w:p>
            <w:pPr>
              <w:spacing w:after="0"/>
              <w:rPr>
                <w:sz w:val="2"/>
                <w:szCs w:val="2"/>
                <w:color w:val="auto"/>
              </w:rPr>
            </w:pPr>
          </w:p>
        </w:tc>
        <w:tc>
          <w:tcPr>
            <w:tcW w:w="2020" w:type="dxa"/>
            <w:vAlign w:val="bottom"/>
            <w:shd w:val="clear" w:color="auto" w:fill="D7F5C4"/>
          </w:tcPr>
          <w:p>
            <w:pPr>
              <w:spacing w:after="0"/>
              <w:rPr>
                <w:sz w:val="2"/>
                <w:szCs w:val="2"/>
                <w:color w:val="auto"/>
              </w:rPr>
            </w:pPr>
          </w:p>
        </w:tc>
        <w:tc>
          <w:tcPr>
            <w:tcW w:w="480" w:type="dxa"/>
            <w:vAlign w:val="bottom"/>
            <w:shd w:val="clear" w:color="auto" w:fill="D7F5C4"/>
          </w:tcPr>
          <w:p>
            <w:pPr>
              <w:spacing w:after="0"/>
              <w:rPr>
                <w:sz w:val="2"/>
                <w:szCs w:val="2"/>
                <w:color w:val="auto"/>
              </w:rPr>
            </w:pPr>
          </w:p>
        </w:tc>
        <w:tc>
          <w:tcPr>
            <w:tcW w:w="740" w:type="dxa"/>
            <w:vAlign w:val="bottom"/>
            <w:shd w:val="clear" w:color="auto" w:fill="D7F5C4"/>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D7F5C4"/>
          </w:tcPr>
          <w:p>
            <w:pPr>
              <w:spacing w:after="0"/>
              <w:rPr>
                <w:sz w:val="2"/>
                <w:szCs w:val="2"/>
                <w:color w:val="auto"/>
              </w:rPr>
            </w:pPr>
          </w:p>
        </w:tc>
      </w:tr>
      <w:tr>
        <w:trPr>
          <w:trHeight w:val="162"/>
        </w:trPr>
        <w:tc>
          <w:tcPr>
            <w:tcW w:w="180" w:type="dxa"/>
            <w:vAlign w:val="bottom"/>
          </w:tcPr>
          <w:p>
            <w:pPr>
              <w:spacing w:after="0"/>
              <w:rPr>
                <w:sz w:val="14"/>
                <w:szCs w:val="14"/>
                <w:color w:val="auto"/>
              </w:rPr>
            </w:pPr>
          </w:p>
        </w:tc>
        <w:tc>
          <w:tcPr>
            <w:tcW w:w="5340" w:type="dxa"/>
            <w:vAlign w:val="bottom"/>
            <w:gridSpan w:val="26"/>
          </w:tcPr>
          <w:p>
            <w:pPr>
              <w:spacing w:after="0"/>
              <w:rPr>
                <w:rFonts w:ascii="Arial" w:cs="Arial" w:eastAsia="Arial" w:hAnsi="Arial"/>
                <w:sz w:val="14"/>
                <w:szCs w:val="14"/>
                <w:color w:val="0000EE"/>
              </w:rPr>
            </w:pPr>
            <w:hyperlink w:anchor="page33">
              <w:r>
                <w:rPr>
                  <w:rFonts w:ascii="Arial" w:cs="Arial" w:eastAsia="Arial" w:hAnsi="Arial"/>
                  <w:sz w:val="14"/>
                  <w:szCs w:val="14"/>
                  <w:color w:val="0000EE"/>
                </w:rPr>
                <w:t>Committee Consideration of the 2018 Stockholder Vote on Executive Compensation</w:t>
              </w:r>
            </w:hyperlink>
          </w:p>
        </w:tc>
        <w:tc>
          <w:tcPr>
            <w:tcW w:w="3040" w:type="dxa"/>
            <w:vAlign w:val="bottom"/>
            <w:gridSpan w:val="3"/>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gridSpan w:val="3"/>
          </w:tcPr>
          <w:p>
            <w:pPr>
              <w:jc w:val="right"/>
              <w:ind w:right="100"/>
              <w:spacing w:after="0"/>
              <w:rPr>
                <w:rFonts w:ascii="Arial" w:cs="Arial" w:eastAsia="Arial" w:hAnsi="Arial"/>
                <w:sz w:val="14"/>
                <w:szCs w:val="14"/>
                <w:color w:val="0000EE"/>
                <w:w w:val="89"/>
              </w:rPr>
            </w:pPr>
            <w:hyperlink w:anchor="page33">
              <w:r>
                <w:rPr>
                  <w:rFonts w:ascii="Arial" w:cs="Arial" w:eastAsia="Arial" w:hAnsi="Arial"/>
                  <w:sz w:val="14"/>
                  <w:szCs w:val="14"/>
                  <w:color w:val="0000EE"/>
                  <w:w w:val="89"/>
                </w:rPr>
                <w:t>25</w:t>
              </w:r>
            </w:hyperlink>
          </w:p>
        </w:tc>
      </w:tr>
      <w:tr>
        <w:trPr>
          <w:trHeight w:val="27"/>
        </w:trPr>
        <w:tc>
          <w:tcPr>
            <w:tcW w:w="180" w:type="dxa"/>
            <w:vAlign w:val="bottom"/>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320" w:type="dxa"/>
            <w:vAlign w:val="bottom"/>
            <w:tcBorders>
              <w:left w:val="single" w:sz="8" w:color="0000EE"/>
              <w:right w:val="single" w:sz="8" w:color="0000EE"/>
            </w:tcBorders>
            <w:shd w:val="clear" w:color="auto" w:fill="0000EE"/>
          </w:tcPr>
          <w:p>
            <w:pPr>
              <w:spacing w:after="0"/>
              <w:rPr>
                <w:sz w:val="2"/>
                <w:szCs w:val="2"/>
                <w:color w:val="auto"/>
              </w:rPr>
            </w:pPr>
          </w:p>
        </w:tc>
        <w:tc>
          <w:tcPr>
            <w:tcW w:w="200" w:type="dxa"/>
            <w:vAlign w:val="bottom"/>
            <w:tcBorders>
              <w:left w:val="single" w:sz="8" w:color="0000EE"/>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30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180" w:type="dxa"/>
            <w:vAlign w:val="bottom"/>
            <w:shd w:val="clear" w:color="auto" w:fill="D7F5C4"/>
          </w:tcPr>
          <w:p>
            <w:pPr>
              <w:spacing w:after="0"/>
              <w:rPr>
                <w:sz w:val="14"/>
                <w:szCs w:val="14"/>
                <w:color w:val="auto"/>
              </w:rPr>
            </w:pPr>
          </w:p>
        </w:tc>
        <w:tc>
          <w:tcPr>
            <w:tcW w:w="2680" w:type="dxa"/>
            <w:vAlign w:val="bottom"/>
            <w:tcBorders>
              <w:right w:val="single" w:sz="8" w:color="D7F5C4"/>
            </w:tcBorders>
            <w:gridSpan w:val="15"/>
            <w:shd w:val="clear" w:color="auto" w:fill="D7F5C4"/>
          </w:tcPr>
          <w:p>
            <w:pPr>
              <w:spacing w:after="0"/>
              <w:rPr>
                <w:rFonts w:ascii="Arial" w:cs="Arial" w:eastAsia="Arial" w:hAnsi="Arial"/>
                <w:sz w:val="14"/>
                <w:szCs w:val="14"/>
                <w:color w:val="0000EE"/>
              </w:rPr>
            </w:pPr>
            <w:hyperlink w:anchor="page33">
              <w:r>
                <w:rPr>
                  <w:rFonts w:ascii="Arial" w:cs="Arial" w:eastAsia="Arial" w:hAnsi="Arial"/>
                  <w:sz w:val="14"/>
                  <w:szCs w:val="14"/>
                  <w:color w:val="0000EE"/>
                </w:rPr>
                <w:t>Key Elements of Executive Compensation</w:t>
              </w:r>
            </w:hyperlink>
          </w:p>
        </w:tc>
        <w:tc>
          <w:tcPr>
            <w:tcW w:w="2660" w:type="dxa"/>
            <w:vAlign w:val="bottom"/>
            <w:gridSpan w:val="11"/>
            <w:shd w:val="clear" w:color="auto" w:fill="D7F5C4"/>
          </w:tcPr>
          <w:p>
            <w:pPr>
              <w:spacing w:after="0"/>
              <w:rPr>
                <w:sz w:val="14"/>
                <w:szCs w:val="14"/>
                <w:color w:val="auto"/>
              </w:rPr>
            </w:pPr>
          </w:p>
        </w:tc>
        <w:tc>
          <w:tcPr>
            <w:tcW w:w="3040" w:type="dxa"/>
            <w:vAlign w:val="bottom"/>
            <w:gridSpan w:val="3"/>
            <w:shd w:val="clear" w:color="auto" w:fill="D7F5C4"/>
          </w:tcPr>
          <w:p>
            <w:pPr>
              <w:spacing w:after="0"/>
              <w:rPr>
                <w:sz w:val="14"/>
                <w:szCs w:val="14"/>
                <w:color w:val="auto"/>
              </w:rPr>
            </w:pPr>
          </w:p>
        </w:tc>
        <w:tc>
          <w:tcPr>
            <w:tcW w:w="740" w:type="dxa"/>
            <w:vAlign w:val="bottom"/>
            <w:shd w:val="clear" w:color="auto" w:fill="D7F5C4"/>
          </w:tcPr>
          <w:p>
            <w:pPr>
              <w:spacing w:after="0"/>
              <w:rPr>
                <w:sz w:val="14"/>
                <w:szCs w:val="14"/>
                <w:color w:val="auto"/>
              </w:rPr>
            </w:pPr>
          </w:p>
        </w:tc>
        <w:tc>
          <w:tcPr>
            <w:tcW w:w="260" w:type="dxa"/>
            <w:vAlign w:val="bottom"/>
            <w:gridSpan w:val="3"/>
            <w:shd w:val="clear" w:color="auto" w:fill="D7F5C4"/>
          </w:tcPr>
          <w:p>
            <w:pPr>
              <w:jc w:val="right"/>
              <w:ind w:right="100"/>
              <w:spacing w:after="0"/>
              <w:rPr>
                <w:rFonts w:ascii="Arial" w:cs="Arial" w:eastAsia="Arial" w:hAnsi="Arial"/>
                <w:sz w:val="14"/>
                <w:szCs w:val="14"/>
                <w:color w:val="0000EE"/>
                <w:w w:val="89"/>
              </w:rPr>
            </w:pPr>
            <w:hyperlink w:anchor="page33">
              <w:r>
                <w:rPr>
                  <w:rFonts w:ascii="Arial" w:cs="Arial" w:eastAsia="Arial" w:hAnsi="Arial"/>
                  <w:sz w:val="14"/>
                  <w:szCs w:val="14"/>
                  <w:color w:val="0000EE"/>
                  <w:w w:val="89"/>
                </w:rPr>
                <w:t>25</w:t>
              </w:r>
            </w:hyperlink>
          </w:p>
        </w:tc>
      </w:tr>
      <w:tr>
        <w:trPr>
          <w:trHeight w:val="27"/>
        </w:trPr>
        <w:tc>
          <w:tcPr>
            <w:tcW w:w="180" w:type="dxa"/>
            <w:vAlign w:val="bottom"/>
            <w:shd w:val="clear" w:color="auto" w:fill="D7F5C4"/>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320" w:type="dxa"/>
            <w:vAlign w:val="bottom"/>
            <w:tcBorders>
              <w:left w:val="single" w:sz="8" w:color="0000EE"/>
              <w:right w:val="single" w:sz="8" w:color="0000EE"/>
            </w:tcBorders>
            <w:shd w:val="clear" w:color="auto" w:fill="0000EE"/>
          </w:tcPr>
          <w:p>
            <w:pPr>
              <w:spacing w:after="0"/>
              <w:rPr>
                <w:sz w:val="2"/>
                <w:szCs w:val="2"/>
                <w:color w:val="auto"/>
              </w:rPr>
            </w:pPr>
          </w:p>
        </w:tc>
        <w:tc>
          <w:tcPr>
            <w:tcW w:w="200" w:type="dxa"/>
            <w:vAlign w:val="bottom"/>
            <w:tcBorders>
              <w:left w:val="single" w:sz="8" w:color="0000EE"/>
              <w:right w:val="single" w:sz="8" w:color="0000EE"/>
            </w:tcBorders>
            <w:shd w:val="clear" w:color="auto" w:fill="0000EE"/>
          </w:tcPr>
          <w:p>
            <w:pPr>
              <w:spacing w:after="0"/>
              <w:rPr>
                <w:sz w:val="2"/>
                <w:szCs w:val="2"/>
                <w:color w:val="auto"/>
              </w:rPr>
            </w:pPr>
          </w:p>
        </w:tc>
        <w:tc>
          <w:tcPr>
            <w:tcW w:w="140" w:type="dxa"/>
            <w:vAlign w:val="bottom"/>
            <w:tcBorders>
              <w:right w:val="single" w:sz="8" w:color="D7F5C4"/>
            </w:tcBorders>
            <w:shd w:val="clear" w:color="auto" w:fill="D7F5C4"/>
          </w:tcPr>
          <w:p>
            <w:pPr>
              <w:spacing w:after="0"/>
              <w:rPr>
                <w:sz w:val="2"/>
                <w:szCs w:val="2"/>
                <w:color w:val="auto"/>
              </w:rPr>
            </w:pPr>
          </w:p>
        </w:tc>
        <w:tc>
          <w:tcPr>
            <w:tcW w:w="300" w:type="dxa"/>
            <w:vAlign w:val="bottom"/>
            <w:tcBorders>
              <w:left w:val="single" w:sz="8" w:color="D7F5C4"/>
            </w:tcBorders>
            <w:shd w:val="clear" w:color="auto" w:fill="D7F5C4"/>
          </w:tcPr>
          <w:p>
            <w:pPr>
              <w:spacing w:after="0"/>
              <w:rPr>
                <w:sz w:val="2"/>
                <w:szCs w:val="2"/>
                <w:color w:val="auto"/>
              </w:rPr>
            </w:pPr>
          </w:p>
        </w:tc>
        <w:tc>
          <w:tcPr>
            <w:tcW w:w="160" w:type="dxa"/>
            <w:vAlign w:val="bottom"/>
            <w:shd w:val="clear" w:color="auto" w:fill="D7F5C4"/>
          </w:tcPr>
          <w:p>
            <w:pPr>
              <w:spacing w:after="0"/>
              <w:rPr>
                <w:sz w:val="2"/>
                <w:szCs w:val="2"/>
                <w:color w:val="auto"/>
              </w:rPr>
            </w:pPr>
          </w:p>
        </w:tc>
        <w:tc>
          <w:tcPr>
            <w:tcW w:w="80" w:type="dxa"/>
            <w:vAlign w:val="bottom"/>
            <w:shd w:val="clear" w:color="auto" w:fill="D7F5C4"/>
          </w:tcPr>
          <w:p>
            <w:pPr>
              <w:spacing w:after="0"/>
              <w:rPr>
                <w:sz w:val="2"/>
                <w:szCs w:val="2"/>
                <w:color w:val="auto"/>
              </w:rPr>
            </w:pPr>
          </w:p>
        </w:tc>
        <w:tc>
          <w:tcPr>
            <w:tcW w:w="140" w:type="dxa"/>
            <w:vAlign w:val="bottom"/>
            <w:tcBorders>
              <w:right w:val="single" w:sz="8" w:color="D7F5C4"/>
            </w:tcBorders>
            <w:shd w:val="clear" w:color="auto" w:fill="D7F5C4"/>
          </w:tcPr>
          <w:p>
            <w:pPr>
              <w:spacing w:after="0"/>
              <w:rPr>
                <w:sz w:val="2"/>
                <w:szCs w:val="2"/>
                <w:color w:val="auto"/>
              </w:rPr>
            </w:pPr>
          </w:p>
        </w:tc>
        <w:tc>
          <w:tcPr>
            <w:tcW w:w="160" w:type="dxa"/>
            <w:vAlign w:val="bottom"/>
            <w:tcBorders>
              <w:left w:val="single" w:sz="8" w:color="D7F5C4"/>
            </w:tcBorders>
            <w:shd w:val="clear" w:color="auto" w:fill="D7F5C4"/>
          </w:tcPr>
          <w:p>
            <w:pPr>
              <w:spacing w:after="0"/>
              <w:rPr>
                <w:sz w:val="2"/>
                <w:szCs w:val="2"/>
                <w:color w:val="auto"/>
              </w:rPr>
            </w:pPr>
          </w:p>
        </w:tc>
        <w:tc>
          <w:tcPr>
            <w:tcW w:w="120" w:type="dxa"/>
            <w:vAlign w:val="bottom"/>
            <w:shd w:val="clear" w:color="auto" w:fill="D7F5C4"/>
          </w:tcPr>
          <w:p>
            <w:pPr>
              <w:spacing w:after="0"/>
              <w:rPr>
                <w:sz w:val="2"/>
                <w:szCs w:val="2"/>
                <w:color w:val="auto"/>
              </w:rPr>
            </w:pPr>
          </w:p>
        </w:tc>
        <w:tc>
          <w:tcPr>
            <w:tcW w:w="300" w:type="dxa"/>
            <w:vAlign w:val="bottom"/>
            <w:shd w:val="clear" w:color="auto" w:fill="D7F5C4"/>
          </w:tcPr>
          <w:p>
            <w:pPr>
              <w:spacing w:after="0"/>
              <w:rPr>
                <w:sz w:val="2"/>
                <w:szCs w:val="2"/>
                <w:color w:val="auto"/>
              </w:rPr>
            </w:pPr>
          </w:p>
        </w:tc>
        <w:tc>
          <w:tcPr>
            <w:tcW w:w="160" w:type="dxa"/>
            <w:vAlign w:val="bottom"/>
            <w:shd w:val="clear" w:color="auto" w:fill="D7F5C4"/>
          </w:tcPr>
          <w:p>
            <w:pPr>
              <w:spacing w:after="0"/>
              <w:rPr>
                <w:sz w:val="2"/>
                <w:szCs w:val="2"/>
                <w:color w:val="auto"/>
              </w:rPr>
            </w:pPr>
          </w:p>
        </w:tc>
        <w:tc>
          <w:tcPr>
            <w:tcW w:w="200" w:type="dxa"/>
            <w:vAlign w:val="bottom"/>
            <w:shd w:val="clear" w:color="auto" w:fill="D7F5C4"/>
          </w:tcPr>
          <w:p>
            <w:pPr>
              <w:spacing w:after="0"/>
              <w:rPr>
                <w:sz w:val="2"/>
                <w:szCs w:val="2"/>
                <w:color w:val="auto"/>
              </w:rPr>
            </w:pPr>
          </w:p>
        </w:tc>
        <w:tc>
          <w:tcPr>
            <w:tcW w:w="900" w:type="dxa"/>
            <w:vAlign w:val="bottom"/>
            <w:shd w:val="clear" w:color="auto" w:fill="D7F5C4"/>
          </w:tcPr>
          <w:p>
            <w:pPr>
              <w:spacing w:after="0"/>
              <w:rPr>
                <w:sz w:val="2"/>
                <w:szCs w:val="2"/>
                <w:color w:val="auto"/>
              </w:rPr>
            </w:pPr>
          </w:p>
        </w:tc>
        <w:tc>
          <w:tcPr>
            <w:tcW w:w="540" w:type="dxa"/>
            <w:vAlign w:val="bottom"/>
            <w:shd w:val="clear" w:color="auto" w:fill="D7F5C4"/>
          </w:tcPr>
          <w:p>
            <w:pPr>
              <w:spacing w:after="0"/>
              <w:rPr>
                <w:sz w:val="2"/>
                <w:szCs w:val="2"/>
                <w:color w:val="auto"/>
              </w:rPr>
            </w:pPr>
          </w:p>
        </w:tc>
        <w:tc>
          <w:tcPr>
            <w:tcW w:w="2020" w:type="dxa"/>
            <w:vAlign w:val="bottom"/>
            <w:shd w:val="clear" w:color="auto" w:fill="D7F5C4"/>
          </w:tcPr>
          <w:p>
            <w:pPr>
              <w:spacing w:after="0"/>
              <w:rPr>
                <w:sz w:val="2"/>
                <w:szCs w:val="2"/>
                <w:color w:val="auto"/>
              </w:rPr>
            </w:pPr>
          </w:p>
        </w:tc>
        <w:tc>
          <w:tcPr>
            <w:tcW w:w="480" w:type="dxa"/>
            <w:vAlign w:val="bottom"/>
            <w:shd w:val="clear" w:color="auto" w:fill="D7F5C4"/>
          </w:tcPr>
          <w:p>
            <w:pPr>
              <w:spacing w:after="0"/>
              <w:rPr>
                <w:sz w:val="2"/>
                <w:szCs w:val="2"/>
                <w:color w:val="auto"/>
              </w:rPr>
            </w:pPr>
          </w:p>
        </w:tc>
        <w:tc>
          <w:tcPr>
            <w:tcW w:w="740" w:type="dxa"/>
            <w:vAlign w:val="bottom"/>
            <w:shd w:val="clear" w:color="auto" w:fill="D7F5C4"/>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D7F5C4"/>
          </w:tcPr>
          <w:p>
            <w:pPr>
              <w:spacing w:after="0"/>
              <w:rPr>
                <w:sz w:val="2"/>
                <w:szCs w:val="2"/>
                <w:color w:val="auto"/>
              </w:rPr>
            </w:pPr>
          </w:p>
        </w:tc>
      </w:tr>
      <w:tr>
        <w:trPr>
          <w:trHeight w:val="162"/>
        </w:trPr>
        <w:tc>
          <w:tcPr>
            <w:tcW w:w="180" w:type="dxa"/>
            <w:vAlign w:val="bottom"/>
          </w:tcPr>
          <w:p>
            <w:pPr>
              <w:spacing w:after="0"/>
              <w:rPr>
                <w:sz w:val="14"/>
                <w:szCs w:val="14"/>
                <w:color w:val="auto"/>
              </w:rPr>
            </w:pPr>
          </w:p>
        </w:tc>
        <w:tc>
          <w:tcPr>
            <w:tcW w:w="2680" w:type="dxa"/>
            <w:vAlign w:val="bottom"/>
            <w:gridSpan w:val="15"/>
          </w:tcPr>
          <w:p>
            <w:pPr>
              <w:spacing w:after="0"/>
              <w:rPr>
                <w:rFonts w:ascii="Arial" w:cs="Arial" w:eastAsia="Arial" w:hAnsi="Arial"/>
                <w:sz w:val="14"/>
                <w:szCs w:val="14"/>
                <w:color w:val="0000EE"/>
              </w:rPr>
            </w:pPr>
            <w:hyperlink w:anchor="page39">
              <w:r>
                <w:rPr>
                  <w:rFonts w:ascii="Arial" w:cs="Arial" w:eastAsia="Arial" w:hAnsi="Arial"/>
                  <w:sz w:val="14"/>
                  <w:szCs w:val="14"/>
                  <w:color w:val="0000EE"/>
                </w:rPr>
                <w:t>Clawback Policy</w:t>
              </w:r>
            </w:hyperlink>
          </w:p>
        </w:tc>
        <w:tc>
          <w:tcPr>
            <w:tcW w:w="5700" w:type="dxa"/>
            <w:vAlign w:val="bottom"/>
            <w:gridSpan w:val="14"/>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gridSpan w:val="3"/>
          </w:tcPr>
          <w:p>
            <w:pPr>
              <w:jc w:val="right"/>
              <w:ind w:right="100"/>
              <w:spacing w:after="0"/>
              <w:rPr>
                <w:rFonts w:ascii="Arial" w:cs="Arial" w:eastAsia="Arial" w:hAnsi="Arial"/>
                <w:sz w:val="14"/>
                <w:szCs w:val="14"/>
                <w:color w:val="0000EE"/>
                <w:w w:val="89"/>
              </w:rPr>
            </w:pPr>
            <w:hyperlink w:anchor="page39">
              <w:r>
                <w:rPr>
                  <w:rFonts w:ascii="Arial" w:cs="Arial" w:eastAsia="Arial" w:hAnsi="Arial"/>
                  <w:sz w:val="14"/>
                  <w:szCs w:val="14"/>
                  <w:color w:val="0000EE"/>
                  <w:w w:val="89"/>
                </w:rPr>
                <w:t>31</w:t>
              </w:r>
            </w:hyperlink>
          </w:p>
        </w:tc>
      </w:tr>
      <w:tr>
        <w:trPr>
          <w:trHeight w:val="27"/>
        </w:trPr>
        <w:tc>
          <w:tcPr>
            <w:tcW w:w="180" w:type="dxa"/>
            <w:vAlign w:val="bottom"/>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180" w:type="dxa"/>
            <w:vAlign w:val="bottom"/>
            <w:shd w:val="clear" w:color="auto" w:fill="D7F5C4"/>
          </w:tcPr>
          <w:p>
            <w:pPr>
              <w:spacing w:after="0"/>
              <w:rPr>
                <w:sz w:val="14"/>
                <w:szCs w:val="14"/>
                <w:color w:val="auto"/>
              </w:rPr>
            </w:pPr>
          </w:p>
        </w:tc>
        <w:tc>
          <w:tcPr>
            <w:tcW w:w="8380" w:type="dxa"/>
            <w:vAlign w:val="bottom"/>
            <w:gridSpan w:val="29"/>
            <w:shd w:val="clear" w:color="auto" w:fill="D7F5C4"/>
          </w:tcPr>
          <w:p>
            <w:pPr>
              <w:spacing w:after="0"/>
              <w:rPr>
                <w:rFonts w:ascii="Arial" w:cs="Arial" w:eastAsia="Arial" w:hAnsi="Arial"/>
                <w:sz w:val="14"/>
                <w:szCs w:val="14"/>
                <w:color w:val="0000EE"/>
              </w:rPr>
            </w:pPr>
            <w:hyperlink w:anchor="page39">
              <w:r>
                <w:rPr>
                  <w:rFonts w:ascii="Arial" w:cs="Arial" w:eastAsia="Arial" w:hAnsi="Arial"/>
                  <w:sz w:val="14"/>
                  <w:szCs w:val="14"/>
                  <w:color w:val="0000EE"/>
                </w:rPr>
                <w:t>Policy on Hedging and Pledging of Company Securities</w:t>
              </w:r>
            </w:hyperlink>
          </w:p>
        </w:tc>
        <w:tc>
          <w:tcPr>
            <w:tcW w:w="1000" w:type="dxa"/>
            <w:vAlign w:val="bottom"/>
            <w:gridSpan w:val="4"/>
            <w:shd w:val="clear" w:color="auto" w:fill="D7F5C4"/>
          </w:tcPr>
          <w:p>
            <w:pPr>
              <w:jc w:val="right"/>
              <w:ind w:right="100"/>
              <w:spacing w:after="0"/>
              <w:rPr>
                <w:rFonts w:ascii="Arial" w:cs="Arial" w:eastAsia="Arial" w:hAnsi="Arial"/>
                <w:sz w:val="14"/>
                <w:szCs w:val="14"/>
                <w:color w:val="0000EE"/>
              </w:rPr>
            </w:pPr>
            <w:hyperlink w:anchor="page39">
              <w:r>
                <w:rPr>
                  <w:rFonts w:ascii="Arial" w:cs="Arial" w:eastAsia="Arial" w:hAnsi="Arial"/>
                  <w:sz w:val="14"/>
                  <w:szCs w:val="14"/>
                  <w:color w:val="0000EE"/>
                </w:rPr>
                <w:t>31</w:t>
              </w:r>
            </w:hyperlink>
          </w:p>
        </w:tc>
      </w:tr>
      <w:tr>
        <w:trPr>
          <w:trHeight w:val="27"/>
        </w:trPr>
        <w:tc>
          <w:tcPr>
            <w:tcW w:w="180" w:type="dxa"/>
            <w:vAlign w:val="bottom"/>
            <w:shd w:val="clear" w:color="auto" w:fill="D7F5C4"/>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320" w:type="dxa"/>
            <w:vAlign w:val="bottom"/>
            <w:tcBorders>
              <w:left w:val="single" w:sz="8" w:color="0000EE"/>
              <w:right w:val="single" w:sz="8" w:color="0000EE"/>
            </w:tcBorders>
            <w:shd w:val="clear" w:color="auto" w:fill="0000EE"/>
          </w:tcPr>
          <w:p>
            <w:pPr>
              <w:spacing w:after="0"/>
              <w:rPr>
                <w:sz w:val="2"/>
                <w:szCs w:val="2"/>
                <w:color w:val="auto"/>
              </w:rPr>
            </w:pPr>
          </w:p>
        </w:tc>
        <w:tc>
          <w:tcPr>
            <w:tcW w:w="200" w:type="dxa"/>
            <w:vAlign w:val="bottom"/>
            <w:tcBorders>
              <w:left w:val="single" w:sz="8" w:color="0000EE"/>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30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60" w:type="dxa"/>
            <w:vAlign w:val="bottom"/>
            <w:tcBorders>
              <w:left w:val="single" w:sz="8" w:color="D7F5C4"/>
            </w:tcBorders>
            <w:shd w:val="clear" w:color="auto" w:fill="D7F5C4"/>
          </w:tcPr>
          <w:p>
            <w:pPr>
              <w:spacing w:after="0"/>
              <w:rPr>
                <w:sz w:val="2"/>
                <w:szCs w:val="2"/>
                <w:color w:val="auto"/>
              </w:rPr>
            </w:pPr>
          </w:p>
        </w:tc>
        <w:tc>
          <w:tcPr>
            <w:tcW w:w="120" w:type="dxa"/>
            <w:vAlign w:val="bottom"/>
            <w:shd w:val="clear" w:color="auto" w:fill="D7F5C4"/>
          </w:tcPr>
          <w:p>
            <w:pPr>
              <w:spacing w:after="0"/>
              <w:rPr>
                <w:sz w:val="2"/>
                <w:szCs w:val="2"/>
                <w:color w:val="auto"/>
              </w:rPr>
            </w:pPr>
          </w:p>
        </w:tc>
        <w:tc>
          <w:tcPr>
            <w:tcW w:w="300" w:type="dxa"/>
            <w:vAlign w:val="bottom"/>
            <w:shd w:val="clear" w:color="auto" w:fill="D7F5C4"/>
          </w:tcPr>
          <w:p>
            <w:pPr>
              <w:spacing w:after="0"/>
              <w:rPr>
                <w:sz w:val="2"/>
                <w:szCs w:val="2"/>
                <w:color w:val="auto"/>
              </w:rPr>
            </w:pPr>
          </w:p>
        </w:tc>
        <w:tc>
          <w:tcPr>
            <w:tcW w:w="160" w:type="dxa"/>
            <w:vAlign w:val="bottom"/>
            <w:shd w:val="clear" w:color="auto" w:fill="D7F5C4"/>
          </w:tcPr>
          <w:p>
            <w:pPr>
              <w:spacing w:after="0"/>
              <w:rPr>
                <w:sz w:val="2"/>
                <w:szCs w:val="2"/>
                <w:color w:val="auto"/>
              </w:rPr>
            </w:pPr>
          </w:p>
        </w:tc>
        <w:tc>
          <w:tcPr>
            <w:tcW w:w="200" w:type="dxa"/>
            <w:vAlign w:val="bottom"/>
            <w:shd w:val="clear" w:color="auto" w:fill="D7F5C4"/>
          </w:tcPr>
          <w:p>
            <w:pPr>
              <w:spacing w:after="0"/>
              <w:rPr>
                <w:sz w:val="2"/>
                <w:szCs w:val="2"/>
                <w:color w:val="auto"/>
              </w:rPr>
            </w:pPr>
          </w:p>
        </w:tc>
        <w:tc>
          <w:tcPr>
            <w:tcW w:w="900" w:type="dxa"/>
            <w:vAlign w:val="bottom"/>
            <w:shd w:val="clear" w:color="auto" w:fill="D7F5C4"/>
          </w:tcPr>
          <w:p>
            <w:pPr>
              <w:spacing w:after="0"/>
              <w:rPr>
                <w:sz w:val="2"/>
                <w:szCs w:val="2"/>
                <w:color w:val="auto"/>
              </w:rPr>
            </w:pPr>
          </w:p>
        </w:tc>
        <w:tc>
          <w:tcPr>
            <w:tcW w:w="540" w:type="dxa"/>
            <w:vAlign w:val="bottom"/>
            <w:shd w:val="clear" w:color="auto" w:fill="D7F5C4"/>
          </w:tcPr>
          <w:p>
            <w:pPr>
              <w:spacing w:after="0"/>
              <w:rPr>
                <w:sz w:val="2"/>
                <w:szCs w:val="2"/>
                <w:color w:val="auto"/>
              </w:rPr>
            </w:pPr>
          </w:p>
        </w:tc>
        <w:tc>
          <w:tcPr>
            <w:tcW w:w="2020" w:type="dxa"/>
            <w:vAlign w:val="bottom"/>
            <w:shd w:val="clear" w:color="auto" w:fill="D7F5C4"/>
          </w:tcPr>
          <w:p>
            <w:pPr>
              <w:spacing w:after="0"/>
              <w:rPr>
                <w:sz w:val="2"/>
                <w:szCs w:val="2"/>
                <w:color w:val="auto"/>
              </w:rPr>
            </w:pPr>
          </w:p>
        </w:tc>
        <w:tc>
          <w:tcPr>
            <w:tcW w:w="480" w:type="dxa"/>
            <w:vAlign w:val="bottom"/>
            <w:shd w:val="clear" w:color="auto" w:fill="D7F5C4"/>
          </w:tcPr>
          <w:p>
            <w:pPr>
              <w:spacing w:after="0"/>
              <w:rPr>
                <w:sz w:val="2"/>
                <w:szCs w:val="2"/>
                <w:color w:val="auto"/>
              </w:rPr>
            </w:pPr>
          </w:p>
        </w:tc>
        <w:tc>
          <w:tcPr>
            <w:tcW w:w="740" w:type="dxa"/>
            <w:vAlign w:val="bottom"/>
            <w:shd w:val="clear" w:color="auto" w:fill="D7F5C4"/>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D7F5C4"/>
          </w:tcPr>
          <w:p>
            <w:pPr>
              <w:spacing w:after="0"/>
              <w:rPr>
                <w:sz w:val="2"/>
                <w:szCs w:val="2"/>
                <w:color w:val="auto"/>
              </w:rPr>
            </w:pPr>
          </w:p>
        </w:tc>
      </w:tr>
      <w:tr>
        <w:trPr>
          <w:trHeight w:val="162"/>
        </w:trPr>
        <w:tc>
          <w:tcPr>
            <w:tcW w:w="180" w:type="dxa"/>
            <w:vAlign w:val="bottom"/>
          </w:tcPr>
          <w:p>
            <w:pPr>
              <w:spacing w:after="0"/>
              <w:rPr>
                <w:sz w:val="14"/>
                <w:szCs w:val="14"/>
                <w:color w:val="auto"/>
              </w:rPr>
            </w:pPr>
          </w:p>
        </w:tc>
        <w:tc>
          <w:tcPr>
            <w:tcW w:w="3500" w:type="dxa"/>
            <w:vAlign w:val="bottom"/>
            <w:gridSpan w:val="20"/>
          </w:tcPr>
          <w:p>
            <w:pPr>
              <w:spacing w:after="0"/>
              <w:rPr>
                <w:rFonts w:ascii="Arial" w:cs="Arial" w:eastAsia="Arial" w:hAnsi="Arial"/>
                <w:sz w:val="14"/>
                <w:szCs w:val="14"/>
                <w:color w:val="0000EE"/>
              </w:rPr>
            </w:pPr>
            <w:hyperlink w:anchor="page40">
              <w:r>
                <w:rPr>
                  <w:rFonts w:ascii="Arial" w:cs="Arial" w:eastAsia="Arial" w:hAnsi="Arial"/>
                  <w:sz w:val="14"/>
                  <w:szCs w:val="14"/>
                  <w:color w:val="0000EE"/>
                </w:rPr>
                <w:t>Compensation Program as it Relates to Risk</w:t>
              </w:r>
            </w:hyperlink>
          </w:p>
        </w:tc>
        <w:tc>
          <w:tcPr>
            <w:tcW w:w="4880" w:type="dxa"/>
            <w:vAlign w:val="bottom"/>
            <w:gridSpan w:val="9"/>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gridSpan w:val="3"/>
          </w:tcPr>
          <w:p>
            <w:pPr>
              <w:jc w:val="right"/>
              <w:ind w:right="100"/>
              <w:spacing w:after="0"/>
              <w:rPr>
                <w:rFonts w:ascii="Arial" w:cs="Arial" w:eastAsia="Arial" w:hAnsi="Arial"/>
                <w:sz w:val="14"/>
                <w:szCs w:val="14"/>
                <w:color w:val="0000EE"/>
                <w:w w:val="89"/>
              </w:rPr>
            </w:pPr>
            <w:hyperlink w:anchor="page40">
              <w:r>
                <w:rPr>
                  <w:rFonts w:ascii="Arial" w:cs="Arial" w:eastAsia="Arial" w:hAnsi="Arial"/>
                  <w:sz w:val="14"/>
                  <w:szCs w:val="14"/>
                  <w:color w:val="0000EE"/>
                  <w:w w:val="89"/>
                </w:rPr>
                <w:t>32</w:t>
              </w:r>
            </w:hyperlink>
          </w:p>
        </w:tc>
      </w:tr>
      <w:tr>
        <w:trPr>
          <w:trHeight w:val="27"/>
        </w:trPr>
        <w:tc>
          <w:tcPr>
            <w:tcW w:w="180" w:type="dxa"/>
            <w:vAlign w:val="bottom"/>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320" w:type="dxa"/>
            <w:vAlign w:val="bottom"/>
            <w:tcBorders>
              <w:left w:val="single" w:sz="8" w:color="0000EE"/>
              <w:right w:val="single" w:sz="8" w:color="0000EE"/>
            </w:tcBorders>
            <w:shd w:val="clear" w:color="auto" w:fill="0000EE"/>
          </w:tcPr>
          <w:p>
            <w:pPr>
              <w:spacing w:after="0"/>
              <w:rPr>
                <w:sz w:val="2"/>
                <w:szCs w:val="2"/>
                <w:color w:val="auto"/>
              </w:rPr>
            </w:pPr>
          </w:p>
        </w:tc>
        <w:tc>
          <w:tcPr>
            <w:tcW w:w="200" w:type="dxa"/>
            <w:vAlign w:val="bottom"/>
            <w:tcBorders>
              <w:left w:val="single" w:sz="8" w:color="0000EE"/>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180" w:type="dxa"/>
            <w:vAlign w:val="bottom"/>
            <w:shd w:val="clear" w:color="auto" w:fill="D7F5C4"/>
          </w:tcPr>
          <w:p>
            <w:pPr>
              <w:spacing w:after="0"/>
              <w:rPr>
                <w:sz w:val="14"/>
                <w:szCs w:val="14"/>
                <w:color w:val="auto"/>
              </w:rPr>
            </w:pPr>
          </w:p>
        </w:tc>
        <w:tc>
          <w:tcPr>
            <w:tcW w:w="2820" w:type="dxa"/>
            <w:vAlign w:val="bottom"/>
            <w:tcBorders>
              <w:right w:val="single" w:sz="8" w:color="D7F5C4"/>
            </w:tcBorders>
            <w:gridSpan w:val="16"/>
            <w:shd w:val="clear" w:color="auto" w:fill="D7F5C4"/>
          </w:tcPr>
          <w:p>
            <w:pPr>
              <w:spacing w:after="0"/>
              <w:rPr>
                <w:rFonts w:ascii="Arial" w:cs="Arial" w:eastAsia="Arial" w:hAnsi="Arial"/>
                <w:sz w:val="14"/>
                <w:szCs w:val="14"/>
                <w:color w:val="0000EE"/>
              </w:rPr>
            </w:pPr>
            <w:hyperlink w:anchor="page40">
              <w:r>
                <w:rPr>
                  <w:rFonts w:ascii="Arial" w:cs="Arial" w:eastAsia="Arial" w:hAnsi="Arial"/>
                  <w:sz w:val="14"/>
                  <w:szCs w:val="14"/>
                  <w:color w:val="0000EE"/>
                </w:rPr>
                <w:t>Equity Ownership Guidelines</w:t>
              </w:r>
            </w:hyperlink>
          </w:p>
        </w:tc>
        <w:tc>
          <w:tcPr>
            <w:tcW w:w="5560" w:type="dxa"/>
            <w:vAlign w:val="bottom"/>
            <w:tcBorders>
              <w:left w:val="single" w:sz="8" w:color="D7F5C4"/>
            </w:tcBorders>
            <w:gridSpan w:val="13"/>
            <w:shd w:val="clear" w:color="auto" w:fill="D7F5C4"/>
          </w:tcPr>
          <w:p>
            <w:pPr>
              <w:spacing w:after="0"/>
              <w:rPr>
                <w:sz w:val="14"/>
                <w:szCs w:val="14"/>
                <w:color w:val="auto"/>
              </w:rPr>
            </w:pPr>
          </w:p>
        </w:tc>
        <w:tc>
          <w:tcPr>
            <w:tcW w:w="740" w:type="dxa"/>
            <w:vAlign w:val="bottom"/>
            <w:shd w:val="clear" w:color="auto" w:fill="D7F5C4"/>
          </w:tcPr>
          <w:p>
            <w:pPr>
              <w:spacing w:after="0"/>
              <w:rPr>
                <w:sz w:val="14"/>
                <w:szCs w:val="14"/>
                <w:color w:val="auto"/>
              </w:rPr>
            </w:pPr>
          </w:p>
        </w:tc>
        <w:tc>
          <w:tcPr>
            <w:tcW w:w="260" w:type="dxa"/>
            <w:vAlign w:val="bottom"/>
            <w:gridSpan w:val="3"/>
            <w:shd w:val="clear" w:color="auto" w:fill="D7F5C4"/>
          </w:tcPr>
          <w:p>
            <w:pPr>
              <w:jc w:val="right"/>
              <w:ind w:right="100"/>
              <w:spacing w:after="0"/>
              <w:rPr>
                <w:rFonts w:ascii="Arial" w:cs="Arial" w:eastAsia="Arial" w:hAnsi="Arial"/>
                <w:sz w:val="14"/>
                <w:szCs w:val="14"/>
                <w:color w:val="0000EE"/>
                <w:w w:val="89"/>
              </w:rPr>
            </w:pPr>
            <w:hyperlink w:anchor="page40">
              <w:r>
                <w:rPr>
                  <w:rFonts w:ascii="Arial" w:cs="Arial" w:eastAsia="Arial" w:hAnsi="Arial"/>
                  <w:sz w:val="14"/>
                  <w:szCs w:val="14"/>
                  <w:color w:val="0000EE"/>
                  <w:w w:val="89"/>
                </w:rPr>
                <w:t>32</w:t>
              </w:r>
            </w:hyperlink>
          </w:p>
        </w:tc>
      </w:tr>
      <w:tr>
        <w:trPr>
          <w:trHeight w:val="27"/>
        </w:trPr>
        <w:tc>
          <w:tcPr>
            <w:tcW w:w="180" w:type="dxa"/>
            <w:vAlign w:val="bottom"/>
            <w:shd w:val="clear" w:color="auto" w:fill="D7F5C4"/>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D7F5C4"/>
            </w:tcBorders>
            <w:shd w:val="clear" w:color="auto" w:fill="D7F5C4"/>
          </w:tcPr>
          <w:p>
            <w:pPr>
              <w:spacing w:after="0"/>
              <w:rPr>
                <w:sz w:val="2"/>
                <w:szCs w:val="2"/>
                <w:color w:val="auto"/>
              </w:rPr>
            </w:pPr>
          </w:p>
        </w:tc>
        <w:tc>
          <w:tcPr>
            <w:tcW w:w="80" w:type="dxa"/>
            <w:vAlign w:val="bottom"/>
            <w:tcBorders>
              <w:left w:val="single" w:sz="8" w:color="D7F5C4"/>
            </w:tcBorders>
            <w:shd w:val="clear" w:color="auto" w:fill="D7F5C4"/>
          </w:tcPr>
          <w:p>
            <w:pPr>
              <w:spacing w:after="0"/>
              <w:rPr>
                <w:sz w:val="2"/>
                <w:szCs w:val="2"/>
                <w:color w:val="auto"/>
              </w:rPr>
            </w:pPr>
          </w:p>
        </w:tc>
        <w:tc>
          <w:tcPr>
            <w:tcW w:w="120" w:type="dxa"/>
            <w:vAlign w:val="bottom"/>
            <w:tcBorders>
              <w:left w:val="single" w:sz="8" w:color="D7F5C4"/>
            </w:tcBorders>
            <w:shd w:val="clear" w:color="auto" w:fill="D7F5C4"/>
          </w:tcPr>
          <w:p>
            <w:pPr>
              <w:spacing w:after="0"/>
              <w:rPr>
                <w:sz w:val="2"/>
                <w:szCs w:val="2"/>
                <w:color w:val="auto"/>
              </w:rPr>
            </w:pPr>
          </w:p>
        </w:tc>
        <w:tc>
          <w:tcPr>
            <w:tcW w:w="320" w:type="dxa"/>
            <w:vAlign w:val="bottom"/>
            <w:tcBorders>
              <w:left w:val="single" w:sz="8" w:color="D7F5C4"/>
              <w:right w:val="single" w:sz="8" w:color="D7F5C4"/>
            </w:tcBorders>
            <w:shd w:val="clear" w:color="auto" w:fill="D7F5C4"/>
          </w:tcPr>
          <w:p>
            <w:pPr>
              <w:spacing w:after="0"/>
              <w:rPr>
                <w:sz w:val="2"/>
                <w:szCs w:val="2"/>
                <w:color w:val="auto"/>
              </w:rPr>
            </w:pPr>
          </w:p>
        </w:tc>
        <w:tc>
          <w:tcPr>
            <w:tcW w:w="200" w:type="dxa"/>
            <w:vAlign w:val="bottom"/>
            <w:tcBorders>
              <w:left w:val="single" w:sz="8" w:color="D7F5C4"/>
              <w:right w:val="single" w:sz="8" w:color="D7F5C4"/>
            </w:tcBorders>
            <w:shd w:val="clear" w:color="auto" w:fill="D7F5C4"/>
          </w:tcPr>
          <w:p>
            <w:pPr>
              <w:spacing w:after="0"/>
              <w:rPr>
                <w:sz w:val="2"/>
                <w:szCs w:val="2"/>
                <w:color w:val="auto"/>
              </w:rPr>
            </w:pPr>
          </w:p>
        </w:tc>
        <w:tc>
          <w:tcPr>
            <w:tcW w:w="140" w:type="dxa"/>
            <w:vAlign w:val="bottom"/>
            <w:tcBorders>
              <w:right w:val="single" w:sz="8" w:color="D7F5C4"/>
            </w:tcBorders>
            <w:shd w:val="clear" w:color="auto" w:fill="D7F5C4"/>
          </w:tcPr>
          <w:p>
            <w:pPr>
              <w:spacing w:after="0"/>
              <w:rPr>
                <w:sz w:val="2"/>
                <w:szCs w:val="2"/>
                <w:color w:val="auto"/>
              </w:rPr>
            </w:pPr>
          </w:p>
        </w:tc>
        <w:tc>
          <w:tcPr>
            <w:tcW w:w="300" w:type="dxa"/>
            <w:vAlign w:val="bottom"/>
            <w:tcBorders>
              <w:left w:val="single" w:sz="8" w:color="D7F5C4"/>
            </w:tcBorders>
            <w:shd w:val="clear" w:color="auto" w:fill="D7F5C4"/>
          </w:tcPr>
          <w:p>
            <w:pPr>
              <w:spacing w:after="0"/>
              <w:rPr>
                <w:sz w:val="2"/>
                <w:szCs w:val="2"/>
                <w:color w:val="auto"/>
              </w:rPr>
            </w:pPr>
          </w:p>
        </w:tc>
        <w:tc>
          <w:tcPr>
            <w:tcW w:w="160" w:type="dxa"/>
            <w:vAlign w:val="bottom"/>
            <w:shd w:val="clear" w:color="auto" w:fill="D7F5C4"/>
          </w:tcPr>
          <w:p>
            <w:pPr>
              <w:spacing w:after="0"/>
              <w:rPr>
                <w:sz w:val="2"/>
                <w:szCs w:val="2"/>
                <w:color w:val="auto"/>
              </w:rPr>
            </w:pPr>
          </w:p>
        </w:tc>
        <w:tc>
          <w:tcPr>
            <w:tcW w:w="80" w:type="dxa"/>
            <w:vAlign w:val="bottom"/>
            <w:shd w:val="clear" w:color="auto" w:fill="D7F5C4"/>
          </w:tcPr>
          <w:p>
            <w:pPr>
              <w:spacing w:after="0"/>
              <w:rPr>
                <w:sz w:val="2"/>
                <w:szCs w:val="2"/>
                <w:color w:val="auto"/>
              </w:rPr>
            </w:pPr>
          </w:p>
        </w:tc>
        <w:tc>
          <w:tcPr>
            <w:tcW w:w="140" w:type="dxa"/>
            <w:vAlign w:val="bottom"/>
            <w:tcBorders>
              <w:right w:val="single" w:sz="8" w:color="D7F5C4"/>
            </w:tcBorders>
            <w:shd w:val="clear" w:color="auto" w:fill="D7F5C4"/>
          </w:tcPr>
          <w:p>
            <w:pPr>
              <w:spacing w:after="0"/>
              <w:rPr>
                <w:sz w:val="2"/>
                <w:szCs w:val="2"/>
                <w:color w:val="auto"/>
              </w:rPr>
            </w:pPr>
          </w:p>
        </w:tc>
        <w:tc>
          <w:tcPr>
            <w:tcW w:w="160" w:type="dxa"/>
            <w:vAlign w:val="bottom"/>
            <w:tcBorders>
              <w:left w:val="single" w:sz="8" w:color="D7F5C4"/>
            </w:tcBorders>
            <w:shd w:val="clear" w:color="auto" w:fill="D7F5C4"/>
          </w:tcPr>
          <w:p>
            <w:pPr>
              <w:spacing w:after="0"/>
              <w:rPr>
                <w:sz w:val="2"/>
                <w:szCs w:val="2"/>
                <w:color w:val="auto"/>
              </w:rPr>
            </w:pPr>
          </w:p>
        </w:tc>
        <w:tc>
          <w:tcPr>
            <w:tcW w:w="120" w:type="dxa"/>
            <w:vAlign w:val="bottom"/>
            <w:shd w:val="clear" w:color="auto" w:fill="D7F5C4"/>
          </w:tcPr>
          <w:p>
            <w:pPr>
              <w:spacing w:after="0"/>
              <w:rPr>
                <w:sz w:val="2"/>
                <w:szCs w:val="2"/>
                <w:color w:val="auto"/>
              </w:rPr>
            </w:pPr>
          </w:p>
        </w:tc>
        <w:tc>
          <w:tcPr>
            <w:tcW w:w="300" w:type="dxa"/>
            <w:vAlign w:val="bottom"/>
            <w:shd w:val="clear" w:color="auto" w:fill="D7F5C4"/>
          </w:tcPr>
          <w:p>
            <w:pPr>
              <w:spacing w:after="0"/>
              <w:rPr>
                <w:sz w:val="2"/>
                <w:szCs w:val="2"/>
                <w:color w:val="auto"/>
              </w:rPr>
            </w:pPr>
          </w:p>
        </w:tc>
        <w:tc>
          <w:tcPr>
            <w:tcW w:w="160" w:type="dxa"/>
            <w:vAlign w:val="bottom"/>
            <w:shd w:val="clear" w:color="auto" w:fill="D7F5C4"/>
          </w:tcPr>
          <w:p>
            <w:pPr>
              <w:spacing w:after="0"/>
              <w:rPr>
                <w:sz w:val="2"/>
                <w:szCs w:val="2"/>
                <w:color w:val="auto"/>
              </w:rPr>
            </w:pPr>
          </w:p>
        </w:tc>
        <w:tc>
          <w:tcPr>
            <w:tcW w:w="200" w:type="dxa"/>
            <w:vAlign w:val="bottom"/>
            <w:shd w:val="clear" w:color="auto" w:fill="D7F5C4"/>
          </w:tcPr>
          <w:p>
            <w:pPr>
              <w:spacing w:after="0"/>
              <w:rPr>
                <w:sz w:val="2"/>
                <w:szCs w:val="2"/>
                <w:color w:val="auto"/>
              </w:rPr>
            </w:pPr>
          </w:p>
        </w:tc>
        <w:tc>
          <w:tcPr>
            <w:tcW w:w="900" w:type="dxa"/>
            <w:vAlign w:val="bottom"/>
            <w:shd w:val="clear" w:color="auto" w:fill="D7F5C4"/>
          </w:tcPr>
          <w:p>
            <w:pPr>
              <w:spacing w:after="0"/>
              <w:rPr>
                <w:sz w:val="2"/>
                <w:szCs w:val="2"/>
                <w:color w:val="auto"/>
              </w:rPr>
            </w:pPr>
          </w:p>
        </w:tc>
        <w:tc>
          <w:tcPr>
            <w:tcW w:w="540" w:type="dxa"/>
            <w:vAlign w:val="bottom"/>
            <w:shd w:val="clear" w:color="auto" w:fill="D7F5C4"/>
          </w:tcPr>
          <w:p>
            <w:pPr>
              <w:spacing w:after="0"/>
              <w:rPr>
                <w:sz w:val="2"/>
                <w:szCs w:val="2"/>
                <w:color w:val="auto"/>
              </w:rPr>
            </w:pPr>
          </w:p>
        </w:tc>
        <w:tc>
          <w:tcPr>
            <w:tcW w:w="2020" w:type="dxa"/>
            <w:vAlign w:val="bottom"/>
            <w:shd w:val="clear" w:color="auto" w:fill="D7F5C4"/>
          </w:tcPr>
          <w:p>
            <w:pPr>
              <w:spacing w:after="0"/>
              <w:rPr>
                <w:sz w:val="2"/>
                <w:szCs w:val="2"/>
                <w:color w:val="auto"/>
              </w:rPr>
            </w:pPr>
          </w:p>
        </w:tc>
        <w:tc>
          <w:tcPr>
            <w:tcW w:w="480" w:type="dxa"/>
            <w:vAlign w:val="bottom"/>
            <w:shd w:val="clear" w:color="auto" w:fill="D7F5C4"/>
          </w:tcPr>
          <w:p>
            <w:pPr>
              <w:spacing w:after="0"/>
              <w:rPr>
                <w:sz w:val="2"/>
                <w:szCs w:val="2"/>
                <w:color w:val="auto"/>
              </w:rPr>
            </w:pPr>
          </w:p>
        </w:tc>
        <w:tc>
          <w:tcPr>
            <w:tcW w:w="740" w:type="dxa"/>
            <w:vAlign w:val="bottom"/>
            <w:shd w:val="clear" w:color="auto" w:fill="D7F5C4"/>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D7F5C4"/>
          </w:tcPr>
          <w:p>
            <w:pPr>
              <w:spacing w:after="0"/>
              <w:rPr>
                <w:sz w:val="2"/>
                <w:szCs w:val="2"/>
                <w:color w:val="auto"/>
              </w:rPr>
            </w:pPr>
          </w:p>
        </w:tc>
      </w:tr>
      <w:tr>
        <w:trPr>
          <w:trHeight w:val="162"/>
        </w:trPr>
        <w:tc>
          <w:tcPr>
            <w:tcW w:w="180" w:type="dxa"/>
            <w:vAlign w:val="bottom"/>
          </w:tcPr>
          <w:p>
            <w:pPr>
              <w:spacing w:after="0"/>
              <w:rPr>
                <w:sz w:val="14"/>
                <w:szCs w:val="14"/>
                <w:color w:val="auto"/>
              </w:rPr>
            </w:pPr>
          </w:p>
        </w:tc>
        <w:tc>
          <w:tcPr>
            <w:tcW w:w="3360" w:type="dxa"/>
            <w:vAlign w:val="bottom"/>
            <w:gridSpan w:val="19"/>
          </w:tcPr>
          <w:p>
            <w:pPr>
              <w:spacing w:after="0"/>
              <w:rPr>
                <w:rFonts w:ascii="Arial" w:cs="Arial" w:eastAsia="Arial" w:hAnsi="Arial"/>
                <w:sz w:val="14"/>
                <w:szCs w:val="14"/>
                <w:color w:val="0000EE"/>
              </w:rPr>
            </w:pPr>
            <w:hyperlink w:anchor="page41">
              <w:r>
                <w:rPr>
                  <w:rFonts w:ascii="Arial" w:cs="Arial" w:eastAsia="Arial" w:hAnsi="Arial"/>
                  <w:sz w:val="14"/>
                  <w:szCs w:val="14"/>
                  <w:color w:val="0000EE"/>
                </w:rPr>
                <w:t>Report of the Compensation Committee of the Board</w:t>
              </w:r>
            </w:hyperlink>
          </w:p>
        </w:tc>
        <w:tc>
          <w:tcPr>
            <w:tcW w:w="5020" w:type="dxa"/>
            <w:vAlign w:val="bottom"/>
            <w:gridSpan w:val="10"/>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gridSpan w:val="3"/>
          </w:tcPr>
          <w:p>
            <w:pPr>
              <w:jc w:val="right"/>
              <w:ind w:right="100"/>
              <w:spacing w:after="0"/>
              <w:rPr>
                <w:rFonts w:ascii="Arial" w:cs="Arial" w:eastAsia="Arial" w:hAnsi="Arial"/>
                <w:sz w:val="14"/>
                <w:szCs w:val="14"/>
                <w:color w:val="0000EE"/>
                <w:w w:val="89"/>
              </w:rPr>
            </w:pPr>
            <w:hyperlink w:anchor="page41">
              <w:r>
                <w:rPr>
                  <w:rFonts w:ascii="Arial" w:cs="Arial" w:eastAsia="Arial" w:hAnsi="Arial"/>
                  <w:sz w:val="14"/>
                  <w:szCs w:val="14"/>
                  <w:color w:val="0000EE"/>
                  <w:w w:val="89"/>
                </w:rPr>
                <w:t>33</w:t>
              </w:r>
            </w:hyperlink>
          </w:p>
        </w:tc>
      </w:tr>
      <w:tr>
        <w:trPr>
          <w:trHeight w:val="27"/>
        </w:trPr>
        <w:tc>
          <w:tcPr>
            <w:tcW w:w="180" w:type="dxa"/>
            <w:vAlign w:val="bottom"/>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320" w:type="dxa"/>
            <w:vAlign w:val="bottom"/>
            <w:tcBorders>
              <w:left w:val="single" w:sz="8" w:color="0000EE"/>
              <w:right w:val="single" w:sz="8" w:color="0000EE"/>
            </w:tcBorders>
            <w:shd w:val="clear" w:color="auto" w:fill="0000EE"/>
          </w:tcPr>
          <w:p>
            <w:pPr>
              <w:spacing w:after="0"/>
              <w:rPr>
                <w:sz w:val="2"/>
                <w:szCs w:val="2"/>
                <w:color w:val="auto"/>
              </w:rPr>
            </w:pPr>
          </w:p>
        </w:tc>
        <w:tc>
          <w:tcPr>
            <w:tcW w:w="200" w:type="dxa"/>
            <w:vAlign w:val="bottom"/>
            <w:tcBorders>
              <w:left w:val="single" w:sz="8" w:color="0000EE"/>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30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8560" w:type="dxa"/>
            <w:vAlign w:val="bottom"/>
            <w:gridSpan w:val="30"/>
            <w:shd w:val="clear" w:color="auto" w:fill="D7F5C4"/>
          </w:tcPr>
          <w:p>
            <w:pPr>
              <w:spacing w:after="0"/>
              <w:rPr>
                <w:rFonts w:ascii="Arial" w:cs="Arial" w:eastAsia="Arial" w:hAnsi="Arial"/>
                <w:sz w:val="14"/>
                <w:szCs w:val="14"/>
                <w:color w:val="0000EE"/>
              </w:rPr>
            </w:pPr>
            <w:hyperlink w:anchor="page42">
              <w:r>
                <w:rPr>
                  <w:rFonts w:ascii="Arial" w:cs="Arial" w:eastAsia="Arial" w:hAnsi="Arial"/>
                  <w:sz w:val="14"/>
                  <w:szCs w:val="14"/>
                  <w:color w:val="0000EE"/>
                </w:rPr>
                <w:t>Executive Officer Compensation</w:t>
              </w:r>
            </w:hyperlink>
          </w:p>
        </w:tc>
        <w:tc>
          <w:tcPr>
            <w:tcW w:w="1000" w:type="dxa"/>
            <w:vAlign w:val="bottom"/>
            <w:gridSpan w:val="4"/>
            <w:shd w:val="clear" w:color="auto" w:fill="D7F5C4"/>
          </w:tcPr>
          <w:p>
            <w:pPr>
              <w:jc w:val="right"/>
              <w:ind w:right="100"/>
              <w:spacing w:after="0"/>
              <w:rPr>
                <w:rFonts w:ascii="Arial" w:cs="Arial" w:eastAsia="Arial" w:hAnsi="Arial"/>
                <w:sz w:val="14"/>
                <w:szCs w:val="14"/>
                <w:color w:val="0000EE"/>
              </w:rPr>
            </w:pPr>
            <w:hyperlink w:anchor="page42">
              <w:r>
                <w:rPr>
                  <w:rFonts w:ascii="Arial" w:cs="Arial" w:eastAsia="Arial" w:hAnsi="Arial"/>
                  <w:sz w:val="14"/>
                  <w:szCs w:val="14"/>
                  <w:color w:val="0000EE"/>
                </w:rPr>
                <w:t>34</w:t>
              </w:r>
            </w:hyperlink>
          </w:p>
        </w:tc>
      </w:tr>
      <w:tr>
        <w:trPr>
          <w:trHeight w:val="27"/>
        </w:trPr>
        <w:tc>
          <w:tcPr>
            <w:tcW w:w="1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D7F5C4"/>
            </w:tcBorders>
            <w:shd w:val="clear" w:color="auto" w:fill="D7F5C4"/>
          </w:tcPr>
          <w:p>
            <w:pPr>
              <w:spacing w:after="0"/>
              <w:rPr>
                <w:sz w:val="2"/>
                <w:szCs w:val="2"/>
                <w:color w:val="auto"/>
              </w:rPr>
            </w:pPr>
          </w:p>
        </w:tc>
        <w:tc>
          <w:tcPr>
            <w:tcW w:w="80" w:type="dxa"/>
            <w:vAlign w:val="bottom"/>
            <w:tcBorders>
              <w:left w:val="single" w:sz="8" w:color="D7F5C4"/>
            </w:tcBorders>
            <w:shd w:val="clear" w:color="auto" w:fill="D7F5C4"/>
          </w:tcPr>
          <w:p>
            <w:pPr>
              <w:spacing w:after="0"/>
              <w:rPr>
                <w:sz w:val="2"/>
                <w:szCs w:val="2"/>
                <w:color w:val="auto"/>
              </w:rPr>
            </w:pPr>
          </w:p>
        </w:tc>
        <w:tc>
          <w:tcPr>
            <w:tcW w:w="120" w:type="dxa"/>
            <w:vAlign w:val="bottom"/>
            <w:tcBorders>
              <w:left w:val="single" w:sz="8" w:color="D7F5C4"/>
            </w:tcBorders>
            <w:shd w:val="clear" w:color="auto" w:fill="D7F5C4"/>
          </w:tcPr>
          <w:p>
            <w:pPr>
              <w:spacing w:after="0"/>
              <w:rPr>
                <w:sz w:val="2"/>
                <w:szCs w:val="2"/>
                <w:color w:val="auto"/>
              </w:rPr>
            </w:pPr>
          </w:p>
        </w:tc>
        <w:tc>
          <w:tcPr>
            <w:tcW w:w="320" w:type="dxa"/>
            <w:vAlign w:val="bottom"/>
            <w:tcBorders>
              <w:left w:val="single" w:sz="8" w:color="D7F5C4"/>
              <w:right w:val="single" w:sz="8" w:color="D7F5C4"/>
            </w:tcBorders>
            <w:shd w:val="clear" w:color="auto" w:fill="D7F5C4"/>
          </w:tcPr>
          <w:p>
            <w:pPr>
              <w:spacing w:after="0"/>
              <w:rPr>
                <w:sz w:val="2"/>
                <w:szCs w:val="2"/>
                <w:color w:val="auto"/>
              </w:rPr>
            </w:pPr>
          </w:p>
        </w:tc>
        <w:tc>
          <w:tcPr>
            <w:tcW w:w="200" w:type="dxa"/>
            <w:vAlign w:val="bottom"/>
            <w:tcBorders>
              <w:left w:val="single" w:sz="8" w:color="D7F5C4"/>
              <w:right w:val="single" w:sz="8" w:color="D7F5C4"/>
            </w:tcBorders>
            <w:shd w:val="clear" w:color="auto" w:fill="D7F5C4"/>
          </w:tcPr>
          <w:p>
            <w:pPr>
              <w:spacing w:after="0"/>
              <w:rPr>
                <w:sz w:val="2"/>
                <w:szCs w:val="2"/>
                <w:color w:val="auto"/>
              </w:rPr>
            </w:pPr>
          </w:p>
        </w:tc>
        <w:tc>
          <w:tcPr>
            <w:tcW w:w="140" w:type="dxa"/>
            <w:vAlign w:val="bottom"/>
            <w:tcBorders>
              <w:right w:val="single" w:sz="8" w:color="D7F5C4"/>
            </w:tcBorders>
            <w:shd w:val="clear" w:color="auto" w:fill="D7F5C4"/>
          </w:tcPr>
          <w:p>
            <w:pPr>
              <w:spacing w:after="0"/>
              <w:rPr>
                <w:sz w:val="2"/>
                <w:szCs w:val="2"/>
                <w:color w:val="auto"/>
              </w:rPr>
            </w:pPr>
          </w:p>
        </w:tc>
        <w:tc>
          <w:tcPr>
            <w:tcW w:w="300" w:type="dxa"/>
            <w:vAlign w:val="bottom"/>
            <w:tcBorders>
              <w:left w:val="single" w:sz="8" w:color="D7F5C4"/>
            </w:tcBorders>
            <w:shd w:val="clear" w:color="auto" w:fill="D7F5C4"/>
          </w:tcPr>
          <w:p>
            <w:pPr>
              <w:spacing w:after="0"/>
              <w:rPr>
                <w:sz w:val="2"/>
                <w:szCs w:val="2"/>
                <w:color w:val="auto"/>
              </w:rPr>
            </w:pPr>
          </w:p>
        </w:tc>
        <w:tc>
          <w:tcPr>
            <w:tcW w:w="160" w:type="dxa"/>
            <w:vAlign w:val="bottom"/>
            <w:shd w:val="clear" w:color="auto" w:fill="D7F5C4"/>
          </w:tcPr>
          <w:p>
            <w:pPr>
              <w:spacing w:after="0"/>
              <w:rPr>
                <w:sz w:val="2"/>
                <w:szCs w:val="2"/>
                <w:color w:val="auto"/>
              </w:rPr>
            </w:pPr>
          </w:p>
        </w:tc>
        <w:tc>
          <w:tcPr>
            <w:tcW w:w="80" w:type="dxa"/>
            <w:vAlign w:val="bottom"/>
            <w:shd w:val="clear" w:color="auto" w:fill="D7F5C4"/>
          </w:tcPr>
          <w:p>
            <w:pPr>
              <w:spacing w:after="0"/>
              <w:rPr>
                <w:sz w:val="2"/>
                <w:szCs w:val="2"/>
                <w:color w:val="auto"/>
              </w:rPr>
            </w:pPr>
          </w:p>
        </w:tc>
        <w:tc>
          <w:tcPr>
            <w:tcW w:w="140" w:type="dxa"/>
            <w:vAlign w:val="bottom"/>
            <w:tcBorders>
              <w:right w:val="single" w:sz="8" w:color="D7F5C4"/>
            </w:tcBorders>
            <w:shd w:val="clear" w:color="auto" w:fill="D7F5C4"/>
          </w:tcPr>
          <w:p>
            <w:pPr>
              <w:spacing w:after="0"/>
              <w:rPr>
                <w:sz w:val="2"/>
                <w:szCs w:val="2"/>
                <w:color w:val="auto"/>
              </w:rPr>
            </w:pPr>
          </w:p>
        </w:tc>
        <w:tc>
          <w:tcPr>
            <w:tcW w:w="160" w:type="dxa"/>
            <w:vAlign w:val="bottom"/>
            <w:tcBorders>
              <w:left w:val="single" w:sz="8" w:color="D7F5C4"/>
            </w:tcBorders>
            <w:shd w:val="clear" w:color="auto" w:fill="D7F5C4"/>
          </w:tcPr>
          <w:p>
            <w:pPr>
              <w:spacing w:after="0"/>
              <w:rPr>
                <w:sz w:val="2"/>
                <w:szCs w:val="2"/>
                <w:color w:val="auto"/>
              </w:rPr>
            </w:pPr>
          </w:p>
        </w:tc>
        <w:tc>
          <w:tcPr>
            <w:tcW w:w="120" w:type="dxa"/>
            <w:vAlign w:val="bottom"/>
            <w:shd w:val="clear" w:color="auto" w:fill="D7F5C4"/>
          </w:tcPr>
          <w:p>
            <w:pPr>
              <w:spacing w:after="0"/>
              <w:rPr>
                <w:sz w:val="2"/>
                <w:szCs w:val="2"/>
                <w:color w:val="auto"/>
              </w:rPr>
            </w:pPr>
          </w:p>
        </w:tc>
        <w:tc>
          <w:tcPr>
            <w:tcW w:w="300" w:type="dxa"/>
            <w:vAlign w:val="bottom"/>
            <w:shd w:val="clear" w:color="auto" w:fill="D7F5C4"/>
          </w:tcPr>
          <w:p>
            <w:pPr>
              <w:spacing w:after="0"/>
              <w:rPr>
                <w:sz w:val="2"/>
                <w:szCs w:val="2"/>
                <w:color w:val="auto"/>
              </w:rPr>
            </w:pPr>
          </w:p>
        </w:tc>
        <w:tc>
          <w:tcPr>
            <w:tcW w:w="160" w:type="dxa"/>
            <w:vAlign w:val="bottom"/>
            <w:shd w:val="clear" w:color="auto" w:fill="D7F5C4"/>
          </w:tcPr>
          <w:p>
            <w:pPr>
              <w:spacing w:after="0"/>
              <w:rPr>
                <w:sz w:val="2"/>
                <w:szCs w:val="2"/>
                <w:color w:val="auto"/>
              </w:rPr>
            </w:pPr>
          </w:p>
        </w:tc>
        <w:tc>
          <w:tcPr>
            <w:tcW w:w="200" w:type="dxa"/>
            <w:vAlign w:val="bottom"/>
            <w:shd w:val="clear" w:color="auto" w:fill="D7F5C4"/>
          </w:tcPr>
          <w:p>
            <w:pPr>
              <w:spacing w:after="0"/>
              <w:rPr>
                <w:sz w:val="2"/>
                <w:szCs w:val="2"/>
                <w:color w:val="auto"/>
              </w:rPr>
            </w:pPr>
          </w:p>
        </w:tc>
        <w:tc>
          <w:tcPr>
            <w:tcW w:w="900" w:type="dxa"/>
            <w:vAlign w:val="bottom"/>
            <w:shd w:val="clear" w:color="auto" w:fill="D7F5C4"/>
          </w:tcPr>
          <w:p>
            <w:pPr>
              <w:spacing w:after="0"/>
              <w:rPr>
                <w:sz w:val="2"/>
                <w:szCs w:val="2"/>
                <w:color w:val="auto"/>
              </w:rPr>
            </w:pPr>
          </w:p>
        </w:tc>
        <w:tc>
          <w:tcPr>
            <w:tcW w:w="540" w:type="dxa"/>
            <w:vAlign w:val="bottom"/>
            <w:shd w:val="clear" w:color="auto" w:fill="D7F5C4"/>
          </w:tcPr>
          <w:p>
            <w:pPr>
              <w:spacing w:after="0"/>
              <w:rPr>
                <w:sz w:val="2"/>
                <w:szCs w:val="2"/>
                <w:color w:val="auto"/>
              </w:rPr>
            </w:pPr>
          </w:p>
        </w:tc>
        <w:tc>
          <w:tcPr>
            <w:tcW w:w="2020" w:type="dxa"/>
            <w:vAlign w:val="bottom"/>
            <w:shd w:val="clear" w:color="auto" w:fill="D7F5C4"/>
          </w:tcPr>
          <w:p>
            <w:pPr>
              <w:spacing w:after="0"/>
              <w:rPr>
                <w:sz w:val="2"/>
                <w:szCs w:val="2"/>
                <w:color w:val="auto"/>
              </w:rPr>
            </w:pPr>
          </w:p>
        </w:tc>
        <w:tc>
          <w:tcPr>
            <w:tcW w:w="480" w:type="dxa"/>
            <w:vAlign w:val="bottom"/>
            <w:shd w:val="clear" w:color="auto" w:fill="D7F5C4"/>
          </w:tcPr>
          <w:p>
            <w:pPr>
              <w:spacing w:after="0"/>
              <w:rPr>
                <w:sz w:val="2"/>
                <w:szCs w:val="2"/>
                <w:color w:val="auto"/>
              </w:rPr>
            </w:pPr>
          </w:p>
        </w:tc>
        <w:tc>
          <w:tcPr>
            <w:tcW w:w="740" w:type="dxa"/>
            <w:vAlign w:val="bottom"/>
            <w:shd w:val="clear" w:color="auto" w:fill="D7F5C4"/>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D7F5C4"/>
          </w:tcPr>
          <w:p>
            <w:pPr>
              <w:spacing w:after="0"/>
              <w:rPr>
                <w:sz w:val="2"/>
                <w:szCs w:val="2"/>
                <w:color w:val="auto"/>
              </w:rPr>
            </w:pPr>
          </w:p>
        </w:tc>
      </w:tr>
      <w:tr>
        <w:trPr>
          <w:trHeight w:val="162"/>
        </w:trPr>
        <w:tc>
          <w:tcPr>
            <w:tcW w:w="180" w:type="dxa"/>
            <w:vAlign w:val="bottom"/>
          </w:tcPr>
          <w:p>
            <w:pPr>
              <w:spacing w:after="0"/>
              <w:rPr>
                <w:sz w:val="14"/>
                <w:szCs w:val="14"/>
                <w:color w:val="auto"/>
              </w:rPr>
            </w:pPr>
          </w:p>
        </w:tc>
        <w:tc>
          <w:tcPr>
            <w:tcW w:w="8380" w:type="dxa"/>
            <w:vAlign w:val="bottom"/>
            <w:gridSpan w:val="29"/>
          </w:tcPr>
          <w:p>
            <w:pPr>
              <w:spacing w:after="0"/>
              <w:rPr>
                <w:rFonts w:ascii="Arial" w:cs="Arial" w:eastAsia="Arial" w:hAnsi="Arial"/>
                <w:sz w:val="14"/>
                <w:szCs w:val="14"/>
                <w:color w:val="0000EE"/>
              </w:rPr>
            </w:pPr>
            <w:hyperlink w:anchor="page42">
              <w:r>
                <w:rPr>
                  <w:rFonts w:ascii="Arial" w:cs="Arial" w:eastAsia="Arial" w:hAnsi="Arial"/>
                  <w:sz w:val="14"/>
                  <w:szCs w:val="14"/>
                  <w:color w:val="0000EE"/>
                </w:rPr>
                <w:t>Summary Compensation Table</w:t>
              </w:r>
            </w:hyperlink>
          </w:p>
        </w:tc>
        <w:tc>
          <w:tcPr>
            <w:tcW w:w="1000" w:type="dxa"/>
            <w:vAlign w:val="bottom"/>
            <w:gridSpan w:val="4"/>
          </w:tcPr>
          <w:p>
            <w:pPr>
              <w:jc w:val="right"/>
              <w:ind w:right="100"/>
              <w:spacing w:after="0"/>
              <w:rPr>
                <w:rFonts w:ascii="Arial" w:cs="Arial" w:eastAsia="Arial" w:hAnsi="Arial"/>
                <w:sz w:val="14"/>
                <w:szCs w:val="14"/>
                <w:color w:val="0000EE"/>
              </w:rPr>
            </w:pPr>
            <w:hyperlink w:anchor="page42">
              <w:r>
                <w:rPr>
                  <w:rFonts w:ascii="Arial" w:cs="Arial" w:eastAsia="Arial" w:hAnsi="Arial"/>
                  <w:sz w:val="14"/>
                  <w:szCs w:val="14"/>
                  <w:color w:val="0000EE"/>
                </w:rPr>
                <w:t>34</w:t>
              </w:r>
            </w:hyperlink>
          </w:p>
        </w:tc>
      </w:tr>
      <w:tr>
        <w:trPr>
          <w:trHeight w:val="27"/>
        </w:trPr>
        <w:tc>
          <w:tcPr>
            <w:tcW w:w="180" w:type="dxa"/>
            <w:vAlign w:val="bottom"/>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180" w:type="dxa"/>
            <w:vAlign w:val="bottom"/>
            <w:shd w:val="clear" w:color="auto" w:fill="D7F5C4"/>
          </w:tcPr>
          <w:p>
            <w:pPr>
              <w:spacing w:after="0"/>
              <w:rPr>
                <w:sz w:val="14"/>
                <w:szCs w:val="14"/>
                <w:color w:val="auto"/>
              </w:rPr>
            </w:pPr>
          </w:p>
        </w:tc>
        <w:tc>
          <w:tcPr>
            <w:tcW w:w="8380" w:type="dxa"/>
            <w:vAlign w:val="bottom"/>
            <w:gridSpan w:val="29"/>
            <w:shd w:val="clear" w:color="auto" w:fill="D7F5C4"/>
          </w:tcPr>
          <w:p>
            <w:pPr>
              <w:spacing w:after="0"/>
              <w:rPr>
                <w:rFonts w:ascii="Arial" w:cs="Arial" w:eastAsia="Arial" w:hAnsi="Arial"/>
                <w:sz w:val="14"/>
                <w:szCs w:val="14"/>
                <w:color w:val="0000EE"/>
              </w:rPr>
            </w:pPr>
            <w:hyperlink w:anchor="page43">
              <w:r>
                <w:rPr>
                  <w:rFonts w:ascii="Arial" w:cs="Arial" w:eastAsia="Arial" w:hAnsi="Arial"/>
                  <w:sz w:val="14"/>
                  <w:szCs w:val="14"/>
                  <w:color w:val="0000EE"/>
                </w:rPr>
                <w:t>Grants of Plan-Based Awards During Fiscal 2019</w:t>
              </w:r>
            </w:hyperlink>
          </w:p>
        </w:tc>
        <w:tc>
          <w:tcPr>
            <w:tcW w:w="1000" w:type="dxa"/>
            <w:vAlign w:val="bottom"/>
            <w:gridSpan w:val="4"/>
            <w:shd w:val="clear" w:color="auto" w:fill="D7F5C4"/>
          </w:tcPr>
          <w:p>
            <w:pPr>
              <w:jc w:val="right"/>
              <w:ind w:right="100"/>
              <w:spacing w:after="0"/>
              <w:rPr>
                <w:rFonts w:ascii="Arial" w:cs="Arial" w:eastAsia="Arial" w:hAnsi="Arial"/>
                <w:sz w:val="14"/>
                <w:szCs w:val="14"/>
                <w:color w:val="0000EE"/>
              </w:rPr>
            </w:pPr>
            <w:hyperlink w:anchor="page43">
              <w:r>
                <w:rPr>
                  <w:rFonts w:ascii="Arial" w:cs="Arial" w:eastAsia="Arial" w:hAnsi="Arial"/>
                  <w:sz w:val="14"/>
                  <w:szCs w:val="14"/>
                  <w:color w:val="0000EE"/>
                </w:rPr>
                <w:t>35</w:t>
              </w:r>
            </w:hyperlink>
          </w:p>
        </w:tc>
      </w:tr>
      <w:tr>
        <w:trPr>
          <w:trHeight w:val="27"/>
        </w:trPr>
        <w:tc>
          <w:tcPr>
            <w:tcW w:w="180" w:type="dxa"/>
            <w:vAlign w:val="bottom"/>
            <w:shd w:val="clear" w:color="auto" w:fill="D7F5C4"/>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320" w:type="dxa"/>
            <w:vAlign w:val="bottom"/>
            <w:tcBorders>
              <w:left w:val="single" w:sz="8" w:color="0000EE"/>
              <w:right w:val="single" w:sz="8" w:color="0000EE"/>
            </w:tcBorders>
            <w:shd w:val="clear" w:color="auto" w:fill="0000EE"/>
          </w:tcPr>
          <w:p>
            <w:pPr>
              <w:spacing w:after="0"/>
              <w:rPr>
                <w:sz w:val="2"/>
                <w:szCs w:val="2"/>
                <w:color w:val="auto"/>
              </w:rPr>
            </w:pPr>
          </w:p>
        </w:tc>
        <w:tc>
          <w:tcPr>
            <w:tcW w:w="200" w:type="dxa"/>
            <w:vAlign w:val="bottom"/>
            <w:tcBorders>
              <w:left w:val="single" w:sz="8" w:color="0000EE"/>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30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D7F5C4"/>
          </w:tcPr>
          <w:p>
            <w:pPr>
              <w:spacing w:after="0"/>
              <w:rPr>
                <w:sz w:val="2"/>
                <w:szCs w:val="2"/>
                <w:color w:val="auto"/>
              </w:rPr>
            </w:pPr>
          </w:p>
        </w:tc>
        <w:tc>
          <w:tcPr>
            <w:tcW w:w="80" w:type="dxa"/>
            <w:vAlign w:val="bottom"/>
            <w:shd w:val="clear" w:color="auto" w:fill="D7F5C4"/>
          </w:tcPr>
          <w:p>
            <w:pPr>
              <w:spacing w:after="0"/>
              <w:rPr>
                <w:sz w:val="2"/>
                <w:szCs w:val="2"/>
                <w:color w:val="auto"/>
              </w:rPr>
            </w:pPr>
          </w:p>
        </w:tc>
        <w:tc>
          <w:tcPr>
            <w:tcW w:w="140" w:type="dxa"/>
            <w:vAlign w:val="bottom"/>
            <w:tcBorders>
              <w:right w:val="single" w:sz="8" w:color="D7F5C4"/>
            </w:tcBorders>
            <w:shd w:val="clear" w:color="auto" w:fill="D7F5C4"/>
          </w:tcPr>
          <w:p>
            <w:pPr>
              <w:spacing w:after="0"/>
              <w:rPr>
                <w:sz w:val="2"/>
                <w:szCs w:val="2"/>
                <w:color w:val="auto"/>
              </w:rPr>
            </w:pPr>
          </w:p>
        </w:tc>
        <w:tc>
          <w:tcPr>
            <w:tcW w:w="160" w:type="dxa"/>
            <w:vAlign w:val="bottom"/>
            <w:tcBorders>
              <w:left w:val="single" w:sz="8" w:color="D7F5C4"/>
            </w:tcBorders>
            <w:shd w:val="clear" w:color="auto" w:fill="D7F5C4"/>
          </w:tcPr>
          <w:p>
            <w:pPr>
              <w:spacing w:after="0"/>
              <w:rPr>
                <w:sz w:val="2"/>
                <w:szCs w:val="2"/>
                <w:color w:val="auto"/>
              </w:rPr>
            </w:pPr>
          </w:p>
        </w:tc>
        <w:tc>
          <w:tcPr>
            <w:tcW w:w="120" w:type="dxa"/>
            <w:vAlign w:val="bottom"/>
            <w:shd w:val="clear" w:color="auto" w:fill="D7F5C4"/>
          </w:tcPr>
          <w:p>
            <w:pPr>
              <w:spacing w:after="0"/>
              <w:rPr>
                <w:sz w:val="2"/>
                <w:szCs w:val="2"/>
                <w:color w:val="auto"/>
              </w:rPr>
            </w:pPr>
          </w:p>
        </w:tc>
        <w:tc>
          <w:tcPr>
            <w:tcW w:w="300" w:type="dxa"/>
            <w:vAlign w:val="bottom"/>
            <w:shd w:val="clear" w:color="auto" w:fill="D7F5C4"/>
          </w:tcPr>
          <w:p>
            <w:pPr>
              <w:spacing w:after="0"/>
              <w:rPr>
                <w:sz w:val="2"/>
                <w:szCs w:val="2"/>
                <w:color w:val="auto"/>
              </w:rPr>
            </w:pPr>
          </w:p>
        </w:tc>
        <w:tc>
          <w:tcPr>
            <w:tcW w:w="160" w:type="dxa"/>
            <w:vAlign w:val="bottom"/>
            <w:shd w:val="clear" w:color="auto" w:fill="D7F5C4"/>
          </w:tcPr>
          <w:p>
            <w:pPr>
              <w:spacing w:after="0"/>
              <w:rPr>
                <w:sz w:val="2"/>
                <w:szCs w:val="2"/>
                <w:color w:val="auto"/>
              </w:rPr>
            </w:pPr>
          </w:p>
        </w:tc>
        <w:tc>
          <w:tcPr>
            <w:tcW w:w="200" w:type="dxa"/>
            <w:vAlign w:val="bottom"/>
            <w:shd w:val="clear" w:color="auto" w:fill="D7F5C4"/>
          </w:tcPr>
          <w:p>
            <w:pPr>
              <w:spacing w:after="0"/>
              <w:rPr>
                <w:sz w:val="2"/>
                <w:szCs w:val="2"/>
                <w:color w:val="auto"/>
              </w:rPr>
            </w:pPr>
          </w:p>
        </w:tc>
        <w:tc>
          <w:tcPr>
            <w:tcW w:w="900" w:type="dxa"/>
            <w:vAlign w:val="bottom"/>
            <w:shd w:val="clear" w:color="auto" w:fill="D7F5C4"/>
          </w:tcPr>
          <w:p>
            <w:pPr>
              <w:spacing w:after="0"/>
              <w:rPr>
                <w:sz w:val="2"/>
                <w:szCs w:val="2"/>
                <w:color w:val="auto"/>
              </w:rPr>
            </w:pPr>
          </w:p>
        </w:tc>
        <w:tc>
          <w:tcPr>
            <w:tcW w:w="540" w:type="dxa"/>
            <w:vAlign w:val="bottom"/>
            <w:shd w:val="clear" w:color="auto" w:fill="D7F5C4"/>
          </w:tcPr>
          <w:p>
            <w:pPr>
              <w:spacing w:after="0"/>
              <w:rPr>
                <w:sz w:val="2"/>
                <w:szCs w:val="2"/>
                <w:color w:val="auto"/>
              </w:rPr>
            </w:pPr>
          </w:p>
        </w:tc>
        <w:tc>
          <w:tcPr>
            <w:tcW w:w="2020" w:type="dxa"/>
            <w:vAlign w:val="bottom"/>
            <w:shd w:val="clear" w:color="auto" w:fill="D7F5C4"/>
          </w:tcPr>
          <w:p>
            <w:pPr>
              <w:spacing w:after="0"/>
              <w:rPr>
                <w:sz w:val="2"/>
                <w:szCs w:val="2"/>
                <w:color w:val="auto"/>
              </w:rPr>
            </w:pPr>
          </w:p>
        </w:tc>
        <w:tc>
          <w:tcPr>
            <w:tcW w:w="480" w:type="dxa"/>
            <w:vAlign w:val="bottom"/>
            <w:shd w:val="clear" w:color="auto" w:fill="D7F5C4"/>
          </w:tcPr>
          <w:p>
            <w:pPr>
              <w:spacing w:after="0"/>
              <w:rPr>
                <w:sz w:val="2"/>
                <w:szCs w:val="2"/>
                <w:color w:val="auto"/>
              </w:rPr>
            </w:pPr>
          </w:p>
        </w:tc>
        <w:tc>
          <w:tcPr>
            <w:tcW w:w="740" w:type="dxa"/>
            <w:vAlign w:val="bottom"/>
            <w:shd w:val="clear" w:color="auto" w:fill="D7F5C4"/>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D7F5C4"/>
          </w:tcPr>
          <w:p>
            <w:pPr>
              <w:spacing w:after="0"/>
              <w:rPr>
                <w:sz w:val="2"/>
                <w:szCs w:val="2"/>
                <w:color w:val="auto"/>
              </w:rPr>
            </w:pPr>
          </w:p>
        </w:tc>
      </w:tr>
      <w:tr>
        <w:trPr>
          <w:trHeight w:val="162"/>
        </w:trPr>
        <w:tc>
          <w:tcPr>
            <w:tcW w:w="180" w:type="dxa"/>
            <w:vAlign w:val="bottom"/>
          </w:tcPr>
          <w:p>
            <w:pPr>
              <w:spacing w:after="0"/>
              <w:rPr>
                <w:sz w:val="14"/>
                <w:szCs w:val="14"/>
                <w:color w:val="auto"/>
              </w:rPr>
            </w:pPr>
          </w:p>
        </w:tc>
        <w:tc>
          <w:tcPr>
            <w:tcW w:w="8380" w:type="dxa"/>
            <w:vAlign w:val="bottom"/>
            <w:gridSpan w:val="29"/>
          </w:tcPr>
          <w:p>
            <w:pPr>
              <w:spacing w:after="0"/>
              <w:rPr>
                <w:rFonts w:ascii="Arial" w:cs="Arial" w:eastAsia="Arial" w:hAnsi="Arial"/>
                <w:sz w:val="14"/>
                <w:szCs w:val="14"/>
                <w:color w:val="0000EE"/>
              </w:rPr>
            </w:pPr>
            <w:hyperlink w:anchor="page44">
              <w:r>
                <w:rPr>
                  <w:rFonts w:ascii="Arial" w:cs="Arial" w:eastAsia="Arial" w:hAnsi="Arial"/>
                  <w:sz w:val="14"/>
                  <w:szCs w:val="14"/>
                  <w:color w:val="0000EE"/>
                </w:rPr>
                <w:t>Outstanding Equity Awards at Fiscal Year-End for 2019</w:t>
              </w:r>
            </w:hyperlink>
          </w:p>
        </w:tc>
        <w:tc>
          <w:tcPr>
            <w:tcW w:w="1000" w:type="dxa"/>
            <w:vAlign w:val="bottom"/>
            <w:gridSpan w:val="4"/>
          </w:tcPr>
          <w:p>
            <w:pPr>
              <w:jc w:val="right"/>
              <w:ind w:right="100"/>
              <w:spacing w:after="0"/>
              <w:rPr>
                <w:rFonts w:ascii="Arial" w:cs="Arial" w:eastAsia="Arial" w:hAnsi="Arial"/>
                <w:sz w:val="14"/>
                <w:szCs w:val="14"/>
                <w:color w:val="0000EE"/>
              </w:rPr>
            </w:pPr>
            <w:hyperlink w:anchor="page44">
              <w:r>
                <w:rPr>
                  <w:rFonts w:ascii="Arial" w:cs="Arial" w:eastAsia="Arial" w:hAnsi="Arial"/>
                  <w:sz w:val="14"/>
                  <w:szCs w:val="14"/>
                  <w:color w:val="0000EE"/>
                </w:rPr>
                <w:t>36</w:t>
              </w:r>
            </w:hyperlink>
          </w:p>
        </w:tc>
      </w:tr>
      <w:tr>
        <w:trPr>
          <w:trHeight w:val="27"/>
        </w:trPr>
        <w:tc>
          <w:tcPr>
            <w:tcW w:w="180" w:type="dxa"/>
            <w:vAlign w:val="bottom"/>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320" w:type="dxa"/>
            <w:vAlign w:val="bottom"/>
            <w:tcBorders>
              <w:left w:val="single" w:sz="8" w:color="0000EE"/>
              <w:right w:val="single" w:sz="8" w:color="0000EE"/>
            </w:tcBorders>
            <w:shd w:val="clear" w:color="auto" w:fill="0000EE"/>
          </w:tcPr>
          <w:p>
            <w:pPr>
              <w:spacing w:after="0"/>
              <w:rPr>
                <w:sz w:val="2"/>
                <w:szCs w:val="2"/>
                <w:color w:val="auto"/>
              </w:rPr>
            </w:pPr>
          </w:p>
        </w:tc>
        <w:tc>
          <w:tcPr>
            <w:tcW w:w="200" w:type="dxa"/>
            <w:vAlign w:val="bottom"/>
            <w:tcBorders>
              <w:left w:val="single" w:sz="8" w:color="0000EE"/>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30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180" w:type="dxa"/>
            <w:vAlign w:val="bottom"/>
            <w:shd w:val="clear" w:color="auto" w:fill="D7F5C4"/>
          </w:tcPr>
          <w:p>
            <w:pPr>
              <w:spacing w:after="0"/>
              <w:rPr>
                <w:sz w:val="14"/>
                <w:szCs w:val="14"/>
                <w:color w:val="auto"/>
              </w:rPr>
            </w:pPr>
          </w:p>
        </w:tc>
        <w:tc>
          <w:tcPr>
            <w:tcW w:w="3500" w:type="dxa"/>
            <w:vAlign w:val="bottom"/>
            <w:tcBorders>
              <w:right w:val="single" w:sz="8" w:color="D7F5C4"/>
            </w:tcBorders>
            <w:gridSpan w:val="20"/>
            <w:shd w:val="clear" w:color="auto" w:fill="D7F5C4"/>
          </w:tcPr>
          <w:p>
            <w:pPr>
              <w:spacing w:after="0"/>
              <w:rPr>
                <w:rFonts w:ascii="Arial" w:cs="Arial" w:eastAsia="Arial" w:hAnsi="Arial"/>
                <w:sz w:val="14"/>
                <w:szCs w:val="14"/>
                <w:color w:val="0000EE"/>
              </w:rPr>
            </w:pPr>
            <w:hyperlink w:anchor="page46">
              <w:r>
                <w:rPr>
                  <w:rFonts w:ascii="Arial" w:cs="Arial" w:eastAsia="Arial" w:hAnsi="Arial"/>
                  <w:sz w:val="14"/>
                  <w:szCs w:val="14"/>
                  <w:color w:val="0000EE"/>
                </w:rPr>
                <w:t>Option Exercises and Stock Vested During Fiscal 2019</w:t>
              </w:r>
            </w:hyperlink>
          </w:p>
        </w:tc>
        <w:tc>
          <w:tcPr>
            <w:tcW w:w="4880" w:type="dxa"/>
            <w:vAlign w:val="bottom"/>
            <w:tcBorders>
              <w:left w:val="single" w:sz="8" w:color="D7F5C4"/>
            </w:tcBorders>
            <w:gridSpan w:val="9"/>
            <w:shd w:val="clear" w:color="auto" w:fill="D7F5C4"/>
          </w:tcPr>
          <w:p>
            <w:pPr>
              <w:spacing w:after="0"/>
              <w:rPr>
                <w:sz w:val="14"/>
                <w:szCs w:val="14"/>
                <w:color w:val="auto"/>
              </w:rPr>
            </w:pPr>
          </w:p>
        </w:tc>
        <w:tc>
          <w:tcPr>
            <w:tcW w:w="740" w:type="dxa"/>
            <w:vAlign w:val="bottom"/>
            <w:shd w:val="clear" w:color="auto" w:fill="D7F5C4"/>
          </w:tcPr>
          <w:p>
            <w:pPr>
              <w:spacing w:after="0"/>
              <w:rPr>
                <w:sz w:val="14"/>
                <w:szCs w:val="14"/>
                <w:color w:val="auto"/>
              </w:rPr>
            </w:pPr>
          </w:p>
        </w:tc>
        <w:tc>
          <w:tcPr>
            <w:tcW w:w="260" w:type="dxa"/>
            <w:vAlign w:val="bottom"/>
            <w:gridSpan w:val="3"/>
            <w:shd w:val="clear" w:color="auto" w:fill="D7F5C4"/>
          </w:tcPr>
          <w:p>
            <w:pPr>
              <w:jc w:val="right"/>
              <w:ind w:right="100"/>
              <w:spacing w:after="0"/>
              <w:rPr>
                <w:rFonts w:ascii="Arial" w:cs="Arial" w:eastAsia="Arial" w:hAnsi="Arial"/>
                <w:sz w:val="14"/>
                <w:szCs w:val="14"/>
                <w:color w:val="0000EE"/>
                <w:w w:val="89"/>
              </w:rPr>
            </w:pPr>
            <w:hyperlink w:anchor="page46">
              <w:r>
                <w:rPr>
                  <w:rFonts w:ascii="Arial" w:cs="Arial" w:eastAsia="Arial" w:hAnsi="Arial"/>
                  <w:sz w:val="14"/>
                  <w:szCs w:val="14"/>
                  <w:color w:val="0000EE"/>
                  <w:w w:val="89"/>
                </w:rPr>
                <w:t>38</w:t>
              </w:r>
            </w:hyperlink>
          </w:p>
        </w:tc>
      </w:tr>
      <w:tr>
        <w:trPr>
          <w:trHeight w:val="27"/>
        </w:trPr>
        <w:tc>
          <w:tcPr>
            <w:tcW w:w="180" w:type="dxa"/>
            <w:vAlign w:val="bottom"/>
            <w:shd w:val="clear" w:color="auto" w:fill="D7F5C4"/>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320" w:type="dxa"/>
            <w:vAlign w:val="bottom"/>
            <w:tcBorders>
              <w:left w:val="single" w:sz="8" w:color="0000EE"/>
              <w:right w:val="single" w:sz="8" w:color="0000EE"/>
            </w:tcBorders>
            <w:shd w:val="clear" w:color="auto" w:fill="0000EE"/>
          </w:tcPr>
          <w:p>
            <w:pPr>
              <w:spacing w:after="0"/>
              <w:rPr>
                <w:sz w:val="2"/>
                <w:szCs w:val="2"/>
                <w:color w:val="auto"/>
              </w:rPr>
            </w:pPr>
          </w:p>
        </w:tc>
        <w:tc>
          <w:tcPr>
            <w:tcW w:w="200" w:type="dxa"/>
            <w:vAlign w:val="bottom"/>
            <w:tcBorders>
              <w:left w:val="single" w:sz="8" w:color="0000EE"/>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30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right w:val="single" w:sz="8" w:color="D7F5C4"/>
            </w:tcBorders>
            <w:shd w:val="clear" w:color="auto" w:fill="0000EE"/>
          </w:tcPr>
          <w:p>
            <w:pPr>
              <w:spacing w:after="0"/>
              <w:rPr>
                <w:sz w:val="2"/>
                <w:szCs w:val="2"/>
                <w:color w:val="auto"/>
              </w:rPr>
            </w:pPr>
          </w:p>
        </w:tc>
        <w:tc>
          <w:tcPr>
            <w:tcW w:w="160" w:type="dxa"/>
            <w:vAlign w:val="bottom"/>
            <w:tcBorders>
              <w:left w:val="single" w:sz="8" w:color="D7F5C4"/>
            </w:tcBorders>
            <w:shd w:val="clear" w:color="auto" w:fill="D7F5C4"/>
          </w:tcPr>
          <w:p>
            <w:pPr>
              <w:spacing w:after="0"/>
              <w:rPr>
                <w:sz w:val="2"/>
                <w:szCs w:val="2"/>
                <w:color w:val="auto"/>
              </w:rPr>
            </w:pPr>
          </w:p>
        </w:tc>
        <w:tc>
          <w:tcPr>
            <w:tcW w:w="120" w:type="dxa"/>
            <w:vAlign w:val="bottom"/>
            <w:shd w:val="clear" w:color="auto" w:fill="D7F5C4"/>
          </w:tcPr>
          <w:p>
            <w:pPr>
              <w:spacing w:after="0"/>
              <w:rPr>
                <w:sz w:val="2"/>
                <w:szCs w:val="2"/>
                <w:color w:val="auto"/>
              </w:rPr>
            </w:pPr>
          </w:p>
        </w:tc>
        <w:tc>
          <w:tcPr>
            <w:tcW w:w="300" w:type="dxa"/>
            <w:vAlign w:val="bottom"/>
            <w:shd w:val="clear" w:color="auto" w:fill="D7F5C4"/>
          </w:tcPr>
          <w:p>
            <w:pPr>
              <w:spacing w:after="0"/>
              <w:rPr>
                <w:sz w:val="2"/>
                <w:szCs w:val="2"/>
                <w:color w:val="auto"/>
              </w:rPr>
            </w:pPr>
          </w:p>
        </w:tc>
        <w:tc>
          <w:tcPr>
            <w:tcW w:w="160" w:type="dxa"/>
            <w:vAlign w:val="bottom"/>
            <w:shd w:val="clear" w:color="auto" w:fill="D7F5C4"/>
          </w:tcPr>
          <w:p>
            <w:pPr>
              <w:spacing w:after="0"/>
              <w:rPr>
                <w:sz w:val="2"/>
                <w:szCs w:val="2"/>
                <w:color w:val="auto"/>
              </w:rPr>
            </w:pPr>
          </w:p>
        </w:tc>
        <w:tc>
          <w:tcPr>
            <w:tcW w:w="200" w:type="dxa"/>
            <w:vAlign w:val="bottom"/>
            <w:shd w:val="clear" w:color="auto" w:fill="D7F5C4"/>
          </w:tcPr>
          <w:p>
            <w:pPr>
              <w:spacing w:after="0"/>
              <w:rPr>
                <w:sz w:val="2"/>
                <w:szCs w:val="2"/>
                <w:color w:val="auto"/>
              </w:rPr>
            </w:pPr>
          </w:p>
        </w:tc>
        <w:tc>
          <w:tcPr>
            <w:tcW w:w="900" w:type="dxa"/>
            <w:vAlign w:val="bottom"/>
            <w:shd w:val="clear" w:color="auto" w:fill="D7F5C4"/>
          </w:tcPr>
          <w:p>
            <w:pPr>
              <w:spacing w:after="0"/>
              <w:rPr>
                <w:sz w:val="2"/>
                <w:szCs w:val="2"/>
                <w:color w:val="auto"/>
              </w:rPr>
            </w:pPr>
          </w:p>
        </w:tc>
        <w:tc>
          <w:tcPr>
            <w:tcW w:w="540" w:type="dxa"/>
            <w:vAlign w:val="bottom"/>
            <w:shd w:val="clear" w:color="auto" w:fill="D7F5C4"/>
          </w:tcPr>
          <w:p>
            <w:pPr>
              <w:spacing w:after="0"/>
              <w:rPr>
                <w:sz w:val="2"/>
                <w:szCs w:val="2"/>
                <w:color w:val="auto"/>
              </w:rPr>
            </w:pPr>
          </w:p>
        </w:tc>
        <w:tc>
          <w:tcPr>
            <w:tcW w:w="2020" w:type="dxa"/>
            <w:vAlign w:val="bottom"/>
            <w:shd w:val="clear" w:color="auto" w:fill="D7F5C4"/>
          </w:tcPr>
          <w:p>
            <w:pPr>
              <w:spacing w:after="0"/>
              <w:rPr>
                <w:sz w:val="2"/>
                <w:szCs w:val="2"/>
                <w:color w:val="auto"/>
              </w:rPr>
            </w:pPr>
          </w:p>
        </w:tc>
        <w:tc>
          <w:tcPr>
            <w:tcW w:w="480" w:type="dxa"/>
            <w:vAlign w:val="bottom"/>
            <w:shd w:val="clear" w:color="auto" w:fill="D7F5C4"/>
          </w:tcPr>
          <w:p>
            <w:pPr>
              <w:spacing w:after="0"/>
              <w:rPr>
                <w:sz w:val="2"/>
                <w:szCs w:val="2"/>
                <w:color w:val="auto"/>
              </w:rPr>
            </w:pPr>
          </w:p>
        </w:tc>
        <w:tc>
          <w:tcPr>
            <w:tcW w:w="740" w:type="dxa"/>
            <w:vAlign w:val="bottom"/>
            <w:shd w:val="clear" w:color="auto" w:fill="D7F5C4"/>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D7F5C4"/>
          </w:tcPr>
          <w:p>
            <w:pPr>
              <w:spacing w:after="0"/>
              <w:rPr>
                <w:sz w:val="2"/>
                <w:szCs w:val="2"/>
                <w:color w:val="auto"/>
              </w:rPr>
            </w:pPr>
          </w:p>
        </w:tc>
      </w:tr>
      <w:tr>
        <w:trPr>
          <w:trHeight w:val="162"/>
        </w:trPr>
        <w:tc>
          <w:tcPr>
            <w:tcW w:w="180" w:type="dxa"/>
            <w:vAlign w:val="bottom"/>
          </w:tcPr>
          <w:p>
            <w:pPr>
              <w:spacing w:after="0"/>
              <w:rPr>
                <w:sz w:val="14"/>
                <w:szCs w:val="14"/>
                <w:color w:val="auto"/>
              </w:rPr>
            </w:pPr>
          </w:p>
        </w:tc>
        <w:tc>
          <w:tcPr>
            <w:tcW w:w="3780" w:type="dxa"/>
            <w:vAlign w:val="bottom"/>
            <w:gridSpan w:val="22"/>
          </w:tcPr>
          <w:p>
            <w:pPr>
              <w:spacing w:after="0"/>
              <w:rPr>
                <w:rFonts w:ascii="Arial" w:cs="Arial" w:eastAsia="Arial" w:hAnsi="Arial"/>
                <w:sz w:val="14"/>
                <w:szCs w:val="14"/>
                <w:color w:val="0000EE"/>
              </w:rPr>
            </w:pPr>
            <w:hyperlink w:anchor="page46">
              <w:r>
                <w:rPr>
                  <w:rFonts w:ascii="Arial" w:cs="Arial" w:eastAsia="Arial" w:hAnsi="Arial"/>
                  <w:sz w:val="14"/>
                  <w:szCs w:val="14"/>
                  <w:color w:val="0000EE"/>
                </w:rPr>
                <w:t>Potential Payments Upon Termination or Change of Control</w:t>
              </w:r>
            </w:hyperlink>
          </w:p>
        </w:tc>
        <w:tc>
          <w:tcPr>
            <w:tcW w:w="4600" w:type="dxa"/>
            <w:vAlign w:val="bottom"/>
            <w:gridSpan w:val="7"/>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gridSpan w:val="3"/>
          </w:tcPr>
          <w:p>
            <w:pPr>
              <w:jc w:val="right"/>
              <w:ind w:right="100"/>
              <w:spacing w:after="0"/>
              <w:rPr>
                <w:rFonts w:ascii="Arial" w:cs="Arial" w:eastAsia="Arial" w:hAnsi="Arial"/>
                <w:sz w:val="14"/>
                <w:szCs w:val="14"/>
                <w:color w:val="0000EE"/>
                <w:w w:val="89"/>
              </w:rPr>
            </w:pPr>
            <w:hyperlink w:anchor="page46">
              <w:r>
                <w:rPr>
                  <w:rFonts w:ascii="Arial" w:cs="Arial" w:eastAsia="Arial" w:hAnsi="Arial"/>
                  <w:sz w:val="14"/>
                  <w:szCs w:val="14"/>
                  <w:color w:val="0000EE"/>
                  <w:w w:val="89"/>
                </w:rPr>
                <w:t>38</w:t>
              </w:r>
            </w:hyperlink>
          </w:p>
        </w:tc>
      </w:tr>
      <w:tr>
        <w:trPr>
          <w:trHeight w:val="27"/>
        </w:trPr>
        <w:tc>
          <w:tcPr>
            <w:tcW w:w="180" w:type="dxa"/>
            <w:vAlign w:val="bottom"/>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320" w:type="dxa"/>
            <w:vAlign w:val="bottom"/>
            <w:tcBorders>
              <w:left w:val="single" w:sz="8" w:color="0000EE"/>
              <w:right w:val="single" w:sz="8" w:color="0000EE"/>
            </w:tcBorders>
            <w:shd w:val="clear" w:color="auto" w:fill="0000EE"/>
          </w:tcPr>
          <w:p>
            <w:pPr>
              <w:spacing w:after="0"/>
              <w:rPr>
                <w:sz w:val="2"/>
                <w:szCs w:val="2"/>
                <w:color w:val="auto"/>
              </w:rPr>
            </w:pPr>
          </w:p>
        </w:tc>
        <w:tc>
          <w:tcPr>
            <w:tcW w:w="200" w:type="dxa"/>
            <w:vAlign w:val="bottom"/>
            <w:tcBorders>
              <w:left w:val="single" w:sz="8" w:color="0000EE"/>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30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180" w:type="dxa"/>
            <w:vAlign w:val="bottom"/>
            <w:shd w:val="clear" w:color="auto" w:fill="D7F5C4"/>
          </w:tcPr>
          <w:p>
            <w:pPr>
              <w:spacing w:after="0"/>
              <w:rPr>
                <w:sz w:val="14"/>
                <w:szCs w:val="14"/>
                <w:color w:val="auto"/>
              </w:rPr>
            </w:pPr>
          </w:p>
        </w:tc>
        <w:tc>
          <w:tcPr>
            <w:tcW w:w="3780" w:type="dxa"/>
            <w:vAlign w:val="bottom"/>
            <w:gridSpan w:val="22"/>
            <w:shd w:val="clear" w:color="auto" w:fill="D7F5C4"/>
          </w:tcPr>
          <w:p>
            <w:pPr>
              <w:spacing w:after="0"/>
              <w:rPr>
                <w:rFonts w:ascii="Arial" w:cs="Arial" w:eastAsia="Arial" w:hAnsi="Arial"/>
                <w:sz w:val="14"/>
                <w:szCs w:val="14"/>
                <w:color w:val="0000EE"/>
              </w:rPr>
            </w:pPr>
            <w:hyperlink w:anchor="page49">
              <w:r>
                <w:rPr>
                  <w:rFonts w:ascii="Arial" w:cs="Arial" w:eastAsia="Arial" w:hAnsi="Arial"/>
                  <w:sz w:val="14"/>
                  <w:szCs w:val="14"/>
                  <w:color w:val="0000EE"/>
                </w:rPr>
                <w:t>CEO Pay Ratio</w:t>
              </w:r>
            </w:hyperlink>
          </w:p>
        </w:tc>
        <w:tc>
          <w:tcPr>
            <w:tcW w:w="4600" w:type="dxa"/>
            <w:vAlign w:val="bottom"/>
            <w:gridSpan w:val="7"/>
            <w:shd w:val="clear" w:color="auto" w:fill="D7F5C4"/>
          </w:tcPr>
          <w:p>
            <w:pPr>
              <w:spacing w:after="0"/>
              <w:rPr>
                <w:sz w:val="14"/>
                <w:szCs w:val="14"/>
                <w:color w:val="auto"/>
              </w:rPr>
            </w:pPr>
          </w:p>
        </w:tc>
        <w:tc>
          <w:tcPr>
            <w:tcW w:w="740" w:type="dxa"/>
            <w:vAlign w:val="bottom"/>
            <w:shd w:val="clear" w:color="auto" w:fill="D7F5C4"/>
          </w:tcPr>
          <w:p>
            <w:pPr>
              <w:spacing w:after="0"/>
              <w:rPr>
                <w:sz w:val="14"/>
                <w:szCs w:val="14"/>
                <w:color w:val="auto"/>
              </w:rPr>
            </w:pPr>
          </w:p>
        </w:tc>
        <w:tc>
          <w:tcPr>
            <w:tcW w:w="260" w:type="dxa"/>
            <w:vAlign w:val="bottom"/>
            <w:gridSpan w:val="3"/>
            <w:shd w:val="clear" w:color="auto" w:fill="D7F5C4"/>
          </w:tcPr>
          <w:p>
            <w:pPr>
              <w:jc w:val="right"/>
              <w:ind w:right="100"/>
              <w:spacing w:after="0"/>
              <w:rPr>
                <w:rFonts w:ascii="Arial" w:cs="Arial" w:eastAsia="Arial" w:hAnsi="Arial"/>
                <w:sz w:val="14"/>
                <w:szCs w:val="14"/>
                <w:color w:val="0000EE"/>
                <w:w w:val="89"/>
              </w:rPr>
            </w:pPr>
            <w:hyperlink w:anchor="page49">
              <w:r>
                <w:rPr>
                  <w:rFonts w:ascii="Arial" w:cs="Arial" w:eastAsia="Arial" w:hAnsi="Arial"/>
                  <w:sz w:val="14"/>
                  <w:szCs w:val="14"/>
                  <w:color w:val="0000EE"/>
                  <w:w w:val="89"/>
                </w:rPr>
                <w:t>41</w:t>
              </w:r>
            </w:hyperlink>
          </w:p>
        </w:tc>
      </w:tr>
      <w:tr>
        <w:trPr>
          <w:trHeight w:val="27"/>
        </w:trPr>
        <w:tc>
          <w:tcPr>
            <w:tcW w:w="180" w:type="dxa"/>
            <w:vAlign w:val="bottom"/>
            <w:shd w:val="clear" w:color="auto" w:fill="D7F5C4"/>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D7F5C4"/>
          </w:tcPr>
          <w:p>
            <w:pPr>
              <w:spacing w:after="0"/>
              <w:rPr>
                <w:sz w:val="2"/>
                <w:szCs w:val="2"/>
                <w:color w:val="auto"/>
              </w:rPr>
            </w:pPr>
          </w:p>
        </w:tc>
        <w:tc>
          <w:tcPr>
            <w:tcW w:w="200" w:type="dxa"/>
            <w:vAlign w:val="bottom"/>
            <w:shd w:val="clear" w:color="auto" w:fill="D7F5C4"/>
          </w:tcPr>
          <w:p>
            <w:pPr>
              <w:spacing w:after="0"/>
              <w:rPr>
                <w:sz w:val="2"/>
                <w:szCs w:val="2"/>
                <w:color w:val="auto"/>
              </w:rPr>
            </w:pPr>
          </w:p>
        </w:tc>
        <w:tc>
          <w:tcPr>
            <w:tcW w:w="160" w:type="dxa"/>
            <w:vAlign w:val="bottom"/>
            <w:tcBorders>
              <w:left w:val="single" w:sz="8" w:color="D7F5C4"/>
            </w:tcBorders>
            <w:shd w:val="clear" w:color="auto" w:fill="D7F5C4"/>
          </w:tcPr>
          <w:p>
            <w:pPr>
              <w:spacing w:after="0"/>
              <w:rPr>
                <w:sz w:val="2"/>
                <w:szCs w:val="2"/>
                <w:color w:val="auto"/>
              </w:rPr>
            </w:pPr>
          </w:p>
        </w:tc>
        <w:tc>
          <w:tcPr>
            <w:tcW w:w="80" w:type="dxa"/>
            <w:vAlign w:val="bottom"/>
            <w:tcBorders>
              <w:left w:val="single" w:sz="8" w:color="D7F5C4"/>
            </w:tcBorders>
            <w:shd w:val="clear" w:color="auto" w:fill="D7F5C4"/>
          </w:tcPr>
          <w:p>
            <w:pPr>
              <w:spacing w:after="0"/>
              <w:rPr>
                <w:sz w:val="2"/>
                <w:szCs w:val="2"/>
                <w:color w:val="auto"/>
              </w:rPr>
            </w:pPr>
          </w:p>
        </w:tc>
        <w:tc>
          <w:tcPr>
            <w:tcW w:w="80" w:type="dxa"/>
            <w:vAlign w:val="bottom"/>
            <w:shd w:val="clear" w:color="auto" w:fill="D7F5C4"/>
          </w:tcPr>
          <w:p>
            <w:pPr>
              <w:spacing w:after="0"/>
              <w:rPr>
                <w:sz w:val="2"/>
                <w:szCs w:val="2"/>
                <w:color w:val="auto"/>
              </w:rPr>
            </w:pPr>
          </w:p>
        </w:tc>
        <w:tc>
          <w:tcPr>
            <w:tcW w:w="100" w:type="dxa"/>
            <w:vAlign w:val="bottom"/>
            <w:shd w:val="clear" w:color="auto" w:fill="D7F5C4"/>
          </w:tcPr>
          <w:p>
            <w:pPr>
              <w:spacing w:after="0"/>
              <w:rPr>
                <w:sz w:val="2"/>
                <w:szCs w:val="2"/>
                <w:color w:val="auto"/>
              </w:rPr>
            </w:pPr>
          </w:p>
        </w:tc>
        <w:tc>
          <w:tcPr>
            <w:tcW w:w="180" w:type="dxa"/>
            <w:vAlign w:val="bottom"/>
            <w:tcBorders>
              <w:right w:val="single" w:sz="8" w:color="D7F5C4"/>
            </w:tcBorders>
            <w:shd w:val="clear" w:color="auto" w:fill="D7F5C4"/>
          </w:tcPr>
          <w:p>
            <w:pPr>
              <w:spacing w:after="0"/>
              <w:rPr>
                <w:sz w:val="2"/>
                <w:szCs w:val="2"/>
                <w:color w:val="auto"/>
              </w:rPr>
            </w:pPr>
          </w:p>
        </w:tc>
        <w:tc>
          <w:tcPr>
            <w:tcW w:w="120" w:type="dxa"/>
            <w:vAlign w:val="bottom"/>
            <w:tcBorders>
              <w:left w:val="single" w:sz="8" w:color="D7F5C4"/>
            </w:tcBorders>
            <w:shd w:val="clear" w:color="auto" w:fill="D7F5C4"/>
          </w:tcPr>
          <w:p>
            <w:pPr>
              <w:spacing w:after="0"/>
              <w:rPr>
                <w:sz w:val="2"/>
                <w:szCs w:val="2"/>
                <w:color w:val="auto"/>
              </w:rPr>
            </w:pPr>
          </w:p>
        </w:tc>
        <w:tc>
          <w:tcPr>
            <w:tcW w:w="80" w:type="dxa"/>
            <w:vAlign w:val="bottom"/>
            <w:tcBorders>
              <w:left w:val="single" w:sz="8" w:color="D7F5C4"/>
            </w:tcBorders>
            <w:shd w:val="clear" w:color="auto" w:fill="D7F5C4"/>
          </w:tcPr>
          <w:p>
            <w:pPr>
              <w:spacing w:after="0"/>
              <w:rPr>
                <w:sz w:val="2"/>
                <w:szCs w:val="2"/>
                <w:color w:val="auto"/>
              </w:rPr>
            </w:pPr>
          </w:p>
        </w:tc>
        <w:tc>
          <w:tcPr>
            <w:tcW w:w="120" w:type="dxa"/>
            <w:vAlign w:val="bottom"/>
            <w:tcBorders>
              <w:left w:val="single" w:sz="8" w:color="D7F5C4"/>
            </w:tcBorders>
            <w:shd w:val="clear" w:color="auto" w:fill="D7F5C4"/>
          </w:tcPr>
          <w:p>
            <w:pPr>
              <w:spacing w:after="0"/>
              <w:rPr>
                <w:sz w:val="2"/>
                <w:szCs w:val="2"/>
                <w:color w:val="auto"/>
              </w:rPr>
            </w:pPr>
          </w:p>
        </w:tc>
        <w:tc>
          <w:tcPr>
            <w:tcW w:w="320" w:type="dxa"/>
            <w:vAlign w:val="bottom"/>
            <w:tcBorders>
              <w:left w:val="single" w:sz="8" w:color="D7F5C4"/>
              <w:right w:val="single" w:sz="8" w:color="D7F5C4"/>
            </w:tcBorders>
            <w:shd w:val="clear" w:color="auto" w:fill="D7F5C4"/>
          </w:tcPr>
          <w:p>
            <w:pPr>
              <w:spacing w:after="0"/>
              <w:rPr>
                <w:sz w:val="2"/>
                <w:szCs w:val="2"/>
                <w:color w:val="auto"/>
              </w:rPr>
            </w:pPr>
          </w:p>
        </w:tc>
        <w:tc>
          <w:tcPr>
            <w:tcW w:w="200" w:type="dxa"/>
            <w:vAlign w:val="bottom"/>
            <w:tcBorders>
              <w:left w:val="single" w:sz="8" w:color="D7F5C4"/>
              <w:right w:val="single" w:sz="8" w:color="D7F5C4"/>
            </w:tcBorders>
            <w:shd w:val="clear" w:color="auto" w:fill="D7F5C4"/>
          </w:tcPr>
          <w:p>
            <w:pPr>
              <w:spacing w:after="0"/>
              <w:rPr>
                <w:sz w:val="2"/>
                <w:szCs w:val="2"/>
                <w:color w:val="auto"/>
              </w:rPr>
            </w:pPr>
          </w:p>
        </w:tc>
        <w:tc>
          <w:tcPr>
            <w:tcW w:w="140" w:type="dxa"/>
            <w:vAlign w:val="bottom"/>
            <w:tcBorders>
              <w:right w:val="single" w:sz="8" w:color="D7F5C4"/>
            </w:tcBorders>
            <w:shd w:val="clear" w:color="auto" w:fill="D7F5C4"/>
          </w:tcPr>
          <w:p>
            <w:pPr>
              <w:spacing w:after="0"/>
              <w:rPr>
                <w:sz w:val="2"/>
                <w:szCs w:val="2"/>
                <w:color w:val="auto"/>
              </w:rPr>
            </w:pPr>
          </w:p>
        </w:tc>
        <w:tc>
          <w:tcPr>
            <w:tcW w:w="300" w:type="dxa"/>
            <w:vAlign w:val="bottom"/>
            <w:tcBorders>
              <w:left w:val="single" w:sz="8" w:color="D7F5C4"/>
            </w:tcBorders>
            <w:shd w:val="clear" w:color="auto" w:fill="D7F5C4"/>
          </w:tcPr>
          <w:p>
            <w:pPr>
              <w:spacing w:after="0"/>
              <w:rPr>
                <w:sz w:val="2"/>
                <w:szCs w:val="2"/>
                <w:color w:val="auto"/>
              </w:rPr>
            </w:pPr>
          </w:p>
        </w:tc>
        <w:tc>
          <w:tcPr>
            <w:tcW w:w="160" w:type="dxa"/>
            <w:vAlign w:val="bottom"/>
            <w:shd w:val="clear" w:color="auto" w:fill="D7F5C4"/>
          </w:tcPr>
          <w:p>
            <w:pPr>
              <w:spacing w:after="0"/>
              <w:rPr>
                <w:sz w:val="2"/>
                <w:szCs w:val="2"/>
                <w:color w:val="auto"/>
              </w:rPr>
            </w:pPr>
          </w:p>
        </w:tc>
        <w:tc>
          <w:tcPr>
            <w:tcW w:w="80" w:type="dxa"/>
            <w:vAlign w:val="bottom"/>
            <w:shd w:val="clear" w:color="auto" w:fill="D7F5C4"/>
          </w:tcPr>
          <w:p>
            <w:pPr>
              <w:spacing w:after="0"/>
              <w:rPr>
                <w:sz w:val="2"/>
                <w:szCs w:val="2"/>
                <w:color w:val="auto"/>
              </w:rPr>
            </w:pPr>
          </w:p>
        </w:tc>
        <w:tc>
          <w:tcPr>
            <w:tcW w:w="140" w:type="dxa"/>
            <w:vAlign w:val="bottom"/>
            <w:tcBorders>
              <w:right w:val="single" w:sz="8" w:color="D7F5C4"/>
            </w:tcBorders>
            <w:shd w:val="clear" w:color="auto" w:fill="D7F5C4"/>
          </w:tcPr>
          <w:p>
            <w:pPr>
              <w:spacing w:after="0"/>
              <w:rPr>
                <w:sz w:val="2"/>
                <w:szCs w:val="2"/>
                <w:color w:val="auto"/>
              </w:rPr>
            </w:pPr>
          </w:p>
        </w:tc>
        <w:tc>
          <w:tcPr>
            <w:tcW w:w="160" w:type="dxa"/>
            <w:vAlign w:val="bottom"/>
            <w:tcBorders>
              <w:left w:val="single" w:sz="8" w:color="D7F5C4"/>
            </w:tcBorders>
            <w:shd w:val="clear" w:color="auto" w:fill="D7F5C4"/>
          </w:tcPr>
          <w:p>
            <w:pPr>
              <w:spacing w:after="0"/>
              <w:rPr>
                <w:sz w:val="2"/>
                <w:szCs w:val="2"/>
                <w:color w:val="auto"/>
              </w:rPr>
            </w:pPr>
          </w:p>
        </w:tc>
        <w:tc>
          <w:tcPr>
            <w:tcW w:w="120" w:type="dxa"/>
            <w:vAlign w:val="bottom"/>
            <w:shd w:val="clear" w:color="auto" w:fill="D7F5C4"/>
          </w:tcPr>
          <w:p>
            <w:pPr>
              <w:spacing w:after="0"/>
              <w:rPr>
                <w:sz w:val="2"/>
                <w:szCs w:val="2"/>
                <w:color w:val="auto"/>
              </w:rPr>
            </w:pPr>
          </w:p>
        </w:tc>
        <w:tc>
          <w:tcPr>
            <w:tcW w:w="300" w:type="dxa"/>
            <w:vAlign w:val="bottom"/>
            <w:shd w:val="clear" w:color="auto" w:fill="D7F5C4"/>
          </w:tcPr>
          <w:p>
            <w:pPr>
              <w:spacing w:after="0"/>
              <w:rPr>
                <w:sz w:val="2"/>
                <w:szCs w:val="2"/>
                <w:color w:val="auto"/>
              </w:rPr>
            </w:pPr>
          </w:p>
        </w:tc>
        <w:tc>
          <w:tcPr>
            <w:tcW w:w="160" w:type="dxa"/>
            <w:vAlign w:val="bottom"/>
            <w:shd w:val="clear" w:color="auto" w:fill="D7F5C4"/>
          </w:tcPr>
          <w:p>
            <w:pPr>
              <w:spacing w:after="0"/>
              <w:rPr>
                <w:sz w:val="2"/>
                <w:szCs w:val="2"/>
                <w:color w:val="auto"/>
              </w:rPr>
            </w:pPr>
          </w:p>
        </w:tc>
        <w:tc>
          <w:tcPr>
            <w:tcW w:w="200" w:type="dxa"/>
            <w:vAlign w:val="bottom"/>
            <w:shd w:val="clear" w:color="auto" w:fill="D7F5C4"/>
          </w:tcPr>
          <w:p>
            <w:pPr>
              <w:spacing w:after="0"/>
              <w:rPr>
                <w:sz w:val="2"/>
                <w:szCs w:val="2"/>
                <w:color w:val="auto"/>
              </w:rPr>
            </w:pPr>
          </w:p>
        </w:tc>
        <w:tc>
          <w:tcPr>
            <w:tcW w:w="900" w:type="dxa"/>
            <w:vAlign w:val="bottom"/>
            <w:shd w:val="clear" w:color="auto" w:fill="D7F5C4"/>
          </w:tcPr>
          <w:p>
            <w:pPr>
              <w:spacing w:after="0"/>
              <w:rPr>
                <w:sz w:val="2"/>
                <w:szCs w:val="2"/>
                <w:color w:val="auto"/>
              </w:rPr>
            </w:pPr>
          </w:p>
        </w:tc>
        <w:tc>
          <w:tcPr>
            <w:tcW w:w="540" w:type="dxa"/>
            <w:vAlign w:val="bottom"/>
            <w:shd w:val="clear" w:color="auto" w:fill="D7F5C4"/>
          </w:tcPr>
          <w:p>
            <w:pPr>
              <w:spacing w:after="0"/>
              <w:rPr>
                <w:sz w:val="2"/>
                <w:szCs w:val="2"/>
                <w:color w:val="auto"/>
              </w:rPr>
            </w:pPr>
          </w:p>
        </w:tc>
        <w:tc>
          <w:tcPr>
            <w:tcW w:w="2020" w:type="dxa"/>
            <w:vAlign w:val="bottom"/>
            <w:shd w:val="clear" w:color="auto" w:fill="D7F5C4"/>
          </w:tcPr>
          <w:p>
            <w:pPr>
              <w:spacing w:after="0"/>
              <w:rPr>
                <w:sz w:val="2"/>
                <w:szCs w:val="2"/>
                <w:color w:val="auto"/>
              </w:rPr>
            </w:pPr>
          </w:p>
        </w:tc>
        <w:tc>
          <w:tcPr>
            <w:tcW w:w="480" w:type="dxa"/>
            <w:vAlign w:val="bottom"/>
            <w:shd w:val="clear" w:color="auto" w:fill="D7F5C4"/>
          </w:tcPr>
          <w:p>
            <w:pPr>
              <w:spacing w:after="0"/>
              <w:rPr>
                <w:sz w:val="2"/>
                <w:szCs w:val="2"/>
                <w:color w:val="auto"/>
              </w:rPr>
            </w:pPr>
          </w:p>
        </w:tc>
        <w:tc>
          <w:tcPr>
            <w:tcW w:w="740" w:type="dxa"/>
            <w:vAlign w:val="bottom"/>
            <w:shd w:val="clear" w:color="auto" w:fill="D7F5C4"/>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D7F5C4"/>
          </w:tcPr>
          <w:p>
            <w:pPr>
              <w:spacing w:after="0"/>
              <w:rPr>
                <w:sz w:val="2"/>
                <w:szCs w:val="2"/>
                <w:color w:val="auto"/>
              </w:rPr>
            </w:pPr>
          </w:p>
        </w:tc>
      </w:tr>
      <w:tr>
        <w:trPr>
          <w:trHeight w:val="162"/>
        </w:trPr>
        <w:tc>
          <w:tcPr>
            <w:tcW w:w="8560" w:type="dxa"/>
            <w:vAlign w:val="bottom"/>
            <w:gridSpan w:val="30"/>
          </w:tcPr>
          <w:p>
            <w:pPr>
              <w:spacing w:after="0"/>
              <w:rPr>
                <w:rFonts w:ascii="Arial" w:cs="Arial" w:eastAsia="Arial" w:hAnsi="Arial"/>
                <w:sz w:val="14"/>
                <w:szCs w:val="14"/>
                <w:color w:val="0000EE"/>
              </w:rPr>
            </w:pPr>
            <w:hyperlink w:anchor="page50">
              <w:r>
                <w:rPr>
                  <w:rFonts w:ascii="Arial" w:cs="Arial" w:eastAsia="Arial" w:hAnsi="Arial"/>
                  <w:sz w:val="14"/>
                  <w:szCs w:val="14"/>
                  <w:color w:val="0000EE"/>
                </w:rPr>
                <w:t>Proposal Number 3: Advisory Vote to Approve Named Executive Officer Compensation</w:t>
              </w:r>
            </w:hyperlink>
          </w:p>
        </w:tc>
        <w:tc>
          <w:tcPr>
            <w:tcW w:w="1000" w:type="dxa"/>
            <w:vAlign w:val="bottom"/>
            <w:gridSpan w:val="4"/>
          </w:tcPr>
          <w:p>
            <w:pPr>
              <w:jc w:val="right"/>
              <w:ind w:right="100"/>
              <w:spacing w:after="0"/>
              <w:rPr>
                <w:rFonts w:ascii="Arial" w:cs="Arial" w:eastAsia="Arial" w:hAnsi="Arial"/>
                <w:sz w:val="14"/>
                <w:szCs w:val="14"/>
                <w:color w:val="0000EE"/>
              </w:rPr>
            </w:pPr>
            <w:hyperlink w:anchor="page50">
              <w:r>
                <w:rPr>
                  <w:rFonts w:ascii="Arial" w:cs="Arial" w:eastAsia="Arial" w:hAnsi="Arial"/>
                  <w:sz w:val="14"/>
                  <w:szCs w:val="14"/>
                  <w:color w:val="0000EE"/>
                </w:rPr>
                <w:t>42</w:t>
              </w:r>
            </w:hyperlink>
          </w:p>
        </w:tc>
      </w:tr>
      <w:tr>
        <w:trPr>
          <w:trHeight w:val="27"/>
        </w:trPr>
        <w:tc>
          <w:tcPr>
            <w:tcW w:w="1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320" w:type="dxa"/>
            <w:vAlign w:val="bottom"/>
            <w:tcBorders>
              <w:left w:val="single" w:sz="8" w:color="0000EE"/>
              <w:right w:val="single" w:sz="8" w:color="0000EE"/>
            </w:tcBorders>
            <w:shd w:val="clear" w:color="auto" w:fill="0000EE"/>
          </w:tcPr>
          <w:p>
            <w:pPr>
              <w:spacing w:after="0"/>
              <w:rPr>
                <w:sz w:val="2"/>
                <w:szCs w:val="2"/>
                <w:color w:val="auto"/>
              </w:rPr>
            </w:pPr>
          </w:p>
        </w:tc>
        <w:tc>
          <w:tcPr>
            <w:tcW w:w="200" w:type="dxa"/>
            <w:vAlign w:val="bottom"/>
            <w:tcBorders>
              <w:left w:val="single" w:sz="8" w:color="0000EE"/>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30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3000" w:type="dxa"/>
            <w:vAlign w:val="bottom"/>
            <w:tcBorders>
              <w:right w:val="single" w:sz="8" w:color="D7F5C4"/>
            </w:tcBorders>
            <w:gridSpan w:val="17"/>
            <w:shd w:val="clear" w:color="auto" w:fill="D7F5C4"/>
          </w:tcPr>
          <w:p>
            <w:pPr>
              <w:spacing w:after="0"/>
              <w:rPr>
                <w:rFonts w:ascii="Arial" w:cs="Arial" w:eastAsia="Arial" w:hAnsi="Arial"/>
                <w:sz w:val="14"/>
                <w:szCs w:val="14"/>
                <w:color w:val="0000EE"/>
                <w:w w:val="99"/>
              </w:rPr>
            </w:pPr>
            <w:hyperlink w:anchor="page51">
              <w:r>
                <w:rPr>
                  <w:rFonts w:ascii="Arial" w:cs="Arial" w:eastAsia="Arial" w:hAnsi="Arial"/>
                  <w:sz w:val="14"/>
                  <w:szCs w:val="14"/>
                  <w:color w:val="0000EE"/>
                  <w:w w:val="99"/>
                </w:rPr>
                <w:t>Certain Relationships and Related Transactions</w:t>
              </w:r>
            </w:hyperlink>
          </w:p>
        </w:tc>
        <w:tc>
          <w:tcPr>
            <w:tcW w:w="2520" w:type="dxa"/>
            <w:vAlign w:val="bottom"/>
            <w:tcBorders>
              <w:left w:val="single" w:sz="8" w:color="D7F5C4"/>
            </w:tcBorders>
            <w:gridSpan w:val="10"/>
            <w:shd w:val="clear" w:color="auto" w:fill="D7F5C4"/>
          </w:tcPr>
          <w:p>
            <w:pPr>
              <w:spacing w:after="0"/>
              <w:rPr>
                <w:sz w:val="14"/>
                <w:szCs w:val="14"/>
                <w:color w:val="auto"/>
              </w:rPr>
            </w:pPr>
          </w:p>
        </w:tc>
        <w:tc>
          <w:tcPr>
            <w:tcW w:w="3040" w:type="dxa"/>
            <w:vAlign w:val="bottom"/>
            <w:gridSpan w:val="3"/>
            <w:shd w:val="clear" w:color="auto" w:fill="D7F5C4"/>
          </w:tcPr>
          <w:p>
            <w:pPr>
              <w:spacing w:after="0"/>
              <w:rPr>
                <w:sz w:val="14"/>
                <w:szCs w:val="14"/>
                <w:color w:val="auto"/>
              </w:rPr>
            </w:pPr>
          </w:p>
        </w:tc>
        <w:tc>
          <w:tcPr>
            <w:tcW w:w="740" w:type="dxa"/>
            <w:vAlign w:val="bottom"/>
            <w:shd w:val="clear" w:color="auto" w:fill="D7F5C4"/>
          </w:tcPr>
          <w:p>
            <w:pPr>
              <w:spacing w:after="0"/>
              <w:rPr>
                <w:sz w:val="14"/>
                <w:szCs w:val="14"/>
                <w:color w:val="auto"/>
              </w:rPr>
            </w:pPr>
          </w:p>
        </w:tc>
        <w:tc>
          <w:tcPr>
            <w:tcW w:w="260" w:type="dxa"/>
            <w:vAlign w:val="bottom"/>
            <w:gridSpan w:val="3"/>
            <w:shd w:val="clear" w:color="auto" w:fill="D7F5C4"/>
          </w:tcPr>
          <w:p>
            <w:pPr>
              <w:jc w:val="right"/>
              <w:ind w:right="100"/>
              <w:spacing w:after="0"/>
              <w:rPr>
                <w:rFonts w:ascii="Arial" w:cs="Arial" w:eastAsia="Arial" w:hAnsi="Arial"/>
                <w:sz w:val="14"/>
                <w:szCs w:val="14"/>
                <w:color w:val="0000EE"/>
                <w:w w:val="89"/>
              </w:rPr>
            </w:pPr>
            <w:hyperlink w:anchor="page51">
              <w:r>
                <w:rPr>
                  <w:rFonts w:ascii="Arial" w:cs="Arial" w:eastAsia="Arial" w:hAnsi="Arial"/>
                  <w:sz w:val="14"/>
                  <w:szCs w:val="14"/>
                  <w:color w:val="0000EE"/>
                  <w:w w:val="89"/>
                </w:rPr>
                <w:t>43</w:t>
              </w:r>
            </w:hyperlink>
          </w:p>
        </w:tc>
      </w:tr>
      <w:tr>
        <w:trPr>
          <w:trHeight w:val="27"/>
        </w:trPr>
        <w:tc>
          <w:tcPr>
            <w:tcW w:w="1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320" w:type="dxa"/>
            <w:vAlign w:val="bottom"/>
            <w:tcBorders>
              <w:left w:val="single" w:sz="8" w:color="0000EE"/>
              <w:right w:val="single" w:sz="8" w:color="0000EE"/>
            </w:tcBorders>
            <w:shd w:val="clear" w:color="auto" w:fill="0000EE"/>
          </w:tcPr>
          <w:p>
            <w:pPr>
              <w:spacing w:after="0"/>
              <w:rPr>
                <w:sz w:val="2"/>
                <w:szCs w:val="2"/>
                <w:color w:val="auto"/>
              </w:rPr>
            </w:pPr>
          </w:p>
        </w:tc>
        <w:tc>
          <w:tcPr>
            <w:tcW w:w="200" w:type="dxa"/>
            <w:vAlign w:val="bottom"/>
            <w:tcBorders>
              <w:left w:val="single" w:sz="8" w:color="0000EE"/>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300" w:type="dxa"/>
            <w:vAlign w:val="bottom"/>
            <w:tcBorders>
              <w:left w:val="single" w:sz="8" w:color="0000EE"/>
            </w:tcBorders>
            <w:shd w:val="clear" w:color="auto" w:fill="D7F5C4"/>
          </w:tcPr>
          <w:p>
            <w:pPr>
              <w:spacing w:after="0"/>
              <w:rPr>
                <w:sz w:val="2"/>
                <w:szCs w:val="2"/>
                <w:color w:val="auto"/>
              </w:rPr>
            </w:pPr>
          </w:p>
        </w:tc>
        <w:tc>
          <w:tcPr>
            <w:tcW w:w="160" w:type="dxa"/>
            <w:vAlign w:val="bottom"/>
            <w:shd w:val="clear" w:color="auto" w:fill="D7F5C4"/>
          </w:tcPr>
          <w:p>
            <w:pPr>
              <w:spacing w:after="0"/>
              <w:rPr>
                <w:sz w:val="2"/>
                <w:szCs w:val="2"/>
                <w:color w:val="auto"/>
              </w:rPr>
            </w:pPr>
          </w:p>
        </w:tc>
        <w:tc>
          <w:tcPr>
            <w:tcW w:w="80" w:type="dxa"/>
            <w:vAlign w:val="bottom"/>
            <w:shd w:val="clear" w:color="auto" w:fill="D7F5C4"/>
          </w:tcPr>
          <w:p>
            <w:pPr>
              <w:spacing w:after="0"/>
              <w:rPr>
                <w:sz w:val="2"/>
                <w:szCs w:val="2"/>
                <w:color w:val="auto"/>
              </w:rPr>
            </w:pPr>
          </w:p>
        </w:tc>
        <w:tc>
          <w:tcPr>
            <w:tcW w:w="140" w:type="dxa"/>
            <w:vAlign w:val="bottom"/>
            <w:tcBorders>
              <w:right w:val="single" w:sz="8" w:color="D7F5C4"/>
            </w:tcBorders>
            <w:shd w:val="clear" w:color="auto" w:fill="D7F5C4"/>
          </w:tcPr>
          <w:p>
            <w:pPr>
              <w:spacing w:after="0"/>
              <w:rPr>
                <w:sz w:val="2"/>
                <w:szCs w:val="2"/>
                <w:color w:val="auto"/>
              </w:rPr>
            </w:pPr>
          </w:p>
        </w:tc>
        <w:tc>
          <w:tcPr>
            <w:tcW w:w="160" w:type="dxa"/>
            <w:vAlign w:val="bottom"/>
            <w:tcBorders>
              <w:left w:val="single" w:sz="8" w:color="D7F5C4"/>
            </w:tcBorders>
            <w:shd w:val="clear" w:color="auto" w:fill="D7F5C4"/>
          </w:tcPr>
          <w:p>
            <w:pPr>
              <w:spacing w:after="0"/>
              <w:rPr>
                <w:sz w:val="2"/>
                <w:szCs w:val="2"/>
                <w:color w:val="auto"/>
              </w:rPr>
            </w:pPr>
          </w:p>
        </w:tc>
        <w:tc>
          <w:tcPr>
            <w:tcW w:w="120" w:type="dxa"/>
            <w:vAlign w:val="bottom"/>
            <w:shd w:val="clear" w:color="auto" w:fill="D7F5C4"/>
          </w:tcPr>
          <w:p>
            <w:pPr>
              <w:spacing w:after="0"/>
              <w:rPr>
                <w:sz w:val="2"/>
                <w:szCs w:val="2"/>
                <w:color w:val="auto"/>
              </w:rPr>
            </w:pPr>
          </w:p>
        </w:tc>
        <w:tc>
          <w:tcPr>
            <w:tcW w:w="300" w:type="dxa"/>
            <w:vAlign w:val="bottom"/>
            <w:shd w:val="clear" w:color="auto" w:fill="D7F5C4"/>
          </w:tcPr>
          <w:p>
            <w:pPr>
              <w:spacing w:after="0"/>
              <w:rPr>
                <w:sz w:val="2"/>
                <w:szCs w:val="2"/>
                <w:color w:val="auto"/>
              </w:rPr>
            </w:pPr>
          </w:p>
        </w:tc>
        <w:tc>
          <w:tcPr>
            <w:tcW w:w="160" w:type="dxa"/>
            <w:vAlign w:val="bottom"/>
            <w:shd w:val="clear" w:color="auto" w:fill="D7F5C4"/>
          </w:tcPr>
          <w:p>
            <w:pPr>
              <w:spacing w:after="0"/>
              <w:rPr>
                <w:sz w:val="2"/>
                <w:szCs w:val="2"/>
                <w:color w:val="auto"/>
              </w:rPr>
            </w:pPr>
          </w:p>
        </w:tc>
        <w:tc>
          <w:tcPr>
            <w:tcW w:w="200" w:type="dxa"/>
            <w:vAlign w:val="bottom"/>
            <w:shd w:val="clear" w:color="auto" w:fill="D7F5C4"/>
          </w:tcPr>
          <w:p>
            <w:pPr>
              <w:spacing w:after="0"/>
              <w:rPr>
                <w:sz w:val="2"/>
                <w:szCs w:val="2"/>
                <w:color w:val="auto"/>
              </w:rPr>
            </w:pPr>
          </w:p>
        </w:tc>
        <w:tc>
          <w:tcPr>
            <w:tcW w:w="900" w:type="dxa"/>
            <w:vAlign w:val="bottom"/>
            <w:shd w:val="clear" w:color="auto" w:fill="D7F5C4"/>
          </w:tcPr>
          <w:p>
            <w:pPr>
              <w:spacing w:after="0"/>
              <w:rPr>
                <w:sz w:val="2"/>
                <w:szCs w:val="2"/>
                <w:color w:val="auto"/>
              </w:rPr>
            </w:pPr>
          </w:p>
        </w:tc>
        <w:tc>
          <w:tcPr>
            <w:tcW w:w="540" w:type="dxa"/>
            <w:vAlign w:val="bottom"/>
            <w:shd w:val="clear" w:color="auto" w:fill="D7F5C4"/>
          </w:tcPr>
          <w:p>
            <w:pPr>
              <w:spacing w:after="0"/>
              <w:rPr>
                <w:sz w:val="2"/>
                <w:szCs w:val="2"/>
                <w:color w:val="auto"/>
              </w:rPr>
            </w:pPr>
          </w:p>
        </w:tc>
        <w:tc>
          <w:tcPr>
            <w:tcW w:w="2020" w:type="dxa"/>
            <w:vAlign w:val="bottom"/>
            <w:shd w:val="clear" w:color="auto" w:fill="D7F5C4"/>
          </w:tcPr>
          <w:p>
            <w:pPr>
              <w:spacing w:after="0"/>
              <w:rPr>
                <w:sz w:val="2"/>
                <w:szCs w:val="2"/>
                <w:color w:val="auto"/>
              </w:rPr>
            </w:pPr>
          </w:p>
        </w:tc>
        <w:tc>
          <w:tcPr>
            <w:tcW w:w="480" w:type="dxa"/>
            <w:vAlign w:val="bottom"/>
            <w:shd w:val="clear" w:color="auto" w:fill="D7F5C4"/>
          </w:tcPr>
          <w:p>
            <w:pPr>
              <w:spacing w:after="0"/>
              <w:rPr>
                <w:sz w:val="2"/>
                <w:szCs w:val="2"/>
                <w:color w:val="auto"/>
              </w:rPr>
            </w:pPr>
          </w:p>
        </w:tc>
        <w:tc>
          <w:tcPr>
            <w:tcW w:w="740" w:type="dxa"/>
            <w:vAlign w:val="bottom"/>
            <w:shd w:val="clear" w:color="auto" w:fill="D7F5C4"/>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D7F5C4"/>
          </w:tcPr>
          <w:p>
            <w:pPr>
              <w:spacing w:after="0"/>
              <w:rPr>
                <w:sz w:val="2"/>
                <w:szCs w:val="2"/>
                <w:color w:val="auto"/>
              </w:rPr>
            </w:pPr>
          </w:p>
        </w:tc>
      </w:tr>
      <w:tr>
        <w:trPr>
          <w:trHeight w:val="162"/>
        </w:trPr>
        <w:tc>
          <w:tcPr>
            <w:tcW w:w="180" w:type="dxa"/>
            <w:vAlign w:val="bottom"/>
          </w:tcPr>
          <w:p>
            <w:pPr>
              <w:spacing w:after="0"/>
              <w:rPr>
                <w:sz w:val="14"/>
                <w:szCs w:val="14"/>
                <w:color w:val="auto"/>
              </w:rPr>
            </w:pPr>
          </w:p>
        </w:tc>
        <w:tc>
          <w:tcPr>
            <w:tcW w:w="2160" w:type="dxa"/>
            <w:vAlign w:val="bottom"/>
            <w:gridSpan w:val="13"/>
          </w:tcPr>
          <w:p>
            <w:pPr>
              <w:spacing w:after="0"/>
              <w:rPr>
                <w:rFonts w:ascii="Arial" w:cs="Arial" w:eastAsia="Arial" w:hAnsi="Arial"/>
                <w:sz w:val="14"/>
                <w:szCs w:val="14"/>
                <w:color w:val="0000EE"/>
                <w:w w:val="97"/>
              </w:rPr>
            </w:pPr>
            <w:hyperlink w:anchor="page51">
              <w:r>
                <w:rPr>
                  <w:rFonts w:ascii="Arial" w:cs="Arial" w:eastAsia="Arial" w:hAnsi="Arial"/>
                  <w:sz w:val="14"/>
                  <w:szCs w:val="14"/>
                  <w:color w:val="0000EE"/>
                  <w:w w:val="97"/>
                </w:rPr>
                <w:t>Transactions with Related Persons</w:t>
              </w:r>
            </w:hyperlink>
          </w:p>
        </w:tc>
        <w:tc>
          <w:tcPr>
            <w:tcW w:w="660" w:type="dxa"/>
            <w:vAlign w:val="bottom"/>
            <w:gridSpan w:val="3"/>
          </w:tcPr>
          <w:p>
            <w:pPr>
              <w:spacing w:after="0"/>
              <w:rPr>
                <w:sz w:val="14"/>
                <w:szCs w:val="14"/>
                <w:color w:val="auto"/>
              </w:rPr>
            </w:pPr>
          </w:p>
        </w:tc>
        <w:tc>
          <w:tcPr>
            <w:tcW w:w="5560" w:type="dxa"/>
            <w:vAlign w:val="bottom"/>
            <w:gridSpan w:val="13"/>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gridSpan w:val="3"/>
          </w:tcPr>
          <w:p>
            <w:pPr>
              <w:jc w:val="right"/>
              <w:ind w:right="100"/>
              <w:spacing w:after="0"/>
              <w:rPr>
                <w:rFonts w:ascii="Arial" w:cs="Arial" w:eastAsia="Arial" w:hAnsi="Arial"/>
                <w:sz w:val="14"/>
                <w:szCs w:val="14"/>
                <w:color w:val="0000EE"/>
                <w:w w:val="89"/>
              </w:rPr>
            </w:pPr>
            <w:hyperlink w:anchor="page51">
              <w:r>
                <w:rPr>
                  <w:rFonts w:ascii="Arial" w:cs="Arial" w:eastAsia="Arial" w:hAnsi="Arial"/>
                  <w:sz w:val="14"/>
                  <w:szCs w:val="14"/>
                  <w:color w:val="0000EE"/>
                  <w:w w:val="89"/>
                </w:rPr>
                <w:t>43</w:t>
              </w:r>
            </w:hyperlink>
          </w:p>
        </w:tc>
      </w:tr>
      <w:tr>
        <w:trPr>
          <w:trHeight w:val="27"/>
        </w:trPr>
        <w:tc>
          <w:tcPr>
            <w:tcW w:w="180" w:type="dxa"/>
            <w:vAlign w:val="bottom"/>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320" w:type="dxa"/>
            <w:vAlign w:val="bottom"/>
            <w:tcBorders>
              <w:left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180" w:type="dxa"/>
            <w:vAlign w:val="bottom"/>
            <w:shd w:val="clear" w:color="auto" w:fill="D7F5C4"/>
          </w:tcPr>
          <w:p>
            <w:pPr>
              <w:spacing w:after="0"/>
              <w:rPr>
                <w:sz w:val="14"/>
                <w:szCs w:val="14"/>
                <w:color w:val="auto"/>
              </w:rPr>
            </w:pPr>
          </w:p>
        </w:tc>
        <w:tc>
          <w:tcPr>
            <w:tcW w:w="8380" w:type="dxa"/>
            <w:vAlign w:val="bottom"/>
            <w:gridSpan w:val="29"/>
            <w:shd w:val="clear" w:color="auto" w:fill="D7F5C4"/>
          </w:tcPr>
          <w:p>
            <w:pPr>
              <w:spacing w:after="0"/>
              <w:rPr>
                <w:rFonts w:ascii="Arial" w:cs="Arial" w:eastAsia="Arial" w:hAnsi="Arial"/>
                <w:sz w:val="14"/>
                <w:szCs w:val="14"/>
                <w:color w:val="0000EE"/>
              </w:rPr>
            </w:pPr>
            <w:hyperlink w:anchor="page52">
              <w:r>
                <w:rPr>
                  <w:rFonts w:ascii="Arial" w:cs="Arial" w:eastAsia="Arial" w:hAnsi="Arial"/>
                  <w:sz w:val="14"/>
                  <w:szCs w:val="14"/>
                  <w:color w:val="0000EE"/>
                </w:rPr>
                <w:t>Review, Approval or Ratification of Transactions with Related Persons</w:t>
              </w:r>
            </w:hyperlink>
          </w:p>
        </w:tc>
        <w:tc>
          <w:tcPr>
            <w:tcW w:w="1000" w:type="dxa"/>
            <w:vAlign w:val="bottom"/>
            <w:gridSpan w:val="4"/>
            <w:shd w:val="clear" w:color="auto" w:fill="D7F5C4"/>
          </w:tcPr>
          <w:p>
            <w:pPr>
              <w:jc w:val="right"/>
              <w:ind w:right="100"/>
              <w:spacing w:after="0"/>
              <w:rPr>
                <w:rFonts w:ascii="Arial" w:cs="Arial" w:eastAsia="Arial" w:hAnsi="Arial"/>
                <w:sz w:val="14"/>
                <w:szCs w:val="14"/>
                <w:color w:val="0000EE"/>
              </w:rPr>
            </w:pPr>
            <w:hyperlink w:anchor="page52">
              <w:r>
                <w:rPr>
                  <w:rFonts w:ascii="Arial" w:cs="Arial" w:eastAsia="Arial" w:hAnsi="Arial"/>
                  <w:sz w:val="14"/>
                  <w:szCs w:val="14"/>
                  <w:color w:val="0000EE"/>
                </w:rPr>
                <w:t>44</w:t>
              </w:r>
            </w:hyperlink>
          </w:p>
        </w:tc>
      </w:tr>
      <w:tr>
        <w:trPr>
          <w:trHeight w:val="27"/>
        </w:trPr>
        <w:tc>
          <w:tcPr>
            <w:tcW w:w="180" w:type="dxa"/>
            <w:vAlign w:val="bottom"/>
            <w:shd w:val="clear" w:color="auto" w:fill="D7F5C4"/>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320" w:type="dxa"/>
            <w:vAlign w:val="bottom"/>
            <w:tcBorders>
              <w:left w:val="single" w:sz="8" w:color="0000EE"/>
              <w:right w:val="single" w:sz="8" w:color="0000EE"/>
            </w:tcBorders>
            <w:shd w:val="clear" w:color="auto" w:fill="0000EE"/>
          </w:tcPr>
          <w:p>
            <w:pPr>
              <w:spacing w:after="0"/>
              <w:rPr>
                <w:sz w:val="2"/>
                <w:szCs w:val="2"/>
                <w:color w:val="auto"/>
              </w:rPr>
            </w:pPr>
          </w:p>
        </w:tc>
        <w:tc>
          <w:tcPr>
            <w:tcW w:w="200" w:type="dxa"/>
            <w:vAlign w:val="bottom"/>
            <w:tcBorders>
              <w:left w:val="single" w:sz="8" w:color="0000EE"/>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30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900" w:type="dxa"/>
            <w:vAlign w:val="bottom"/>
            <w:shd w:val="clear" w:color="auto" w:fill="D7F5C4"/>
          </w:tcPr>
          <w:p>
            <w:pPr>
              <w:spacing w:after="0"/>
              <w:rPr>
                <w:sz w:val="2"/>
                <w:szCs w:val="2"/>
                <w:color w:val="auto"/>
              </w:rPr>
            </w:pPr>
          </w:p>
        </w:tc>
        <w:tc>
          <w:tcPr>
            <w:tcW w:w="540" w:type="dxa"/>
            <w:vAlign w:val="bottom"/>
            <w:shd w:val="clear" w:color="auto" w:fill="D7F5C4"/>
          </w:tcPr>
          <w:p>
            <w:pPr>
              <w:spacing w:after="0"/>
              <w:rPr>
                <w:sz w:val="2"/>
                <w:szCs w:val="2"/>
                <w:color w:val="auto"/>
              </w:rPr>
            </w:pPr>
          </w:p>
        </w:tc>
        <w:tc>
          <w:tcPr>
            <w:tcW w:w="2020" w:type="dxa"/>
            <w:vAlign w:val="bottom"/>
            <w:shd w:val="clear" w:color="auto" w:fill="D7F5C4"/>
          </w:tcPr>
          <w:p>
            <w:pPr>
              <w:spacing w:after="0"/>
              <w:rPr>
                <w:sz w:val="2"/>
                <w:szCs w:val="2"/>
                <w:color w:val="auto"/>
              </w:rPr>
            </w:pPr>
          </w:p>
        </w:tc>
        <w:tc>
          <w:tcPr>
            <w:tcW w:w="480" w:type="dxa"/>
            <w:vAlign w:val="bottom"/>
            <w:shd w:val="clear" w:color="auto" w:fill="D7F5C4"/>
          </w:tcPr>
          <w:p>
            <w:pPr>
              <w:spacing w:after="0"/>
              <w:rPr>
                <w:sz w:val="2"/>
                <w:szCs w:val="2"/>
                <w:color w:val="auto"/>
              </w:rPr>
            </w:pPr>
          </w:p>
        </w:tc>
        <w:tc>
          <w:tcPr>
            <w:tcW w:w="740" w:type="dxa"/>
            <w:vAlign w:val="bottom"/>
            <w:shd w:val="clear" w:color="auto" w:fill="D7F5C4"/>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D7F5C4"/>
          </w:tcPr>
          <w:p>
            <w:pPr>
              <w:spacing w:after="0"/>
              <w:rPr>
                <w:sz w:val="2"/>
                <w:szCs w:val="2"/>
                <w:color w:val="auto"/>
              </w:rPr>
            </w:pPr>
          </w:p>
        </w:tc>
      </w:tr>
      <w:tr>
        <w:trPr>
          <w:trHeight w:val="162"/>
        </w:trPr>
        <w:tc>
          <w:tcPr>
            <w:tcW w:w="8560" w:type="dxa"/>
            <w:vAlign w:val="bottom"/>
            <w:gridSpan w:val="30"/>
          </w:tcPr>
          <w:p>
            <w:pPr>
              <w:spacing w:after="0"/>
              <w:rPr>
                <w:rFonts w:ascii="Arial" w:cs="Arial" w:eastAsia="Arial" w:hAnsi="Arial"/>
                <w:sz w:val="14"/>
                <w:szCs w:val="14"/>
                <w:color w:val="0000EE"/>
              </w:rPr>
            </w:pPr>
            <w:hyperlink w:anchor="page53">
              <w:r>
                <w:rPr>
                  <w:rFonts w:ascii="Arial" w:cs="Arial" w:eastAsia="Arial" w:hAnsi="Arial"/>
                  <w:sz w:val="14"/>
                  <w:szCs w:val="14"/>
                  <w:color w:val="0000EE"/>
                </w:rPr>
                <w:t>Security Ownership of Certain Beneficial Owners and Management</w:t>
              </w:r>
            </w:hyperlink>
          </w:p>
        </w:tc>
        <w:tc>
          <w:tcPr>
            <w:tcW w:w="1000" w:type="dxa"/>
            <w:vAlign w:val="bottom"/>
            <w:gridSpan w:val="4"/>
          </w:tcPr>
          <w:p>
            <w:pPr>
              <w:jc w:val="right"/>
              <w:ind w:right="100"/>
              <w:spacing w:after="0"/>
              <w:rPr>
                <w:rFonts w:ascii="Arial" w:cs="Arial" w:eastAsia="Arial" w:hAnsi="Arial"/>
                <w:sz w:val="14"/>
                <w:szCs w:val="14"/>
                <w:color w:val="0000EE"/>
              </w:rPr>
            </w:pPr>
            <w:hyperlink w:anchor="page53">
              <w:r>
                <w:rPr>
                  <w:rFonts w:ascii="Arial" w:cs="Arial" w:eastAsia="Arial" w:hAnsi="Arial"/>
                  <w:sz w:val="14"/>
                  <w:szCs w:val="14"/>
                  <w:color w:val="0000EE"/>
                </w:rPr>
                <w:t>45</w:t>
              </w:r>
            </w:hyperlink>
          </w:p>
        </w:tc>
      </w:tr>
      <w:tr>
        <w:trPr>
          <w:trHeight w:val="27"/>
        </w:trPr>
        <w:tc>
          <w:tcPr>
            <w:tcW w:w="1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320" w:type="dxa"/>
            <w:vAlign w:val="bottom"/>
            <w:tcBorders>
              <w:left w:val="single" w:sz="8" w:color="0000EE"/>
              <w:right w:val="single" w:sz="8" w:color="0000EE"/>
            </w:tcBorders>
            <w:shd w:val="clear" w:color="auto" w:fill="0000EE"/>
          </w:tcPr>
          <w:p>
            <w:pPr>
              <w:spacing w:after="0"/>
              <w:rPr>
                <w:sz w:val="2"/>
                <w:szCs w:val="2"/>
                <w:color w:val="auto"/>
              </w:rPr>
            </w:pPr>
          </w:p>
        </w:tc>
        <w:tc>
          <w:tcPr>
            <w:tcW w:w="200" w:type="dxa"/>
            <w:vAlign w:val="bottom"/>
            <w:tcBorders>
              <w:left w:val="single" w:sz="8" w:color="0000EE"/>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30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180" w:type="dxa"/>
            <w:vAlign w:val="bottom"/>
            <w:shd w:val="clear" w:color="auto" w:fill="D7F5C4"/>
          </w:tcPr>
          <w:p>
            <w:pPr>
              <w:spacing w:after="0"/>
              <w:rPr>
                <w:sz w:val="14"/>
                <w:szCs w:val="14"/>
                <w:color w:val="auto"/>
              </w:rPr>
            </w:pPr>
          </w:p>
        </w:tc>
        <w:tc>
          <w:tcPr>
            <w:tcW w:w="4080" w:type="dxa"/>
            <w:vAlign w:val="bottom"/>
            <w:gridSpan w:val="23"/>
            <w:shd w:val="clear" w:color="auto" w:fill="D7F5C4"/>
          </w:tcPr>
          <w:p>
            <w:pPr>
              <w:spacing w:after="0"/>
              <w:rPr>
                <w:rFonts w:ascii="Arial" w:cs="Arial" w:eastAsia="Arial" w:hAnsi="Arial"/>
                <w:sz w:val="14"/>
                <w:szCs w:val="14"/>
                <w:color w:val="0000EE"/>
              </w:rPr>
            </w:pPr>
            <w:hyperlink w:anchor="page54">
              <w:r>
                <w:rPr>
                  <w:rFonts w:ascii="Arial" w:cs="Arial" w:eastAsia="Arial" w:hAnsi="Arial"/>
                  <w:sz w:val="14"/>
                  <w:szCs w:val="14"/>
                  <w:color w:val="0000EE"/>
                </w:rPr>
                <w:t>Equity Ownership Guidelines</w:t>
              </w:r>
            </w:hyperlink>
          </w:p>
        </w:tc>
        <w:tc>
          <w:tcPr>
            <w:tcW w:w="4300" w:type="dxa"/>
            <w:vAlign w:val="bottom"/>
            <w:gridSpan w:val="6"/>
            <w:shd w:val="clear" w:color="auto" w:fill="D7F5C4"/>
          </w:tcPr>
          <w:p>
            <w:pPr>
              <w:spacing w:after="0"/>
              <w:rPr>
                <w:sz w:val="14"/>
                <w:szCs w:val="14"/>
                <w:color w:val="auto"/>
              </w:rPr>
            </w:pPr>
          </w:p>
        </w:tc>
        <w:tc>
          <w:tcPr>
            <w:tcW w:w="740" w:type="dxa"/>
            <w:vAlign w:val="bottom"/>
            <w:shd w:val="clear" w:color="auto" w:fill="D7F5C4"/>
          </w:tcPr>
          <w:p>
            <w:pPr>
              <w:spacing w:after="0"/>
              <w:rPr>
                <w:sz w:val="14"/>
                <w:szCs w:val="14"/>
                <w:color w:val="auto"/>
              </w:rPr>
            </w:pPr>
          </w:p>
        </w:tc>
        <w:tc>
          <w:tcPr>
            <w:tcW w:w="260" w:type="dxa"/>
            <w:vAlign w:val="bottom"/>
            <w:gridSpan w:val="3"/>
            <w:shd w:val="clear" w:color="auto" w:fill="D7F5C4"/>
          </w:tcPr>
          <w:p>
            <w:pPr>
              <w:jc w:val="right"/>
              <w:ind w:right="100"/>
              <w:spacing w:after="0"/>
              <w:rPr>
                <w:rFonts w:ascii="Arial" w:cs="Arial" w:eastAsia="Arial" w:hAnsi="Arial"/>
                <w:sz w:val="14"/>
                <w:szCs w:val="14"/>
                <w:color w:val="0000EE"/>
                <w:w w:val="89"/>
              </w:rPr>
            </w:pPr>
            <w:hyperlink w:anchor="page54">
              <w:r>
                <w:rPr>
                  <w:rFonts w:ascii="Arial" w:cs="Arial" w:eastAsia="Arial" w:hAnsi="Arial"/>
                  <w:sz w:val="14"/>
                  <w:szCs w:val="14"/>
                  <w:color w:val="0000EE"/>
                  <w:w w:val="89"/>
                </w:rPr>
                <w:t>46</w:t>
              </w:r>
            </w:hyperlink>
          </w:p>
        </w:tc>
      </w:tr>
      <w:tr>
        <w:trPr>
          <w:trHeight w:val="27"/>
        </w:trPr>
        <w:tc>
          <w:tcPr>
            <w:tcW w:w="180" w:type="dxa"/>
            <w:vAlign w:val="bottom"/>
            <w:shd w:val="clear" w:color="auto" w:fill="D7F5C4"/>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D7F5C4"/>
            </w:tcBorders>
            <w:shd w:val="clear" w:color="auto" w:fill="D7F5C4"/>
          </w:tcPr>
          <w:p>
            <w:pPr>
              <w:spacing w:after="0"/>
              <w:rPr>
                <w:sz w:val="2"/>
                <w:szCs w:val="2"/>
                <w:color w:val="auto"/>
              </w:rPr>
            </w:pPr>
          </w:p>
        </w:tc>
        <w:tc>
          <w:tcPr>
            <w:tcW w:w="80" w:type="dxa"/>
            <w:vAlign w:val="bottom"/>
            <w:tcBorders>
              <w:left w:val="single" w:sz="8" w:color="D7F5C4"/>
            </w:tcBorders>
            <w:shd w:val="clear" w:color="auto" w:fill="D7F5C4"/>
          </w:tcPr>
          <w:p>
            <w:pPr>
              <w:spacing w:after="0"/>
              <w:rPr>
                <w:sz w:val="2"/>
                <w:szCs w:val="2"/>
                <w:color w:val="auto"/>
              </w:rPr>
            </w:pPr>
          </w:p>
        </w:tc>
        <w:tc>
          <w:tcPr>
            <w:tcW w:w="120" w:type="dxa"/>
            <w:vAlign w:val="bottom"/>
            <w:tcBorders>
              <w:left w:val="single" w:sz="8" w:color="D7F5C4"/>
            </w:tcBorders>
            <w:shd w:val="clear" w:color="auto" w:fill="D7F5C4"/>
          </w:tcPr>
          <w:p>
            <w:pPr>
              <w:spacing w:after="0"/>
              <w:rPr>
                <w:sz w:val="2"/>
                <w:szCs w:val="2"/>
                <w:color w:val="auto"/>
              </w:rPr>
            </w:pPr>
          </w:p>
        </w:tc>
        <w:tc>
          <w:tcPr>
            <w:tcW w:w="320" w:type="dxa"/>
            <w:vAlign w:val="bottom"/>
            <w:tcBorders>
              <w:left w:val="single" w:sz="8" w:color="D7F5C4"/>
              <w:right w:val="single" w:sz="8" w:color="D7F5C4"/>
            </w:tcBorders>
            <w:shd w:val="clear" w:color="auto" w:fill="D7F5C4"/>
          </w:tcPr>
          <w:p>
            <w:pPr>
              <w:spacing w:after="0"/>
              <w:rPr>
                <w:sz w:val="2"/>
                <w:szCs w:val="2"/>
                <w:color w:val="auto"/>
              </w:rPr>
            </w:pPr>
          </w:p>
        </w:tc>
        <w:tc>
          <w:tcPr>
            <w:tcW w:w="200" w:type="dxa"/>
            <w:vAlign w:val="bottom"/>
            <w:tcBorders>
              <w:left w:val="single" w:sz="8" w:color="D7F5C4"/>
              <w:right w:val="single" w:sz="8" w:color="D7F5C4"/>
            </w:tcBorders>
            <w:shd w:val="clear" w:color="auto" w:fill="D7F5C4"/>
          </w:tcPr>
          <w:p>
            <w:pPr>
              <w:spacing w:after="0"/>
              <w:rPr>
                <w:sz w:val="2"/>
                <w:szCs w:val="2"/>
                <w:color w:val="auto"/>
              </w:rPr>
            </w:pPr>
          </w:p>
        </w:tc>
        <w:tc>
          <w:tcPr>
            <w:tcW w:w="140" w:type="dxa"/>
            <w:vAlign w:val="bottom"/>
            <w:tcBorders>
              <w:right w:val="single" w:sz="8" w:color="D7F5C4"/>
            </w:tcBorders>
            <w:shd w:val="clear" w:color="auto" w:fill="D7F5C4"/>
          </w:tcPr>
          <w:p>
            <w:pPr>
              <w:spacing w:after="0"/>
              <w:rPr>
                <w:sz w:val="2"/>
                <w:szCs w:val="2"/>
                <w:color w:val="auto"/>
              </w:rPr>
            </w:pPr>
          </w:p>
        </w:tc>
        <w:tc>
          <w:tcPr>
            <w:tcW w:w="300" w:type="dxa"/>
            <w:vAlign w:val="bottom"/>
            <w:tcBorders>
              <w:left w:val="single" w:sz="8" w:color="D7F5C4"/>
            </w:tcBorders>
            <w:shd w:val="clear" w:color="auto" w:fill="D7F5C4"/>
          </w:tcPr>
          <w:p>
            <w:pPr>
              <w:spacing w:after="0"/>
              <w:rPr>
                <w:sz w:val="2"/>
                <w:szCs w:val="2"/>
                <w:color w:val="auto"/>
              </w:rPr>
            </w:pPr>
          </w:p>
        </w:tc>
        <w:tc>
          <w:tcPr>
            <w:tcW w:w="160" w:type="dxa"/>
            <w:vAlign w:val="bottom"/>
            <w:shd w:val="clear" w:color="auto" w:fill="D7F5C4"/>
          </w:tcPr>
          <w:p>
            <w:pPr>
              <w:spacing w:after="0"/>
              <w:rPr>
                <w:sz w:val="2"/>
                <w:szCs w:val="2"/>
                <w:color w:val="auto"/>
              </w:rPr>
            </w:pPr>
          </w:p>
        </w:tc>
        <w:tc>
          <w:tcPr>
            <w:tcW w:w="80" w:type="dxa"/>
            <w:vAlign w:val="bottom"/>
            <w:shd w:val="clear" w:color="auto" w:fill="D7F5C4"/>
          </w:tcPr>
          <w:p>
            <w:pPr>
              <w:spacing w:after="0"/>
              <w:rPr>
                <w:sz w:val="2"/>
                <w:szCs w:val="2"/>
                <w:color w:val="auto"/>
              </w:rPr>
            </w:pPr>
          </w:p>
        </w:tc>
        <w:tc>
          <w:tcPr>
            <w:tcW w:w="140" w:type="dxa"/>
            <w:vAlign w:val="bottom"/>
            <w:tcBorders>
              <w:right w:val="single" w:sz="8" w:color="D7F5C4"/>
            </w:tcBorders>
            <w:shd w:val="clear" w:color="auto" w:fill="D7F5C4"/>
          </w:tcPr>
          <w:p>
            <w:pPr>
              <w:spacing w:after="0"/>
              <w:rPr>
                <w:sz w:val="2"/>
                <w:szCs w:val="2"/>
                <w:color w:val="auto"/>
              </w:rPr>
            </w:pPr>
          </w:p>
        </w:tc>
        <w:tc>
          <w:tcPr>
            <w:tcW w:w="160" w:type="dxa"/>
            <w:vAlign w:val="bottom"/>
            <w:tcBorders>
              <w:left w:val="single" w:sz="8" w:color="D7F5C4"/>
            </w:tcBorders>
            <w:shd w:val="clear" w:color="auto" w:fill="D7F5C4"/>
          </w:tcPr>
          <w:p>
            <w:pPr>
              <w:spacing w:after="0"/>
              <w:rPr>
                <w:sz w:val="2"/>
                <w:szCs w:val="2"/>
                <w:color w:val="auto"/>
              </w:rPr>
            </w:pPr>
          </w:p>
        </w:tc>
        <w:tc>
          <w:tcPr>
            <w:tcW w:w="120" w:type="dxa"/>
            <w:vAlign w:val="bottom"/>
            <w:shd w:val="clear" w:color="auto" w:fill="D7F5C4"/>
          </w:tcPr>
          <w:p>
            <w:pPr>
              <w:spacing w:after="0"/>
              <w:rPr>
                <w:sz w:val="2"/>
                <w:szCs w:val="2"/>
                <w:color w:val="auto"/>
              </w:rPr>
            </w:pPr>
          </w:p>
        </w:tc>
        <w:tc>
          <w:tcPr>
            <w:tcW w:w="300" w:type="dxa"/>
            <w:vAlign w:val="bottom"/>
            <w:shd w:val="clear" w:color="auto" w:fill="D7F5C4"/>
          </w:tcPr>
          <w:p>
            <w:pPr>
              <w:spacing w:after="0"/>
              <w:rPr>
                <w:sz w:val="2"/>
                <w:szCs w:val="2"/>
                <w:color w:val="auto"/>
              </w:rPr>
            </w:pPr>
          </w:p>
        </w:tc>
        <w:tc>
          <w:tcPr>
            <w:tcW w:w="160" w:type="dxa"/>
            <w:vAlign w:val="bottom"/>
            <w:shd w:val="clear" w:color="auto" w:fill="D7F5C4"/>
          </w:tcPr>
          <w:p>
            <w:pPr>
              <w:spacing w:after="0"/>
              <w:rPr>
                <w:sz w:val="2"/>
                <w:szCs w:val="2"/>
                <w:color w:val="auto"/>
              </w:rPr>
            </w:pPr>
          </w:p>
        </w:tc>
        <w:tc>
          <w:tcPr>
            <w:tcW w:w="200" w:type="dxa"/>
            <w:vAlign w:val="bottom"/>
            <w:shd w:val="clear" w:color="auto" w:fill="D7F5C4"/>
          </w:tcPr>
          <w:p>
            <w:pPr>
              <w:spacing w:after="0"/>
              <w:rPr>
                <w:sz w:val="2"/>
                <w:szCs w:val="2"/>
                <w:color w:val="auto"/>
              </w:rPr>
            </w:pPr>
          </w:p>
        </w:tc>
        <w:tc>
          <w:tcPr>
            <w:tcW w:w="900" w:type="dxa"/>
            <w:vAlign w:val="bottom"/>
            <w:shd w:val="clear" w:color="auto" w:fill="D7F5C4"/>
          </w:tcPr>
          <w:p>
            <w:pPr>
              <w:spacing w:after="0"/>
              <w:rPr>
                <w:sz w:val="2"/>
                <w:szCs w:val="2"/>
                <w:color w:val="auto"/>
              </w:rPr>
            </w:pPr>
          </w:p>
        </w:tc>
        <w:tc>
          <w:tcPr>
            <w:tcW w:w="540" w:type="dxa"/>
            <w:vAlign w:val="bottom"/>
            <w:shd w:val="clear" w:color="auto" w:fill="D7F5C4"/>
          </w:tcPr>
          <w:p>
            <w:pPr>
              <w:spacing w:after="0"/>
              <w:rPr>
                <w:sz w:val="2"/>
                <w:szCs w:val="2"/>
                <w:color w:val="auto"/>
              </w:rPr>
            </w:pPr>
          </w:p>
        </w:tc>
        <w:tc>
          <w:tcPr>
            <w:tcW w:w="2020" w:type="dxa"/>
            <w:vAlign w:val="bottom"/>
            <w:shd w:val="clear" w:color="auto" w:fill="D7F5C4"/>
          </w:tcPr>
          <w:p>
            <w:pPr>
              <w:spacing w:after="0"/>
              <w:rPr>
                <w:sz w:val="2"/>
                <w:szCs w:val="2"/>
                <w:color w:val="auto"/>
              </w:rPr>
            </w:pPr>
          </w:p>
        </w:tc>
        <w:tc>
          <w:tcPr>
            <w:tcW w:w="480" w:type="dxa"/>
            <w:vAlign w:val="bottom"/>
            <w:shd w:val="clear" w:color="auto" w:fill="D7F5C4"/>
          </w:tcPr>
          <w:p>
            <w:pPr>
              <w:spacing w:after="0"/>
              <w:rPr>
                <w:sz w:val="2"/>
                <w:szCs w:val="2"/>
                <w:color w:val="auto"/>
              </w:rPr>
            </w:pPr>
          </w:p>
        </w:tc>
        <w:tc>
          <w:tcPr>
            <w:tcW w:w="740" w:type="dxa"/>
            <w:vAlign w:val="bottom"/>
            <w:shd w:val="clear" w:color="auto" w:fill="D7F5C4"/>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D7F5C4"/>
          </w:tcPr>
          <w:p>
            <w:pPr>
              <w:spacing w:after="0"/>
              <w:rPr>
                <w:sz w:val="2"/>
                <w:szCs w:val="2"/>
                <w:color w:val="auto"/>
              </w:rPr>
            </w:pPr>
          </w:p>
        </w:tc>
      </w:tr>
      <w:tr>
        <w:trPr>
          <w:trHeight w:val="162"/>
        </w:trPr>
        <w:tc>
          <w:tcPr>
            <w:tcW w:w="4420" w:type="dxa"/>
            <w:vAlign w:val="bottom"/>
            <w:gridSpan w:val="25"/>
          </w:tcPr>
          <w:p>
            <w:pPr>
              <w:spacing w:after="0"/>
              <w:rPr>
                <w:rFonts w:ascii="Arial" w:cs="Arial" w:eastAsia="Arial" w:hAnsi="Arial"/>
                <w:sz w:val="14"/>
                <w:szCs w:val="14"/>
                <w:color w:val="0000EE"/>
              </w:rPr>
            </w:pPr>
            <w:hyperlink w:anchor="page55">
              <w:r>
                <w:rPr>
                  <w:rFonts w:ascii="Arial" w:cs="Arial" w:eastAsia="Arial" w:hAnsi="Arial"/>
                  <w:sz w:val="14"/>
                  <w:szCs w:val="14"/>
                  <w:color w:val="0000EE"/>
                </w:rPr>
                <w:t>Securities Authorized for Issuance Under Equity Compensation Plans</w:t>
              </w:r>
            </w:hyperlink>
          </w:p>
        </w:tc>
        <w:tc>
          <w:tcPr>
            <w:tcW w:w="4140" w:type="dxa"/>
            <w:vAlign w:val="bottom"/>
            <w:gridSpan w:val="5"/>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gridSpan w:val="3"/>
          </w:tcPr>
          <w:p>
            <w:pPr>
              <w:jc w:val="right"/>
              <w:ind w:right="100"/>
              <w:spacing w:after="0"/>
              <w:rPr>
                <w:rFonts w:ascii="Arial" w:cs="Arial" w:eastAsia="Arial" w:hAnsi="Arial"/>
                <w:sz w:val="14"/>
                <w:szCs w:val="14"/>
                <w:color w:val="0000EE"/>
                <w:w w:val="89"/>
              </w:rPr>
            </w:pPr>
            <w:hyperlink w:anchor="page55">
              <w:r>
                <w:rPr>
                  <w:rFonts w:ascii="Arial" w:cs="Arial" w:eastAsia="Arial" w:hAnsi="Arial"/>
                  <w:sz w:val="14"/>
                  <w:szCs w:val="14"/>
                  <w:color w:val="0000EE"/>
                  <w:w w:val="89"/>
                </w:rPr>
                <w:t>47</w:t>
              </w:r>
            </w:hyperlink>
          </w:p>
        </w:tc>
      </w:tr>
      <w:tr>
        <w:trPr>
          <w:trHeight w:val="27"/>
        </w:trPr>
        <w:tc>
          <w:tcPr>
            <w:tcW w:w="1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320" w:type="dxa"/>
            <w:vAlign w:val="bottom"/>
            <w:tcBorders>
              <w:left w:val="single" w:sz="8" w:color="0000EE"/>
              <w:right w:val="single" w:sz="8" w:color="0000EE"/>
            </w:tcBorders>
            <w:shd w:val="clear" w:color="auto" w:fill="0000EE"/>
          </w:tcPr>
          <w:p>
            <w:pPr>
              <w:spacing w:after="0"/>
              <w:rPr>
                <w:sz w:val="2"/>
                <w:szCs w:val="2"/>
                <w:color w:val="auto"/>
              </w:rPr>
            </w:pPr>
          </w:p>
        </w:tc>
        <w:tc>
          <w:tcPr>
            <w:tcW w:w="200" w:type="dxa"/>
            <w:vAlign w:val="bottom"/>
            <w:tcBorders>
              <w:left w:val="single" w:sz="8" w:color="0000EE"/>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30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4420" w:type="dxa"/>
            <w:vAlign w:val="bottom"/>
            <w:gridSpan w:val="25"/>
            <w:shd w:val="clear" w:color="auto" w:fill="D7F5C4"/>
          </w:tcPr>
          <w:p>
            <w:pPr>
              <w:spacing w:after="0"/>
              <w:rPr>
                <w:rFonts w:ascii="Arial" w:cs="Arial" w:eastAsia="Arial" w:hAnsi="Arial"/>
                <w:sz w:val="14"/>
                <w:szCs w:val="14"/>
                <w:color w:val="0000EE"/>
              </w:rPr>
            </w:pPr>
            <w:hyperlink w:anchor="page55">
              <w:r>
                <w:rPr>
                  <w:rFonts w:ascii="Arial" w:cs="Arial" w:eastAsia="Arial" w:hAnsi="Arial"/>
                  <w:sz w:val="14"/>
                  <w:szCs w:val="14"/>
                  <w:color w:val="0000EE"/>
                </w:rPr>
                <w:t>Proposals of Stockholders</w:t>
              </w:r>
            </w:hyperlink>
          </w:p>
        </w:tc>
        <w:tc>
          <w:tcPr>
            <w:tcW w:w="4140" w:type="dxa"/>
            <w:vAlign w:val="bottom"/>
            <w:gridSpan w:val="5"/>
            <w:shd w:val="clear" w:color="auto" w:fill="D7F5C4"/>
          </w:tcPr>
          <w:p>
            <w:pPr>
              <w:spacing w:after="0"/>
              <w:rPr>
                <w:sz w:val="14"/>
                <w:szCs w:val="14"/>
                <w:color w:val="auto"/>
              </w:rPr>
            </w:pPr>
          </w:p>
        </w:tc>
        <w:tc>
          <w:tcPr>
            <w:tcW w:w="740" w:type="dxa"/>
            <w:vAlign w:val="bottom"/>
            <w:shd w:val="clear" w:color="auto" w:fill="D7F5C4"/>
          </w:tcPr>
          <w:p>
            <w:pPr>
              <w:spacing w:after="0"/>
              <w:rPr>
                <w:sz w:val="14"/>
                <w:szCs w:val="14"/>
                <w:color w:val="auto"/>
              </w:rPr>
            </w:pPr>
          </w:p>
        </w:tc>
        <w:tc>
          <w:tcPr>
            <w:tcW w:w="260" w:type="dxa"/>
            <w:vAlign w:val="bottom"/>
            <w:gridSpan w:val="3"/>
            <w:shd w:val="clear" w:color="auto" w:fill="D7F5C4"/>
          </w:tcPr>
          <w:p>
            <w:pPr>
              <w:jc w:val="right"/>
              <w:ind w:right="100"/>
              <w:spacing w:after="0"/>
              <w:rPr>
                <w:rFonts w:ascii="Arial" w:cs="Arial" w:eastAsia="Arial" w:hAnsi="Arial"/>
                <w:sz w:val="14"/>
                <w:szCs w:val="14"/>
                <w:color w:val="0000EE"/>
                <w:w w:val="89"/>
              </w:rPr>
            </w:pPr>
            <w:hyperlink w:anchor="page55">
              <w:r>
                <w:rPr>
                  <w:rFonts w:ascii="Arial" w:cs="Arial" w:eastAsia="Arial" w:hAnsi="Arial"/>
                  <w:sz w:val="14"/>
                  <w:szCs w:val="14"/>
                  <w:color w:val="0000EE"/>
                  <w:w w:val="89"/>
                </w:rPr>
                <w:t>47</w:t>
              </w:r>
            </w:hyperlink>
          </w:p>
        </w:tc>
      </w:tr>
      <w:tr>
        <w:trPr>
          <w:trHeight w:val="27"/>
        </w:trPr>
        <w:tc>
          <w:tcPr>
            <w:tcW w:w="1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D7F5C4"/>
          </w:tcPr>
          <w:p>
            <w:pPr>
              <w:spacing w:after="0"/>
              <w:rPr>
                <w:sz w:val="2"/>
                <w:szCs w:val="2"/>
                <w:color w:val="auto"/>
              </w:rPr>
            </w:pPr>
          </w:p>
        </w:tc>
        <w:tc>
          <w:tcPr>
            <w:tcW w:w="100" w:type="dxa"/>
            <w:vAlign w:val="bottom"/>
            <w:shd w:val="clear" w:color="auto" w:fill="D7F5C4"/>
          </w:tcPr>
          <w:p>
            <w:pPr>
              <w:spacing w:after="0"/>
              <w:rPr>
                <w:sz w:val="2"/>
                <w:szCs w:val="2"/>
                <w:color w:val="auto"/>
              </w:rPr>
            </w:pPr>
          </w:p>
        </w:tc>
        <w:tc>
          <w:tcPr>
            <w:tcW w:w="180" w:type="dxa"/>
            <w:vAlign w:val="bottom"/>
            <w:tcBorders>
              <w:right w:val="single" w:sz="8" w:color="D7F5C4"/>
            </w:tcBorders>
            <w:shd w:val="clear" w:color="auto" w:fill="D7F5C4"/>
          </w:tcPr>
          <w:p>
            <w:pPr>
              <w:spacing w:after="0"/>
              <w:rPr>
                <w:sz w:val="2"/>
                <w:szCs w:val="2"/>
                <w:color w:val="auto"/>
              </w:rPr>
            </w:pPr>
          </w:p>
        </w:tc>
        <w:tc>
          <w:tcPr>
            <w:tcW w:w="120" w:type="dxa"/>
            <w:vAlign w:val="bottom"/>
            <w:tcBorders>
              <w:left w:val="single" w:sz="8" w:color="D7F5C4"/>
            </w:tcBorders>
            <w:shd w:val="clear" w:color="auto" w:fill="D7F5C4"/>
          </w:tcPr>
          <w:p>
            <w:pPr>
              <w:spacing w:after="0"/>
              <w:rPr>
                <w:sz w:val="2"/>
                <w:szCs w:val="2"/>
                <w:color w:val="auto"/>
              </w:rPr>
            </w:pPr>
          </w:p>
        </w:tc>
        <w:tc>
          <w:tcPr>
            <w:tcW w:w="80" w:type="dxa"/>
            <w:vAlign w:val="bottom"/>
            <w:tcBorders>
              <w:left w:val="single" w:sz="8" w:color="D7F5C4"/>
            </w:tcBorders>
            <w:shd w:val="clear" w:color="auto" w:fill="D7F5C4"/>
          </w:tcPr>
          <w:p>
            <w:pPr>
              <w:spacing w:after="0"/>
              <w:rPr>
                <w:sz w:val="2"/>
                <w:szCs w:val="2"/>
                <w:color w:val="auto"/>
              </w:rPr>
            </w:pPr>
          </w:p>
        </w:tc>
        <w:tc>
          <w:tcPr>
            <w:tcW w:w="120" w:type="dxa"/>
            <w:vAlign w:val="bottom"/>
            <w:tcBorders>
              <w:left w:val="single" w:sz="8" w:color="D7F5C4"/>
            </w:tcBorders>
            <w:shd w:val="clear" w:color="auto" w:fill="D7F5C4"/>
          </w:tcPr>
          <w:p>
            <w:pPr>
              <w:spacing w:after="0"/>
              <w:rPr>
                <w:sz w:val="2"/>
                <w:szCs w:val="2"/>
                <w:color w:val="auto"/>
              </w:rPr>
            </w:pPr>
          </w:p>
        </w:tc>
        <w:tc>
          <w:tcPr>
            <w:tcW w:w="320" w:type="dxa"/>
            <w:vAlign w:val="bottom"/>
            <w:tcBorders>
              <w:left w:val="single" w:sz="8" w:color="D7F5C4"/>
              <w:right w:val="single" w:sz="8" w:color="D7F5C4"/>
            </w:tcBorders>
            <w:shd w:val="clear" w:color="auto" w:fill="D7F5C4"/>
          </w:tcPr>
          <w:p>
            <w:pPr>
              <w:spacing w:after="0"/>
              <w:rPr>
                <w:sz w:val="2"/>
                <w:szCs w:val="2"/>
                <w:color w:val="auto"/>
              </w:rPr>
            </w:pPr>
          </w:p>
        </w:tc>
        <w:tc>
          <w:tcPr>
            <w:tcW w:w="200" w:type="dxa"/>
            <w:vAlign w:val="bottom"/>
            <w:tcBorders>
              <w:left w:val="single" w:sz="8" w:color="D7F5C4"/>
              <w:right w:val="single" w:sz="8" w:color="D7F5C4"/>
            </w:tcBorders>
            <w:shd w:val="clear" w:color="auto" w:fill="D7F5C4"/>
          </w:tcPr>
          <w:p>
            <w:pPr>
              <w:spacing w:after="0"/>
              <w:rPr>
                <w:sz w:val="2"/>
                <w:szCs w:val="2"/>
                <w:color w:val="auto"/>
              </w:rPr>
            </w:pPr>
          </w:p>
        </w:tc>
        <w:tc>
          <w:tcPr>
            <w:tcW w:w="140" w:type="dxa"/>
            <w:vAlign w:val="bottom"/>
            <w:tcBorders>
              <w:right w:val="single" w:sz="8" w:color="D7F5C4"/>
            </w:tcBorders>
            <w:shd w:val="clear" w:color="auto" w:fill="D7F5C4"/>
          </w:tcPr>
          <w:p>
            <w:pPr>
              <w:spacing w:after="0"/>
              <w:rPr>
                <w:sz w:val="2"/>
                <w:szCs w:val="2"/>
                <w:color w:val="auto"/>
              </w:rPr>
            </w:pPr>
          </w:p>
        </w:tc>
        <w:tc>
          <w:tcPr>
            <w:tcW w:w="300" w:type="dxa"/>
            <w:vAlign w:val="bottom"/>
            <w:tcBorders>
              <w:left w:val="single" w:sz="8" w:color="D7F5C4"/>
            </w:tcBorders>
            <w:shd w:val="clear" w:color="auto" w:fill="D7F5C4"/>
          </w:tcPr>
          <w:p>
            <w:pPr>
              <w:spacing w:after="0"/>
              <w:rPr>
                <w:sz w:val="2"/>
                <w:szCs w:val="2"/>
                <w:color w:val="auto"/>
              </w:rPr>
            </w:pPr>
          </w:p>
        </w:tc>
        <w:tc>
          <w:tcPr>
            <w:tcW w:w="160" w:type="dxa"/>
            <w:vAlign w:val="bottom"/>
            <w:shd w:val="clear" w:color="auto" w:fill="D7F5C4"/>
          </w:tcPr>
          <w:p>
            <w:pPr>
              <w:spacing w:after="0"/>
              <w:rPr>
                <w:sz w:val="2"/>
                <w:szCs w:val="2"/>
                <w:color w:val="auto"/>
              </w:rPr>
            </w:pPr>
          </w:p>
        </w:tc>
        <w:tc>
          <w:tcPr>
            <w:tcW w:w="80" w:type="dxa"/>
            <w:vAlign w:val="bottom"/>
            <w:shd w:val="clear" w:color="auto" w:fill="D7F5C4"/>
          </w:tcPr>
          <w:p>
            <w:pPr>
              <w:spacing w:after="0"/>
              <w:rPr>
                <w:sz w:val="2"/>
                <w:szCs w:val="2"/>
                <w:color w:val="auto"/>
              </w:rPr>
            </w:pPr>
          </w:p>
        </w:tc>
        <w:tc>
          <w:tcPr>
            <w:tcW w:w="140" w:type="dxa"/>
            <w:vAlign w:val="bottom"/>
            <w:tcBorders>
              <w:right w:val="single" w:sz="8" w:color="D7F5C4"/>
            </w:tcBorders>
            <w:shd w:val="clear" w:color="auto" w:fill="D7F5C4"/>
          </w:tcPr>
          <w:p>
            <w:pPr>
              <w:spacing w:after="0"/>
              <w:rPr>
                <w:sz w:val="2"/>
                <w:szCs w:val="2"/>
                <w:color w:val="auto"/>
              </w:rPr>
            </w:pPr>
          </w:p>
        </w:tc>
        <w:tc>
          <w:tcPr>
            <w:tcW w:w="160" w:type="dxa"/>
            <w:vAlign w:val="bottom"/>
            <w:tcBorders>
              <w:left w:val="single" w:sz="8" w:color="D7F5C4"/>
            </w:tcBorders>
            <w:shd w:val="clear" w:color="auto" w:fill="D7F5C4"/>
          </w:tcPr>
          <w:p>
            <w:pPr>
              <w:spacing w:after="0"/>
              <w:rPr>
                <w:sz w:val="2"/>
                <w:szCs w:val="2"/>
                <w:color w:val="auto"/>
              </w:rPr>
            </w:pPr>
          </w:p>
        </w:tc>
        <w:tc>
          <w:tcPr>
            <w:tcW w:w="120" w:type="dxa"/>
            <w:vAlign w:val="bottom"/>
            <w:shd w:val="clear" w:color="auto" w:fill="D7F5C4"/>
          </w:tcPr>
          <w:p>
            <w:pPr>
              <w:spacing w:after="0"/>
              <w:rPr>
                <w:sz w:val="2"/>
                <w:szCs w:val="2"/>
                <w:color w:val="auto"/>
              </w:rPr>
            </w:pPr>
          </w:p>
        </w:tc>
        <w:tc>
          <w:tcPr>
            <w:tcW w:w="300" w:type="dxa"/>
            <w:vAlign w:val="bottom"/>
            <w:shd w:val="clear" w:color="auto" w:fill="D7F5C4"/>
          </w:tcPr>
          <w:p>
            <w:pPr>
              <w:spacing w:after="0"/>
              <w:rPr>
                <w:sz w:val="2"/>
                <w:szCs w:val="2"/>
                <w:color w:val="auto"/>
              </w:rPr>
            </w:pPr>
          </w:p>
        </w:tc>
        <w:tc>
          <w:tcPr>
            <w:tcW w:w="160" w:type="dxa"/>
            <w:vAlign w:val="bottom"/>
            <w:shd w:val="clear" w:color="auto" w:fill="D7F5C4"/>
          </w:tcPr>
          <w:p>
            <w:pPr>
              <w:spacing w:after="0"/>
              <w:rPr>
                <w:sz w:val="2"/>
                <w:szCs w:val="2"/>
                <w:color w:val="auto"/>
              </w:rPr>
            </w:pPr>
          </w:p>
        </w:tc>
        <w:tc>
          <w:tcPr>
            <w:tcW w:w="200" w:type="dxa"/>
            <w:vAlign w:val="bottom"/>
            <w:shd w:val="clear" w:color="auto" w:fill="D7F5C4"/>
          </w:tcPr>
          <w:p>
            <w:pPr>
              <w:spacing w:after="0"/>
              <w:rPr>
                <w:sz w:val="2"/>
                <w:szCs w:val="2"/>
                <w:color w:val="auto"/>
              </w:rPr>
            </w:pPr>
          </w:p>
        </w:tc>
        <w:tc>
          <w:tcPr>
            <w:tcW w:w="900" w:type="dxa"/>
            <w:vAlign w:val="bottom"/>
            <w:shd w:val="clear" w:color="auto" w:fill="D7F5C4"/>
          </w:tcPr>
          <w:p>
            <w:pPr>
              <w:spacing w:after="0"/>
              <w:rPr>
                <w:sz w:val="2"/>
                <w:szCs w:val="2"/>
                <w:color w:val="auto"/>
              </w:rPr>
            </w:pPr>
          </w:p>
        </w:tc>
        <w:tc>
          <w:tcPr>
            <w:tcW w:w="540" w:type="dxa"/>
            <w:vAlign w:val="bottom"/>
            <w:shd w:val="clear" w:color="auto" w:fill="D7F5C4"/>
          </w:tcPr>
          <w:p>
            <w:pPr>
              <w:spacing w:after="0"/>
              <w:rPr>
                <w:sz w:val="2"/>
                <w:szCs w:val="2"/>
                <w:color w:val="auto"/>
              </w:rPr>
            </w:pPr>
          </w:p>
        </w:tc>
        <w:tc>
          <w:tcPr>
            <w:tcW w:w="2020" w:type="dxa"/>
            <w:vAlign w:val="bottom"/>
            <w:shd w:val="clear" w:color="auto" w:fill="D7F5C4"/>
          </w:tcPr>
          <w:p>
            <w:pPr>
              <w:spacing w:after="0"/>
              <w:rPr>
                <w:sz w:val="2"/>
                <w:szCs w:val="2"/>
                <w:color w:val="auto"/>
              </w:rPr>
            </w:pPr>
          </w:p>
        </w:tc>
        <w:tc>
          <w:tcPr>
            <w:tcW w:w="480" w:type="dxa"/>
            <w:vAlign w:val="bottom"/>
            <w:shd w:val="clear" w:color="auto" w:fill="D7F5C4"/>
          </w:tcPr>
          <w:p>
            <w:pPr>
              <w:spacing w:after="0"/>
              <w:rPr>
                <w:sz w:val="2"/>
                <w:szCs w:val="2"/>
                <w:color w:val="auto"/>
              </w:rPr>
            </w:pPr>
          </w:p>
        </w:tc>
        <w:tc>
          <w:tcPr>
            <w:tcW w:w="740" w:type="dxa"/>
            <w:vAlign w:val="bottom"/>
            <w:shd w:val="clear" w:color="auto" w:fill="D7F5C4"/>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D7F5C4"/>
          </w:tcPr>
          <w:p>
            <w:pPr>
              <w:spacing w:after="0"/>
              <w:rPr>
                <w:sz w:val="2"/>
                <w:szCs w:val="2"/>
                <w:color w:val="auto"/>
              </w:rPr>
            </w:pPr>
          </w:p>
        </w:tc>
      </w:tr>
      <w:tr>
        <w:trPr>
          <w:trHeight w:val="162"/>
        </w:trPr>
        <w:tc>
          <w:tcPr>
            <w:tcW w:w="880" w:type="dxa"/>
            <w:vAlign w:val="bottom"/>
            <w:gridSpan w:val="3"/>
          </w:tcPr>
          <w:p>
            <w:pPr>
              <w:spacing w:after="0"/>
              <w:rPr>
                <w:rFonts w:ascii="Arial" w:cs="Arial" w:eastAsia="Arial" w:hAnsi="Arial"/>
                <w:sz w:val="14"/>
                <w:szCs w:val="14"/>
                <w:color w:val="0000EE"/>
              </w:rPr>
            </w:pPr>
            <w:hyperlink w:anchor="page56">
              <w:r>
                <w:rPr>
                  <w:rFonts w:ascii="Arial" w:cs="Arial" w:eastAsia="Arial" w:hAnsi="Arial"/>
                  <w:sz w:val="14"/>
                  <w:szCs w:val="14"/>
                  <w:color w:val="0000EE"/>
                </w:rPr>
                <w:t>Other Matters</w:t>
              </w:r>
            </w:hyperlink>
          </w:p>
        </w:tc>
        <w:tc>
          <w:tcPr>
            <w:tcW w:w="780" w:type="dxa"/>
            <w:vAlign w:val="bottom"/>
            <w:gridSpan w:val="5"/>
          </w:tcPr>
          <w:p>
            <w:pPr>
              <w:spacing w:after="0"/>
              <w:rPr>
                <w:sz w:val="14"/>
                <w:szCs w:val="14"/>
                <w:color w:val="auto"/>
              </w:rPr>
            </w:pPr>
          </w:p>
        </w:tc>
        <w:tc>
          <w:tcPr>
            <w:tcW w:w="6900" w:type="dxa"/>
            <w:vAlign w:val="bottom"/>
            <w:gridSpan w:val="22"/>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gridSpan w:val="3"/>
          </w:tcPr>
          <w:p>
            <w:pPr>
              <w:jc w:val="right"/>
              <w:ind w:right="100"/>
              <w:spacing w:after="0"/>
              <w:rPr>
                <w:rFonts w:ascii="Arial" w:cs="Arial" w:eastAsia="Arial" w:hAnsi="Arial"/>
                <w:sz w:val="14"/>
                <w:szCs w:val="14"/>
                <w:color w:val="0000EE"/>
                <w:w w:val="89"/>
              </w:rPr>
            </w:pPr>
            <w:hyperlink w:anchor="page56">
              <w:r>
                <w:rPr>
                  <w:rFonts w:ascii="Arial" w:cs="Arial" w:eastAsia="Arial" w:hAnsi="Arial"/>
                  <w:sz w:val="14"/>
                  <w:szCs w:val="14"/>
                  <w:color w:val="0000EE"/>
                  <w:w w:val="89"/>
                </w:rPr>
                <w:t>48</w:t>
              </w:r>
            </w:hyperlink>
          </w:p>
        </w:tc>
      </w:tr>
      <w:tr>
        <w:trPr>
          <w:trHeight w:val="27"/>
        </w:trPr>
        <w:tc>
          <w:tcPr>
            <w:tcW w:w="1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180" w:type="dxa"/>
            <w:vAlign w:val="bottom"/>
            <w:shd w:val="clear" w:color="auto" w:fill="D7F5C4"/>
          </w:tcPr>
          <w:p>
            <w:pPr>
              <w:spacing w:after="0"/>
              <w:rPr>
                <w:sz w:val="14"/>
                <w:szCs w:val="14"/>
                <w:color w:val="auto"/>
              </w:rPr>
            </w:pPr>
          </w:p>
        </w:tc>
        <w:tc>
          <w:tcPr>
            <w:tcW w:w="8380" w:type="dxa"/>
            <w:vAlign w:val="bottom"/>
            <w:gridSpan w:val="29"/>
            <w:shd w:val="clear" w:color="auto" w:fill="D7F5C4"/>
          </w:tcPr>
          <w:p>
            <w:pPr>
              <w:spacing w:after="0"/>
              <w:rPr>
                <w:rFonts w:ascii="Arial" w:cs="Arial" w:eastAsia="Arial" w:hAnsi="Arial"/>
                <w:sz w:val="14"/>
                <w:szCs w:val="14"/>
                <w:color w:val="0000EE"/>
              </w:rPr>
            </w:pPr>
            <w:hyperlink w:anchor="page56">
              <w:r>
                <w:rPr>
                  <w:rFonts w:ascii="Arial" w:cs="Arial" w:eastAsia="Arial" w:hAnsi="Arial"/>
                  <w:sz w:val="14"/>
                  <w:szCs w:val="14"/>
                  <w:color w:val="0000EE"/>
                </w:rPr>
                <w:t>Matters That May Come Before the Annual Meeting</w:t>
              </w:r>
            </w:hyperlink>
          </w:p>
        </w:tc>
        <w:tc>
          <w:tcPr>
            <w:tcW w:w="1000" w:type="dxa"/>
            <w:vAlign w:val="bottom"/>
            <w:gridSpan w:val="4"/>
            <w:shd w:val="clear" w:color="auto" w:fill="D7F5C4"/>
          </w:tcPr>
          <w:p>
            <w:pPr>
              <w:jc w:val="right"/>
              <w:ind w:right="100"/>
              <w:spacing w:after="0"/>
              <w:rPr>
                <w:rFonts w:ascii="Arial" w:cs="Arial" w:eastAsia="Arial" w:hAnsi="Arial"/>
                <w:sz w:val="14"/>
                <w:szCs w:val="14"/>
                <w:color w:val="0000EE"/>
              </w:rPr>
            </w:pPr>
            <w:hyperlink w:anchor="page56">
              <w:r>
                <w:rPr>
                  <w:rFonts w:ascii="Arial" w:cs="Arial" w:eastAsia="Arial" w:hAnsi="Arial"/>
                  <w:sz w:val="14"/>
                  <w:szCs w:val="14"/>
                  <w:color w:val="0000EE"/>
                </w:rPr>
                <w:t>48</w:t>
              </w:r>
            </w:hyperlink>
          </w:p>
        </w:tc>
      </w:tr>
      <w:tr>
        <w:trPr>
          <w:trHeight w:val="27"/>
        </w:trPr>
        <w:tc>
          <w:tcPr>
            <w:tcW w:w="180" w:type="dxa"/>
            <w:vAlign w:val="bottom"/>
            <w:shd w:val="clear" w:color="auto" w:fill="D7F5C4"/>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320" w:type="dxa"/>
            <w:vAlign w:val="bottom"/>
            <w:tcBorders>
              <w:left w:val="single" w:sz="8" w:color="0000EE"/>
              <w:right w:val="single" w:sz="8" w:color="0000EE"/>
            </w:tcBorders>
            <w:shd w:val="clear" w:color="auto" w:fill="0000EE"/>
          </w:tcPr>
          <w:p>
            <w:pPr>
              <w:spacing w:after="0"/>
              <w:rPr>
                <w:sz w:val="2"/>
                <w:szCs w:val="2"/>
                <w:color w:val="auto"/>
              </w:rPr>
            </w:pPr>
          </w:p>
        </w:tc>
        <w:tc>
          <w:tcPr>
            <w:tcW w:w="200" w:type="dxa"/>
            <w:vAlign w:val="bottom"/>
            <w:tcBorders>
              <w:left w:val="single" w:sz="8" w:color="0000EE"/>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30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D7F5C4"/>
          </w:tcPr>
          <w:p>
            <w:pPr>
              <w:spacing w:after="0"/>
              <w:rPr>
                <w:sz w:val="2"/>
                <w:szCs w:val="2"/>
                <w:color w:val="auto"/>
              </w:rPr>
            </w:pPr>
          </w:p>
        </w:tc>
        <w:tc>
          <w:tcPr>
            <w:tcW w:w="140" w:type="dxa"/>
            <w:vAlign w:val="bottom"/>
            <w:tcBorders>
              <w:right w:val="single" w:sz="8" w:color="D7F5C4"/>
            </w:tcBorders>
            <w:shd w:val="clear" w:color="auto" w:fill="D7F5C4"/>
          </w:tcPr>
          <w:p>
            <w:pPr>
              <w:spacing w:after="0"/>
              <w:rPr>
                <w:sz w:val="2"/>
                <w:szCs w:val="2"/>
                <w:color w:val="auto"/>
              </w:rPr>
            </w:pPr>
          </w:p>
        </w:tc>
        <w:tc>
          <w:tcPr>
            <w:tcW w:w="160" w:type="dxa"/>
            <w:vAlign w:val="bottom"/>
            <w:tcBorders>
              <w:left w:val="single" w:sz="8" w:color="D7F5C4"/>
            </w:tcBorders>
            <w:shd w:val="clear" w:color="auto" w:fill="D7F5C4"/>
          </w:tcPr>
          <w:p>
            <w:pPr>
              <w:spacing w:after="0"/>
              <w:rPr>
                <w:sz w:val="2"/>
                <w:szCs w:val="2"/>
                <w:color w:val="auto"/>
              </w:rPr>
            </w:pPr>
          </w:p>
        </w:tc>
        <w:tc>
          <w:tcPr>
            <w:tcW w:w="120" w:type="dxa"/>
            <w:vAlign w:val="bottom"/>
            <w:shd w:val="clear" w:color="auto" w:fill="D7F5C4"/>
          </w:tcPr>
          <w:p>
            <w:pPr>
              <w:spacing w:after="0"/>
              <w:rPr>
                <w:sz w:val="2"/>
                <w:szCs w:val="2"/>
                <w:color w:val="auto"/>
              </w:rPr>
            </w:pPr>
          </w:p>
        </w:tc>
        <w:tc>
          <w:tcPr>
            <w:tcW w:w="300" w:type="dxa"/>
            <w:vAlign w:val="bottom"/>
            <w:shd w:val="clear" w:color="auto" w:fill="D7F5C4"/>
          </w:tcPr>
          <w:p>
            <w:pPr>
              <w:spacing w:after="0"/>
              <w:rPr>
                <w:sz w:val="2"/>
                <w:szCs w:val="2"/>
                <w:color w:val="auto"/>
              </w:rPr>
            </w:pPr>
          </w:p>
        </w:tc>
        <w:tc>
          <w:tcPr>
            <w:tcW w:w="160" w:type="dxa"/>
            <w:vAlign w:val="bottom"/>
            <w:shd w:val="clear" w:color="auto" w:fill="D7F5C4"/>
          </w:tcPr>
          <w:p>
            <w:pPr>
              <w:spacing w:after="0"/>
              <w:rPr>
                <w:sz w:val="2"/>
                <w:szCs w:val="2"/>
                <w:color w:val="auto"/>
              </w:rPr>
            </w:pPr>
          </w:p>
        </w:tc>
        <w:tc>
          <w:tcPr>
            <w:tcW w:w="200" w:type="dxa"/>
            <w:vAlign w:val="bottom"/>
            <w:shd w:val="clear" w:color="auto" w:fill="D7F5C4"/>
          </w:tcPr>
          <w:p>
            <w:pPr>
              <w:spacing w:after="0"/>
              <w:rPr>
                <w:sz w:val="2"/>
                <w:szCs w:val="2"/>
                <w:color w:val="auto"/>
              </w:rPr>
            </w:pPr>
          </w:p>
        </w:tc>
        <w:tc>
          <w:tcPr>
            <w:tcW w:w="900" w:type="dxa"/>
            <w:vAlign w:val="bottom"/>
            <w:shd w:val="clear" w:color="auto" w:fill="D7F5C4"/>
          </w:tcPr>
          <w:p>
            <w:pPr>
              <w:spacing w:after="0"/>
              <w:rPr>
                <w:sz w:val="2"/>
                <w:szCs w:val="2"/>
                <w:color w:val="auto"/>
              </w:rPr>
            </w:pPr>
          </w:p>
        </w:tc>
        <w:tc>
          <w:tcPr>
            <w:tcW w:w="540" w:type="dxa"/>
            <w:vAlign w:val="bottom"/>
            <w:shd w:val="clear" w:color="auto" w:fill="D7F5C4"/>
          </w:tcPr>
          <w:p>
            <w:pPr>
              <w:spacing w:after="0"/>
              <w:rPr>
                <w:sz w:val="2"/>
                <w:szCs w:val="2"/>
                <w:color w:val="auto"/>
              </w:rPr>
            </w:pPr>
          </w:p>
        </w:tc>
        <w:tc>
          <w:tcPr>
            <w:tcW w:w="2020" w:type="dxa"/>
            <w:vAlign w:val="bottom"/>
            <w:shd w:val="clear" w:color="auto" w:fill="D7F5C4"/>
          </w:tcPr>
          <w:p>
            <w:pPr>
              <w:spacing w:after="0"/>
              <w:rPr>
                <w:sz w:val="2"/>
                <w:szCs w:val="2"/>
                <w:color w:val="auto"/>
              </w:rPr>
            </w:pPr>
          </w:p>
        </w:tc>
        <w:tc>
          <w:tcPr>
            <w:tcW w:w="480" w:type="dxa"/>
            <w:vAlign w:val="bottom"/>
            <w:shd w:val="clear" w:color="auto" w:fill="D7F5C4"/>
          </w:tcPr>
          <w:p>
            <w:pPr>
              <w:spacing w:after="0"/>
              <w:rPr>
                <w:sz w:val="2"/>
                <w:szCs w:val="2"/>
                <w:color w:val="auto"/>
              </w:rPr>
            </w:pPr>
          </w:p>
        </w:tc>
        <w:tc>
          <w:tcPr>
            <w:tcW w:w="740" w:type="dxa"/>
            <w:vAlign w:val="bottom"/>
            <w:shd w:val="clear" w:color="auto" w:fill="D7F5C4"/>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D7F5C4"/>
          </w:tcPr>
          <w:p>
            <w:pPr>
              <w:spacing w:after="0"/>
              <w:rPr>
                <w:sz w:val="2"/>
                <w:szCs w:val="2"/>
                <w:color w:val="auto"/>
              </w:rPr>
            </w:pPr>
          </w:p>
        </w:tc>
      </w:tr>
      <w:tr>
        <w:trPr>
          <w:trHeight w:val="162"/>
        </w:trPr>
        <w:tc>
          <w:tcPr>
            <w:tcW w:w="180" w:type="dxa"/>
            <w:vAlign w:val="bottom"/>
          </w:tcPr>
          <w:p>
            <w:pPr>
              <w:spacing w:after="0"/>
              <w:rPr>
                <w:sz w:val="14"/>
                <w:szCs w:val="14"/>
                <w:color w:val="auto"/>
              </w:rPr>
            </w:pPr>
          </w:p>
        </w:tc>
        <w:tc>
          <w:tcPr>
            <w:tcW w:w="1560" w:type="dxa"/>
            <w:vAlign w:val="bottom"/>
            <w:gridSpan w:val="8"/>
          </w:tcPr>
          <w:p>
            <w:pPr>
              <w:spacing w:after="0"/>
              <w:rPr>
                <w:rFonts w:ascii="Arial" w:cs="Arial" w:eastAsia="Arial" w:hAnsi="Arial"/>
                <w:sz w:val="14"/>
                <w:szCs w:val="14"/>
                <w:color w:val="0000EE"/>
              </w:rPr>
            </w:pPr>
            <w:hyperlink w:anchor="page56">
              <w:r>
                <w:rPr>
                  <w:rFonts w:ascii="Arial" w:cs="Arial" w:eastAsia="Arial" w:hAnsi="Arial"/>
                  <w:sz w:val="14"/>
                  <w:szCs w:val="14"/>
                  <w:color w:val="0000EE"/>
                </w:rPr>
                <w:t>Availability of Form 10-K</w:t>
              </w:r>
            </w:hyperlink>
          </w:p>
        </w:tc>
        <w:tc>
          <w:tcPr>
            <w:tcW w:w="1720" w:type="dxa"/>
            <w:vAlign w:val="bottom"/>
            <w:gridSpan w:val="10"/>
          </w:tcPr>
          <w:p>
            <w:pPr>
              <w:spacing w:after="0"/>
              <w:rPr>
                <w:sz w:val="14"/>
                <w:szCs w:val="14"/>
                <w:color w:val="auto"/>
              </w:rPr>
            </w:pPr>
          </w:p>
        </w:tc>
        <w:tc>
          <w:tcPr>
            <w:tcW w:w="5100" w:type="dxa"/>
            <w:vAlign w:val="bottom"/>
            <w:gridSpan w:val="11"/>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gridSpan w:val="3"/>
          </w:tcPr>
          <w:p>
            <w:pPr>
              <w:jc w:val="right"/>
              <w:ind w:right="100"/>
              <w:spacing w:after="0"/>
              <w:rPr>
                <w:rFonts w:ascii="Arial" w:cs="Arial" w:eastAsia="Arial" w:hAnsi="Arial"/>
                <w:sz w:val="14"/>
                <w:szCs w:val="14"/>
                <w:color w:val="0000EE"/>
                <w:w w:val="89"/>
              </w:rPr>
            </w:pPr>
            <w:hyperlink w:anchor="page56">
              <w:r>
                <w:rPr>
                  <w:rFonts w:ascii="Arial" w:cs="Arial" w:eastAsia="Arial" w:hAnsi="Arial"/>
                  <w:sz w:val="14"/>
                  <w:szCs w:val="14"/>
                  <w:color w:val="0000EE"/>
                  <w:w w:val="89"/>
                </w:rPr>
                <w:t>48</w:t>
              </w:r>
            </w:hyperlink>
          </w:p>
        </w:tc>
      </w:tr>
      <w:tr>
        <w:trPr>
          <w:trHeight w:val="27"/>
        </w:trPr>
        <w:tc>
          <w:tcPr>
            <w:tcW w:w="180" w:type="dxa"/>
            <w:vAlign w:val="bottom"/>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180" w:type="dxa"/>
            <w:vAlign w:val="bottom"/>
            <w:shd w:val="clear" w:color="auto" w:fill="D7F5C4"/>
          </w:tcPr>
          <w:p>
            <w:pPr>
              <w:spacing w:after="0"/>
              <w:rPr>
                <w:sz w:val="14"/>
                <w:szCs w:val="14"/>
                <w:color w:val="auto"/>
              </w:rPr>
            </w:pPr>
          </w:p>
        </w:tc>
        <w:tc>
          <w:tcPr>
            <w:tcW w:w="8380" w:type="dxa"/>
            <w:vAlign w:val="bottom"/>
            <w:gridSpan w:val="29"/>
            <w:shd w:val="clear" w:color="auto" w:fill="D7F5C4"/>
          </w:tcPr>
          <w:p>
            <w:pPr>
              <w:spacing w:after="0"/>
              <w:rPr>
                <w:rFonts w:ascii="Arial" w:cs="Arial" w:eastAsia="Arial" w:hAnsi="Arial"/>
                <w:sz w:val="14"/>
                <w:szCs w:val="14"/>
                <w:color w:val="0000EE"/>
              </w:rPr>
            </w:pPr>
            <w:hyperlink w:anchor="page56">
              <w:r>
                <w:rPr>
                  <w:rFonts w:ascii="Arial" w:cs="Arial" w:eastAsia="Arial" w:hAnsi="Arial"/>
                  <w:sz w:val="14"/>
                  <w:szCs w:val="14"/>
                  <w:color w:val="0000EE"/>
                </w:rPr>
                <w:t>Householding of Proxy Materials</w:t>
              </w:r>
            </w:hyperlink>
          </w:p>
        </w:tc>
        <w:tc>
          <w:tcPr>
            <w:tcW w:w="1000" w:type="dxa"/>
            <w:vAlign w:val="bottom"/>
            <w:gridSpan w:val="4"/>
            <w:shd w:val="clear" w:color="auto" w:fill="D7F5C4"/>
          </w:tcPr>
          <w:p>
            <w:pPr>
              <w:jc w:val="right"/>
              <w:ind w:right="100"/>
              <w:spacing w:after="0"/>
              <w:rPr>
                <w:rFonts w:ascii="Arial" w:cs="Arial" w:eastAsia="Arial" w:hAnsi="Arial"/>
                <w:sz w:val="14"/>
                <w:szCs w:val="14"/>
                <w:color w:val="0000EE"/>
              </w:rPr>
            </w:pPr>
            <w:hyperlink w:anchor="page56">
              <w:r>
                <w:rPr>
                  <w:rFonts w:ascii="Arial" w:cs="Arial" w:eastAsia="Arial" w:hAnsi="Arial"/>
                  <w:sz w:val="14"/>
                  <w:szCs w:val="14"/>
                  <w:color w:val="0000EE"/>
                </w:rPr>
                <w:t>48</w:t>
              </w:r>
            </w:hyperlink>
          </w:p>
        </w:tc>
      </w:tr>
      <w:tr>
        <w:trPr>
          <w:trHeight w:val="27"/>
        </w:trPr>
        <w:tc>
          <w:tcPr>
            <w:tcW w:w="180" w:type="dxa"/>
            <w:vAlign w:val="bottom"/>
            <w:shd w:val="clear" w:color="auto" w:fill="D7F5C4"/>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D7F5C4"/>
          </w:tcPr>
          <w:p>
            <w:pPr>
              <w:spacing w:after="0"/>
              <w:rPr>
                <w:sz w:val="2"/>
                <w:szCs w:val="2"/>
                <w:color w:val="auto"/>
              </w:rPr>
            </w:pPr>
          </w:p>
        </w:tc>
        <w:tc>
          <w:tcPr>
            <w:tcW w:w="320" w:type="dxa"/>
            <w:vAlign w:val="bottom"/>
            <w:tcBorders>
              <w:left w:val="single" w:sz="8" w:color="D7F5C4"/>
              <w:right w:val="single" w:sz="8" w:color="D7F5C4"/>
            </w:tcBorders>
            <w:shd w:val="clear" w:color="auto" w:fill="D7F5C4"/>
          </w:tcPr>
          <w:p>
            <w:pPr>
              <w:spacing w:after="0"/>
              <w:rPr>
                <w:sz w:val="2"/>
                <w:szCs w:val="2"/>
                <w:color w:val="auto"/>
              </w:rPr>
            </w:pPr>
          </w:p>
        </w:tc>
        <w:tc>
          <w:tcPr>
            <w:tcW w:w="200" w:type="dxa"/>
            <w:vAlign w:val="bottom"/>
            <w:tcBorders>
              <w:left w:val="single" w:sz="8" w:color="D7F5C4"/>
              <w:right w:val="single" w:sz="8" w:color="D7F5C4"/>
            </w:tcBorders>
            <w:shd w:val="clear" w:color="auto" w:fill="D7F5C4"/>
          </w:tcPr>
          <w:p>
            <w:pPr>
              <w:spacing w:after="0"/>
              <w:rPr>
                <w:sz w:val="2"/>
                <w:szCs w:val="2"/>
                <w:color w:val="auto"/>
              </w:rPr>
            </w:pPr>
          </w:p>
        </w:tc>
        <w:tc>
          <w:tcPr>
            <w:tcW w:w="140" w:type="dxa"/>
            <w:vAlign w:val="bottom"/>
            <w:tcBorders>
              <w:right w:val="single" w:sz="8" w:color="D7F5C4"/>
            </w:tcBorders>
            <w:shd w:val="clear" w:color="auto" w:fill="D7F5C4"/>
          </w:tcPr>
          <w:p>
            <w:pPr>
              <w:spacing w:after="0"/>
              <w:rPr>
                <w:sz w:val="2"/>
                <w:szCs w:val="2"/>
                <w:color w:val="auto"/>
              </w:rPr>
            </w:pPr>
          </w:p>
        </w:tc>
        <w:tc>
          <w:tcPr>
            <w:tcW w:w="300" w:type="dxa"/>
            <w:vAlign w:val="bottom"/>
            <w:tcBorders>
              <w:left w:val="single" w:sz="8" w:color="D7F5C4"/>
            </w:tcBorders>
            <w:shd w:val="clear" w:color="auto" w:fill="D7F5C4"/>
          </w:tcPr>
          <w:p>
            <w:pPr>
              <w:spacing w:after="0"/>
              <w:rPr>
                <w:sz w:val="2"/>
                <w:szCs w:val="2"/>
                <w:color w:val="auto"/>
              </w:rPr>
            </w:pPr>
          </w:p>
        </w:tc>
        <w:tc>
          <w:tcPr>
            <w:tcW w:w="160" w:type="dxa"/>
            <w:vAlign w:val="bottom"/>
            <w:shd w:val="clear" w:color="auto" w:fill="D7F5C4"/>
          </w:tcPr>
          <w:p>
            <w:pPr>
              <w:spacing w:after="0"/>
              <w:rPr>
                <w:sz w:val="2"/>
                <w:szCs w:val="2"/>
                <w:color w:val="auto"/>
              </w:rPr>
            </w:pPr>
          </w:p>
        </w:tc>
        <w:tc>
          <w:tcPr>
            <w:tcW w:w="80" w:type="dxa"/>
            <w:vAlign w:val="bottom"/>
            <w:shd w:val="clear" w:color="auto" w:fill="D7F5C4"/>
          </w:tcPr>
          <w:p>
            <w:pPr>
              <w:spacing w:after="0"/>
              <w:rPr>
                <w:sz w:val="2"/>
                <w:szCs w:val="2"/>
                <w:color w:val="auto"/>
              </w:rPr>
            </w:pPr>
          </w:p>
        </w:tc>
        <w:tc>
          <w:tcPr>
            <w:tcW w:w="140" w:type="dxa"/>
            <w:vAlign w:val="bottom"/>
            <w:tcBorders>
              <w:right w:val="single" w:sz="8" w:color="D7F5C4"/>
            </w:tcBorders>
            <w:shd w:val="clear" w:color="auto" w:fill="D7F5C4"/>
          </w:tcPr>
          <w:p>
            <w:pPr>
              <w:spacing w:after="0"/>
              <w:rPr>
                <w:sz w:val="2"/>
                <w:szCs w:val="2"/>
                <w:color w:val="auto"/>
              </w:rPr>
            </w:pPr>
          </w:p>
        </w:tc>
        <w:tc>
          <w:tcPr>
            <w:tcW w:w="160" w:type="dxa"/>
            <w:vAlign w:val="bottom"/>
            <w:tcBorders>
              <w:left w:val="single" w:sz="8" w:color="D7F5C4"/>
            </w:tcBorders>
            <w:shd w:val="clear" w:color="auto" w:fill="D7F5C4"/>
          </w:tcPr>
          <w:p>
            <w:pPr>
              <w:spacing w:after="0"/>
              <w:rPr>
                <w:sz w:val="2"/>
                <w:szCs w:val="2"/>
                <w:color w:val="auto"/>
              </w:rPr>
            </w:pPr>
          </w:p>
        </w:tc>
        <w:tc>
          <w:tcPr>
            <w:tcW w:w="120" w:type="dxa"/>
            <w:vAlign w:val="bottom"/>
            <w:shd w:val="clear" w:color="auto" w:fill="D7F5C4"/>
          </w:tcPr>
          <w:p>
            <w:pPr>
              <w:spacing w:after="0"/>
              <w:rPr>
                <w:sz w:val="2"/>
                <w:szCs w:val="2"/>
                <w:color w:val="auto"/>
              </w:rPr>
            </w:pPr>
          </w:p>
        </w:tc>
        <w:tc>
          <w:tcPr>
            <w:tcW w:w="300" w:type="dxa"/>
            <w:vAlign w:val="bottom"/>
            <w:shd w:val="clear" w:color="auto" w:fill="D7F5C4"/>
          </w:tcPr>
          <w:p>
            <w:pPr>
              <w:spacing w:after="0"/>
              <w:rPr>
                <w:sz w:val="2"/>
                <w:szCs w:val="2"/>
                <w:color w:val="auto"/>
              </w:rPr>
            </w:pPr>
          </w:p>
        </w:tc>
        <w:tc>
          <w:tcPr>
            <w:tcW w:w="160" w:type="dxa"/>
            <w:vAlign w:val="bottom"/>
            <w:shd w:val="clear" w:color="auto" w:fill="D7F5C4"/>
          </w:tcPr>
          <w:p>
            <w:pPr>
              <w:spacing w:after="0"/>
              <w:rPr>
                <w:sz w:val="2"/>
                <w:szCs w:val="2"/>
                <w:color w:val="auto"/>
              </w:rPr>
            </w:pPr>
          </w:p>
        </w:tc>
        <w:tc>
          <w:tcPr>
            <w:tcW w:w="200" w:type="dxa"/>
            <w:vAlign w:val="bottom"/>
            <w:shd w:val="clear" w:color="auto" w:fill="D7F5C4"/>
          </w:tcPr>
          <w:p>
            <w:pPr>
              <w:spacing w:after="0"/>
              <w:rPr>
                <w:sz w:val="2"/>
                <w:szCs w:val="2"/>
                <w:color w:val="auto"/>
              </w:rPr>
            </w:pPr>
          </w:p>
        </w:tc>
        <w:tc>
          <w:tcPr>
            <w:tcW w:w="900" w:type="dxa"/>
            <w:vAlign w:val="bottom"/>
            <w:shd w:val="clear" w:color="auto" w:fill="D7F5C4"/>
          </w:tcPr>
          <w:p>
            <w:pPr>
              <w:spacing w:after="0"/>
              <w:rPr>
                <w:sz w:val="2"/>
                <w:szCs w:val="2"/>
                <w:color w:val="auto"/>
              </w:rPr>
            </w:pPr>
          </w:p>
        </w:tc>
        <w:tc>
          <w:tcPr>
            <w:tcW w:w="540" w:type="dxa"/>
            <w:vAlign w:val="bottom"/>
            <w:shd w:val="clear" w:color="auto" w:fill="D7F5C4"/>
          </w:tcPr>
          <w:p>
            <w:pPr>
              <w:spacing w:after="0"/>
              <w:rPr>
                <w:sz w:val="2"/>
                <w:szCs w:val="2"/>
                <w:color w:val="auto"/>
              </w:rPr>
            </w:pPr>
          </w:p>
        </w:tc>
        <w:tc>
          <w:tcPr>
            <w:tcW w:w="2020" w:type="dxa"/>
            <w:vAlign w:val="bottom"/>
            <w:shd w:val="clear" w:color="auto" w:fill="D7F5C4"/>
          </w:tcPr>
          <w:p>
            <w:pPr>
              <w:spacing w:after="0"/>
              <w:rPr>
                <w:sz w:val="2"/>
                <w:szCs w:val="2"/>
                <w:color w:val="auto"/>
              </w:rPr>
            </w:pPr>
          </w:p>
        </w:tc>
        <w:tc>
          <w:tcPr>
            <w:tcW w:w="480" w:type="dxa"/>
            <w:vAlign w:val="bottom"/>
            <w:shd w:val="clear" w:color="auto" w:fill="D7F5C4"/>
          </w:tcPr>
          <w:p>
            <w:pPr>
              <w:spacing w:after="0"/>
              <w:rPr>
                <w:sz w:val="2"/>
                <w:szCs w:val="2"/>
                <w:color w:val="auto"/>
              </w:rPr>
            </w:pPr>
          </w:p>
        </w:tc>
        <w:tc>
          <w:tcPr>
            <w:tcW w:w="740" w:type="dxa"/>
            <w:vAlign w:val="bottom"/>
            <w:shd w:val="clear" w:color="auto" w:fill="D7F5C4"/>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D7F5C4"/>
          </w:tcPr>
          <w:p>
            <w:pPr>
              <w:spacing w:after="0"/>
              <w:rPr>
                <w:sz w:val="2"/>
                <w:szCs w:val="2"/>
                <w:color w:val="auto"/>
              </w:rPr>
            </w:pPr>
          </w:p>
        </w:tc>
      </w:tr>
      <w:tr>
        <w:trPr>
          <w:trHeight w:val="162"/>
        </w:trPr>
        <w:tc>
          <w:tcPr>
            <w:tcW w:w="180" w:type="dxa"/>
            <w:vAlign w:val="bottom"/>
          </w:tcPr>
          <w:p>
            <w:pPr>
              <w:spacing w:after="0"/>
              <w:rPr>
                <w:sz w:val="14"/>
                <w:szCs w:val="14"/>
                <w:color w:val="auto"/>
              </w:rPr>
            </w:pPr>
          </w:p>
        </w:tc>
        <w:tc>
          <w:tcPr>
            <w:tcW w:w="2040" w:type="dxa"/>
            <w:vAlign w:val="bottom"/>
            <w:gridSpan w:val="12"/>
          </w:tcPr>
          <w:p>
            <w:pPr>
              <w:spacing w:after="0"/>
              <w:rPr>
                <w:rFonts w:ascii="Arial" w:cs="Arial" w:eastAsia="Arial" w:hAnsi="Arial"/>
                <w:sz w:val="14"/>
                <w:szCs w:val="14"/>
                <w:color w:val="0000EE"/>
              </w:rPr>
            </w:pPr>
            <w:hyperlink w:anchor="page56">
              <w:r>
                <w:rPr>
                  <w:rFonts w:ascii="Arial" w:cs="Arial" w:eastAsia="Arial" w:hAnsi="Arial"/>
                  <w:sz w:val="14"/>
                  <w:szCs w:val="14"/>
                  <w:color w:val="0000EE"/>
                </w:rPr>
                <w:t>Forward-Looking Statements</w:t>
              </w:r>
            </w:hyperlink>
          </w:p>
        </w:tc>
        <w:tc>
          <w:tcPr>
            <w:tcW w:w="6340" w:type="dxa"/>
            <w:vAlign w:val="bottom"/>
            <w:gridSpan w:val="17"/>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gridSpan w:val="3"/>
          </w:tcPr>
          <w:p>
            <w:pPr>
              <w:jc w:val="right"/>
              <w:ind w:right="100"/>
              <w:spacing w:after="0"/>
              <w:rPr>
                <w:rFonts w:ascii="Arial" w:cs="Arial" w:eastAsia="Arial" w:hAnsi="Arial"/>
                <w:sz w:val="14"/>
                <w:szCs w:val="14"/>
                <w:color w:val="0000EE"/>
                <w:w w:val="89"/>
              </w:rPr>
            </w:pPr>
            <w:hyperlink w:anchor="page56">
              <w:r>
                <w:rPr>
                  <w:rFonts w:ascii="Arial" w:cs="Arial" w:eastAsia="Arial" w:hAnsi="Arial"/>
                  <w:sz w:val="14"/>
                  <w:szCs w:val="14"/>
                  <w:color w:val="0000EE"/>
                  <w:w w:val="89"/>
                </w:rPr>
                <w:t>48</w:t>
              </w:r>
            </w:hyperlink>
          </w:p>
        </w:tc>
      </w:tr>
      <w:tr>
        <w:trPr>
          <w:trHeight w:val="27"/>
        </w:trPr>
        <w:tc>
          <w:tcPr>
            <w:tcW w:w="180" w:type="dxa"/>
            <w:vAlign w:val="bottom"/>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180" w:type="dxa"/>
            <w:vAlign w:val="bottom"/>
            <w:shd w:val="clear" w:color="auto" w:fill="D7F5C4"/>
          </w:tcPr>
          <w:p>
            <w:pPr>
              <w:spacing w:after="0"/>
              <w:rPr>
                <w:sz w:val="14"/>
                <w:szCs w:val="14"/>
                <w:color w:val="auto"/>
              </w:rPr>
            </w:pPr>
          </w:p>
        </w:tc>
        <w:tc>
          <w:tcPr>
            <w:tcW w:w="7900" w:type="dxa"/>
            <w:vAlign w:val="bottom"/>
            <w:gridSpan w:val="28"/>
            <w:shd w:val="clear" w:color="auto" w:fill="D7F5C4"/>
          </w:tcPr>
          <w:p>
            <w:pPr>
              <w:spacing w:after="0"/>
              <w:rPr>
                <w:rFonts w:ascii="Arial" w:cs="Arial" w:eastAsia="Arial" w:hAnsi="Arial"/>
                <w:sz w:val="14"/>
                <w:szCs w:val="14"/>
                <w:color w:val="0000EE"/>
              </w:rPr>
            </w:pPr>
            <w:hyperlink w:anchor="page57">
              <w:r>
                <w:rPr>
                  <w:rFonts w:ascii="Arial" w:cs="Arial" w:eastAsia="Arial" w:hAnsi="Arial"/>
                  <w:sz w:val="14"/>
                  <w:szCs w:val="14"/>
                  <w:color w:val="0000EE"/>
                </w:rPr>
                <w:t>Important Notice Regarding the Availability of Proxy Materials for the Stockholders Meeting to be Held on November 5, 2019</w:t>
              </w:r>
            </w:hyperlink>
          </w:p>
        </w:tc>
        <w:tc>
          <w:tcPr>
            <w:tcW w:w="480" w:type="dxa"/>
            <w:vAlign w:val="bottom"/>
            <w:shd w:val="clear" w:color="auto" w:fill="D7F5C4"/>
          </w:tcPr>
          <w:p>
            <w:pPr>
              <w:spacing w:after="0"/>
              <w:rPr>
                <w:sz w:val="14"/>
                <w:szCs w:val="14"/>
                <w:color w:val="auto"/>
              </w:rPr>
            </w:pPr>
          </w:p>
        </w:tc>
        <w:tc>
          <w:tcPr>
            <w:tcW w:w="740" w:type="dxa"/>
            <w:vAlign w:val="bottom"/>
            <w:shd w:val="clear" w:color="auto" w:fill="D7F5C4"/>
          </w:tcPr>
          <w:p>
            <w:pPr>
              <w:spacing w:after="0"/>
              <w:rPr>
                <w:sz w:val="14"/>
                <w:szCs w:val="14"/>
                <w:color w:val="auto"/>
              </w:rPr>
            </w:pPr>
          </w:p>
        </w:tc>
        <w:tc>
          <w:tcPr>
            <w:tcW w:w="260" w:type="dxa"/>
            <w:vAlign w:val="bottom"/>
            <w:gridSpan w:val="3"/>
            <w:shd w:val="clear" w:color="auto" w:fill="D7F5C4"/>
          </w:tcPr>
          <w:p>
            <w:pPr>
              <w:jc w:val="right"/>
              <w:ind w:right="100"/>
              <w:spacing w:after="0"/>
              <w:rPr>
                <w:rFonts w:ascii="Arial" w:cs="Arial" w:eastAsia="Arial" w:hAnsi="Arial"/>
                <w:sz w:val="14"/>
                <w:szCs w:val="14"/>
                <w:color w:val="0000EE"/>
                <w:w w:val="89"/>
              </w:rPr>
            </w:pPr>
            <w:hyperlink w:anchor="page57">
              <w:r>
                <w:rPr>
                  <w:rFonts w:ascii="Arial" w:cs="Arial" w:eastAsia="Arial" w:hAnsi="Arial"/>
                  <w:sz w:val="14"/>
                  <w:szCs w:val="14"/>
                  <w:color w:val="0000EE"/>
                  <w:w w:val="89"/>
                </w:rPr>
                <w:t>49</w:t>
              </w:r>
            </w:hyperlink>
          </w:p>
        </w:tc>
      </w:tr>
      <w:tr>
        <w:trPr>
          <w:trHeight w:val="27"/>
        </w:trPr>
        <w:tc>
          <w:tcPr>
            <w:tcW w:w="180" w:type="dxa"/>
            <w:vAlign w:val="bottom"/>
            <w:shd w:val="clear" w:color="auto" w:fill="D7F5C4"/>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320" w:type="dxa"/>
            <w:vAlign w:val="bottom"/>
            <w:tcBorders>
              <w:left w:val="single" w:sz="8" w:color="0000EE"/>
              <w:right w:val="single" w:sz="8" w:color="0000EE"/>
            </w:tcBorders>
            <w:shd w:val="clear" w:color="auto" w:fill="0000EE"/>
          </w:tcPr>
          <w:p>
            <w:pPr>
              <w:spacing w:after="0"/>
              <w:rPr>
                <w:sz w:val="2"/>
                <w:szCs w:val="2"/>
                <w:color w:val="auto"/>
              </w:rPr>
            </w:pPr>
          </w:p>
        </w:tc>
        <w:tc>
          <w:tcPr>
            <w:tcW w:w="200" w:type="dxa"/>
            <w:vAlign w:val="bottom"/>
            <w:tcBorders>
              <w:left w:val="single" w:sz="8" w:color="0000EE"/>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30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2020" w:type="dxa"/>
            <w:vAlign w:val="bottom"/>
            <w:shd w:val="clear" w:color="auto" w:fill="0000EE"/>
          </w:tcPr>
          <w:p>
            <w:pPr>
              <w:spacing w:after="0"/>
              <w:rPr>
                <w:sz w:val="2"/>
                <w:szCs w:val="2"/>
                <w:color w:val="auto"/>
              </w:rPr>
            </w:pPr>
          </w:p>
        </w:tc>
        <w:tc>
          <w:tcPr>
            <w:tcW w:w="480" w:type="dxa"/>
            <w:vAlign w:val="bottom"/>
            <w:shd w:val="clear" w:color="auto" w:fill="D7F5C4"/>
          </w:tcPr>
          <w:p>
            <w:pPr>
              <w:spacing w:after="0"/>
              <w:rPr>
                <w:sz w:val="2"/>
                <w:szCs w:val="2"/>
                <w:color w:val="auto"/>
              </w:rPr>
            </w:pPr>
          </w:p>
        </w:tc>
        <w:tc>
          <w:tcPr>
            <w:tcW w:w="740" w:type="dxa"/>
            <w:vAlign w:val="bottom"/>
            <w:shd w:val="clear" w:color="auto" w:fill="D7F5C4"/>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D7F5C4"/>
          </w:tcPr>
          <w:p>
            <w:pPr>
              <w:spacing w:after="0"/>
              <w:rPr>
                <w:sz w:val="2"/>
                <w:szCs w:val="2"/>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607187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61DA16"/>
        </w:rPr>
        <w:t>MATRIX SERVICE COMPANY</w:t>
      </w:r>
    </w:p>
    <w:p>
      <w:pPr>
        <w:jc w:val="center"/>
        <w:ind w:right="-19"/>
        <w:spacing w:after="0" w:line="223" w:lineRule="auto"/>
        <w:rPr>
          <w:sz w:val="20"/>
          <w:szCs w:val="20"/>
          <w:color w:val="auto"/>
        </w:rPr>
      </w:pPr>
      <w:r>
        <w:rPr>
          <w:rFonts w:ascii="Arial" w:cs="Arial" w:eastAsia="Arial" w:hAnsi="Arial"/>
          <w:sz w:val="18"/>
          <w:szCs w:val="18"/>
          <w:b w:val="1"/>
          <w:bCs w:val="1"/>
          <w:color w:val="61DA16"/>
        </w:rPr>
        <w:t>PROXY STATEMENT FOR ANNUAL MEETING OF STOCKHOLDERS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61DA16"/>
        </w:rPr>
        <w:t>To Be Held on November 5, 2019</w:t>
      </w:r>
    </w:p>
    <w:p>
      <w:pPr>
        <w:spacing w:after="0" w:line="212" w:lineRule="exact"/>
        <w:rPr>
          <w:sz w:val="20"/>
          <w:szCs w:val="20"/>
          <w:color w:val="auto"/>
        </w:rPr>
      </w:pPr>
    </w:p>
    <w:p>
      <w:pPr>
        <w:jc w:val="center"/>
        <w:ind w:left="1200" w:right="100"/>
        <w:spacing w:after="0" w:line="262" w:lineRule="auto"/>
        <w:rPr>
          <w:sz w:val="20"/>
          <w:szCs w:val="20"/>
          <w:color w:val="auto"/>
        </w:rPr>
      </w:pPr>
      <w:r>
        <w:rPr>
          <w:rFonts w:ascii="Arial" w:cs="Arial" w:eastAsia="Arial" w:hAnsi="Arial"/>
          <w:sz w:val="18"/>
          <w:szCs w:val="18"/>
          <w:color w:val="auto"/>
        </w:rPr>
        <w:t>This proxy statement, along with a proxy card and our 2019 Annual Report, is first being mailed to stockholders on or about September 26, 2019</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61DA16"/>
        </w:rPr>
        <w:t>SOLICITATION AND REVOCATION OF PROXIES</w:t>
      </w:r>
    </w:p>
    <w:p>
      <w:pPr>
        <w:spacing w:after="0" w:line="12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accompanying proxy is solicited by the Board of Directors (the “Board”) of Matrix Service Company (“Matrix”, the “Company”, “we”, “our” or “us”) for use at the 2019 Annual Meeting of Stockholders (the “Annual Meeting”), which is scheduled to be held at 9:00 AM, Central Time on November 5, 2019, and at any adjournment or postponement thereof for the purposes set forth in the accompanying Notice of 2019 Annual Meeting of Stockholders. The Annual Meeting is scheduled to be held at the Company’s corporate headquarters, 5100 E. Skelly Dr., Ste. 100, Tulsa, OK. This proxy statement and accompanying proxy card were first sent on or about September 26, 2019 to stockholders of record on September 20, 2019 (the “Record Date”). The annual report of the Company on Form 10-K for the fiscal year ended June 30, 2019 accompanies this proxy statement.</w:t>
      </w:r>
    </w:p>
    <w:p>
      <w:pPr>
        <w:spacing w:after="0" w:line="9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If the accompanying proxy card is properly executed and returned or a stockholder votes his or her proxy by Internet or telephone, the shares represented by the proxy will be voted at the Annual Meeting in accordance with the directions noted thereon or, if no direction is indicated, those shares will be voted FOR each of the Board’s nominees in respect of Proposal 1 and FOR Proposals 2 and 3. In addition, the proxy confers authority on the persons named in the proxy card to vote, in their discretion, on any other matters properly presented at the Annual Meeting. The Board is not currently aware of any other such matters. Any stockholder who has given a proxy, whether by mail, Internet or telephone, has the power to revoke it at any time before it is voted by executing a subsequent proxy and sending it to Justin D. Sheets, Vice President, General Counsel and Secretary, Matrix Service Company, 5100 E. Skelly Dr., Ste. 100, Tulsa, OK 74135, or by a later dated vote by Internet or by telephone. The proxy also may be revoked if the stockholder is present at the meeting and elects to vote in person.</w:t>
      </w:r>
    </w:p>
    <w:p>
      <w:pPr>
        <w:spacing w:after="0" w:line="10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expenses of this proxy solicitation, including the cost of preparing and mailing this proxy statement and enclosed proxy card, will be borne by the Company. Such expenses will also include the charges and expenses of banks, brokerage firms and other custodians, nominees or fiduciaries for forwarding solicitation materials regarding the Annual Meeting to beneficial owners of the Company’s common stock. In addition to solicitation by mail, certain directors, officers and regular employees of the Company may solicit proxies in person or by telephone, electronic transmission and facsimile transmission. Other than the persons described in this proxy statement, no general class of employee of the Company will be employed to solicit stockholders in connection with this proxy solicitation. However, in the course of their regular duties, employees may be asked to perform clerical or ministerial tasks in furtherance of this solicitation. Any such directors, officers or employees will not be additionally compensated, but may be reimbursed for their out-of-pocket expenses in connection therewith.</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607187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61DA16"/>
        </w:rPr>
        <w:t>STOCKHOLDERS ENTITLED TO VOTE</w:t>
      </w:r>
    </w:p>
    <w:p>
      <w:pPr>
        <w:spacing w:after="0" w:line="12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At the close of business on the Record Date, there were 27,131,446 shares of the Company’s common stock, par value $0.01 per share, outstanding. Each outstanding share of our common stock is entitled to one vote upon each of the matters to be voted on at the Annual Meeting. There is no cumulative voting with respect to the election of directors. The presence, in person or by proxy, of at least a majority of the outstanding shares of common stock as of the Record Date is required for a quorum for the transaction of business.</w:t>
      </w:r>
    </w:p>
    <w:p>
      <w:pPr>
        <w:spacing w:after="0" w:line="9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If you hold your shares through an account with a bank or broker, the bank or broker may vote your shares on some matters even if you do not provide voting instructions. Brokerage firms have the authority to vote shares on certain matters (such as the ratification of auditors) when their customers do not provide voting instructions. However, on other matters (such as the election of directors), when the brokerage firm has not received voting instructions from its customers, the brokerage firm cannot vote the shares on that matter and a “broker non-vote” occurs. </w:t>
      </w:r>
      <w:r>
        <w:rPr>
          <w:rFonts w:ascii="Arial" w:cs="Arial" w:eastAsia="Arial" w:hAnsi="Arial"/>
          <w:sz w:val="17"/>
          <w:szCs w:val="17"/>
          <w:b w:val="1"/>
          <w:bCs w:val="1"/>
          <w:color w:val="auto"/>
        </w:rPr>
        <w:t>Please note that</w:t>
      </w:r>
      <w:r>
        <w:rPr>
          <w:rFonts w:ascii="Arial" w:cs="Arial" w:eastAsia="Arial" w:hAnsi="Arial"/>
          <w:sz w:val="17"/>
          <w:szCs w:val="17"/>
          <w:color w:val="auto"/>
        </w:rPr>
        <w:t xml:space="preserve"> </w:t>
      </w:r>
      <w:r>
        <w:rPr>
          <w:rFonts w:ascii="Arial" w:cs="Arial" w:eastAsia="Arial" w:hAnsi="Arial"/>
          <w:sz w:val="17"/>
          <w:szCs w:val="17"/>
          <w:b w:val="1"/>
          <w:bCs w:val="1"/>
          <w:color w:val="auto"/>
        </w:rPr>
        <w:t>an uncontested election of directors is no longer considered a routine matter. This means that brokers may not vote your shares on the election of directors if you have not given your broker specific instructions as to how to vote. Please be sure to give specific voting instructions to your broker so that your vote can be counted.</w:t>
      </w:r>
    </w:p>
    <w:p>
      <w:pPr>
        <w:spacing w:after="0" w:line="84"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Abstentions and broker non-votes will be counted for purposes of determining whether a quorum has been reached. Votes will be tabulated by an inspector of election appointed by the Board. Abstentions may be specified on all proposals. The following vote is needed in order for the various proposals to be adopted:</w:t>
      </w:r>
    </w:p>
    <w:p>
      <w:pPr>
        <w:spacing w:after="0" w:line="94" w:lineRule="exact"/>
        <w:rPr>
          <w:sz w:val="20"/>
          <w:szCs w:val="20"/>
          <w:color w:val="auto"/>
        </w:rPr>
      </w:pPr>
    </w:p>
    <w:p>
      <w:pPr>
        <w:spacing w:after="0" w:line="253" w:lineRule="auto"/>
        <w:rPr>
          <w:sz w:val="20"/>
          <w:szCs w:val="20"/>
          <w:color w:val="auto"/>
        </w:rPr>
      </w:pPr>
      <w:r>
        <w:rPr>
          <w:rFonts w:ascii="Arial" w:cs="Arial" w:eastAsia="Arial" w:hAnsi="Arial"/>
          <w:sz w:val="18"/>
          <w:szCs w:val="18"/>
          <w:u w:val="single" w:color="auto"/>
          <w:color w:val="auto"/>
        </w:rPr>
        <w:t>Proposal 1 - Election of Directors</w:t>
      </w:r>
      <w:r>
        <w:rPr>
          <w:rFonts w:ascii="Arial" w:cs="Arial" w:eastAsia="Arial" w:hAnsi="Arial"/>
          <w:sz w:val="18"/>
          <w:szCs w:val="18"/>
          <w:color w:val="auto"/>
        </w:rPr>
        <w:t>: The affirmative vote of a majority of the votes cast at the meeting is required for the election of directors. This means that the number of shares voted for a director nominee must exceed the number of votes cast against that nominee in order to elect that nominee in an uncontested election. With respect to the election of directors, you may vote for or against each nominee. Abstentions do not count as votes for or against the nominee’s election.</w:t>
      </w:r>
    </w:p>
    <w:p>
      <w:pPr>
        <w:spacing w:after="0" w:line="97"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u w:val="single" w:color="auto"/>
          <w:color w:val="auto"/>
        </w:rPr>
        <w:t>Proposal 2 - Ratification of Independent Registered Public Accounting Firm</w:t>
      </w:r>
      <w:r>
        <w:rPr>
          <w:rFonts w:ascii="Arial" w:cs="Arial" w:eastAsia="Arial" w:hAnsi="Arial"/>
          <w:sz w:val="18"/>
          <w:szCs w:val="18"/>
          <w:color w:val="auto"/>
        </w:rPr>
        <w:t>: The appointment of Deloitte &amp; Touche LLP as our independent registered public accounting firm for fiscal 2020 will be ratified if a majority of the shares of common stock present or represented by proxy and entitled to vote thereon at the Annual Meeting vote in favor. Abstentions will have the effect of a vote against the proposal.</w:t>
      </w:r>
    </w:p>
    <w:p>
      <w:pPr>
        <w:spacing w:after="0" w:line="9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u w:val="single" w:color="auto"/>
          <w:color w:val="auto"/>
        </w:rPr>
        <w:t>Proposal 3 - Advisory Vote on Executive Compensation</w:t>
      </w:r>
      <w:r>
        <w:rPr>
          <w:rFonts w:ascii="Arial" w:cs="Arial" w:eastAsia="Arial" w:hAnsi="Arial"/>
          <w:sz w:val="18"/>
          <w:szCs w:val="18"/>
          <w:color w:val="auto"/>
        </w:rPr>
        <w:t>: The approval, on an advisory basis, of the compensation paid to our executive officers named in this proxy statement requires the affirmative vote of a majority of the shares of common stock present or represented by proxy and entitled to vote thereon at the Annual Meeting. Abstentions will have the effect of a vote against the proposal.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“broker non-vote” will have no effect on the outcome of the election of directors or Proposals 2 and 3.</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607187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61DA16"/>
        </w:rPr>
        <w:t>PROPOSAL NUMBER 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61DA16"/>
        </w:rPr>
        <w:t>Election of Directors</w:t>
      </w:r>
    </w:p>
    <w:p>
      <w:pPr>
        <w:spacing w:after="0" w:line="10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Company’s Amended and Restated Certificate of Incorporation and Second Amended and Restated Bylaws provide that the number of directors on the Board be fixed from time to time by the Board but shall not be less than three nor more than 15 persons. The Board size is currently fixed at seven members. Directors hold office until the next annual meeting of the stockholders of the Company or until their successors have been elected and qualified.</w:t>
      </w:r>
    </w:p>
    <w:p>
      <w:pPr>
        <w:spacing w:after="0" w:line="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accordance with the recommendation of the Nominating and Corporate Governance Committee, the Board has unanimously nominated the seven nominees identified below. The Board recommends that you vote “For” the election of its seven nominees. Proxies solicited by the Board will be voted “For” all seven nominees unless stockholders specify otherwise in their proxies.</w:t>
      </w:r>
    </w:p>
    <w:p>
      <w:pPr>
        <w:spacing w:after="0" w:line="9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Each of the Board’s nominees has consented to be named as a nominee in this proxy statement and to serve as a director if elected. If, at the time of the Annual Meeting, any of the nominees is unable to serve or for good cause will not serve, the discretionary authority provided in the proxies solicited by the Board may be used to vote for a substitute or substitutes who may be recommended by the Nominating and Corporate Governance Committee and whom the Board may propose to replace such nominee. The Board has no reason to believe that any substitute nominee or nominees will be required.</w:t>
      </w:r>
    </w:p>
    <w:p>
      <w:pPr>
        <w:spacing w:after="0" w:line="10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Each of our directors possesses a combination of attributes that qualifies him or her for service on the Board. The directors were specifically recruited for these attributes, which include business experience specifically related to the industries in which we operate, knowledge based on specialized education or training such as accounting, legal and finance, and senior executive management experience that demonstrates leadership qualities and a practical understanding of organizations, processes, business strategies, risk management and how to drive change and growth. We believe that the qualifications, skills and experiences of the directors, individually and collectively, have resulted in the Board being highly effective. The specific skills for each director is listed below:</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 Skills Matrix</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40" w:type="dxa"/>
            <w:vAlign w:val="bottom"/>
          </w:tcPr>
          <w:p>
            <w:pPr>
              <w:spacing w:after="0"/>
              <w:rPr>
                <w:sz w:val="14"/>
                <w:szCs w:val="14"/>
                <w:color w:val="auto"/>
              </w:rPr>
            </w:pPr>
          </w:p>
        </w:tc>
        <w:tc>
          <w:tcPr>
            <w:tcW w:w="1280" w:type="dxa"/>
            <w:vAlign w:val="bottom"/>
          </w:tcPr>
          <w:p>
            <w:pPr>
              <w:jc w:val="center"/>
              <w:ind w:left="554"/>
              <w:spacing w:after="0"/>
              <w:rPr>
                <w:sz w:val="20"/>
                <w:szCs w:val="20"/>
                <w:color w:val="auto"/>
              </w:rPr>
            </w:pPr>
            <w:r>
              <w:rPr>
                <w:rFonts w:ascii="Arial" w:cs="Arial" w:eastAsia="Arial" w:hAnsi="Arial"/>
                <w:sz w:val="14"/>
                <w:szCs w:val="14"/>
                <w:b w:val="1"/>
                <w:bCs w:val="1"/>
                <w:color w:val="auto"/>
              </w:rPr>
              <w:t>Martha Z.</w:t>
            </w:r>
          </w:p>
        </w:tc>
        <w:tc>
          <w:tcPr>
            <w:tcW w:w="960" w:type="dxa"/>
            <w:vAlign w:val="bottom"/>
          </w:tcPr>
          <w:p>
            <w:pPr>
              <w:jc w:val="center"/>
              <w:ind w:left="34"/>
              <w:spacing w:after="0"/>
              <w:rPr>
                <w:sz w:val="20"/>
                <w:szCs w:val="20"/>
                <w:color w:val="auto"/>
              </w:rPr>
            </w:pPr>
            <w:r>
              <w:rPr>
                <w:rFonts w:ascii="Arial" w:cs="Arial" w:eastAsia="Arial" w:hAnsi="Arial"/>
                <w:sz w:val="14"/>
                <w:szCs w:val="14"/>
                <w:b w:val="1"/>
                <w:bCs w:val="1"/>
                <w:color w:val="auto"/>
              </w:rPr>
              <w:t>John D.</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John W.</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John R.</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Liane K.</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James H.</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Jim W.</w:t>
            </w:r>
          </w:p>
        </w:tc>
      </w:tr>
      <w:tr>
        <w:trPr>
          <w:trHeight w:val="189"/>
        </w:trPr>
        <w:tc>
          <w:tcPr>
            <w:tcW w:w="3440" w:type="dxa"/>
            <w:vAlign w:val="bottom"/>
          </w:tcPr>
          <w:p>
            <w:pPr>
              <w:spacing w:after="0"/>
              <w:rPr>
                <w:sz w:val="16"/>
                <w:szCs w:val="16"/>
                <w:color w:val="auto"/>
              </w:rPr>
            </w:pPr>
          </w:p>
        </w:tc>
        <w:tc>
          <w:tcPr>
            <w:tcW w:w="1280" w:type="dxa"/>
            <w:vAlign w:val="bottom"/>
          </w:tcPr>
          <w:p>
            <w:pPr>
              <w:jc w:val="center"/>
              <w:ind w:left="554"/>
              <w:spacing w:after="0"/>
              <w:rPr>
                <w:sz w:val="20"/>
                <w:szCs w:val="20"/>
                <w:color w:val="auto"/>
              </w:rPr>
            </w:pPr>
            <w:r>
              <w:rPr>
                <w:rFonts w:ascii="Arial" w:cs="Arial" w:eastAsia="Arial" w:hAnsi="Arial"/>
                <w:sz w:val="14"/>
                <w:szCs w:val="14"/>
                <w:b w:val="1"/>
                <w:bCs w:val="1"/>
                <w:color w:val="auto"/>
              </w:rPr>
              <w:t>Carnes</w:t>
            </w:r>
          </w:p>
        </w:tc>
        <w:tc>
          <w:tcPr>
            <w:tcW w:w="960" w:type="dxa"/>
            <w:vAlign w:val="bottom"/>
          </w:tcPr>
          <w:p>
            <w:pPr>
              <w:jc w:val="center"/>
              <w:ind w:left="34"/>
              <w:spacing w:after="0"/>
              <w:rPr>
                <w:sz w:val="20"/>
                <w:szCs w:val="20"/>
                <w:color w:val="auto"/>
              </w:rPr>
            </w:pPr>
            <w:r>
              <w:rPr>
                <w:rFonts w:ascii="Arial" w:cs="Arial" w:eastAsia="Arial" w:hAnsi="Arial"/>
                <w:sz w:val="14"/>
                <w:szCs w:val="14"/>
                <w:b w:val="1"/>
                <w:bCs w:val="1"/>
                <w:color w:val="auto"/>
              </w:rPr>
              <w:t>Chandler</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Gibson</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9"/>
              </w:rPr>
              <w:t>Hewitt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Hinrichs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Miller</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Mogg</w:t>
            </w:r>
          </w:p>
        </w:tc>
      </w:tr>
      <w:tr>
        <w:trPr>
          <w:trHeight w:val="230"/>
        </w:trPr>
        <w:tc>
          <w:tcPr>
            <w:tcW w:w="3440" w:type="dxa"/>
            <w:vAlign w:val="bottom"/>
            <w:shd w:val="clear" w:color="auto" w:fill="D7F5C4"/>
          </w:tcPr>
          <w:p>
            <w:pPr>
              <w:spacing w:after="0"/>
              <w:rPr>
                <w:sz w:val="20"/>
                <w:szCs w:val="20"/>
                <w:color w:val="auto"/>
              </w:rPr>
            </w:pPr>
            <w:r>
              <w:rPr>
                <w:rFonts w:ascii="Arial" w:cs="Arial" w:eastAsia="Arial" w:hAnsi="Arial"/>
                <w:sz w:val="18"/>
                <w:szCs w:val="18"/>
                <w:color w:val="auto"/>
              </w:rPr>
              <w:t>Public Company Board Experience</w:t>
            </w:r>
          </w:p>
        </w:tc>
        <w:tc>
          <w:tcPr>
            <w:tcW w:w="1280" w:type="dxa"/>
            <w:vAlign w:val="bottom"/>
            <w:shd w:val="clear" w:color="auto" w:fill="D7F5C4"/>
          </w:tcPr>
          <w:p>
            <w:pPr>
              <w:jc w:val="center"/>
              <w:ind w:left="554"/>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shd w:val="clear" w:color="auto" w:fill="D7F5C4"/>
          </w:tcPr>
          <w:p>
            <w:pPr>
              <w:jc w:val="center"/>
              <w:ind w:left="34"/>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shd w:val="clear" w:color="auto" w:fill="D7F5C4"/>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shd w:val="clear" w:color="auto" w:fill="D7F5C4"/>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00" w:type="dxa"/>
            <w:vAlign w:val="bottom"/>
            <w:shd w:val="clear" w:color="auto" w:fill="D7F5C4"/>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60" w:type="dxa"/>
            <w:vAlign w:val="bottom"/>
            <w:shd w:val="clear" w:color="auto" w:fill="D7F5C4"/>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shd w:val="clear" w:color="auto" w:fill="D7F5C4"/>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Strategic Leadership</w:t>
            </w:r>
          </w:p>
        </w:tc>
        <w:tc>
          <w:tcPr>
            <w:tcW w:w="1280" w:type="dxa"/>
            <w:vAlign w:val="bottom"/>
          </w:tcPr>
          <w:p>
            <w:pPr>
              <w:jc w:val="center"/>
              <w:ind w:left="554"/>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Pr>
          <w:p>
            <w:pPr>
              <w:jc w:val="center"/>
              <w:ind w:left="34"/>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3440" w:type="dxa"/>
            <w:vAlign w:val="bottom"/>
            <w:shd w:val="clear" w:color="auto" w:fill="D7F5C4"/>
          </w:tcPr>
          <w:p>
            <w:pPr>
              <w:spacing w:after="0"/>
              <w:rPr>
                <w:sz w:val="20"/>
                <w:szCs w:val="20"/>
                <w:color w:val="auto"/>
              </w:rPr>
            </w:pPr>
            <w:r>
              <w:rPr>
                <w:rFonts w:ascii="Arial" w:cs="Arial" w:eastAsia="Arial" w:hAnsi="Arial"/>
                <w:sz w:val="18"/>
                <w:szCs w:val="18"/>
                <w:color w:val="auto"/>
              </w:rPr>
              <w:t>Financial Expertise/Literacy</w:t>
            </w:r>
          </w:p>
        </w:tc>
        <w:tc>
          <w:tcPr>
            <w:tcW w:w="1280" w:type="dxa"/>
            <w:vAlign w:val="bottom"/>
            <w:shd w:val="clear" w:color="auto" w:fill="D7F5C4"/>
          </w:tcPr>
          <w:p>
            <w:pPr>
              <w:jc w:val="center"/>
              <w:ind w:left="554"/>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shd w:val="clear" w:color="auto" w:fill="D7F5C4"/>
          </w:tcPr>
          <w:p>
            <w:pPr>
              <w:jc w:val="center"/>
              <w:ind w:left="34"/>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shd w:val="clear" w:color="auto" w:fill="D7F5C4"/>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shd w:val="clear" w:color="auto" w:fill="D7F5C4"/>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00" w:type="dxa"/>
            <w:vAlign w:val="bottom"/>
            <w:shd w:val="clear" w:color="auto" w:fill="D7F5C4"/>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60" w:type="dxa"/>
            <w:vAlign w:val="bottom"/>
            <w:shd w:val="clear" w:color="auto" w:fill="D7F5C4"/>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shd w:val="clear" w:color="auto" w:fill="D7F5C4"/>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Industry Experience</w:t>
            </w:r>
          </w:p>
        </w:tc>
        <w:tc>
          <w:tcPr>
            <w:tcW w:w="1280" w:type="dxa"/>
            <w:vAlign w:val="bottom"/>
          </w:tcPr>
          <w:p>
            <w:pPr>
              <w:jc w:val="center"/>
              <w:ind w:left="554"/>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Pr>
          <w:p>
            <w:pPr>
              <w:jc w:val="center"/>
              <w:ind w:left="34"/>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3440" w:type="dxa"/>
            <w:vAlign w:val="bottom"/>
            <w:shd w:val="clear" w:color="auto" w:fill="D7F5C4"/>
          </w:tcPr>
          <w:p>
            <w:pPr>
              <w:spacing w:after="0"/>
              <w:rPr>
                <w:sz w:val="20"/>
                <w:szCs w:val="20"/>
                <w:color w:val="auto"/>
              </w:rPr>
            </w:pPr>
            <w:r>
              <w:rPr>
                <w:rFonts w:ascii="Arial" w:cs="Arial" w:eastAsia="Arial" w:hAnsi="Arial"/>
                <w:sz w:val="18"/>
                <w:szCs w:val="18"/>
                <w:color w:val="auto"/>
              </w:rPr>
              <w:t>Enterprise Risk Management</w:t>
            </w:r>
          </w:p>
        </w:tc>
        <w:tc>
          <w:tcPr>
            <w:tcW w:w="1280" w:type="dxa"/>
            <w:vAlign w:val="bottom"/>
            <w:shd w:val="clear" w:color="auto" w:fill="D7F5C4"/>
          </w:tcPr>
          <w:p>
            <w:pPr>
              <w:jc w:val="center"/>
              <w:ind w:left="554"/>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shd w:val="clear" w:color="auto" w:fill="D7F5C4"/>
          </w:tcPr>
          <w:p>
            <w:pPr>
              <w:jc w:val="center"/>
              <w:ind w:left="34"/>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shd w:val="clear" w:color="auto" w:fill="D7F5C4"/>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shd w:val="clear" w:color="auto" w:fill="D7F5C4"/>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00" w:type="dxa"/>
            <w:vAlign w:val="bottom"/>
            <w:shd w:val="clear" w:color="auto" w:fill="D7F5C4"/>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60" w:type="dxa"/>
            <w:vAlign w:val="bottom"/>
            <w:shd w:val="clear" w:color="auto" w:fill="D7F5C4"/>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shd w:val="clear" w:color="auto" w:fill="D7F5C4"/>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Corporate Governance</w:t>
            </w:r>
          </w:p>
        </w:tc>
        <w:tc>
          <w:tcPr>
            <w:tcW w:w="1280" w:type="dxa"/>
            <w:vAlign w:val="bottom"/>
          </w:tcPr>
          <w:p>
            <w:pPr>
              <w:jc w:val="center"/>
              <w:ind w:left="554"/>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Pr>
          <w:p>
            <w:pPr>
              <w:jc w:val="center"/>
              <w:ind w:left="34"/>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3440" w:type="dxa"/>
            <w:vAlign w:val="bottom"/>
            <w:shd w:val="clear" w:color="auto" w:fill="D7F5C4"/>
          </w:tcPr>
          <w:p>
            <w:pPr>
              <w:spacing w:after="0"/>
              <w:rPr>
                <w:sz w:val="20"/>
                <w:szCs w:val="20"/>
                <w:color w:val="auto"/>
              </w:rPr>
            </w:pPr>
            <w:r>
              <w:rPr>
                <w:rFonts w:ascii="Arial" w:cs="Arial" w:eastAsia="Arial" w:hAnsi="Arial"/>
                <w:sz w:val="18"/>
                <w:szCs w:val="18"/>
                <w:color w:val="auto"/>
              </w:rPr>
              <w:t>International Business</w:t>
            </w:r>
          </w:p>
        </w:tc>
        <w:tc>
          <w:tcPr>
            <w:tcW w:w="1280" w:type="dxa"/>
            <w:vAlign w:val="bottom"/>
            <w:shd w:val="clear" w:color="auto" w:fill="D7F5C4"/>
          </w:tcPr>
          <w:p>
            <w:pPr>
              <w:jc w:val="center"/>
              <w:ind w:left="554"/>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shd w:val="clear" w:color="auto" w:fill="D7F5C4"/>
          </w:tcPr>
          <w:p>
            <w:pPr>
              <w:spacing w:after="0"/>
              <w:rPr>
                <w:sz w:val="19"/>
                <w:szCs w:val="19"/>
                <w:color w:val="auto"/>
              </w:rPr>
            </w:pPr>
          </w:p>
        </w:tc>
        <w:tc>
          <w:tcPr>
            <w:tcW w:w="780" w:type="dxa"/>
            <w:vAlign w:val="bottom"/>
            <w:shd w:val="clear" w:color="auto" w:fill="D7F5C4"/>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shd w:val="clear" w:color="auto" w:fill="D7F5C4"/>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00" w:type="dxa"/>
            <w:vAlign w:val="bottom"/>
            <w:shd w:val="clear" w:color="auto" w:fill="D7F5C4"/>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60" w:type="dxa"/>
            <w:vAlign w:val="bottom"/>
            <w:shd w:val="clear" w:color="auto" w:fill="D7F5C4"/>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shd w:val="clear" w:color="auto" w:fill="D7F5C4"/>
          </w:tcPr>
          <w:p>
            <w:pPr>
              <w:spacing w:after="0"/>
              <w:rPr>
                <w:sz w:val="19"/>
                <w:szCs w:val="19"/>
                <w:color w:val="auto"/>
              </w:rPr>
            </w:pPr>
          </w:p>
        </w:tc>
      </w:tr>
      <w:tr>
        <w:trPr>
          <w:trHeight w:val="283"/>
        </w:trPr>
        <w:tc>
          <w:tcPr>
            <w:tcW w:w="3440" w:type="dxa"/>
            <w:vAlign w:val="bottom"/>
          </w:tcPr>
          <w:p>
            <w:pPr>
              <w:spacing w:after="0"/>
              <w:rPr>
                <w:sz w:val="20"/>
                <w:szCs w:val="20"/>
                <w:color w:val="auto"/>
              </w:rPr>
            </w:pPr>
            <w:r>
              <w:rPr>
                <w:rFonts w:ascii="Arial" w:cs="Arial" w:eastAsia="Arial" w:hAnsi="Arial"/>
                <w:sz w:val="18"/>
                <w:szCs w:val="18"/>
                <w:color w:val="auto"/>
              </w:rPr>
              <w:t>Mergers and Acquisitions</w:t>
            </w:r>
          </w:p>
        </w:tc>
        <w:tc>
          <w:tcPr>
            <w:tcW w:w="1280" w:type="dxa"/>
            <w:vAlign w:val="bottom"/>
          </w:tcPr>
          <w:p>
            <w:pPr>
              <w:jc w:val="center"/>
              <w:ind w:left="554"/>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Pr>
          <w:p>
            <w:pPr>
              <w:jc w:val="center"/>
              <w:ind w:left="34"/>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9"/>
        </w:trPr>
        <w:tc>
          <w:tcPr>
            <w:tcW w:w="3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60" w:type="dxa"/>
            <w:vAlign w:val="bottom"/>
          </w:tcPr>
          <w:p>
            <w:pPr>
              <w:jc w:val="right"/>
              <w:ind w:right="774"/>
              <w:spacing w:after="0"/>
              <w:rPr>
                <w:sz w:val="20"/>
                <w:szCs w:val="20"/>
                <w:color w:val="auto"/>
              </w:rPr>
            </w:pPr>
            <w:r>
              <w:rPr>
                <w:rFonts w:ascii="Arial" w:cs="Arial" w:eastAsia="Arial" w:hAnsi="Arial"/>
                <w:sz w:val="18"/>
                <w:szCs w:val="18"/>
                <w:color w:val="auto"/>
                <w:w w:val="79"/>
              </w:rPr>
              <w:t>3</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46"/>
        </w:trPr>
        <w:tc>
          <w:tcPr>
            <w:tcW w:w="3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68"/>
        </w:trPr>
        <w:tc>
          <w:tcPr>
            <w:tcW w:w="3440" w:type="dxa"/>
            <w:vAlign w:val="bottom"/>
            <w:shd w:val="clear" w:color="auto" w:fill="000000"/>
          </w:tcPr>
          <w:p>
            <w:pPr>
              <w:spacing w:after="0"/>
              <w:rPr>
                <w:sz w:val="5"/>
                <w:szCs w:val="5"/>
                <w:color w:val="auto"/>
              </w:rPr>
            </w:pPr>
          </w:p>
        </w:tc>
        <w:tc>
          <w:tcPr>
            <w:tcW w:w="128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80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61DA16"/>
        </w:rPr>
        <w:t>Nominated Director Biographies</w:t>
      </w:r>
    </w:p>
    <w:p>
      <w:pPr>
        <w:spacing w:after="0" w:line="126" w:lineRule="exact"/>
        <w:rPr>
          <w:sz w:val="20"/>
          <w:szCs w:val="20"/>
          <w:color w:val="auto"/>
        </w:rPr>
      </w:pPr>
    </w:p>
    <w:p>
      <w:pPr>
        <w:ind w:right="340"/>
        <w:spacing w:after="0" w:line="261" w:lineRule="auto"/>
        <w:rPr>
          <w:sz w:val="20"/>
          <w:szCs w:val="20"/>
          <w:color w:val="auto"/>
        </w:rPr>
      </w:pPr>
      <w:r>
        <w:rPr>
          <w:rFonts w:ascii="Arial" w:cs="Arial" w:eastAsia="Arial" w:hAnsi="Arial"/>
          <w:sz w:val="17"/>
          <w:szCs w:val="17"/>
          <w:color w:val="auto"/>
        </w:rPr>
        <w:t>Set forth below is biographical information for each of the Board’s nominees for election as a director at the Annual Meeting, including a summary of the specific experience, qualifications, attributes and skills which led our Board to conclude that the individual should serve on the Board at this time, in light of the Company’s business and structure.</w:t>
      </w:r>
    </w:p>
    <w:p>
      <w:pPr>
        <w:sectPr>
          <w:pgSz w:w="11900" w:h="16838" w:orient="portrait"/>
          <w:cols w:equalWidth="0" w:num="1">
            <w:col w:w="9560"/>
          </w:cols>
          <w:pgMar w:left="1180" w:top="279" w:right="115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b w:val="1"/>
          <w:bCs w:val="1"/>
          <w:color w:val="61DA16"/>
        </w:rPr>
        <w:t>Martha Z.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1329055" cy="31216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29055" cy="312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FFFFFF"/>
        </w:rPr>
        <w:t xml:space="preserve">Age: </w:t>
      </w:r>
      <w:r>
        <w:rPr>
          <w:rFonts w:ascii="Arial" w:cs="Arial" w:eastAsia="Arial" w:hAnsi="Arial"/>
          <w:sz w:val="15"/>
          <w:szCs w:val="15"/>
          <w:color w:val="FFFFFF"/>
        </w:rPr>
        <w:t>59</w:t>
      </w:r>
    </w:p>
    <w:p>
      <w:pPr>
        <w:spacing w:after="0" w:line="152"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FFFFFF"/>
        </w:rPr>
        <w:t>Director Since:</w:t>
      </w:r>
    </w:p>
    <w:p>
      <w:pPr>
        <w:spacing w:after="0" w:line="8" w:lineRule="exact"/>
        <w:rPr>
          <w:sz w:val="20"/>
          <w:szCs w:val="20"/>
          <w:color w:val="auto"/>
        </w:rPr>
      </w:pPr>
    </w:p>
    <w:p>
      <w:pPr>
        <w:ind w:left="140"/>
        <w:spacing w:after="0"/>
        <w:rPr>
          <w:sz w:val="20"/>
          <w:szCs w:val="20"/>
          <w:color w:val="auto"/>
        </w:rPr>
      </w:pPr>
      <w:r>
        <w:rPr>
          <w:rFonts w:ascii="Arial" w:cs="Arial" w:eastAsia="Arial" w:hAnsi="Arial"/>
          <w:sz w:val="15"/>
          <w:szCs w:val="15"/>
          <w:color w:val="FFFFFF"/>
        </w:rPr>
        <w:t>July 2017</w:t>
      </w:r>
    </w:p>
    <w:p>
      <w:pPr>
        <w:spacing w:after="0" w:line="134"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FFFFFF"/>
        </w:rPr>
        <w:t>Committees:</w:t>
      </w:r>
    </w:p>
    <w:p>
      <w:pPr>
        <w:spacing w:after="0" w:line="170" w:lineRule="exact"/>
        <w:rPr>
          <w:sz w:val="20"/>
          <w:szCs w:val="20"/>
          <w:color w:val="auto"/>
        </w:rPr>
      </w:pPr>
    </w:p>
    <w:p>
      <w:pPr>
        <w:ind w:left="300" w:hanging="168"/>
        <w:spacing w:after="0"/>
        <w:tabs>
          <w:tab w:leader="none" w:pos="300" w:val="left"/>
        </w:tabs>
        <w:numPr>
          <w:ilvl w:val="0"/>
          <w:numId w:val="4"/>
        </w:numPr>
        <w:rPr>
          <w:rFonts w:ascii="Arial" w:cs="Arial" w:eastAsia="Arial" w:hAnsi="Arial"/>
          <w:sz w:val="15"/>
          <w:szCs w:val="15"/>
          <w:color w:val="FFFFFF"/>
        </w:rPr>
      </w:pPr>
      <w:r>
        <w:rPr>
          <w:rFonts w:ascii="Arial" w:cs="Arial" w:eastAsia="Arial" w:hAnsi="Arial"/>
          <w:sz w:val="15"/>
          <w:szCs w:val="15"/>
          <w:color w:val="FFFFFF"/>
        </w:rPr>
        <w:t>Audit (Chairman)</w:t>
      </w:r>
    </w:p>
    <w:p>
      <w:pPr>
        <w:spacing w:after="0" w:line="151" w:lineRule="exact"/>
        <w:rPr>
          <w:rFonts w:ascii="Arial" w:cs="Arial" w:eastAsia="Arial" w:hAnsi="Arial"/>
          <w:sz w:val="15"/>
          <w:szCs w:val="15"/>
          <w:color w:val="FFFFFF"/>
        </w:rPr>
      </w:pPr>
    </w:p>
    <w:p>
      <w:pPr>
        <w:ind w:left="320" w:hanging="188"/>
        <w:spacing w:after="0"/>
        <w:tabs>
          <w:tab w:leader="none" w:pos="320" w:val="left"/>
        </w:tabs>
        <w:numPr>
          <w:ilvl w:val="0"/>
          <w:numId w:val="4"/>
        </w:numPr>
        <w:rPr>
          <w:rFonts w:ascii="Arial" w:cs="Arial" w:eastAsia="Arial" w:hAnsi="Arial"/>
          <w:sz w:val="15"/>
          <w:szCs w:val="15"/>
          <w:color w:val="FFFFFF"/>
        </w:rPr>
      </w:pPr>
      <w:r>
        <w:rPr>
          <w:rFonts w:ascii="Arial" w:cs="Arial" w:eastAsia="Arial" w:hAnsi="Arial"/>
          <w:sz w:val="15"/>
          <w:szCs w:val="15"/>
          <w:color w:val="FFFFFF"/>
        </w:rPr>
        <w:t>Compensation</w:t>
      </w:r>
    </w:p>
    <w:p>
      <w:pPr>
        <w:spacing w:after="0" w:line="151" w:lineRule="exact"/>
        <w:rPr>
          <w:rFonts w:ascii="Arial" w:cs="Arial" w:eastAsia="Arial" w:hAnsi="Arial"/>
          <w:sz w:val="15"/>
          <w:szCs w:val="15"/>
          <w:color w:val="FFFFFF"/>
        </w:rPr>
      </w:pPr>
    </w:p>
    <w:p>
      <w:pPr>
        <w:ind w:left="340" w:right="360" w:hanging="208"/>
        <w:spacing w:after="0" w:line="235" w:lineRule="auto"/>
        <w:tabs>
          <w:tab w:leader="none" w:pos="308" w:val="left"/>
        </w:tabs>
        <w:numPr>
          <w:ilvl w:val="0"/>
          <w:numId w:val="4"/>
        </w:numPr>
        <w:rPr>
          <w:rFonts w:ascii="Arial" w:cs="Arial" w:eastAsia="Arial" w:hAnsi="Arial"/>
          <w:sz w:val="15"/>
          <w:szCs w:val="15"/>
          <w:color w:val="FFFFFF"/>
        </w:rPr>
      </w:pPr>
      <w:r>
        <w:rPr>
          <w:rFonts w:ascii="Arial" w:cs="Arial" w:eastAsia="Arial" w:hAnsi="Arial"/>
          <w:sz w:val="15"/>
          <w:szCs w:val="15"/>
          <w:color w:val="FFFFFF"/>
        </w:rPr>
        <w:t>Nominating and Corporate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Ms. Carnes retired from PricewaterhouseCoopers LLP (“PwC”) in June 2016, where she had a thirty-four year career with the firm. She was an assurance partner serving large, publicly traded companies in the energy industry. Ms. Carnes held a number of leadership positions with PwC including the Houston office Managing Partner. She also served as PwC’s Energy and Mining leader in the United States where she led the firm’s energy and mining assurance, tax, and advisory practices. Ms. Carnes also served as one of PwC’s Risk Management Partners and was PwC’s United States representative on the firm’s Global Communities Board. She also serves on the Supervisory Board and is Chairman of the Audit Committee of Core Laboratories N.V., a Netherlands company that provides reservoir description and production enhancement services to the oil and gas industry. Ms. Carnes is also a member of the Governing Board of the Greater Houston Community Foundation and the Board of Trustees at Texas Children’s Hospital. From September 2017 to June 2019, she was a member of the Board of Directors and served on both the audit and conflicts committees of SunCoke Energy Partners GP LLC, the general partner of SunCoke Energy Partners LP. Ms. Carnes received her B.B.A. in accounting from the University of Texas at Austin and is a certified public accountant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specific experience, qualifications, attributes or skills that led to the conclusion Ms. Carnes should serve as a Director include her extensive expertise in financial oversight, financial reporting and broad accounting knowledge gained from working with and auditing public companies in the energy industry and her operational and leadership experience at PwC.</w:t>
      </w:r>
    </w:p>
    <w:p>
      <w:pPr>
        <w:spacing w:after="0" w:line="24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-1459865</wp:posOffset>
            </wp:positionH>
            <wp:positionV relativeFrom="paragraph">
              <wp:posOffset>280670</wp:posOffset>
            </wp:positionV>
            <wp:extent cx="607187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2">
            <w:col w:w="1740" w:space="560"/>
            <w:col w:w="7260"/>
          </w:cols>
          <w:pgMar w:left="1180" w:top="279" w:right="1159" w:bottom="1440" w:gutter="0" w:footer="0" w:header="0"/>
          <w:type w:val="continuous"/>
        </w:sectPr>
      </w:pPr>
    </w:p>
    <w:bookmarkStart w:id="12" w:name="page13"/>
    <w:bookmarkEnd w:id="12"/>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21"/>
          <w:szCs w:val="21"/>
          <w:b w:val="1"/>
          <w:bCs w:val="1"/>
          <w:color w:val="61DA16"/>
        </w:rPr>
        <w:t>John D. Chandler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1329055" cy="32327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29055" cy="323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FFFFFF"/>
        </w:rPr>
        <w:t xml:space="preserve">Age: </w:t>
      </w:r>
      <w:r>
        <w:rPr>
          <w:rFonts w:ascii="Arial" w:cs="Arial" w:eastAsia="Arial" w:hAnsi="Arial"/>
          <w:sz w:val="15"/>
          <w:szCs w:val="15"/>
          <w:color w:val="FFFFFF"/>
        </w:rPr>
        <w:t>49</w:t>
      </w:r>
    </w:p>
    <w:p>
      <w:pPr>
        <w:spacing w:after="0" w:line="152"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FFFFFF"/>
        </w:rPr>
        <w:t>Director Since:</w:t>
      </w:r>
    </w:p>
    <w:p>
      <w:pPr>
        <w:spacing w:after="0" w:line="8" w:lineRule="exact"/>
        <w:rPr>
          <w:sz w:val="20"/>
          <w:szCs w:val="20"/>
          <w:color w:val="auto"/>
        </w:rPr>
      </w:pPr>
    </w:p>
    <w:p>
      <w:pPr>
        <w:ind w:left="140"/>
        <w:spacing w:after="0"/>
        <w:rPr>
          <w:sz w:val="20"/>
          <w:szCs w:val="20"/>
          <w:color w:val="auto"/>
        </w:rPr>
      </w:pPr>
      <w:r>
        <w:rPr>
          <w:rFonts w:ascii="Arial" w:cs="Arial" w:eastAsia="Arial" w:hAnsi="Arial"/>
          <w:sz w:val="15"/>
          <w:szCs w:val="15"/>
          <w:color w:val="FFFFFF"/>
        </w:rPr>
        <w:t>June 2017</w:t>
      </w:r>
    </w:p>
    <w:p>
      <w:pPr>
        <w:spacing w:after="0" w:line="134"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FFFFFF"/>
        </w:rPr>
        <w:t>Committees:</w:t>
      </w:r>
    </w:p>
    <w:p>
      <w:pPr>
        <w:spacing w:after="0" w:line="170" w:lineRule="exact"/>
        <w:rPr>
          <w:sz w:val="20"/>
          <w:szCs w:val="20"/>
          <w:color w:val="auto"/>
        </w:rPr>
      </w:pPr>
    </w:p>
    <w:p>
      <w:pPr>
        <w:ind w:left="300" w:hanging="168"/>
        <w:spacing w:after="0"/>
        <w:tabs>
          <w:tab w:leader="none" w:pos="300" w:val="left"/>
        </w:tabs>
        <w:numPr>
          <w:ilvl w:val="0"/>
          <w:numId w:val="5"/>
        </w:numPr>
        <w:rPr>
          <w:rFonts w:ascii="Arial" w:cs="Arial" w:eastAsia="Arial" w:hAnsi="Arial"/>
          <w:sz w:val="15"/>
          <w:szCs w:val="15"/>
          <w:color w:val="FFFFFF"/>
        </w:rPr>
      </w:pPr>
      <w:r>
        <w:rPr>
          <w:rFonts w:ascii="Arial" w:cs="Arial" w:eastAsia="Arial" w:hAnsi="Arial"/>
          <w:sz w:val="15"/>
          <w:szCs w:val="15"/>
          <w:color w:val="FFFFFF"/>
        </w:rPr>
        <w:t>Audit</w:t>
      </w:r>
    </w:p>
    <w:p>
      <w:pPr>
        <w:spacing w:after="0" w:line="151" w:lineRule="exact"/>
        <w:rPr>
          <w:rFonts w:ascii="Arial" w:cs="Arial" w:eastAsia="Arial" w:hAnsi="Arial"/>
          <w:sz w:val="15"/>
          <w:szCs w:val="15"/>
          <w:color w:val="FFFFFF"/>
        </w:rPr>
      </w:pPr>
    </w:p>
    <w:p>
      <w:pPr>
        <w:ind w:left="320" w:hanging="188"/>
        <w:spacing w:after="0"/>
        <w:tabs>
          <w:tab w:leader="none" w:pos="320" w:val="left"/>
        </w:tabs>
        <w:numPr>
          <w:ilvl w:val="0"/>
          <w:numId w:val="5"/>
        </w:numPr>
        <w:rPr>
          <w:rFonts w:ascii="Arial" w:cs="Arial" w:eastAsia="Arial" w:hAnsi="Arial"/>
          <w:sz w:val="15"/>
          <w:szCs w:val="15"/>
          <w:color w:val="FFFFFF"/>
        </w:rPr>
      </w:pPr>
      <w:r>
        <w:rPr>
          <w:rFonts w:ascii="Arial" w:cs="Arial" w:eastAsia="Arial" w:hAnsi="Arial"/>
          <w:sz w:val="15"/>
          <w:szCs w:val="15"/>
          <w:color w:val="FFFFFF"/>
        </w:rPr>
        <w:t>Compensation</w:t>
      </w:r>
    </w:p>
    <w:p>
      <w:pPr>
        <w:spacing w:after="0" w:line="151" w:lineRule="exact"/>
        <w:rPr>
          <w:rFonts w:ascii="Arial" w:cs="Arial" w:eastAsia="Arial" w:hAnsi="Arial"/>
          <w:sz w:val="15"/>
          <w:szCs w:val="15"/>
          <w:color w:val="FFFFFF"/>
        </w:rPr>
      </w:pPr>
    </w:p>
    <w:p>
      <w:pPr>
        <w:ind w:left="340" w:right="400" w:hanging="208"/>
        <w:spacing w:after="0" w:line="235" w:lineRule="auto"/>
        <w:tabs>
          <w:tab w:leader="none" w:pos="308" w:val="left"/>
        </w:tabs>
        <w:numPr>
          <w:ilvl w:val="0"/>
          <w:numId w:val="5"/>
        </w:numPr>
        <w:rPr>
          <w:rFonts w:ascii="Arial" w:cs="Arial" w:eastAsia="Arial" w:hAnsi="Arial"/>
          <w:sz w:val="15"/>
          <w:szCs w:val="15"/>
          <w:color w:val="FFFFFF"/>
        </w:rPr>
      </w:pPr>
      <w:r>
        <w:rPr>
          <w:rFonts w:ascii="Arial" w:cs="Arial" w:eastAsia="Arial" w:hAnsi="Arial"/>
          <w:sz w:val="15"/>
          <w:szCs w:val="15"/>
          <w:color w:val="FFFFFF"/>
        </w:rPr>
        <w:t>Nominating and Corporate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On August 28, 2017, Mr. Chandler was appointed as Senior Vice President and Chief Financial Officer for The Williams Companies, Inc. (“Williams”). Mr. Chandler served as a director for WPZ GP LLC, the general partner of Williams Partners LP, from September 2017 to August 2018 when Williams Partners LP became a wholly-owned subsidiary of Williams. Mr. Chandler previously served as a director and as chairman of the audit committee of USA Compression GP, LLC, the general partner of USA Compression Partners, LP. He also previously served on the board of directors and the audit committee of CONE Midstream GP, LLC, the general partner of CONE Midstream Partners LP, and on the board of directors and audit committee of Green Plains Holdings LLC, the general partner of Green Plains Partners LP. From 2009 until his retirement in March 2014, Mr. Chandler served as Senior Vice President and Chief Financial Officer of Magellan GP, LLC, the general partner of Magellan Midstream Partners, LP. (NYSE:MMP) From 2003 until 2009, he served in the same capacities for the general partner of Magellan Midstream Holdings, L.P. From 1999 to 2002, Mr. Chandler was Director of Financial Planning and Analysis and Director of Strategic Development for a subsidiary of Williams. From 1992 to 1999, Mr. Chandler held various accounting and finance positions with MAPCO Inc. Mr. Chandler received his B.S. and B.A. in accounting and finance from the University of Tulsa.</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specific experience, qualifications, attributes or skills that led to the conclusion that Mr. Chandler should serve as a Director include his long history of service in senior corporate leadership positions, his extensive experience in the energy industry, his extensive financial oversight expertise and his understanding of complex financial matters gained from his experience as a CFO of two large publicly traded companies.</w:t>
      </w:r>
    </w:p>
    <w:p>
      <w:pPr>
        <w:spacing w:after="0" w:line="216"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-1459865</wp:posOffset>
            </wp:positionH>
            <wp:positionV relativeFrom="paragraph">
              <wp:posOffset>280670</wp:posOffset>
            </wp:positionV>
            <wp:extent cx="607187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2">
            <w:col w:w="1780" w:space="520"/>
            <w:col w:w="7260"/>
          </w:cols>
          <w:pgMar w:left="1180" w:top="279" w:right="115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21"/>
          <w:szCs w:val="21"/>
          <w:b w:val="1"/>
          <w:bCs w:val="1"/>
          <w:color w:val="61DA16"/>
        </w:rPr>
        <w:t>John W.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1329055" cy="47764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29055" cy="4776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FFFFFF"/>
        </w:rPr>
        <w:t xml:space="preserve">Age: </w:t>
      </w:r>
      <w:r>
        <w:rPr>
          <w:rFonts w:ascii="Arial" w:cs="Arial" w:eastAsia="Arial" w:hAnsi="Arial"/>
          <w:sz w:val="15"/>
          <w:szCs w:val="15"/>
          <w:color w:val="FFFFFF"/>
        </w:rPr>
        <w:t>67</w:t>
      </w:r>
    </w:p>
    <w:p>
      <w:pPr>
        <w:spacing w:after="0" w:line="152"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FFFFFF"/>
        </w:rPr>
        <w:t>Director Since:</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5"/>
          <w:szCs w:val="15"/>
          <w:color w:val="FFFFFF"/>
        </w:rPr>
        <w:t>April 2016</w:t>
      </w:r>
    </w:p>
    <w:p>
      <w:pPr>
        <w:spacing w:after="0" w:line="134"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FFFFFF"/>
        </w:rPr>
        <w:t>Committees:</w:t>
      </w:r>
    </w:p>
    <w:p>
      <w:pPr>
        <w:spacing w:after="0" w:line="170" w:lineRule="exact"/>
        <w:rPr>
          <w:sz w:val="20"/>
          <w:szCs w:val="20"/>
          <w:color w:val="auto"/>
        </w:rPr>
      </w:pPr>
    </w:p>
    <w:p>
      <w:pPr>
        <w:ind w:left="300" w:hanging="168"/>
        <w:spacing w:after="0"/>
        <w:tabs>
          <w:tab w:leader="none" w:pos="300" w:val="left"/>
        </w:tabs>
        <w:numPr>
          <w:ilvl w:val="0"/>
          <w:numId w:val="6"/>
        </w:numPr>
        <w:rPr>
          <w:rFonts w:ascii="Arial" w:cs="Arial" w:eastAsia="Arial" w:hAnsi="Arial"/>
          <w:sz w:val="15"/>
          <w:szCs w:val="15"/>
          <w:color w:val="FFFFFF"/>
        </w:rPr>
      </w:pPr>
      <w:r>
        <w:rPr>
          <w:rFonts w:ascii="Arial" w:cs="Arial" w:eastAsia="Arial" w:hAnsi="Arial"/>
          <w:sz w:val="15"/>
          <w:szCs w:val="15"/>
          <w:color w:val="FFFFFF"/>
        </w:rPr>
        <w:t>Audit</w:t>
      </w:r>
    </w:p>
    <w:p>
      <w:pPr>
        <w:spacing w:after="0" w:line="151" w:lineRule="exact"/>
        <w:rPr>
          <w:rFonts w:ascii="Arial" w:cs="Arial" w:eastAsia="Arial" w:hAnsi="Arial"/>
          <w:sz w:val="15"/>
          <w:szCs w:val="15"/>
          <w:color w:val="FFFFFF"/>
        </w:rPr>
      </w:pPr>
    </w:p>
    <w:p>
      <w:pPr>
        <w:ind w:left="340" w:right="320" w:hanging="208"/>
        <w:spacing w:after="0" w:line="242" w:lineRule="auto"/>
        <w:tabs>
          <w:tab w:leader="none" w:pos="308" w:val="left"/>
        </w:tabs>
        <w:numPr>
          <w:ilvl w:val="0"/>
          <w:numId w:val="6"/>
        </w:numPr>
        <w:rPr>
          <w:rFonts w:ascii="Arial" w:cs="Arial" w:eastAsia="Arial" w:hAnsi="Arial"/>
          <w:sz w:val="15"/>
          <w:szCs w:val="15"/>
          <w:color w:val="FFFFFF"/>
        </w:rPr>
      </w:pPr>
      <w:r>
        <w:rPr>
          <w:rFonts w:ascii="Arial" w:cs="Arial" w:eastAsia="Arial" w:hAnsi="Arial"/>
          <w:sz w:val="15"/>
          <w:szCs w:val="15"/>
          <w:color w:val="FFFFFF"/>
        </w:rPr>
        <w:t>Compensation (Chairman)</w:t>
      </w:r>
    </w:p>
    <w:p>
      <w:pPr>
        <w:spacing w:after="0" w:line="138" w:lineRule="exact"/>
        <w:rPr>
          <w:rFonts w:ascii="Arial" w:cs="Arial" w:eastAsia="Arial" w:hAnsi="Arial"/>
          <w:sz w:val="15"/>
          <w:szCs w:val="15"/>
          <w:color w:val="FFFFFF"/>
        </w:rPr>
      </w:pPr>
    </w:p>
    <w:p>
      <w:pPr>
        <w:ind w:left="340" w:right="240" w:hanging="208"/>
        <w:spacing w:after="0" w:line="235" w:lineRule="auto"/>
        <w:tabs>
          <w:tab w:leader="none" w:pos="308" w:val="left"/>
        </w:tabs>
        <w:numPr>
          <w:ilvl w:val="0"/>
          <w:numId w:val="6"/>
        </w:numPr>
        <w:rPr>
          <w:rFonts w:ascii="Arial" w:cs="Arial" w:eastAsia="Arial" w:hAnsi="Arial"/>
          <w:sz w:val="15"/>
          <w:szCs w:val="15"/>
          <w:color w:val="FFFFFF"/>
        </w:rPr>
      </w:pPr>
      <w:r>
        <w:rPr>
          <w:rFonts w:ascii="Arial" w:cs="Arial" w:eastAsia="Arial" w:hAnsi="Arial"/>
          <w:sz w:val="15"/>
          <w:szCs w:val="15"/>
          <w:color w:val="FFFFFF"/>
        </w:rPr>
        <w:t>Nominating and Corporate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Mr. Gibson is currently the non-executive Chairman of the Board of ONEOK, Inc. Mr. Gibson also served as the non-executive Chairman of the Board of ONEOK Partners GP, L.L.C., the general partner of ONEOK Partners, L.P., until its merger with a subsidiary of ONEOK, Inc. in June 2017. He served as Chief Executive Officer at ONEOK, Inc. from January 1, 2007 to January 31, 2014. He was appointed Chairman of the Board of ONEOK Partners GP, L.L.C. in 2007 and of ONEOK, Inc. in May 2011, and served as ONEOK, Inc.’s President from 2010 through 2011. He also served as Chief Executive Officer of ONEOK Partners GP, L.L.C. from 2007 until January 31, 2014, and served as President from 2010 through 2011. From 2005 until May 2006, he was President of ONEOK Energy Companies, which included natural gas gathering and processing, natural gas liquids, pipelines and storage and energy services business segments. Prior to that, he was ONEOK, Inc.’s President, Energy from May 2000 to 2005. Mr. Gibson joined ONEOK in May 2000 from Koch Energy, Inc., a subsidiary of Koch Industries, where he was an Executive Vice President. His career in the energy industry began in 1974 as a refinery engineer with Exxon USA. He spent 18 years with Phillips Petroleum Company in a variety of domestic and international positions in its natural gas, natural gas liquids and exploration and production businesses. He holds an engineering degree from Missouri University of Science and Technology, formerly known as the University of Missouri at Rolla. Mr. Gibson also serves as the non-executive Chairman of the Board of ONE Gas, Inc. His service as a member of the board of directors of BOK Financial Corporation ended in December 2017, and he is also a former member of the Board of Trustees of Missouri University of Science and Technology.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specific experience, qualifications, attributes or skills that led to the conclusion that Mr. Gibson should serve as a director include his service in a variety of roles of continually increasing responsibility at ONEOK, ONEOK Partners GP, L.L.C., Koch Energy, Inc., Exxon USA and Phillips Petroleum. In these roles, Mr. Gibson had direct responsibility for and extensive experience in strategic and financial planning, acquisitions and divestitures, operations, management supervision and development, and compliance. As the executive responsible for numerous merger and acquisition transactions over the course of his career, Mr. Gibson has significant experience in assessing acquisition opportunities and in structuring, financing and completing merger and acquisition transactions. Over the course of his long career in a variety of sectors of the oil and gas industry, Mr. Gibson has gained extensive management and operational experience and has demonstrated a strong track record of leadership, strategic vision and risk management.</w:t>
      </w:r>
    </w:p>
    <w:p>
      <w:pPr>
        <w:spacing w:after="0" w:line="218"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-1459865</wp:posOffset>
            </wp:positionH>
            <wp:positionV relativeFrom="paragraph">
              <wp:posOffset>280670</wp:posOffset>
            </wp:positionV>
            <wp:extent cx="607187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2">
            <w:col w:w="1620" w:space="680"/>
            <w:col w:w="7260"/>
          </w:cols>
          <w:pgMar w:left="1180" w:top="279" w:right="115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61DA16"/>
        </w:rPr>
        <w:t>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1329055" cy="36188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29055" cy="361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FFFFFF"/>
        </w:rPr>
        <w:t xml:space="preserve">Age: </w:t>
      </w:r>
      <w:r>
        <w:rPr>
          <w:rFonts w:ascii="Arial" w:cs="Arial" w:eastAsia="Arial" w:hAnsi="Arial"/>
          <w:sz w:val="15"/>
          <w:szCs w:val="15"/>
          <w:color w:val="FFFFFF"/>
        </w:rPr>
        <w:t>61</w:t>
      </w:r>
    </w:p>
    <w:p>
      <w:pPr>
        <w:spacing w:after="0" w:line="152"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FFFFFF"/>
        </w:rPr>
        <w:t>Director Since:</w:t>
      </w:r>
    </w:p>
    <w:p>
      <w:pPr>
        <w:spacing w:after="0" w:line="8" w:lineRule="exact"/>
        <w:rPr>
          <w:sz w:val="20"/>
          <w:szCs w:val="20"/>
          <w:color w:val="auto"/>
        </w:rPr>
      </w:pPr>
    </w:p>
    <w:p>
      <w:pPr>
        <w:ind w:left="140"/>
        <w:spacing w:after="0"/>
        <w:rPr>
          <w:sz w:val="20"/>
          <w:szCs w:val="20"/>
          <w:color w:val="auto"/>
        </w:rPr>
      </w:pPr>
      <w:r>
        <w:rPr>
          <w:rFonts w:ascii="Arial" w:cs="Arial" w:eastAsia="Arial" w:hAnsi="Arial"/>
          <w:sz w:val="15"/>
          <w:szCs w:val="15"/>
          <w:color w:val="FFFFFF"/>
        </w:rPr>
        <w:t>May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b w:val="1"/>
          <w:bCs w:val="1"/>
          <w:color w:val="61DA16"/>
        </w:rPr>
        <w:t>Liane K. Hinrichs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1329055" cy="32245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29055" cy="322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FFFFFF"/>
        </w:rPr>
        <w:t xml:space="preserve">Age: </w:t>
      </w:r>
      <w:r>
        <w:rPr>
          <w:rFonts w:ascii="Arial" w:cs="Arial" w:eastAsia="Arial" w:hAnsi="Arial"/>
          <w:sz w:val="15"/>
          <w:szCs w:val="15"/>
          <w:color w:val="FFFFFF"/>
        </w:rPr>
        <w:t>62</w:t>
      </w:r>
    </w:p>
    <w:p>
      <w:pPr>
        <w:spacing w:after="0" w:line="152"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FFFFFF"/>
        </w:rPr>
        <w:t>Director Since:</w:t>
      </w:r>
    </w:p>
    <w:p>
      <w:pPr>
        <w:spacing w:after="0" w:line="8" w:lineRule="exact"/>
        <w:rPr>
          <w:sz w:val="20"/>
          <w:szCs w:val="20"/>
          <w:color w:val="auto"/>
        </w:rPr>
      </w:pPr>
    </w:p>
    <w:p>
      <w:pPr>
        <w:ind w:left="140"/>
        <w:spacing w:after="0"/>
        <w:rPr>
          <w:sz w:val="20"/>
          <w:szCs w:val="20"/>
          <w:color w:val="auto"/>
        </w:rPr>
      </w:pPr>
      <w:r>
        <w:rPr>
          <w:rFonts w:ascii="Arial" w:cs="Arial" w:eastAsia="Arial" w:hAnsi="Arial"/>
          <w:sz w:val="15"/>
          <w:szCs w:val="15"/>
          <w:color w:val="FFFFFF"/>
        </w:rPr>
        <w:t>June 2018</w:t>
      </w:r>
    </w:p>
    <w:p>
      <w:pPr>
        <w:spacing w:after="0" w:line="134"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FFFFFF"/>
        </w:rPr>
        <w:t>Committees:</w:t>
      </w:r>
    </w:p>
    <w:p>
      <w:pPr>
        <w:spacing w:after="0" w:line="170" w:lineRule="exact"/>
        <w:rPr>
          <w:sz w:val="20"/>
          <w:szCs w:val="20"/>
          <w:color w:val="auto"/>
        </w:rPr>
      </w:pPr>
    </w:p>
    <w:p>
      <w:pPr>
        <w:ind w:left="300" w:hanging="168"/>
        <w:spacing w:after="0"/>
        <w:tabs>
          <w:tab w:leader="none" w:pos="300" w:val="left"/>
        </w:tabs>
        <w:numPr>
          <w:ilvl w:val="0"/>
          <w:numId w:val="7"/>
        </w:numPr>
        <w:rPr>
          <w:rFonts w:ascii="Arial" w:cs="Arial" w:eastAsia="Arial" w:hAnsi="Arial"/>
          <w:sz w:val="15"/>
          <w:szCs w:val="15"/>
          <w:color w:val="FFFFFF"/>
        </w:rPr>
      </w:pPr>
      <w:r>
        <w:rPr>
          <w:rFonts w:ascii="Arial" w:cs="Arial" w:eastAsia="Arial" w:hAnsi="Arial"/>
          <w:sz w:val="15"/>
          <w:szCs w:val="15"/>
          <w:color w:val="FFFFFF"/>
        </w:rPr>
        <w:t>Audit</w:t>
      </w:r>
    </w:p>
    <w:p>
      <w:pPr>
        <w:spacing w:after="0" w:line="151" w:lineRule="exact"/>
        <w:rPr>
          <w:rFonts w:ascii="Arial" w:cs="Arial" w:eastAsia="Arial" w:hAnsi="Arial"/>
          <w:sz w:val="15"/>
          <w:szCs w:val="15"/>
          <w:color w:val="FFFFFF"/>
        </w:rPr>
      </w:pPr>
    </w:p>
    <w:p>
      <w:pPr>
        <w:ind w:left="320" w:hanging="188"/>
        <w:spacing w:after="0"/>
        <w:tabs>
          <w:tab w:leader="none" w:pos="320" w:val="left"/>
        </w:tabs>
        <w:numPr>
          <w:ilvl w:val="0"/>
          <w:numId w:val="7"/>
        </w:numPr>
        <w:rPr>
          <w:rFonts w:ascii="Arial" w:cs="Arial" w:eastAsia="Arial" w:hAnsi="Arial"/>
          <w:sz w:val="15"/>
          <w:szCs w:val="15"/>
          <w:color w:val="FFFFFF"/>
        </w:rPr>
      </w:pPr>
      <w:r>
        <w:rPr>
          <w:rFonts w:ascii="Arial" w:cs="Arial" w:eastAsia="Arial" w:hAnsi="Arial"/>
          <w:sz w:val="15"/>
          <w:szCs w:val="15"/>
          <w:color w:val="FFFFFF"/>
        </w:rPr>
        <w:t>Compensation</w:t>
      </w:r>
    </w:p>
    <w:p>
      <w:pPr>
        <w:spacing w:after="0" w:line="151" w:lineRule="exact"/>
        <w:rPr>
          <w:rFonts w:ascii="Arial" w:cs="Arial" w:eastAsia="Arial" w:hAnsi="Arial"/>
          <w:sz w:val="15"/>
          <w:szCs w:val="15"/>
          <w:color w:val="FFFFFF"/>
        </w:rPr>
      </w:pPr>
    </w:p>
    <w:p>
      <w:pPr>
        <w:ind w:left="340" w:right="380" w:hanging="208"/>
        <w:spacing w:after="0" w:line="233" w:lineRule="auto"/>
        <w:tabs>
          <w:tab w:leader="none" w:pos="308" w:val="left"/>
        </w:tabs>
        <w:numPr>
          <w:ilvl w:val="0"/>
          <w:numId w:val="7"/>
        </w:numPr>
        <w:rPr>
          <w:rFonts w:ascii="Arial" w:cs="Arial" w:eastAsia="Arial" w:hAnsi="Arial"/>
          <w:sz w:val="15"/>
          <w:szCs w:val="15"/>
          <w:color w:val="FFFFFF"/>
        </w:rPr>
      </w:pPr>
      <w:r>
        <w:rPr>
          <w:rFonts w:ascii="Arial" w:cs="Arial" w:eastAsia="Arial" w:hAnsi="Arial"/>
          <w:sz w:val="15"/>
          <w:szCs w:val="15"/>
          <w:color w:val="FFFFFF"/>
        </w:rPr>
        <w:t>Nominating and Corporate Governance (Chairman)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Mr. Hewitt has spent his entire career in the engineering, procurement, and construction industry. Prior to joining Matrix in May 2011, Mr. Hewitt worked for approximately 25 years for various operating businesses of Aker Solutions ASA (“Aker”) and its predecessor companies, which provide engineering and construction services, technology products, and integrated solutions to the energy and process industries worldwide. Up until his appointment with the Company, Mr. Hewitt served as Vice President of Aker Solutions, where he was responsible for providing executive oversight on major capital projects in the power and liquefied natural gas industries. He also served as President, United States Operations at Aker Solutions E&amp;C US, Inc. from 2007 to 2009 where he was responsible for managing all construction services in North America. Prior to that, he served as President of Aker Construction Inc. where he had full profit and loss responsibility for a multi-disciplined direct hire industrial construction business operating throughout North America. Mr. Hewitt holds a finance degree from Stetson University and an engineering degree from the Florida Institute of Technology. Mr. Hewitt is a member of the board of directors of the Tulsa Area United Way, the Tulsa Area Salvation Army, the Philbrook Museum of Art, the Tulsa Area Tourism Improvement District and the Tulsa Boys Home. Mr. Hewitt also serves as an executive board member of the Tulsa Regional Chamber of Commerce.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the current President and CEO of the Company, Mr. Hewitt provides a management representative on the Board with extensive knowledge of day-to-day operations. As a result, he can facilitate the Board’s access to timely and relevant information and its oversight of management’s strategy, planning and performance. In addition, Mr. Hewitt brings to the Board considerable management and leadership experience, extensive knowledge of the energy industry and our business, and significant experience with mergers and acquisitions.</w:t>
      </w:r>
    </w:p>
    <w:p>
      <w:pPr>
        <w:spacing w:after="0" w:line="200" w:lineRule="exact"/>
        <w:rPr>
          <w:sz w:val="20"/>
          <w:szCs w:val="20"/>
          <w:color w:val="auto"/>
        </w:rPr>
      </w:pPr>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Ms. Hinrichs served as Senior Vice President, General Counsel and Corporate Secretary for McDermott International, Inc. from October 2008 to August 2017. Previously, she served as McDermott’s Vice President, General Counsel and Corporate Secretary from January 2007 to September 2008; Corporate Secretary and Associate General Counsel, Corporate Compliance and Transactions from January 2006 to December 2006; Associate General Counsel, Corporate Compliance and Transactions, and Deputy Corporate Secretary from June 2004 to December 2005; Assistant General Counsel, Corporate Secretary and Transactions from October 2001 to May 2004; and Senior Counsel from May 1999 to September 2001. Prior to joining McDermott in 1999, she was a partner in a New Orleans law firm. Ms. Hinrichs received a Master of Law in Securities Regulation from Georgetown University Law Center, a J.D. from Tulane School of Law and a B.A. in English from Tulane University.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Ms. Hinrichs brings a combination of boardroom experience, executive leadership and general counsel credentials in the engineering and construction industry. Her deep experience and expertise in governance, enterprise risk management, compliance, international issues and strategy ensure advocacy for best practices and contribute to the Board’s deliberations on some of today’s most critical issues.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-1459865</wp:posOffset>
            </wp:positionH>
            <wp:positionV relativeFrom="paragraph">
              <wp:posOffset>280670</wp:posOffset>
            </wp:positionV>
            <wp:extent cx="607187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2">
            <w:col w:w="1760" w:space="540"/>
            <w:col w:w="7260"/>
          </w:cols>
          <w:pgMar w:left="1180" w:top="279" w:right="115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61DA16"/>
        </w:rPr>
        <w:t>James H.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1329055" cy="32245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29055" cy="322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FFFFFF"/>
        </w:rPr>
        <w:t xml:space="preserve">Age: </w:t>
      </w:r>
      <w:r>
        <w:rPr>
          <w:rFonts w:ascii="Arial" w:cs="Arial" w:eastAsia="Arial" w:hAnsi="Arial"/>
          <w:sz w:val="15"/>
          <w:szCs w:val="15"/>
          <w:color w:val="FFFFFF"/>
        </w:rPr>
        <w:t>64</w:t>
      </w:r>
    </w:p>
    <w:p>
      <w:pPr>
        <w:spacing w:after="0" w:line="314"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FFFFFF"/>
        </w:rPr>
        <w:t>Director Since:</w:t>
      </w:r>
    </w:p>
    <w:p>
      <w:pPr>
        <w:spacing w:after="0" w:line="8" w:lineRule="exact"/>
        <w:rPr>
          <w:sz w:val="20"/>
          <w:szCs w:val="20"/>
          <w:color w:val="auto"/>
        </w:rPr>
      </w:pPr>
    </w:p>
    <w:p>
      <w:pPr>
        <w:ind w:left="140"/>
        <w:spacing w:after="0"/>
        <w:rPr>
          <w:sz w:val="20"/>
          <w:szCs w:val="20"/>
          <w:color w:val="auto"/>
        </w:rPr>
      </w:pPr>
      <w:r>
        <w:rPr>
          <w:rFonts w:ascii="Arial" w:cs="Arial" w:eastAsia="Arial" w:hAnsi="Arial"/>
          <w:sz w:val="15"/>
          <w:szCs w:val="15"/>
          <w:color w:val="FFFFFF"/>
        </w:rPr>
        <w:t>May 2014</w:t>
      </w:r>
    </w:p>
    <w:p>
      <w:pPr>
        <w:spacing w:after="0" w:line="134"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FFFFFF"/>
        </w:rPr>
        <w:t>Committees:</w:t>
      </w:r>
    </w:p>
    <w:p>
      <w:pPr>
        <w:spacing w:after="0" w:line="170" w:lineRule="exact"/>
        <w:rPr>
          <w:sz w:val="20"/>
          <w:szCs w:val="20"/>
          <w:color w:val="auto"/>
        </w:rPr>
      </w:pPr>
    </w:p>
    <w:p>
      <w:pPr>
        <w:ind w:left="300" w:hanging="168"/>
        <w:spacing w:after="0"/>
        <w:tabs>
          <w:tab w:leader="none" w:pos="300" w:val="left"/>
        </w:tabs>
        <w:numPr>
          <w:ilvl w:val="0"/>
          <w:numId w:val="8"/>
        </w:numPr>
        <w:rPr>
          <w:rFonts w:ascii="Arial" w:cs="Arial" w:eastAsia="Arial" w:hAnsi="Arial"/>
          <w:sz w:val="15"/>
          <w:szCs w:val="15"/>
          <w:color w:val="FFFFFF"/>
        </w:rPr>
      </w:pPr>
      <w:r>
        <w:rPr>
          <w:rFonts w:ascii="Arial" w:cs="Arial" w:eastAsia="Arial" w:hAnsi="Arial"/>
          <w:sz w:val="15"/>
          <w:szCs w:val="15"/>
          <w:color w:val="FFFFFF"/>
        </w:rPr>
        <w:t>Audit</w:t>
      </w:r>
    </w:p>
    <w:p>
      <w:pPr>
        <w:spacing w:after="0" w:line="151" w:lineRule="exact"/>
        <w:rPr>
          <w:rFonts w:ascii="Arial" w:cs="Arial" w:eastAsia="Arial" w:hAnsi="Arial"/>
          <w:sz w:val="15"/>
          <w:szCs w:val="15"/>
          <w:color w:val="FFFFFF"/>
        </w:rPr>
      </w:pPr>
    </w:p>
    <w:p>
      <w:pPr>
        <w:ind w:left="320" w:hanging="188"/>
        <w:spacing w:after="0"/>
        <w:tabs>
          <w:tab w:leader="none" w:pos="320" w:val="left"/>
        </w:tabs>
        <w:numPr>
          <w:ilvl w:val="0"/>
          <w:numId w:val="8"/>
        </w:numPr>
        <w:rPr>
          <w:rFonts w:ascii="Arial" w:cs="Arial" w:eastAsia="Arial" w:hAnsi="Arial"/>
          <w:sz w:val="15"/>
          <w:szCs w:val="15"/>
          <w:color w:val="FFFFFF"/>
        </w:rPr>
      </w:pPr>
      <w:r>
        <w:rPr>
          <w:rFonts w:ascii="Arial" w:cs="Arial" w:eastAsia="Arial" w:hAnsi="Arial"/>
          <w:sz w:val="15"/>
          <w:szCs w:val="15"/>
          <w:color w:val="FFFFFF"/>
        </w:rPr>
        <w:t>Compensation</w:t>
      </w:r>
    </w:p>
    <w:p>
      <w:pPr>
        <w:spacing w:after="0" w:line="151" w:lineRule="exact"/>
        <w:rPr>
          <w:rFonts w:ascii="Arial" w:cs="Arial" w:eastAsia="Arial" w:hAnsi="Arial"/>
          <w:sz w:val="15"/>
          <w:szCs w:val="15"/>
          <w:color w:val="FFFFFF"/>
        </w:rPr>
      </w:pPr>
    </w:p>
    <w:p>
      <w:pPr>
        <w:ind w:left="340" w:right="200" w:hanging="208"/>
        <w:spacing w:after="0" w:line="235" w:lineRule="auto"/>
        <w:tabs>
          <w:tab w:leader="none" w:pos="308" w:val="left"/>
        </w:tabs>
        <w:numPr>
          <w:ilvl w:val="0"/>
          <w:numId w:val="8"/>
        </w:numPr>
        <w:rPr>
          <w:rFonts w:ascii="Arial" w:cs="Arial" w:eastAsia="Arial" w:hAnsi="Arial"/>
          <w:sz w:val="15"/>
          <w:szCs w:val="15"/>
          <w:color w:val="FFFFFF"/>
        </w:rPr>
      </w:pPr>
      <w:r>
        <w:rPr>
          <w:rFonts w:ascii="Arial" w:cs="Arial" w:eastAsia="Arial" w:hAnsi="Arial"/>
          <w:sz w:val="15"/>
          <w:szCs w:val="15"/>
          <w:color w:val="FFFFFF"/>
        </w:rPr>
        <w:t>Nominating and Corporate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November 1, 2017, Mr. Miller was appointed as the sole director of Kvaerner U.S. with oversight and fiduciary responsibility for all U.S.-based operations. From June 2011 to October 31, 2017, Mr. Miller was Executive Vice President - Americas of Kvaerner U.S. He also serves on the Board of Directors of San Juan Construction, a privately-owned, multi-disciplined full service general contractor. Mr. Miller has had a consulting agreement with Seajay Consulting L.L.C. since October 2018. From June 2008 through June 2011, Mr. Miller served as Chief Executive Officer &amp; President of Aker Philadelphia Shipyard. From June 2011 to April 2014, Mr. Miller also served as Chairman of the Board for Aker Philadelphia Shipyard ASA (re-named Philly Shipyard ASA in 2015) and re-assumed that position in February 2016. Prior to the shipyard, Mr. Miller was President of Aker Solutions Process &amp; Construction Americas and before that was President of Aker Construction, Inc., which was one of the largest union construction companies in North America. Mr. Miller graduated from the University of Edinboro in Pennsylvania with a Bachelors of Arts degree.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Mr. Miller’s extensive progressive leadership positions with a large multi-national industrial construction contractor led to the conclusion that Mr. Miller should serve as a Director. Mr. Miller has significant operational experience and a thorough understanding of the challenges and risks that face industrial construction contractors. He is experienced with merger and acquisition activity, partnering with other companies, and the management of large multi-year construction projects. Mr. Miller is also knowledgeable in many of the Company’s key markets including power generation and iron and steel.</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-1459865</wp:posOffset>
            </wp:positionH>
            <wp:positionV relativeFrom="paragraph">
              <wp:posOffset>280670</wp:posOffset>
            </wp:positionV>
            <wp:extent cx="607187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2">
            <w:col w:w="1580" w:space="720"/>
            <w:col w:w="7260"/>
          </w:cols>
          <w:pgMar w:left="1180" w:top="279" w:right="115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61DA16"/>
        </w:rPr>
        <w:t>Jim W. Mogg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1329055" cy="37477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29055" cy="374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FFFFFF"/>
        </w:rPr>
        <w:t xml:space="preserve">Age: </w:t>
      </w:r>
      <w:r>
        <w:rPr>
          <w:rFonts w:ascii="Arial" w:cs="Arial" w:eastAsia="Arial" w:hAnsi="Arial"/>
          <w:sz w:val="15"/>
          <w:szCs w:val="15"/>
          <w:color w:val="FFFFFF"/>
        </w:rPr>
        <w:t>70</w:t>
      </w:r>
    </w:p>
    <w:p>
      <w:pPr>
        <w:spacing w:after="0" w:line="152"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FFFFFF"/>
        </w:rPr>
        <w:t>Director Since:</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5"/>
          <w:szCs w:val="15"/>
          <w:color w:val="FFFFFF"/>
        </w:rPr>
        <w:t>August 2013</w:t>
      </w:r>
    </w:p>
    <w:p>
      <w:pPr>
        <w:spacing w:after="0" w:line="134"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FFFFFF"/>
        </w:rPr>
        <w:t>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Mr. Mogg has served on the board of directors of ONEOK, Inc., a publicly traded diversified energy company, since July 2007. Mr. Mogg also served as a director of ONEOK Partners GP, L.L.C., the general partner of ONEOK Partners, L.P., a publicly traded master limited partnership that operated natural gas and natural gas liquids gathering, processing, pipelines, and fractionation assets, from August 2009 until its merger with a subsidiary of ONEOK, Inc. in June of 2017. Mr. Mogg served as Chairman of the Board of DCP Midstream GP, LLC, the general partner of DCP Midstream Partners, L.P. (“DCP Midstream”), from August 2005 to April 2007. From January 2004 to September 2006, Mr. Mogg served as Group Vice President, Chief Development Officer and advisor to the Chairman of Duke Energy Corporation. Additionally, Duke Energy affiliates, Crescent Resources and TEPPCO Partners, LP (“TEPPCO”), reported to Mr. Mogg. Mr. Mogg served as President and Chief Executive Officer of DCP Midstream, LLC from December 1994 to March 2000, and as Chairman, President and Chief Executive Officer from April 2000 through December 2003. DCP Midstream was the general partner of TEPPCO and, as a result, Mr. Mogg was Vice Chairman of TEPPCO from April 2000 to May 2002 and Chairman from May 2002 to February 2005. Mr. Mogg also serves on the board of directors of High Point Resources, an exploration and production company, where he is currently the non-executive Chairman.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220"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The specific experience, qualifications, attributes or skills that led to the conclusion Mr. Mogg should serve as a Director include his long history of service in senior executive leadership positions, including as a chief executive officer and his significant knowledge of the energy industry. Mr. Mogg also brings financial expertise to the Board, including through his previous supervision of principal accounting officers, involvement in financing transactions, and his service on the audit committees of other companies. His current and previous directorships also provide Mr. Mogg with extensive corporate governance experience.</w:t>
      </w:r>
    </w:p>
    <w:p>
      <w:pPr>
        <w:spacing w:after="0" w:line="200" w:lineRule="exact"/>
        <w:rPr>
          <w:sz w:val="20"/>
          <w:szCs w:val="20"/>
          <w:color w:val="auto"/>
        </w:rPr>
      </w:pPr>
    </w:p>
    <w:p>
      <w:pPr>
        <w:sectPr>
          <w:pgSz w:w="11900" w:h="16838" w:orient="portrait"/>
          <w:cols w:equalWidth="0" w:num="2">
            <w:col w:w="1780" w:space="520"/>
            <w:col w:w="7260"/>
          </w:cols>
          <w:pgMar w:left="1180" w:top="279" w:right="1159" w:bottom="1440" w:gutter="0" w:footer="0" w:header="0"/>
        </w:sectPr>
      </w:pPr>
    </w:p>
    <w:p>
      <w:pPr>
        <w:spacing w:after="0" w:line="108"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color w:val="61DA16"/>
        </w:rPr>
        <w:t>THE BOARD UNANIMOUSLY RECOMMENDS THAT THE STOCKHOLDERS VOTE “FOR” ALL OF THE ABOVE NAMED NOMINEES FOR ELECTION.</w:t>
      </w:r>
    </w:p>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607187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type w:val="continuous"/>
        </w:sectPr>
      </w:pPr>
    </w:p>
    <w:bookmarkStart w:id="17" w:name="page18"/>
    <w:bookmarkEnd w:id="17"/>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61DA16"/>
        </w:rPr>
        <w:t>CORPORATE GOVERNANCE AND BOARD MATTERS</w:t>
      </w:r>
    </w:p>
    <w:p>
      <w:pPr>
        <w:spacing w:after="0" w:line="12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Board uses its best efforts to adopt and implement sound corporate governance practices and believes strongly that effective corporate governance practices are an important component of its efforts to focus the entire organization on generating long-term stockholder value through conscientious, safe and ethical operations.</w:t>
      </w:r>
    </w:p>
    <w:p>
      <w:pPr>
        <w:spacing w:after="0" w:line="94"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 xml:space="preserve">The Board has adopted and implemented Corporate Governance Guidelines and a Code of Business Conduct and Ethics. The Code of Business Conduct and Ethics applies to all of the Company’s directors, officers (including its Chief Executive Officer, Chief Operating Officer, Chief Financial Officer, Controller and any person performing similar functions) and employees. The Corporate Governance Guidelines and Code of Business Conduct and Ethics are available on the Corporate Governance page included in the “Investor Relations” section of the Company’s website at </w:t>
      </w:r>
      <w:r>
        <w:rPr>
          <w:rFonts w:ascii="Arial" w:cs="Arial" w:eastAsia="Arial" w:hAnsi="Arial"/>
          <w:sz w:val="18"/>
          <w:szCs w:val="18"/>
          <w:u w:val="single" w:color="auto"/>
          <w:color w:val="auto"/>
        </w:rPr>
        <w:t>matrixservicecompany.com</w:t>
      </w:r>
      <w:r>
        <w:rPr>
          <w:rFonts w:ascii="Arial" w:cs="Arial" w:eastAsia="Arial" w:hAnsi="Arial"/>
          <w:sz w:val="18"/>
          <w:szCs w:val="18"/>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61DA16"/>
        </w:rPr>
        <w:t>Director Independence Guidelines</w:t>
      </w:r>
    </w:p>
    <w:p>
      <w:pPr>
        <w:spacing w:after="0" w:line="12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Pursuant to the applicable rules for companies traded on the NASDAQ Global Market System (“NASDAQ”) and the rules and regulations of the Securities and Exchange Commission (the “SEC”), the Board has adopted director independence guidelines. In accordance with these guidelines, each independent director must be determined to have no relationship with the Company which, in the opinion of the Company’s Board, would interfere with the exercise of independent judgment in carrying out the responsibilities of a director. The guidelines specify criteria by which the independence of the Company’s directors will be determined, including strict guidelines for directors and their immediate families with respect to past employment or affiliation with the Company or its independent registered public accounting firm.</w:t>
      </w:r>
    </w:p>
    <w:p>
      <w:pPr>
        <w:spacing w:after="0" w:line="98"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The Board has affirmatively determined that each of Ms. Carnes, Mr. Chandler, Mr. Gibson, Ms. Hinrichs, Mr. Miller and Mr. Mogg are “independent” under the guidelines. Mr. Hewitt is not considered to be independent because of his current employment as President and Chief Executive Officer of the Company.</w:t>
      </w:r>
    </w:p>
    <w:p>
      <w:pPr>
        <w:spacing w:after="0" w:line="94"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The Board also considered Mr. Miller’s familial relationships with the Company. Mr. Miller’s son is an employee of Matrix North American Construction. The Board concluded that this relationship did not impair Mr. Miller’s independence as his son did not hold an executive officer position within Matrix North American Construction and is several levels below the level of executive officer of Matrix.</w:t>
      </w:r>
    </w:p>
    <w:p>
      <w:pPr>
        <w:spacing w:after="0" w:line="9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Additionally, the Company performed two projects totaling $4.7 million for the construction of firewater tanks and related piping in New Jersey for Transcontinental Gas Pipe Line Company, a subsidiary of The Williams Companies, Inc. Mr. Chandler currently serves as CFO of Williams. Although Mr. Chandler is an executive officer of Williams, the Board concluded that this work does not impair his independence because he played no part in negotiating the related contracts and the dollar amount of the work is insignificant to both companies.</w:t>
      </w:r>
    </w:p>
    <w:p>
      <w:pPr>
        <w:spacing w:after="0" w:line="97"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 xml:space="preserve">The full text of the Company’s director independence guidelines is included in the Company’s Corporate Governance Guidelines, which is available on the Corporate Governance page included in the “Investor Relations” section of the Company’s website at </w:t>
      </w:r>
      <w:r>
        <w:rPr>
          <w:rFonts w:ascii="Arial" w:cs="Arial" w:eastAsia="Arial" w:hAnsi="Arial"/>
          <w:sz w:val="18"/>
          <w:szCs w:val="18"/>
          <w:u w:val="single" w:color="auto"/>
          <w:color w:val="auto"/>
        </w:rPr>
        <w:t>matrixservicecompany.com</w:t>
      </w:r>
      <w:r>
        <w:rPr>
          <w:rFonts w:ascii="Arial" w:cs="Arial" w:eastAsia="Arial" w:hAnsi="Arial"/>
          <w:sz w:val="18"/>
          <w:szCs w:val="18"/>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61DA16"/>
        </w:rPr>
        <w:t>Board Leadership Structure and Role in Risk Oversight</w:t>
      </w:r>
    </w:p>
    <w:p>
      <w:pPr>
        <w:spacing w:after="0" w:line="12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Board has no policy mandating the separation of the offices of Chairman of the Board and Chief Executive Officer. However, as the oversight responsibilities of directors continue to increase, we believe it is beneficial to have an independent chairman whose sole job for the Company is leading the Board. We believe the separation of the Chairman and Chief Executive Officer roles provides strong leadership for our Board, while positioning our Chief Executive Officer as the leader of the Company in the eyes of our customers, employees and other stakeholders.</w:t>
      </w:r>
    </w:p>
    <w:p>
      <w:pPr>
        <w:spacing w:after="0" w:line="9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If, in the future, the Chief Executive Officer is serving as Chairman of the Board, then the Board will name a lead director who would, among other specified responsibilities, serve as the leader of the independent directors and facilitate communication between the Chairman/CEO and the other directors.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607187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Board has six independent members and continues to have one non-independent member, the President and Chief Executive Officer of the Company. A number of our independent Board members have served as members of senior management or as directors of other public companies. Our Audit, Compensation and Nominating and Corporate Governance Committees are comprised solely of independent directors, each with a different independent director serving as chair of the committee. We believe that the number of independent, experienced directors that make up our Board, along with the independent oversight of the Board by the non-executive Chairman, benefits our Company and our stockholders.</w:t>
      </w:r>
    </w:p>
    <w:p>
      <w:pPr>
        <w:spacing w:after="0" w:line="9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Audit Committee and full Board jointly oversee the Company’s risk management processes. The Audit Committee receives regular reports from management regarding the Company’s assessment of risks. In addition, the Audit Committee and the full Board focus on the most significant risks facing the Company and the Company’s general risk management strategy, and seek to ensure that risks undertaken by the Company are consistent with the Board’s appetite for risk. While the Board oversees the Company’s risk management, Company management is responsible for day-to-day risk management processes. We believe this division of responsibilities is the most effective approach for addressing the risks facing our Company and that our Board leadership structure supports this approach.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61DA16"/>
        </w:rPr>
        <w:t>Meetings and Committees of the Board</w:t>
      </w:r>
    </w:p>
    <w:p>
      <w:pPr>
        <w:spacing w:after="0" w:line="12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Company’s Board met nine times during fiscal year 2019. The Board has three standing committees – the Audit Committee, the Compensation Committee, and the Nominating and Corporate Governance Committee. Each of the members of each of the committees qualifies as an “independent director” under the NASDAQ listing standards. During fiscal 2019, each director attended a minimum of 75% of the total number of meetings of the Board and of the total number of meetings held by all committees of which he or she was a member.</w:t>
      </w:r>
    </w:p>
    <w:p>
      <w:pPr>
        <w:spacing w:after="0" w:line="9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Company’s Corporate Governance Guidelines provide that each director is expected to attend the annual meetings of stockholders of the Company. All of the members of the Company’s Board attended the 2018 Annual Meeting of Stockholders.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6400" w:type="dxa"/>
            <w:vAlign w:val="bottom"/>
            <w:gridSpan w:val="3"/>
          </w:tcPr>
          <w:p>
            <w:pPr>
              <w:ind w:left="900"/>
              <w:spacing w:after="0"/>
              <w:rPr>
                <w:sz w:val="20"/>
                <w:szCs w:val="20"/>
                <w:color w:val="auto"/>
              </w:rPr>
            </w:pPr>
            <w:r>
              <w:rPr>
                <w:rFonts w:ascii="Arial" w:cs="Arial" w:eastAsia="Arial" w:hAnsi="Arial"/>
                <w:sz w:val="18"/>
                <w:szCs w:val="18"/>
                <w:b w:val="1"/>
                <w:bCs w:val="1"/>
                <w:color w:val="auto"/>
              </w:rPr>
              <w:t>Audit Committee</w:t>
            </w:r>
          </w:p>
        </w:tc>
      </w:tr>
      <w:tr>
        <w:trPr>
          <w:trHeight w:val="20"/>
        </w:trPr>
        <w:tc>
          <w:tcPr>
            <w:tcW w:w="3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291"/>
        </w:trPr>
        <w:tc>
          <w:tcPr>
            <w:tcW w:w="3160" w:type="dxa"/>
            <w:vAlign w:val="bottom"/>
          </w:tcPr>
          <w:p>
            <w:pPr>
              <w:spacing w:after="0"/>
              <w:rPr>
                <w:sz w:val="20"/>
                <w:szCs w:val="20"/>
                <w:color w:val="auto"/>
              </w:rPr>
            </w:pPr>
            <w:r>
              <w:rPr>
                <w:rFonts w:ascii="Arial" w:cs="Arial" w:eastAsia="Arial" w:hAnsi="Arial"/>
                <w:sz w:val="18"/>
                <w:szCs w:val="18"/>
                <w:b w:val="1"/>
                <w:bCs w:val="1"/>
                <w:color w:val="auto"/>
              </w:rPr>
              <w:t>Director</w:t>
            </w:r>
          </w:p>
        </w:tc>
        <w:tc>
          <w:tcPr>
            <w:tcW w:w="900" w:type="dxa"/>
            <w:vAlign w:val="bottom"/>
          </w:tcPr>
          <w:p>
            <w:pPr>
              <w:spacing w:after="0"/>
              <w:rPr>
                <w:sz w:val="24"/>
                <w:szCs w:val="24"/>
                <w:color w:val="auto"/>
              </w:rPr>
            </w:pPr>
          </w:p>
        </w:tc>
        <w:tc>
          <w:tcPr>
            <w:tcW w:w="5500" w:type="dxa"/>
            <w:vAlign w:val="bottom"/>
            <w:gridSpan w:val="2"/>
          </w:tcPr>
          <w:p>
            <w:pPr>
              <w:ind w:left="720"/>
              <w:spacing w:after="0"/>
              <w:rPr>
                <w:sz w:val="20"/>
                <w:szCs w:val="20"/>
                <w:color w:val="auto"/>
              </w:rPr>
            </w:pPr>
            <w:r>
              <w:rPr>
                <w:rFonts w:ascii="Arial" w:cs="Arial" w:eastAsia="Arial" w:hAnsi="Arial"/>
                <w:sz w:val="18"/>
                <w:szCs w:val="18"/>
                <w:b w:val="1"/>
                <w:bCs w:val="1"/>
                <w:color w:val="auto"/>
              </w:rPr>
              <w:t>Fiscal 2019 Committee Service</w:t>
            </w:r>
          </w:p>
        </w:tc>
      </w:tr>
      <w:tr>
        <w:trPr>
          <w:trHeight w:val="230"/>
        </w:trPr>
        <w:tc>
          <w:tcPr>
            <w:tcW w:w="3160" w:type="dxa"/>
            <w:vAlign w:val="bottom"/>
            <w:shd w:val="clear" w:color="auto" w:fill="D7F5C4"/>
          </w:tcPr>
          <w:p>
            <w:pPr>
              <w:spacing w:after="0"/>
              <w:rPr>
                <w:sz w:val="20"/>
                <w:szCs w:val="20"/>
                <w:color w:val="auto"/>
              </w:rPr>
            </w:pPr>
            <w:r>
              <w:rPr>
                <w:rFonts w:ascii="Arial" w:cs="Arial" w:eastAsia="Arial" w:hAnsi="Arial"/>
                <w:sz w:val="18"/>
                <w:szCs w:val="18"/>
                <w:color w:val="auto"/>
              </w:rPr>
              <w:t>Martha Z. Carnes, Chairman</w:t>
            </w:r>
          </w:p>
        </w:tc>
        <w:tc>
          <w:tcPr>
            <w:tcW w:w="900" w:type="dxa"/>
            <w:vAlign w:val="bottom"/>
            <w:shd w:val="clear" w:color="auto" w:fill="D7F5C4"/>
          </w:tcPr>
          <w:p>
            <w:pPr>
              <w:spacing w:after="0"/>
              <w:rPr>
                <w:sz w:val="19"/>
                <w:szCs w:val="19"/>
                <w:color w:val="auto"/>
              </w:rPr>
            </w:pPr>
          </w:p>
        </w:tc>
        <w:tc>
          <w:tcPr>
            <w:tcW w:w="5500" w:type="dxa"/>
            <w:vAlign w:val="bottom"/>
            <w:gridSpan w:val="2"/>
            <w:shd w:val="clear" w:color="auto" w:fill="D7F5C4"/>
          </w:tcPr>
          <w:p>
            <w:pPr>
              <w:ind w:left="720"/>
              <w:spacing w:after="0"/>
              <w:rPr>
                <w:sz w:val="20"/>
                <w:szCs w:val="20"/>
                <w:color w:val="auto"/>
              </w:rPr>
            </w:pPr>
            <w:r>
              <w:rPr>
                <w:rFonts w:ascii="Arial" w:cs="Arial" w:eastAsia="Arial" w:hAnsi="Arial"/>
                <w:sz w:val="18"/>
                <w:szCs w:val="18"/>
                <w:color w:val="auto"/>
              </w:rPr>
              <w:t>Served all of fiscal 2019</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James H. Miller, Member</w:t>
            </w:r>
          </w:p>
        </w:tc>
        <w:tc>
          <w:tcPr>
            <w:tcW w:w="900" w:type="dxa"/>
            <w:vAlign w:val="bottom"/>
          </w:tcPr>
          <w:p>
            <w:pPr>
              <w:spacing w:after="0"/>
              <w:rPr>
                <w:sz w:val="19"/>
                <w:szCs w:val="19"/>
                <w:color w:val="auto"/>
              </w:rPr>
            </w:pPr>
          </w:p>
        </w:tc>
        <w:tc>
          <w:tcPr>
            <w:tcW w:w="5500" w:type="dxa"/>
            <w:vAlign w:val="bottom"/>
            <w:gridSpan w:val="2"/>
          </w:tcPr>
          <w:p>
            <w:pPr>
              <w:ind w:left="720"/>
              <w:spacing w:after="0"/>
              <w:rPr>
                <w:sz w:val="20"/>
                <w:szCs w:val="20"/>
                <w:color w:val="auto"/>
              </w:rPr>
            </w:pPr>
            <w:r>
              <w:rPr>
                <w:rFonts w:ascii="Arial" w:cs="Arial" w:eastAsia="Arial" w:hAnsi="Arial"/>
                <w:sz w:val="18"/>
                <w:szCs w:val="18"/>
                <w:color w:val="auto"/>
              </w:rPr>
              <w:t>Served all of fiscal 2019</w:t>
            </w:r>
          </w:p>
        </w:tc>
      </w:tr>
      <w:tr>
        <w:trPr>
          <w:trHeight w:val="230"/>
        </w:trPr>
        <w:tc>
          <w:tcPr>
            <w:tcW w:w="3160" w:type="dxa"/>
            <w:vAlign w:val="bottom"/>
            <w:shd w:val="clear" w:color="auto" w:fill="D7F5C4"/>
          </w:tcPr>
          <w:p>
            <w:pPr>
              <w:spacing w:after="0"/>
              <w:rPr>
                <w:sz w:val="20"/>
                <w:szCs w:val="20"/>
                <w:color w:val="auto"/>
              </w:rPr>
            </w:pPr>
            <w:r>
              <w:rPr>
                <w:rFonts w:ascii="Arial" w:cs="Arial" w:eastAsia="Arial" w:hAnsi="Arial"/>
                <w:sz w:val="18"/>
                <w:szCs w:val="18"/>
                <w:color w:val="auto"/>
              </w:rPr>
              <w:t>John W. Gibson, Member</w:t>
            </w:r>
          </w:p>
        </w:tc>
        <w:tc>
          <w:tcPr>
            <w:tcW w:w="900" w:type="dxa"/>
            <w:vAlign w:val="bottom"/>
            <w:shd w:val="clear" w:color="auto" w:fill="D7F5C4"/>
          </w:tcPr>
          <w:p>
            <w:pPr>
              <w:spacing w:after="0"/>
              <w:rPr>
                <w:sz w:val="19"/>
                <w:szCs w:val="19"/>
                <w:color w:val="auto"/>
              </w:rPr>
            </w:pPr>
          </w:p>
        </w:tc>
        <w:tc>
          <w:tcPr>
            <w:tcW w:w="5500" w:type="dxa"/>
            <w:vAlign w:val="bottom"/>
            <w:gridSpan w:val="2"/>
            <w:shd w:val="clear" w:color="auto" w:fill="D7F5C4"/>
          </w:tcPr>
          <w:p>
            <w:pPr>
              <w:ind w:left="720"/>
              <w:spacing w:after="0"/>
              <w:rPr>
                <w:sz w:val="20"/>
                <w:szCs w:val="20"/>
                <w:color w:val="auto"/>
              </w:rPr>
            </w:pPr>
            <w:r>
              <w:rPr>
                <w:rFonts w:ascii="Arial" w:cs="Arial" w:eastAsia="Arial" w:hAnsi="Arial"/>
                <w:sz w:val="18"/>
                <w:szCs w:val="18"/>
                <w:color w:val="auto"/>
              </w:rPr>
              <w:t>Served all of fiscal 2019</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John D. Chandler, Member</w:t>
            </w:r>
          </w:p>
        </w:tc>
        <w:tc>
          <w:tcPr>
            <w:tcW w:w="900" w:type="dxa"/>
            <w:vAlign w:val="bottom"/>
          </w:tcPr>
          <w:p>
            <w:pPr>
              <w:spacing w:after="0"/>
              <w:rPr>
                <w:sz w:val="19"/>
                <w:szCs w:val="19"/>
                <w:color w:val="auto"/>
              </w:rPr>
            </w:pPr>
          </w:p>
        </w:tc>
        <w:tc>
          <w:tcPr>
            <w:tcW w:w="5500" w:type="dxa"/>
            <w:vAlign w:val="bottom"/>
            <w:gridSpan w:val="2"/>
          </w:tcPr>
          <w:p>
            <w:pPr>
              <w:ind w:left="720"/>
              <w:spacing w:after="0"/>
              <w:rPr>
                <w:sz w:val="20"/>
                <w:szCs w:val="20"/>
                <w:color w:val="auto"/>
              </w:rPr>
            </w:pPr>
            <w:r>
              <w:rPr>
                <w:rFonts w:ascii="Arial" w:cs="Arial" w:eastAsia="Arial" w:hAnsi="Arial"/>
                <w:sz w:val="18"/>
                <w:szCs w:val="18"/>
                <w:color w:val="auto"/>
              </w:rPr>
              <w:t>Served all of fiscal 2019</w:t>
            </w:r>
          </w:p>
        </w:tc>
      </w:tr>
      <w:tr>
        <w:trPr>
          <w:trHeight w:val="230"/>
        </w:trPr>
        <w:tc>
          <w:tcPr>
            <w:tcW w:w="3160" w:type="dxa"/>
            <w:vAlign w:val="bottom"/>
            <w:shd w:val="clear" w:color="auto" w:fill="D7F5C4"/>
          </w:tcPr>
          <w:p>
            <w:pPr>
              <w:spacing w:after="0"/>
              <w:rPr>
                <w:sz w:val="20"/>
                <w:szCs w:val="20"/>
                <w:color w:val="auto"/>
              </w:rPr>
            </w:pPr>
            <w:r>
              <w:rPr>
                <w:rFonts w:ascii="Arial" w:cs="Arial" w:eastAsia="Arial" w:hAnsi="Arial"/>
                <w:sz w:val="18"/>
                <w:szCs w:val="18"/>
                <w:color w:val="auto"/>
              </w:rPr>
              <w:t>Liane K. Hinrichs, Member</w:t>
            </w:r>
          </w:p>
        </w:tc>
        <w:tc>
          <w:tcPr>
            <w:tcW w:w="900" w:type="dxa"/>
            <w:vAlign w:val="bottom"/>
            <w:shd w:val="clear" w:color="auto" w:fill="D7F5C4"/>
          </w:tcPr>
          <w:p>
            <w:pPr>
              <w:spacing w:after="0"/>
              <w:rPr>
                <w:sz w:val="19"/>
                <w:szCs w:val="19"/>
                <w:color w:val="auto"/>
              </w:rPr>
            </w:pPr>
          </w:p>
        </w:tc>
        <w:tc>
          <w:tcPr>
            <w:tcW w:w="5500" w:type="dxa"/>
            <w:vAlign w:val="bottom"/>
            <w:gridSpan w:val="2"/>
            <w:shd w:val="clear" w:color="auto" w:fill="D7F5C4"/>
          </w:tcPr>
          <w:p>
            <w:pPr>
              <w:ind w:left="720"/>
              <w:spacing w:after="0"/>
              <w:rPr>
                <w:sz w:val="20"/>
                <w:szCs w:val="20"/>
                <w:color w:val="auto"/>
              </w:rPr>
            </w:pPr>
            <w:r>
              <w:rPr>
                <w:rFonts w:ascii="Arial" w:cs="Arial" w:eastAsia="Arial" w:hAnsi="Arial"/>
                <w:sz w:val="18"/>
                <w:szCs w:val="18"/>
                <w:color w:val="auto"/>
              </w:rPr>
              <w:t>Served all of fiscal 2019</w:t>
            </w:r>
          </w:p>
        </w:tc>
      </w:tr>
    </w:tbl>
    <w:p>
      <w:pPr>
        <w:spacing w:after="0" w:line="10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 xml:space="preserve">The Audit Committee assists the Board in monitoring the integrity of the financial statements of the Company, the independent registered public accounting firm’s qualifications and independence, the performance of the Company’s internal audit function and independent registered public accounting firm and the Company’s compliance with legal and regulatory requirements. In carrying out these purposes, the Audit Committee, among other things, appoints, evaluates and approves the compensation of the Company’s independent registered public accounting firm, reviews and approves the scope of the annual audit and the audit fee, pre-approves all auditing services and permitted non-audit services, annually considers the qualifications and independence of the independent registered public accounting firm, reviews the results of internal audits, compliance with certain of the Company’s written policies and procedures and the adequacy of the Company’s system of internal accounting controls, prepares the Audit Committee report for inclusion in the annual proxy statement and annually reviews the Audit Committee charter and the committee’s performance. The Audit Committee has also established procedures for the receipt, retention and treatment of complaints received by the Company regarding accounting, internal accounting controls or auditing matters and the confidential, anonymous submission by employees of the Company of concerns regarding accounting or auditing matters. The Audit Committee operates under a written charter. A copy of the Audit Committee Charter is available on the Corporate Governance page included in the “Investor Relations” section of the Company’s website at </w:t>
      </w:r>
      <w:r>
        <w:rPr>
          <w:rFonts w:ascii="Arial" w:cs="Arial" w:eastAsia="Arial" w:hAnsi="Arial"/>
          <w:sz w:val="18"/>
          <w:szCs w:val="18"/>
          <w:u w:val="single" w:color="auto"/>
          <w:color w:val="auto"/>
        </w:rPr>
        <w:t>matrixservicecompany.com</w:t>
      </w:r>
      <w:r>
        <w:rPr>
          <w:rFonts w:ascii="Arial" w:cs="Arial" w:eastAsia="Arial" w:hAnsi="Arial"/>
          <w:sz w:val="18"/>
          <w:szCs w:val="18"/>
          <w:color w:val="auto"/>
        </w:rPr>
        <w:t>. The Audit Committee held four meetings during fiscal 2019.</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607187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3660" w:type="dxa"/>
            <w:vAlign w:val="bottom"/>
            <w:gridSpan w:val="2"/>
          </w:tcPr>
          <w:p>
            <w:pPr>
              <w:spacing w:after="0"/>
              <w:rPr>
                <w:rFonts w:ascii="Arial" w:cs="Arial" w:eastAsia="Arial" w:hAnsi="Arial"/>
                <w:sz w:val="14"/>
                <w:szCs w:val="14"/>
                <w:b w:val="1"/>
                <w:bCs w:val="1"/>
                <w:color w:val="0000EE"/>
              </w:rPr>
            </w:pPr>
            <w:hyperlink w:anchor="page8">
              <w:r>
                <w:rPr>
                  <w:rFonts w:ascii="Arial" w:cs="Arial" w:eastAsia="Arial" w:hAnsi="Arial"/>
                  <w:sz w:val="14"/>
                  <w:szCs w:val="14"/>
                  <w:b w:val="1"/>
                  <w:bCs w:val="1"/>
                  <w:color w:val="0000EE"/>
                </w:rPr>
                <w:t>TABLE OF CONTENTS</w:t>
              </w:r>
            </w:hyperlink>
          </w:p>
        </w:tc>
        <w:tc>
          <w:tcPr>
            <w:tcW w:w="2220" w:type="dxa"/>
            <w:vAlign w:val="bottom"/>
          </w:tcPr>
          <w:p>
            <w:pPr>
              <w:spacing w:after="0"/>
              <w:rPr>
                <w:sz w:val="14"/>
                <w:szCs w:val="14"/>
                <w:color w:val="auto"/>
              </w:rPr>
            </w:pPr>
          </w:p>
        </w:tc>
        <w:tc>
          <w:tcPr>
            <w:tcW w:w="3680" w:type="dxa"/>
            <w:vAlign w:val="bottom"/>
          </w:tcPr>
          <w:p>
            <w:pPr>
              <w:spacing w:after="0"/>
              <w:rPr>
                <w:sz w:val="14"/>
                <w:szCs w:val="14"/>
                <w:color w:val="auto"/>
              </w:rPr>
            </w:pPr>
          </w:p>
        </w:tc>
      </w:tr>
      <w:tr>
        <w:trPr>
          <w:trHeight w:val="304"/>
        </w:trPr>
        <w:tc>
          <w:tcPr>
            <w:tcW w:w="1540" w:type="dxa"/>
            <w:vAlign w:val="bottom"/>
            <w:tcBorders>
              <w:top w:val="single" w:sz="8" w:color="0000EE"/>
            </w:tcBorders>
          </w:tcPr>
          <w:p>
            <w:pPr>
              <w:spacing w:after="0"/>
              <w:rPr>
                <w:sz w:val="24"/>
                <w:szCs w:val="24"/>
                <w:color w:val="auto"/>
              </w:rPr>
            </w:pPr>
          </w:p>
        </w:tc>
        <w:tc>
          <w:tcPr>
            <w:tcW w:w="2120" w:type="dxa"/>
            <w:vAlign w:val="bottom"/>
          </w:tcPr>
          <w:p>
            <w:pPr>
              <w:spacing w:after="0"/>
              <w:rPr>
                <w:sz w:val="24"/>
                <w:szCs w:val="24"/>
                <w:color w:val="auto"/>
              </w:rPr>
            </w:pPr>
          </w:p>
        </w:tc>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Compensation Committee</w:t>
            </w:r>
          </w:p>
        </w:tc>
      </w:tr>
      <w:tr>
        <w:trPr>
          <w:trHeight w:val="20"/>
        </w:trPr>
        <w:tc>
          <w:tcPr>
            <w:tcW w:w="3660" w:type="dxa"/>
            <w:vAlign w:val="bottom"/>
            <w:gridSpan w:val="2"/>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91"/>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Director</w:t>
            </w:r>
          </w:p>
        </w:tc>
        <w:tc>
          <w:tcPr>
            <w:tcW w:w="5900" w:type="dxa"/>
            <w:vAlign w:val="bottom"/>
            <w:gridSpan w:val="2"/>
          </w:tcPr>
          <w:p>
            <w:pPr>
              <w:ind w:left="1120"/>
              <w:spacing w:after="0"/>
              <w:rPr>
                <w:sz w:val="20"/>
                <w:szCs w:val="20"/>
                <w:color w:val="auto"/>
              </w:rPr>
            </w:pPr>
            <w:r>
              <w:rPr>
                <w:rFonts w:ascii="Arial" w:cs="Arial" w:eastAsia="Arial" w:hAnsi="Arial"/>
                <w:sz w:val="18"/>
                <w:szCs w:val="18"/>
                <w:b w:val="1"/>
                <w:bCs w:val="1"/>
                <w:color w:val="auto"/>
              </w:rPr>
              <w:t>Fiscal 2019 Committee Service</w:t>
            </w:r>
          </w:p>
        </w:tc>
      </w:tr>
      <w:tr>
        <w:trPr>
          <w:trHeight w:val="230"/>
        </w:trPr>
        <w:tc>
          <w:tcPr>
            <w:tcW w:w="3660" w:type="dxa"/>
            <w:vAlign w:val="bottom"/>
            <w:gridSpan w:val="2"/>
            <w:shd w:val="clear" w:color="auto" w:fill="D7F5C4"/>
          </w:tcPr>
          <w:p>
            <w:pPr>
              <w:spacing w:after="0"/>
              <w:rPr>
                <w:sz w:val="20"/>
                <w:szCs w:val="20"/>
                <w:color w:val="auto"/>
              </w:rPr>
            </w:pPr>
            <w:r>
              <w:rPr>
                <w:rFonts w:ascii="Arial" w:cs="Arial" w:eastAsia="Arial" w:hAnsi="Arial"/>
                <w:sz w:val="18"/>
                <w:szCs w:val="18"/>
                <w:color w:val="auto"/>
              </w:rPr>
              <w:t>John W. Gibson, Chairman</w:t>
            </w:r>
          </w:p>
        </w:tc>
        <w:tc>
          <w:tcPr>
            <w:tcW w:w="5900" w:type="dxa"/>
            <w:vAlign w:val="bottom"/>
            <w:gridSpan w:val="2"/>
            <w:shd w:val="clear" w:color="auto" w:fill="D7F5C4"/>
          </w:tcPr>
          <w:p>
            <w:pPr>
              <w:ind w:left="1120"/>
              <w:spacing w:after="0"/>
              <w:rPr>
                <w:sz w:val="20"/>
                <w:szCs w:val="20"/>
                <w:color w:val="auto"/>
              </w:rPr>
            </w:pPr>
            <w:r>
              <w:rPr>
                <w:rFonts w:ascii="Arial" w:cs="Arial" w:eastAsia="Arial" w:hAnsi="Arial"/>
                <w:sz w:val="18"/>
                <w:szCs w:val="18"/>
                <w:color w:val="auto"/>
              </w:rPr>
              <w:t>Served all of fiscal 2019</w:t>
            </w: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James H. Miller, Member</w:t>
            </w:r>
          </w:p>
        </w:tc>
        <w:tc>
          <w:tcPr>
            <w:tcW w:w="5900" w:type="dxa"/>
            <w:vAlign w:val="bottom"/>
            <w:gridSpan w:val="2"/>
          </w:tcPr>
          <w:p>
            <w:pPr>
              <w:ind w:left="1120"/>
              <w:spacing w:after="0"/>
              <w:rPr>
                <w:sz w:val="20"/>
                <w:szCs w:val="20"/>
                <w:color w:val="auto"/>
              </w:rPr>
            </w:pPr>
            <w:r>
              <w:rPr>
                <w:rFonts w:ascii="Arial" w:cs="Arial" w:eastAsia="Arial" w:hAnsi="Arial"/>
                <w:sz w:val="18"/>
                <w:szCs w:val="18"/>
                <w:color w:val="auto"/>
              </w:rPr>
              <w:t>Served all of fiscal 2019</w:t>
            </w:r>
          </w:p>
        </w:tc>
      </w:tr>
      <w:tr>
        <w:trPr>
          <w:trHeight w:val="230"/>
        </w:trPr>
        <w:tc>
          <w:tcPr>
            <w:tcW w:w="3660" w:type="dxa"/>
            <w:vAlign w:val="bottom"/>
            <w:gridSpan w:val="2"/>
            <w:shd w:val="clear" w:color="auto" w:fill="D7F5C4"/>
          </w:tcPr>
          <w:p>
            <w:pPr>
              <w:spacing w:after="0"/>
              <w:rPr>
                <w:sz w:val="20"/>
                <w:szCs w:val="20"/>
                <w:color w:val="auto"/>
              </w:rPr>
            </w:pPr>
            <w:r>
              <w:rPr>
                <w:rFonts w:ascii="Arial" w:cs="Arial" w:eastAsia="Arial" w:hAnsi="Arial"/>
                <w:sz w:val="18"/>
                <w:szCs w:val="18"/>
                <w:color w:val="auto"/>
              </w:rPr>
              <w:t>John D. Chandler, Member</w:t>
            </w:r>
          </w:p>
        </w:tc>
        <w:tc>
          <w:tcPr>
            <w:tcW w:w="5900" w:type="dxa"/>
            <w:vAlign w:val="bottom"/>
            <w:gridSpan w:val="2"/>
            <w:shd w:val="clear" w:color="auto" w:fill="D7F5C4"/>
          </w:tcPr>
          <w:p>
            <w:pPr>
              <w:ind w:left="1120"/>
              <w:spacing w:after="0"/>
              <w:rPr>
                <w:sz w:val="20"/>
                <w:szCs w:val="20"/>
                <w:color w:val="auto"/>
              </w:rPr>
            </w:pPr>
            <w:r>
              <w:rPr>
                <w:rFonts w:ascii="Arial" w:cs="Arial" w:eastAsia="Arial" w:hAnsi="Arial"/>
                <w:sz w:val="18"/>
                <w:szCs w:val="18"/>
                <w:color w:val="auto"/>
              </w:rPr>
              <w:t>Served all of fiscal 2019</w:t>
            </w: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Martha Z. Carnes, Member</w:t>
            </w:r>
          </w:p>
        </w:tc>
        <w:tc>
          <w:tcPr>
            <w:tcW w:w="5900" w:type="dxa"/>
            <w:vAlign w:val="bottom"/>
            <w:gridSpan w:val="2"/>
          </w:tcPr>
          <w:p>
            <w:pPr>
              <w:ind w:left="1120"/>
              <w:spacing w:after="0"/>
              <w:rPr>
                <w:sz w:val="20"/>
                <w:szCs w:val="20"/>
                <w:color w:val="auto"/>
              </w:rPr>
            </w:pPr>
            <w:r>
              <w:rPr>
                <w:rFonts w:ascii="Arial" w:cs="Arial" w:eastAsia="Arial" w:hAnsi="Arial"/>
                <w:sz w:val="18"/>
                <w:szCs w:val="18"/>
                <w:color w:val="auto"/>
              </w:rPr>
              <w:t>Served all of fiscal 2019</w:t>
            </w:r>
          </w:p>
        </w:tc>
      </w:tr>
      <w:tr>
        <w:trPr>
          <w:trHeight w:val="230"/>
        </w:trPr>
        <w:tc>
          <w:tcPr>
            <w:tcW w:w="3660" w:type="dxa"/>
            <w:vAlign w:val="bottom"/>
            <w:gridSpan w:val="2"/>
            <w:shd w:val="clear" w:color="auto" w:fill="D7F5C4"/>
          </w:tcPr>
          <w:p>
            <w:pPr>
              <w:spacing w:after="0"/>
              <w:rPr>
                <w:sz w:val="20"/>
                <w:szCs w:val="20"/>
                <w:color w:val="auto"/>
              </w:rPr>
            </w:pPr>
            <w:r>
              <w:rPr>
                <w:rFonts w:ascii="Arial" w:cs="Arial" w:eastAsia="Arial" w:hAnsi="Arial"/>
                <w:sz w:val="18"/>
                <w:szCs w:val="18"/>
                <w:color w:val="auto"/>
              </w:rPr>
              <w:t>Liane K. Hinrichs, Member</w:t>
            </w:r>
          </w:p>
        </w:tc>
        <w:tc>
          <w:tcPr>
            <w:tcW w:w="5900" w:type="dxa"/>
            <w:vAlign w:val="bottom"/>
            <w:gridSpan w:val="2"/>
            <w:shd w:val="clear" w:color="auto" w:fill="D7F5C4"/>
          </w:tcPr>
          <w:p>
            <w:pPr>
              <w:ind w:left="1120"/>
              <w:spacing w:after="0"/>
              <w:rPr>
                <w:sz w:val="20"/>
                <w:szCs w:val="20"/>
                <w:color w:val="auto"/>
              </w:rPr>
            </w:pPr>
            <w:r>
              <w:rPr>
                <w:rFonts w:ascii="Arial" w:cs="Arial" w:eastAsia="Arial" w:hAnsi="Arial"/>
                <w:sz w:val="18"/>
                <w:szCs w:val="18"/>
                <w:color w:val="auto"/>
              </w:rPr>
              <w:t>Served all of fiscal 2019</w:t>
            </w:r>
          </w:p>
        </w:tc>
      </w:tr>
    </w:tbl>
    <w:p>
      <w:pPr>
        <w:spacing w:after="0" w:line="10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Compensation Committee’s functions include reviewing and approving executive salary, Board compensation, short-term and long-term incentive awards, and other benefits. In addition, the Compensation Committee, in conjunction with the Board, reviews the Company’s strategic and financial plans to determine their relationship to the Company’s compensation program. Additional information describing the Compensation Committee’s processes and procedures for considering and determining executive compensation, including the role of our Chief Executive Officer and consultants in determining or recommending the amount or form of executive compensation, is included in the Compensation Discussion and Analysis below.</w:t>
      </w:r>
    </w:p>
    <w:p>
      <w:pPr>
        <w:spacing w:after="0" w:line="9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The Compensation Committee operates under a written charter. The Company has made a copy of its Compensation Committee Charter available on the Corporate Governance page included in the “Investor Relations” section of the Company’s website at </w:t>
      </w:r>
      <w:r>
        <w:rPr>
          <w:rFonts w:ascii="Arial" w:cs="Arial" w:eastAsia="Arial" w:hAnsi="Arial"/>
          <w:sz w:val="18"/>
          <w:szCs w:val="18"/>
          <w:u w:val="single" w:color="auto"/>
          <w:color w:val="auto"/>
        </w:rPr>
        <w:t>matrixservicecompany.com</w:t>
      </w:r>
      <w:r>
        <w:rPr>
          <w:rFonts w:ascii="Arial" w:cs="Arial" w:eastAsia="Arial" w:hAnsi="Arial"/>
          <w:sz w:val="18"/>
          <w:szCs w:val="18"/>
          <w:color w:val="auto"/>
        </w:rPr>
        <w:t>. The Compensation Committee held five meetings during fiscal 2019. The Compensation Committee has no authority under its charter to delegate some or all of its authority to subcommittees or other persons and it has no current plans to do so.</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 Interlocks and Insider Participation</w:t>
      </w:r>
    </w:p>
    <w:p>
      <w:pPr>
        <w:spacing w:after="0" w:line="122"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During fiscal 2019, the Compensation Committee was composed of John D. Chandler, John W. Gibson, James H. Miller, Martha Z. Carnes and Liane K. Hinrichs, all of whom are non-employee directors of the Company. During fiscal 2019, none of the Company’s executive officers served on the Board or on the Compensation Committee of any other entity who had an executive officer that served either on the Company’s Board or on its Compensation Committee.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Nominating and Corporate Governance Committee</w:t>
            </w:r>
          </w:p>
        </w:tc>
      </w:tr>
      <w:tr>
        <w:trPr>
          <w:trHeight w:val="20"/>
        </w:trPr>
        <w:tc>
          <w:tcPr>
            <w:tcW w:w="2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4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91"/>
        </w:trPr>
        <w:tc>
          <w:tcPr>
            <w:tcW w:w="2420" w:type="dxa"/>
            <w:vAlign w:val="bottom"/>
          </w:tcPr>
          <w:p>
            <w:pPr>
              <w:spacing w:after="0"/>
              <w:rPr>
                <w:sz w:val="20"/>
                <w:szCs w:val="20"/>
                <w:color w:val="auto"/>
              </w:rPr>
            </w:pPr>
            <w:r>
              <w:rPr>
                <w:rFonts w:ascii="Arial" w:cs="Arial" w:eastAsia="Arial" w:hAnsi="Arial"/>
                <w:sz w:val="18"/>
                <w:szCs w:val="18"/>
                <w:b w:val="1"/>
                <w:bCs w:val="1"/>
                <w:color w:val="auto"/>
              </w:rPr>
              <w:t>Director</w:t>
            </w:r>
          </w:p>
        </w:tc>
        <w:tc>
          <w:tcPr>
            <w:tcW w:w="180" w:type="dxa"/>
            <w:vAlign w:val="bottom"/>
          </w:tcPr>
          <w:p>
            <w:pPr>
              <w:spacing w:after="0"/>
              <w:rPr>
                <w:sz w:val="24"/>
                <w:szCs w:val="24"/>
                <w:color w:val="auto"/>
              </w:rPr>
            </w:pPr>
          </w:p>
        </w:tc>
        <w:tc>
          <w:tcPr>
            <w:tcW w:w="6960" w:type="dxa"/>
            <w:vAlign w:val="bottom"/>
            <w:gridSpan w:val="2"/>
          </w:tcPr>
          <w:p>
            <w:pPr>
              <w:ind w:left="2180"/>
              <w:spacing w:after="0"/>
              <w:rPr>
                <w:sz w:val="20"/>
                <w:szCs w:val="20"/>
                <w:color w:val="auto"/>
              </w:rPr>
            </w:pPr>
            <w:r>
              <w:rPr>
                <w:rFonts w:ascii="Arial" w:cs="Arial" w:eastAsia="Arial" w:hAnsi="Arial"/>
                <w:sz w:val="18"/>
                <w:szCs w:val="18"/>
                <w:b w:val="1"/>
                <w:bCs w:val="1"/>
                <w:color w:val="auto"/>
              </w:rPr>
              <w:t>Fiscal 2019 Committee Service</w:t>
            </w:r>
          </w:p>
        </w:tc>
      </w:tr>
      <w:tr>
        <w:trPr>
          <w:trHeight w:val="230"/>
        </w:trPr>
        <w:tc>
          <w:tcPr>
            <w:tcW w:w="2420" w:type="dxa"/>
            <w:vAlign w:val="bottom"/>
            <w:shd w:val="clear" w:color="auto" w:fill="D7F5C4"/>
          </w:tcPr>
          <w:p>
            <w:pPr>
              <w:spacing w:after="0"/>
              <w:rPr>
                <w:sz w:val="20"/>
                <w:szCs w:val="20"/>
                <w:color w:val="auto"/>
              </w:rPr>
            </w:pPr>
            <w:r>
              <w:rPr>
                <w:rFonts w:ascii="Arial" w:cs="Arial" w:eastAsia="Arial" w:hAnsi="Arial"/>
                <w:sz w:val="18"/>
                <w:szCs w:val="18"/>
                <w:color w:val="auto"/>
              </w:rPr>
              <w:t>Liane K. Hinrichs, Chairman</w:t>
            </w:r>
          </w:p>
        </w:tc>
        <w:tc>
          <w:tcPr>
            <w:tcW w:w="180" w:type="dxa"/>
            <w:vAlign w:val="bottom"/>
            <w:shd w:val="clear" w:color="auto" w:fill="D7F5C4"/>
          </w:tcPr>
          <w:p>
            <w:pPr>
              <w:spacing w:after="0"/>
              <w:rPr>
                <w:sz w:val="19"/>
                <w:szCs w:val="19"/>
                <w:color w:val="auto"/>
              </w:rPr>
            </w:pPr>
          </w:p>
        </w:tc>
        <w:tc>
          <w:tcPr>
            <w:tcW w:w="6960" w:type="dxa"/>
            <w:vAlign w:val="bottom"/>
            <w:gridSpan w:val="2"/>
            <w:shd w:val="clear" w:color="auto" w:fill="D7F5C4"/>
          </w:tcPr>
          <w:p>
            <w:pPr>
              <w:ind w:left="2180"/>
              <w:spacing w:after="0"/>
              <w:rPr>
                <w:sz w:val="20"/>
                <w:szCs w:val="20"/>
                <w:color w:val="auto"/>
              </w:rPr>
            </w:pPr>
            <w:r>
              <w:rPr>
                <w:rFonts w:ascii="Arial" w:cs="Arial" w:eastAsia="Arial" w:hAnsi="Arial"/>
                <w:sz w:val="18"/>
                <w:szCs w:val="18"/>
                <w:color w:val="auto"/>
              </w:rPr>
              <w:t>Served all of fiscal 2019</w:t>
            </w: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James H. Miller, Member</w:t>
            </w:r>
          </w:p>
        </w:tc>
        <w:tc>
          <w:tcPr>
            <w:tcW w:w="180" w:type="dxa"/>
            <w:vAlign w:val="bottom"/>
          </w:tcPr>
          <w:p>
            <w:pPr>
              <w:spacing w:after="0"/>
              <w:rPr>
                <w:sz w:val="19"/>
                <w:szCs w:val="19"/>
                <w:color w:val="auto"/>
              </w:rPr>
            </w:pPr>
          </w:p>
        </w:tc>
        <w:tc>
          <w:tcPr>
            <w:tcW w:w="6960" w:type="dxa"/>
            <w:vAlign w:val="bottom"/>
            <w:gridSpan w:val="2"/>
          </w:tcPr>
          <w:p>
            <w:pPr>
              <w:ind w:left="2180"/>
              <w:spacing w:after="0"/>
              <w:rPr>
                <w:sz w:val="20"/>
                <w:szCs w:val="20"/>
                <w:color w:val="auto"/>
              </w:rPr>
            </w:pPr>
            <w:r>
              <w:rPr>
                <w:rFonts w:ascii="Arial" w:cs="Arial" w:eastAsia="Arial" w:hAnsi="Arial"/>
                <w:sz w:val="18"/>
                <w:szCs w:val="18"/>
                <w:color w:val="auto"/>
              </w:rPr>
              <w:t>Served all of fiscal 2019</w:t>
            </w:r>
          </w:p>
        </w:tc>
      </w:tr>
      <w:tr>
        <w:trPr>
          <w:trHeight w:val="230"/>
        </w:trPr>
        <w:tc>
          <w:tcPr>
            <w:tcW w:w="2420" w:type="dxa"/>
            <w:vAlign w:val="bottom"/>
            <w:shd w:val="clear" w:color="auto" w:fill="D7F5C4"/>
          </w:tcPr>
          <w:p>
            <w:pPr>
              <w:spacing w:after="0"/>
              <w:rPr>
                <w:sz w:val="20"/>
                <w:szCs w:val="20"/>
                <w:color w:val="auto"/>
              </w:rPr>
            </w:pPr>
            <w:r>
              <w:rPr>
                <w:rFonts w:ascii="Arial" w:cs="Arial" w:eastAsia="Arial" w:hAnsi="Arial"/>
                <w:sz w:val="18"/>
                <w:szCs w:val="18"/>
                <w:color w:val="auto"/>
              </w:rPr>
              <w:t>John W. Gibson, Member</w:t>
            </w:r>
          </w:p>
        </w:tc>
        <w:tc>
          <w:tcPr>
            <w:tcW w:w="180" w:type="dxa"/>
            <w:vAlign w:val="bottom"/>
            <w:shd w:val="clear" w:color="auto" w:fill="D7F5C4"/>
          </w:tcPr>
          <w:p>
            <w:pPr>
              <w:spacing w:after="0"/>
              <w:rPr>
                <w:sz w:val="19"/>
                <w:szCs w:val="19"/>
                <w:color w:val="auto"/>
              </w:rPr>
            </w:pPr>
          </w:p>
        </w:tc>
        <w:tc>
          <w:tcPr>
            <w:tcW w:w="6960" w:type="dxa"/>
            <w:vAlign w:val="bottom"/>
            <w:gridSpan w:val="2"/>
            <w:shd w:val="clear" w:color="auto" w:fill="D7F5C4"/>
          </w:tcPr>
          <w:p>
            <w:pPr>
              <w:ind w:left="2180"/>
              <w:spacing w:after="0"/>
              <w:rPr>
                <w:sz w:val="20"/>
                <w:szCs w:val="20"/>
                <w:color w:val="auto"/>
              </w:rPr>
            </w:pPr>
            <w:r>
              <w:rPr>
                <w:rFonts w:ascii="Arial" w:cs="Arial" w:eastAsia="Arial" w:hAnsi="Arial"/>
                <w:sz w:val="18"/>
                <w:szCs w:val="18"/>
                <w:color w:val="auto"/>
              </w:rPr>
              <w:t>Served all of fiscal 2019</w:t>
            </w: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John D. Chandler, Member</w:t>
            </w:r>
          </w:p>
        </w:tc>
        <w:tc>
          <w:tcPr>
            <w:tcW w:w="180" w:type="dxa"/>
            <w:vAlign w:val="bottom"/>
          </w:tcPr>
          <w:p>
            <w:pPr>
              <w:spacing w:after="0"/>
              <w:rPr>
                <w:sz w:val="19"/>
                <w:szCs w:val="19"/>
                <w:color w:val="auto"/>
              </w:rPr>
            </w:pPr>
          </w:p>
        </w:tc>
        <w:tc>
          <w:tcPr>
            <w:tcW w:w="6960" w:type="dxa"/>
            <w:vAlign w:val="bottom"/>
            <w:gridSpan w:val="2"/>
          </w:tcPr>
          <w:p>
            <w:pPr>
              <w:ind w:left="2180"/>
              <w:spacing w:after="0"/>
              <w:rPr>
                <w:sz w:val="20"/>
                <w:szCs w:val="20"/>
                <w:color w:val="auto"/>
              </w:rPr>
            </w:pPr>
            <w:r>
              <w:rPr>
                <w:rFonts w:ascii="Arial" w:cs="Arial" w:eastAsia="Arial" w:hAnsi="Arial"/>
                <w:sz w:val="18"/>
                <w:szCs w:val="18"/>
                <w:color w:val="auto"/>
              </w:rPr>
              <w:t>Served all of fiscal 2019</w:t>
            </w:r>
          </w:p>
        </w:tc>
      </w:tr>
      <w:tr>
        <w:trPr>
          <w:trHeight w:val="230"/>
        </w:trPr>
        <w:tc>
          <w:tcPr>
            <w:tcW w:w="2420" w:type="dxa"/>
            <w:vAlign w:val="bottom"/>
            <w:shd w:val="clear" w:color="auto" w:fill="D7F5C4"/>
          </w:tcPr>
          <w:p>
            <w:pPr>
              <w:spacing w:after="0"/>
              <w:rPr>
                <w:sz w:val="20"/>
                <w:szCs w:val="20"/>
                <w:color w:val="auto"/>
              </w:rPr>
            </w:pPr>
            <w:r>
              <w:rPr>
                <w:rFonts w:ascii="Arial" w:cs="Arial" w:eastAsia="Arial" w:hAnsi="Arial"/>
                <w:sz w:val="18"/>
                <w:szCs w:val="18"/>
                <w:color w:val="auto"/>
              </w:rPr>
              <w:t>Martha Z. Carnes, Member</w:t>
            </w:r>
          </w:p>
        </w:tc>
        <w:tc>
          <w:tcPr>
            <w:tcW w:w="180" w:type="dxa"/>
            <w:vAlign w:val="bottom"/>
            <w:shd w:val="clear" w:color="auto" w:fill="D7F5C4"/>
          </w:tcPr>
          <w:p>
            <w:pPr>
              <w:spacing w:after="0"/>
              <w:rPr>
                <w:sz w:val="19"/>
                <w:szCs w:val="19"/>
                <w:color w:val="auto"/>
              </w:rPr>
            </w:pPr>
          </w:p>
        </w:tc>
        <w:tc>
          <w:tcPr>
            <w:tcW w:w="6960" w:type="dxa"/>
            <w:vAlign w:val="bottom"/>
            <w:gridSpan w:val="2"/>
            <w:shd w:val="clear" w:color="auto" w:fill="D7F5C4"/>
          </w:tcPr>
          <w:p>
            <w:pPr>
              <w:ind w:left="2180"/>
              <w:spacing w:after="0"/>
              <w:rPr>
                <w:sz w:val="20"/>
                <w:szCs w:val="20"/>
                <w:color w:val="auto"/>
              </w:rPr>
            </w:pPr>
            <w:r>
              <w:rPr>
                <w:rFonts w:ascii="Arial" w:cs="Arial" w:eastAsia="Arial" w:hAnsi="Arial"/>
                <w:sz w:val="18"/>
                <w:szCs w:val="18"/>
                <w:color w:val="auto"/>
              </w:rPr>
              <w:t>Served all of fiscal 2019</w:t>
            </w:r>
          </w:p>
        </w:tc>
      </w:tr>
    </w:tbl>
    <w:p>
      <w:pPr>
        <w:spacing w:after="0" w:line="10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 xml:space="preserve">The Nominating and Corporate Governance Committee was established to assist the Board in identifying qualified individuals to become directors of the Company, recommend to the Board qualified director nominees for election by the stockholders or to fill vacancies on the Board, recommend to the Board membership on Board committees, recommend to the Board proposed Corporate Governance Guidelines and report annually to the Board on the status of the CEO succession plan. The Nominating and Corporate Governance Committee operates under a written charter. The Company has made a copy of its Nominating and Corporate Governance Committee Charter available on the Corporate Governance page included in the “Investor Relations” section of the Company’s website at </w:t>
      </w:r>
      <w:r>
        <w:rPr>
          <w:rFonts w:ascii="Arial" w:cs="Arial" w:eastAsia="Arial" w:hAnsi="Arial"/>
          <w:sz w:val="18"/>
          <w:szCs w:val="18"/>
          <w:u w:val="single" w:color="auto"/>
          <w:color w:val="auto"/>
        </w:rPr>
        <w:t>matrixservicecompany.com</w:t>
      </w:r>
      <w:r>
        <w:rPr>
          <w:rFonts w:ascii="Arial" w:cs="Arial" w:eastAsia="Arial" w:hAnsi="Arial"/>
          <w:sz w:val="18"/>
          <w:szCs w:val="18"/>
          <w:color w:val="auto"/>
        </w:rPr>
        <w:t>. The Nominating and Corporate Governance Committee has the authority under its charter to retain a professional search firm to identify candidates. The Nominating and Corporate Governance Committee held four meetings during fiscal 2019.</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607187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6" w:right="115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61DA16"/>
        </w:rPr>
        <w:t>Director Nomination Process</w:t>
      </w:r>
    </w:p>
    <w:p>
      <w:pPr>
        <w:spacing w:after="0" w:line="126"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The Nominating and Corporate Governance Committee will consider director candidates submitted to it by other directors, employees and stockholders. In evaluating such nominations, the Nominating and Corporate Governance Committee seeks to achieve a balance of knowledge, experience and capability to address the director qualifications discussed below.</w:t>
      </w:r>
    </w:p>
    <w:p>
      <w:pPr>
        <w:spacing w:after="0" w:line="96"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The Nominating and Corporate Governance Committee regularly assesses the appropriate size of the Board and whether any vacancies on the Board are expected due to retirement or otherwise. In the event that vacancies are anticipated or otherwise arise, the Committee considers various potential candidates. Candidates may come to the attention of the Committee through current directors, senior management, professional search firms, stockholders or other persons.</w:t>
      </w:r>
    </w:p>
    <w:p>
      <w:pPr>
        <w:spacing w:after="0" w:line="9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Once a prospective nominee has been identified, the Committee makes an initial determination as to whether to conduct a full evaluation of the candidate. The initial determination involves an evaluation of the candidate against the qualifications set forth in the Corporate Governance Guidelines, which require broad experience, wisdom, integrity, the ability to make independent analytical inquiries, an understanding of the Company’s business environment and a willingness to devote adequate time to Board duties, including service on no more than four other public company boards.</w:t>
      </w:r>
    </w:p>
    <w:p>
      <w:pPr>
        <w:spacing w:after="0" w:line="1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Committee does not assign specific weights to particular criteria and no particular criterion is a prerequisite for each prospective nominee. Our Board believes that the backgrounds and qualifications of its directors, considered as a group, should provide a composite mix of experience, knowledge and abilities that will allow it to fulfill its responsibilities. The Board also strives to identify candidates with diverse backgrounds. We believe that the judgment and perspectives offered by a diverse Board improves the quality of decision making and enhances the Company’s business performance. The Company’s Corporate Governance Guidelines provide that when searching for new directors, the Committee should actively seek out qualified women and minority candidates as well as candidates with diverse backgrounds, skills and experiences to include in the pool from which Board nominees are chosen.</w:t>
      </w:r>
    </w:p>
    <w:p>
      <w:pPr>
        <w:spacing w:after="0" w:line="9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Committee also assesses the candidate’s qualifications as an “independent director” under NASDAQ’s current director independence standards and the Company’s director independence guidelines. If the Committee determines that additional consideration is warranted, it may request a professional search firm to gather additional information about the candidate. The Committee designates, after consultation with the CEO, which candidates are to be interviewed. After completing its evaluation, the Committee makes a recommendation to the full Board as to the persons who should be nominated by the Board and the Board determines the nominees after considering the recommendation of the Committee.</w:t>
      </w:r>
    </w:p>
    <w:p>
      <w:pPr>
        <w:spacing w:after="0" w:line="99"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Holders of common stock wishing to recommend a person for consideration as a nominee for election to the Board can do so in accordance with the Company’s Bylaws by giving timely written notice to Justin D. Sheets, Vice President, General Counsel and Secretary of Matrix Service Company, at 5100 E. Skelly Dr., Ste. 100, Tulsa, OK 74135. In order to be considered timely, a stockholder’s notice of proposal must be delivered not later than the close of business on the 90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nor earlier than the close of business on the 120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prior to the first anniversary of the preceding year’s annual meeting; provided, however, that in the event that the date of the annual meeting is more than 30 days before or more than 60 days after such anniversary date, notice by the stockholder to be timely must be so delivered not earlier than the close of business on the 120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prior to such annual meeting and not later than the close of business on the later of the 90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prior to such annual meeting or if the first public announcement of the date of such annual meeting is less than 100 days prior to the date of such annual meeting, the close of business on the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the day on which public announcement of the date of such meeting is first made by the Company. The written notice should give each such nominee’s name, address, appropriate biographical information, a description of all arrangements or understandings between the stockholder (and the beneficial owner, if any, on whose behalf the nomination is made) and each such nominee and/or any other person or persons (naming such person or persons), relating to such nominee’s service on the Board, if elected, as well as any other information that would be required in a proxy statement. Any such recommendation should be accompanied by a written statement from the person recommended, giving his or her consent to be named as a nominee and, if nominated and elected, to serve as a director. The</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607187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written notice should also be accompanied by a completed director nominee questionnaire in the form required by the Company and a completed and signed written representation and agreement (executed by the nominee in the form provided by the Secretary of the Company upon written request) that such person:</w:t>
      </w:r>
    </w:p>
    <w:p>
      <w:pPr>
        <w:spacing w:after="0" w:line="94" w:lineRule="exact"/>
        <w:rPr>
          <w:sz w:val="20"/>
          <w:szCs w:val="20"/>
          <w:color w:val="auto"/>
        </w:rPr>
      </w:pPr>
    </w:p>
    <w:p>
      <w:pPr>
        <w:ind w:left="700" w:right="80" w:hanging="356"/>
        <w:spacing w:after="0" w:line="238"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 not and will not become a party to any agreement, arrangement or understanding with, and has not given any commitment or assurance to, any person or entity as to how such person, if elected as a director of the Company, will act or vote on any issue or question (a “Voting Commitment”) that has not been disclosed to the Company or any Voting Commitment that could limit or interfere with such person’s ability to comply, if elected as a director, with such person’s fiduciary duties under applicable law;</w:t>
      </w:r>
    </w:p>
    <w:p>
      <w:pPr>
        <w:spacing w:after="0" w:line="94" w:lineRule="exact"/>
        <w:rPr>
          <w:rFonts w:ascii="Arial" w:cs="Arial" w:eastAsia="Arial" w:hAnsi="Arial"/>
          <w:sz w:val="18"/>
          <w:szCs w:val="18"/>
          <w:color w:val="auto"/>
        </w:rPr>
      </w:pPr>
    </w:p>
    <w:p>
      <w:pPr>
        <w:ind w:left="700" w:right="80" w:hanging="35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 not and will not become a party to any agreement, arrangement or understanding with any person or entity other than the Company with respect to any direct or indirect compensation, reimbursement or indemnification in connection with service or action as a director that has not been disclosed to the Company;</w:t>
      </w:r>
    </w:p>
    <w:p>
      <w:pPr>
        <w:spacing w:after="0" w:line="94" w:lineRule="exact"/>
        <w:rPr>
          <w:rFonts w:ascii="Arial" w:cs="Arial" w:eastAsia="Arial" w:hAnsi="Arial"/>
          <w:sz w:val="18"/>
          <w:szCs w:val="18"/>
          <w:color w:val="auto"/>
        </w:rPr>
      </w:pPr>
    </w:p>
    <w:p>
      <w:pPr>
        <w:ind w:left="700" w:right="80" w:hanging="35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would be in compliance, if elected as a director, and will comply with, applicable law and all applicable publicly disclosed corporate governance, conflict of interest, corporate opportunities, confidentiality and stock ownership and trading policies and guidelines of the Company;</w:t>
      </w:r>
    </w:p>
    <w:p>
      <w:pPr>
        <w:spacing w:after="0" w:line="94" w:lineRule="exact"/>
        <w:rPr>
          <w:rFonts w:ascii="Arial" w:cs="Arial" w:eastAsia="Arial" w:hAnsi="Arial"/>
          <w:sz w:val="18"/>
          <w:szCs w:val="18"/>
          <w:color w:val="auto"/>
        </w:rPr>
      </w:pPr>
    </w:p>
    <w:p>
      <w:pPr>
        <w:ind w:left="700" w:right="220" w:hanging="356"/>
        <w:spacing w:after="0" w:line="261" w:lineRule="auto"/>
        <w:tabs>
          <w:tab w:leader="none" w:pos="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will tender, promptly following such person’s election or re-election, an irrevocable resignation effective upon such person’s failure to receive the required vote for re-election at the next meeting at which such person would face re-election in accordance with the Board’s policies or guidelines on director elections; and</w:t>
      </w:r>
    </w:p>
    <w:p>
      <w:pPr>
        <w:spacing w:after="0" w:line="78" w:lineRule="exact"/>
        <w:rPr>
          <w:rFonts w:ascii="Arial" w:cs="Arial" w:eastAsia="Arial" w:hAnsi="Arial"/>
          <w:sz w:val="17"/>
          <w:szCs w:val="17"/>
          <w:color w:val="auto"/>
        </w:rPr>
      </w:pPr>
    </w:p>
    <w:p>
      <w:pPr>
        <w:ind w:left="700" w:hanging="35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intends to serve a full term if elected as a director of the Company.</w:t>
      </w:r>
    </w:p>
    <w:p>
      <w:pPr>
        <w:spacing w:after="0" w:line="10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written notice must also set forth, as to the stockholder giving the notice and the beneficial owner, if any, on whose behalf the nomination or proposal is made:</w:t>
      </w:r>
    </w:p>
    <w:p>
      <w:pPr>
        <w:spacing w:after="0" w:line="88" w:lineRule="exact"/>
        <w:rPr>
          <w:sz w:val="20"/>
          <w:szCs w:val="20"/>
          <w:color w:val="auto"/>
        </w:rPr>
      </w:pPr>
    </w:p>
    <w:p>
      <w:pPr>
        <w:ind w:left="700" w:right="280" w:hanging="356"/>
        <w:spacing w:after="0" w:line="246"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name and address of such stockholder, as they appear on the Company’s books, and of such beneficial owner;</w:t>
      </w:r>
    </w:p>
    <w:p>
      <w:pPr>
        <w:spacing w:after="0" w:line="88" w:lineRule="exact"/>
        <w:rPr>
          <w:rFonts w:ascii="Arial" w:cs="Arial" w:eastAsia="Arial" w:hAnsi="Arial"/>
          <w:sz w:val="18"/>
          <w:szCs w:val="18"/>
          <w:color w:val="auto"/>
        </w:rPr>
      </w:pPr>
    </w:p>
    <w:p>
      <w:pPr>
        <w:ind w:left="700" w:right="60" w:hanging="356"/>
        <w:spacing w:after="0" w:line="246"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class and number of shares of capital stock of the Company that are owned beneficially and held of record by such stockholder and such beneficial owner;</w:t>
      </w:r>
    </w:p>
    <w:p>
      <w:pPr>
        <w:spacing w:after="0" w:line="88" w:lineRule="exact"/>
        <w:rPr>
          <w:rFonts w:ascii="Arial" w:cs="Arial" w:eastAsia="Arial" w:hAnsi="Arial"/>
          <w:sz w:val="18"/>
          <w:szCs w:val="18"/>
          <w:color w:val="auto"/>
        </w:rPr>
      </w:pPr>
    </w:p>
    <w:p>
      <w:pPr>
        <w:ind w:left="700" w:right="620" w:hanging="3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investment strategy or objective, if any, of such stockholder and its associated person who is not an individual and a copy of the prospectus, offering memorandum or similar document, if any, provided to investors or potential investors in such stockholder and each such associated person;</w:t>
      </w:r>
    </w:p>
    <w:p>
      <w:pPr>
        <w:spacing w:after="0" w:line="94" w:lineRule="exact"/>
        <w:rPr>
          <w:rFonts w:ascii="Arial" w:cs="Arial" w:eastAsia="Arial" w:hAnsi="Arial"/>
          <w:sz w:val="18"/>
          <w:szCs w:val="18"/>
          <w:color w:val="auto"/>
        </w:rPr>
      </w:pPr>
    </w:p>
    <w:p>
      <w:pPr>
        <w:ind w:left="700" w:right="180" w:hanging="3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disclosure of any short positions or other derivative positions relating to the Company’s shares of such stockholder and such beneficial owner, such information to be updated to reflect any material change in such positions through the time of the annual meeting;</w:t>
      </w:r>
    </w:p>
    <w:p>
      <w:pPr>
        <w:spacing w:after="0" w:line="94" w:lineRule="exact"/>
        <w:rPr>
          <w:rFonts w:ascii="Arial" w:cs="Arial" w:eastAsia="Arial" w:hAnsi="Arial"/>
          <w:sz w:val="18"/>
          <w:szCs w:val="18"/>
          <w:color w:val="auto"/>
        </w:rPr>
      </w:pPr>
    </w:p>
    <w:p>
      <w:pPr>
        <w:ind w:left="700" w:right="620" w:hanging="356"/>
        <w:spacing w:after="0" w:line="275" w:lineRule="auto"/>
        <w:tabs>
          <w:tab w:leader="none" w:pos="7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description of any proxy, contract, arrangement, understanding or relationship pursuant to which such stockholder or such beneficial owner has a right to vote any shares of any security of the Company;</w:t>
      </w:r>
    </w:p>
    <w:p>
      <w:pPr>
        <w:spacing w:after="0" w:line="65" w:lineRule="exact"/>
        <w:rPr>
          <w:rFonts w:ascii="Arial" w:cs="Arial" w:eastAsia="Arial" w:hAnsi="Arial"/>
          <w:sz w:val="17"/>
          <w:szCs w:val="17"/>
          <w:color w:val="auto"/>
        </w:rPr>
      </w:pPr>
    </w:p>
    <w:p>
      <w:pPr>
        <w:ind w:left="700" w:right="140" w:hanging="3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representation that such stockholder is a holder of record of the Company’s stock entitled to vote at such meeting, will continue to be so through the date of the meeting and intends to appear in person or by proxy at the meeting to bring such nomination or other business before the meeting;</w:t>
      </w:r>
    </w:p>
    <w:p>
      <w:pPr>
        <w:spacing w:after="0" w:line="94" w:lineRule="exact"/>
        <w:rPr>
          <w:rFonts w:ascii="Arial" w:cs="Arial" w:eastAsia="Arial" w:hAnsi="Arial"/>
          <w:sz w:val="18"/>
          <w:szCs w:val="18"/>
          <w:color w:val="auto"/>
        </w:rPr>
      </w:pPr>
    </w:p>
    <w:p>
      <w:pPr>
        <w:ind w:left="700" w:hanging="3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representation as to whether such stockholder or beneficial owner intends or is part of a group that intends to deliver a proxy statement or form of proxy to holders of at least the percentage of the voting power of the Company’s outstanding stock required to approve or adopt the proposal or to elect each such nominee;</w:t>
      </w:r>
    </w:p>
    <w:p>
      <w:pPr>
        <w:spacing w:after="0" w:line="94" w:lineRule="exact"/>
        <w:rPr>
          <w:rFonts w:ascii="Arial" w:cs="Arial" w:eastAsia="Arial" w:hAnsi="Arial"/>
          <w:sz w:val="18"/>
          <w:szCs w:val="18"/>
          <w:color w:val="auto"/>
        </w:rPr>
      </w:pPr>
    </w:p>
    <w:p>
      <w:pPr>
        <w:ind w:left="700" w:hanging="3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class and number of any security of any entity that was publicly disclosed as a peer by the Company; and</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607187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5" w:lineRule="exact"/>
        <w:rPr>
          <w:sz w:val="20"/>
          <w:szCs w:val="20"/>
          <w:color w:val="auto"/>
        </w:rPr>
      </w:pPr>
    </w:p>
    <w:p>
      <w:pPr>
        <w:ind w:left="700" w:right="720" w:hanging="356"/>
        <w:spacing w:after="0" w:line="246"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description of any agreement, arrangement or understanding with respect to the nomination or other business between or among such stockholder, beneficial owner or any other person.</w:t>
      </w:r>
    </w:p>
    <w:p>
      <w:pPr>
        <w:spacing w:after="0" w:line="89" w:lineRule="exact"/>
        <w:rPr>
          <w:sz w:val="20"/>
          <w:szCs w:val="20"/>
          <w:color w:val="auto"/>
        </w:rPr>
      </w:pPr>
    </w:p>
    <w:p>
      <w:pPr>
        <w:ind w:right="780"/>
        <w:spacing w:after="0" w:line="262" w:lineRule="auto"/>
        <w:rPr>
          <w:sz w:val="20"/>
          <w:szCs w:val="20"/>
          <w:color w:val="auto"/>
        </w:rPr>
      </w:pPr>
      <w:r>
        <w:rPr>
          <w:rFonts w:ascii="Arial" w:cs="Arial" w:eastAsia="Arial" w:hAnsi="Arial"/>
          <w:sz w:val="18"/>
          <w:szCs w:val="18"/>
          <w:color w:val="auto"/>
        </w:rPr>
        <w:t>The above summary may not contain all of the information about our stockholder nomination process. You are encouraged to read our Bylaws carefully for further details, which can be found in our public filings.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61DA16"/>
        </w:rPr>
        <w:t>Executive Sessions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Executive sessions of the Board are held periodically. The sessions are chaired by the independent, non-executive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Any non-management director may request that an additional executive session be scheduled.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sessions of the independent directors are held on an as-needed basis, but at least quarterly.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61DA16"/>
        </w:rPr>
        <w:t>Communications with the Board</w:t>
      </w:r>
    </w:p>
    <w:p>
      <w:pPr>
        <w:spacing w:after="0" w:line="12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The Board provides a process by which stockholders and other interested parties may communicate with the Board or any of the directors. Stockholders and other interested parties may send written communications to the Board or any of the directors at the following address: Board of Matrix Service Company c/o Matrix Service Company, 5100 E. Skelly Dr., Ste. 100, Tulsa, OK 74135. Stockholders and other interested parties may also contact the Board or any of the directors via the Company’s online submission form by clicking on the “Contact the Board” link included on the Corporate Governance page included in the “Investor Relations” section of the Company’s website at </w:t>
      </w:r>
      <w:r>
        <w:rPr>
          <w:rFonts w:ascii="Arial" w:cs="Arial" w:eastAsia="Arial" w:hAnsi="Arial"/>
          <w:sz w:val="18"/>
          <w:szCs w:val="18"/>
          <w:u w:val="single" w:color="auto"/>
          <w:color w:val="auto"/>
        </w:rPr>
        <w:t>matrixservicecompany.com</w:t>
      </w:r>
      <w:r>
        <w:rPr>
          <w:rFonts w:ascii="Arial" w:cs="Arial" w:eastAsia="Arial" w:hAnsi="Arial"/>
          <w:sz w:val="18"/>
          <w:szCs w:val="18"/>
          <w:color w:val="auto"/>
        </w:rPr>
        <w:t>. All communications will be compiled by the Company’s Corporate Secretary and submitted to the Board or the individual director on a periodic basis.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61DA16"/>
        </w:rPr>
        <w:t>Equity Ownership Guidelines for Non-Employee Directors</w:t>
      </w:r>
    </w:p>
    <w:p>
      <w:pPr>
        <w:spacing w:after="0" w:line="126"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Company’s Stock Ownership Guidelines for Directors, which were revised in August 2014 and confirmed in November 2017, require each non-employee director to own a number shares of our common stock equal in value to five times the annual cash retainer. For purposes of determining compliance with the guideline, the cash retainer does not include fees earned as Chairman of the Board or as Chairman of the Audit, Compensation or Nominating and Corporate Governance committees. The following types of equity can be used to satisfy the stock ownership requirements:</w:t>
      </w:r>
    </w:p>
    <w:p>
      <w:pPr>
        <w:spacing w:after="0" w:line="101" w:lineRule="exact"/>
        <w:rPr>
          <w:sz w:val="20"/>
          <w:szCs w:val="20"/>
          <w:color w:val="auto"/>
        </w:rPr>
      </w:pPr>
    </w:p>
    <w:p>
      <w:pPr>
        <w:ind w:left="700" w:right="640" w:hanging="356"/>
        <w:spacing w:after="0" w:line="246"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shares owned separately by the director or owned either jointly with, or separately by, immediate family members residing in the same household;</w:t>
      </w:r>
    </w:p>
    <w:p>
      <w:pPr>
        <w:spacing w:after="0" w:line="88" w:lineRule="exact"/>
        <w:rPr>
          <w:rFonts w:ascii="Arial" w:cs="Arial" w:eastAsia="Arial" w:hAnsi="Arial"/>
          <w:sz w:val="18"/>
          <w:szCs w:val="18"/>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shares held in trust for the benefit of the director or his immediate family members;</w:t>
      </w:r>
    </w:p>
    <w:p>
      <w:pPr>
        <w:spacing w:after="0" w:line="103" w:lineRule="exact"/>
        <w:rPr>
          <w:rFonts w:ascii="Arial" w:cs="Arial" w:eastAsia="Arial" w:hAnsi="Arial"/>
          <w:sz w:val="18"/>
          <w:szCs w:val="18"/>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shares purchased in the open market;</w:t>
      </w:r>
    </w:p>
    <w:p>
      <w:pPr>
        <w:spacing w:after="0" w:line="103" w:lineRule="exact"/>
        <w:rPr>
          <w:rFonts w:ascii="Arial" w:cs="Arial" w:eastAsia="Arial" w:hAnsi="Arial"/>
          <w:sz w:val="18"/>
          <w:szCs w:val="18"/>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shares purchased through the Company’s Employee Stock Purchase Plan;</w:t>
      </w:r>
    </w:p>
    <w:p>
      <w:pPr>
        <w:spacing w:after="0" w:line="103" w:lineRule="exact"/>
        <w:rPr>
          <w:rFonts w:ascii="Arial" w:cs="Arial" w:eastAsia="Arial" w:hAnsi="Arial"/>
          <w:sz w:val="18"/>
          <w:szCs w:val="18"/>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vested and unvested time-based restricted stock or restricted stock units (“RSUs”);</w:t>
      </w:r>
    </w:p>
    <w:p>
      <w:pPr>
        <w:spacing w:after="0" w:line="103" w:lineRule="exact"/>
        <w:rPr>
          <w:rFonts w:ascii="Arial" w:cs="Arial" w:eastAsia="Arial" w:hAnsi="Arial"/>
          <w:sz w:val="18"/>
          <w:szCs w:val="18"/>
          <w:color w:val="auto"/>
        </w:rPr>
      </w:pPr>
    </w:p>
    <w:p>
      <w:pPr>
        <w:ind w:left="700" w:right="140" w:hanging="356"/>
        <w:spacing w:after="0" w:line="275" w:lineRule="auto"/>
        <w:tabs>
          <w:tab w:leader="none" w:pos="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unvested performance or market-based restricted stock or restricted stock units but only to the extent that the Company recognizes compensation expense with respect to such restricted stock or restricted stock units;</w:t>
      </w:r>
    </w:p>
    <w:p>
      <w:pPr>
        <w:spacing w:after="0" w:line="65" w:lineRule="exact"/>
        <w:rPr>
          <w:rFonts w:ascii="Arial" w:cs="Arial" w:eastAsia="Arial" w:hAnsi="Arial"/>
          <w:sz w:val="17"/>
          <w:szCs w:val="17"/>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in-the-money vested unexercised stock options; and</w:t>
      </w:r>
    </w:p>
    <w:p>
      <w:pPr>
        <w:spacing w:after="0" w:line="103" w:lineRule="exact"/>
        <w:rPr>
          <w:rFonts w:ascii="Arial" w:cs="Arial" w:eastAsia="Arial" w:hAnsi="Arial"/>
          <w:sz w:val="18"/>
          <w:szCs w:val="18"/>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phantom shares held on behalf of a director under the Board’s deferred compensation plan.</w:t>
      </w:r>
    </w:p>
    <w:p>
      <w:pPr>
        <w:spacing w:after="0" w:line="1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Existing directors have five years from the August 2014 date of adoption or revision of the guidelines to attain this level of ownership. Directors elected or appointed after the date of the adoption of the Stock Ownership Guidelines will have five years from the date of their election or appointment to the Board to attain this level of ownership. Furthermore, once the guidelines are met, the directors will remain in compliance with the Stock Ownership Guidelines if a drop in the Company’s stock price causes the director’s ownership level to drop below five times the annual retainer so long as the director has not sold any shares subsequent to passing the ownership test. Messrs. Mogg and Miller currently satisfy the requirements. Mr. John W. Gibson, who was appointed in April 2016, Mr. John D. Chandler, who was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607187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5"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appointed in June 2017, Ms. Martha Z. Carnes, who was appointed in July 2017, and Ms. Liane K. Hinrichs, who was appointed in June 2018, do not currently satisfy the Stock Ownership Guidelines requirements; however, each is still within the initial five-year accumulation period.</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61DA16"/>
        </w:rPr>
        <w:t>DIRECTOR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61DA16"/>
        </w:rPr>
        <w:t>General</w:t>
      </w:r>
    </w:p>
    <w:p>
      <w:pPr>
        <w:spacing w:after="0" w:line="126"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Management directors receive no additional compensation for their service on the Board or any committee thereof. Directors of the Company are reimbursed for out-of-pocket expenses incurred in attending Board and committee meetings.</w:t>
      </w:r>
    </w:p>
    <w:p>
      <w:pPr>
        <w:spacing w:after="0" w:line="94" w:lineRule="exact"/>
        <w:rPr>
          <w:sz w:val="20"/>
          <w:szCs w:val="20"/>
          <w:color w:val="auto"/>
        </w:rPr>
      </w:pPr>
    </w:p>
    <w:p>
      <w:pPr>
        <w:ind w:right="440"/>
        <w:spacing w:after="0" w:line="278" w:lineRule="auto"/>
        <w:rPr>
          <w:sz w:val="20"/>
          <w:szCs w:val="20"/>
          <w:color w:val="auto"/>
        </w:rPr>
      </w:pPr>
      <w:r>
        <w:rPr>
          <w:rFonts w:ascii="Arial" w:cs="Arial" w:eastAsia="Arial" w:hAnsi="Arial"/>
          <w:sz w:val="17"/>
          <w:szCs w:val="17"/>
          <w:color w:val="auto"/>
        </w:rPr>
        <w:t>The elements of our non-employee director compensation consist of cash and equity. Our objective in establishing director compensation is to position ourselves to attract and retain individuals who have relevant business and leadership backgrounds and experience by providing a competitive package of cash and equity compensation.</w:t>
      </w:r>
    </w:p>
    <w:p>
      <w:pPr>
        <w:spacing w:after="0" w:line="7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Total compensation for the Company’s non-employee directors is determined in a manner similar to that for executives, which is described under the caption “Compensation Discussion and Analysis.” The Compensation Committee of the Board (the “Committee”) engages a third party compensation consultant to periodically review director compensation and make recommendations. The Committee reviews comparative data from the outside consultant and makes recommendations regarding director compensation to the full Board for approval.</w:t>
      </w:r>
    </w:p>
    <w:p>
      <w:pPr>
        <w:spacing w:after="0" w:line="9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Director compensation is generally reviewed on a bi-annual basis. It was last reviewed in November 2017 when the Committee engaged a third party compensation consultant, Meridian Compensation Partners, LLC (“Meridian”), to conduct a market study of director compensation. Meridian obtained comparative data using published compensation surveys and proxy analysis of selected companies similar in size, location and industry. The companies included in the survey are consistent with those that we use to review executive compensation.</w:t>
      </w:r>
    </w:p>
    <w:p>
      <w:pPr>
        <w:spacing w:after="0" w:line="9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overall conclusions of the consultant were that the compensation structure of the Board was aligned with peer practices and that the annual value of compensation approximated the median of the identified peer group of companies. Upon careful consideration of the consultant’s recommendations, peer practices and the Company’s stated compensation objectives, the Committee approved the following, which remained in effect for fiscal 2019:</w:t>
      </w:r>
    </w:p>
    <w:p>
      <w:pPr>
        <w:spacing w:after="0" w:line="96" w:lineRule="exact"/>
        <w:rPr>
          <w:sz w:val="20"/>
          <w:szCs w:val="20"/>
          <w:color w:val="auto"/>
        </w:rPr>
      </w:pPr>
    </w:p>
    <w:p>
      <w:pPr>
        <w:ind w:left="700" w:hanging="35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value of the cash retainer remained at $85,000 for each non-employee director.</w:t>
      </w:r>
    </w:p>
    <w:p>
      <w:pPr>
        <w:spacing w:after="0" w:line="103" w:lineRule="exact"/>
        <w:rPr>
          <w:rFonts w:ascii="Arial" w:cs="Arial" w:eastAsia="Arial" w:hAnsi="Arial"/>
          <w:sz w:val="18"/>
          <w:szCs w:val="18"/>
          <w:color w:val="auto"/>
        </w:rPr>
      </w:pPr>
    </w:p>
    <w:p>
      <w:pPr>
        <w:ind w:left="700" w:hanging="356"/>
        <w:spacing w:after="0" w:line="246"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annual equity grant would remain in the form of RSUs, the value of the grant would remain at $95,000 and the vesting period of the grant would remain unchanged at one year.</w:t>
      </w:r>
    </w:p>
    <w:p>
      <w:pPr>
        <w:spacing w:after="0" w:line="88" w:lineRule="exact"/>
        <w:rPr>
          <w:rFonts w:ascii="Arial" w:cs="Arial" w:eastAsia="Arial" w:hAnsi="Arial"/>
          <w:sz w:val="18"/>
          <w:szCs w:val="18"/>
          <w:color w:val="auto"/>
        </w:rPr>
      </w:pPr>
    </w:p>
    <w:p>
      <w:pPr>
        <w:ind w:left="700" w:hanging="35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Committee also concluded that the additional cash retainers should be the following amounts:</w:t>
      </w:r>
    </w:p>
    <w:p>
      <w:pPr>
        <w:spacing w:after="0" w:line="51" w:lineRule="exact"/>
        <w:rPr>
          <w:sz w:val="20"/>
          <w:szCs w:val="20"/>
          <w:color w:val="auto"/>
        </w:rPr>
      </w:pPr>
    </w:p>
    <w:tbl>
      <w:tblPr>
        <w:tblLayout w:type="fixed"/>
        <w:tblInd w:w="760" w:type="dxa"/>
        <w:tblCellMar>
          <w:top w:w="0" w:type="dxa"/>
          <w:left w:w="0" w:type="dxa"/>
          <w:bottom w:w="0" w:type="dxa"/>
          <w:right w:w="0" w:type="dxa"/>
        </w:tblCellMar>
      </w:tblPr>
      <w:tr>
        <w:trPr>
          <w:trHeight w:val="189"/>
        </w:trPr>
        <w:tc>
          <w:tcPr>
            <w:tcW w:w="6200" w:type="dxa"/>
            <w:vAlign w:val="bottom"/>
          </w:tcPr>
          <w:p>
            <w:pPr>
              <w:spacing w:after="0"/>
              <w:rPr>
                <w:sz w:val="20"/>
                <w:szCs w:val="20"/>
                <w:color w:val="auto"/>
              </w:rPr>
            </w:pPr>
            <w:r>
              <w:rPr>
                <w:rFonts w:ascii="Arial" w:cs="Arial" w:eastAsia="Arial" w:hAnsi="Arial"/>
                <w:sz w:val="14"/>
                <w:szCs w:val="14"/>
                <w:b w:val="1"/>
                <w:bCs w:val="1"/>
                <w:color w:val="auto"/>
              </w:rPr>
              <w:t>Additional Cash Retainer</w:t>
            </w:r>
          </w:p>
        </w:tc>
        <w:tc>
          <w:tcPr>
            <w:tcW w:w="2200" w:type="dxa"/>
            <w:vAlign w:val="bottom"/>
          </w:tcPr>
          <w:p>
            <w:pPr>
              <w:jc w:val="right"/>
              <w:ind w:right="54"/>
              <w:spacing w:after="0"/>
              <w:rPr>
                <w:sz w:val="20"/>
                <w:szCs w:val="20"/>
                <w:color w:val="auto"/>
              </w:rPr>
            </w:pPr>
            <w:r>
              <w:rPr>
                <w:rFonts w:ascii="Arial" w:cs="Arial" w:eastAsia="Arial" w:hAnsi="Arial"/>
                <w:sz w:val="14"/>
                <w:szCs w:val="14"/>
                <w:b w:val="1"/>
                <w:bCs w:val="1"/>
                <w:color w:val="auto"/>
              </w:rPr>
              <w:t>Amount ($)</w:t>
            </w:r>
          </w:p>
        </w:tc>
      </w:tr>
      <w:tr>
        <w:trPr>
          <w:trHeight w:val="230"/>
        </w:trPr>
        <w:tc>
          <w:tcPr>
            <w:tcW w:w="6200" w:type="dxa"/>
            <w:vAlign w:val="bottom"/>
            <w:shd w:val="clear" w:color="auto" w:fill="D7F5C4"/>
          </w:tcPr>
          <w:p>
            <w:pPr>
              <w:spacing w:after="0"/>
              <w:rPr>
                <w:sz w:val="20"/>
                <w:szCs w:val="20"/>
                <w:color w:val="auto"/>
              </w:rPr>
            </w:pPr>
            <w:r>
              <w:rPr>
                <w:rFonts w:ascii="Arial" w:cs="Arial" w:eastAsia="Arial" w:hAnsi="Arial"/>
                <w:sz w:val="18"/>
                <w:szCs w:val="18"/>
                <w:color w:val="auto"/>
              </w:rPr>
              <w:t>Chairman of the Board</w:t>
            </w:r>
          </w:p>
        </w:tc>
        <w:tc>
          <w:tcPr>
            <w:tcW w:w="2200" w:type="dxa"/>
            <w:vAlign w:val="bottom"/>
            <w:shd w:val="clear" w:color="auto" w:fill="D7F5C4"/>
          </w:tcPr>
          <w:p>
            <w:pPr>
              <w:jc w:val="right"/>
              <w:spacing w:after="0"/>
              <w:rPr>
                <w:sz w:val="20"/>
                <w:szCs w:val="20"/>
                <w:color w:val="auto"/>
              </w:rPr>
            </w:pPr>
            <w:r>
              <w:rPr>
                <w:rFonts w:ascii="Arial" w:cs="Arial" w:eastAsia="Arial" w:hAnsi="Arial"/>
                <w:sz w:val="18"/>
                <w:szCs w:val="18"/>
                <w:color w:val="auto"/>
              </w:rPr>
              <w:t>75,000</w:t>
            </w: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Audit Committee Chairman</w:t>
            </w:r>
          </w:p>
        </w:tc>
        <w:tc>
          <w:tcPr>
            <w:tcW w:w="220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230"/>
        </w:trPr>
        <w:tc>
          <w:tcPr>
            <w:tcW w:w="6200" w:type="dxa"/>
            <w:vAlign w:val="bottom"/>
            <w:shd w:val="clear" w:color="auto" w:fill="D7F5C4"/>
          </w:tcPr>
          <w:p>
            <w:pPr>
              <w:spacing w:after="0"/>
              <w:rPr>
                <w:sz w:val="20"/>
                <w:szCs w:val="20"/>
                <w:color w:val="auto"/>
              </w:rPr>
            </w:pPr>
            <w:r>
              <w:rPr>
                <w:rFonts w:ascii="Arial" w:cs="Arial" w:eastAsia="Arial" w:hAnsi="Arial"/>
                <w:sz w:val="18"/>
                <w:szCs w:val="18"/>
                <w:color w:val="auto"/>
              </w:rPr>
              <w:t>Compensation Committee Chairman</w:t>
            </w:r>
          </w:p>
        </w:tc>
        <w:tc>
          <w:tcPr>
            <w:tcW w:w="2200" w:type="dxa"/>
            <w:vAlign w:val="bottom"/>
            <w:shd w:val="clear" w:color="auto" w:fill="D7F5C4"/>
          </w:tcPr>
          <w:p>
            <w:pPr>
              <w:jc w:val="right"/>
              <w:spacing w:after="0"/>
              <w:rPr>
                <w:sz w:val="20"/>
                <w:szCs w:val="20"/>
                <w:color w:val="auto"/>
              </w:rPr>
            </w:pPr>
            <w:r>
              <w:rPr>
                <w:rFonts w:ascii="Arial" w:cs="Arial" w:eastAsia="Arial" w:hAnsi="Arial"/>
                <w:sz w:val="18"/>
                <w:szCs w:val="18"/>
                <w:color w:val="auto"/>
              </w:rPr>
              <w:t>10,000</w:t>
            </w: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Nominating and Corporate Governance Committee Chairman</w:t>
            </w:r>
          </w:p>
        </w:tc>
        <w:tc>
          <w:tcPr>
            <w:tcW w:w="2200" w:type="dxa"/>
            <w:vAlign w:val="bottom"/>
          </w:tcPr>
          <w:p>
            <w:pPr>
              <w:jc w:val="right"/>
              <w:spacing w:after="0"/>
              <w:rPr>
                <w:sz w:val="20"/>
                <w:szCs w:val="20"/>
                <w:color w:val="auto"/>
              </w:rPr>
            </w:pPr>
            <w:r>
              <w:rPr>
                <w:rFonts w:ascii="Arial" w:cs="Arial" w:eastAsia="Arial" w:hAnsi="Arial"/>
                <w:sz w:val="18"/>
                <w:szCs w:val="18"/>
                <w:color w:val="auto"/>
              </w:rPr>
              <w:t>7,500</w:t>
            </w:r>
          </w:p>
        </w:tc>
      </w:tr>
    </w:tbl>
    <w:p>
      <w:pPr>
        <w:spacing w:after="0" w:line="10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also provide a Deferred Fee Plan for Members of the Board of Directors of Matrix Service Company (the “Deferred Fee Plan”), which allows our non-employee directors to defer all or a portion of their cash compensation with interest. The effective interest rate for the subsequent calendar year is researched and approved by the Committee at a regularly-scheduled meeting, the most recent of which took place on October 30, 2018. At that meeting, the Committee approved an increase in the average interest rate from 5.0% to 6.25% for the 2019 calendar year. Non-employee directors are also permitted to invest their cash retainer in Company common stock through the Company’s 2011 Employee Stock Purchase Plan (“ESPP”). Investment through the ESPP is limited to $60,000 per director per calendar year.</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607187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24" w:name="page25"/>
    <w:bookmarkEnd w:id="24"/>
    <w:p>
      <w:pPr>
        <w:ind w:left="7"/>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63"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61DA16"/>
        </w:rPr>
        <w:t>Director Compensation</w:t>
      </w:r>
    </w:p>
    <w:p>
      <w:pPr>
        <w:spacing w:after="0" w:line="126" w:lineRule="exact"/>
        <w:rPr>
          <w:sz w:val="20"/>
          <w:szCs w:val="20"/>
          <w:color w:val="auto"/>
        </w:rPr>
      </w:pPr>
    </w:p>
    <w:p>
      <w:pPr>
        <w:ind w:left="7"/>
        <w:spacing w:after="0"/>
        <w:rPr>
          <w:sz w:val="20"/>
          <w:szCs w:val="20"/>
          <w:color w:val="auto"/>
        </w:rPr>
      </w:pPr>
      <w:r>
        <w:rPr>
          <w:rFonts w:ascii="Arial" w:cs="Arial" w:eastAsia="Arial" w:hAnsi="Arial"/>
          <w:sz w:val="18"/>
          <w:szCs w:val="18"/>
          <w:color w:val="auto"/>
        </w:rPr>
        <w:t>The compensation earned by each of our non-employee directors in fiscal 2019 is summarized in the table below:</w:t>
      </w:r>
    </w:p>
    <w:p>
      <w:pPr>
        <w:spacing w:after="0" w:line="64"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Change in</w:t>
            </w:r>
          </w:p>
        </w:tc>
        <w:tc>
          <w:tcPr>
            <w:tcW w:w="1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Pension Value</w:t>
            </w:r>
          </w:p>
        </w:tc>
        <w:tc>
          <w:tcPr>
            <w:tcW w:w="1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and</w:t>
            </w:r>
          </w:p>
        </w:tc>
        <w:tc>
          <w:tcPr>
            <w:tcW w:w="1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1780" w:type="dxa"/>
            <w:vAlign w:val="bottom"/>
          </w:tcPr>
          <w:p>
            <w:pPr>
              <w:jc w:val="center"/>
              <w:ind w:left="322"/>
              <w:spacing w:after="0"/>
              <w:rPr>
                <w:sz w:val="20"/>
                <w:szCs w:val="20"/>
                <w:color w:val="auto"/>
              </w:rPr>
            </w:pPr>
            <w:r>
              <w:rPr>
                <w:rFonts w:ascii="Arial" w:cs="Arial" w:eastAsia="Arial" w:hAnsi="Arial"/>
                <w:sz w:val="14"/>
                <w:szCs w:val="14"/>
                <w:b w:val="1"/>
                <w:bCs w:val="1"/>
                <w:color w:val="auto"/>
              </w:rPr>
              <w:t>Fees</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Nonqualified</w:t>
            </w:r>
          </w:p>
        </w:tc>
        <w:tc>
          <w:tcPr>
            <w:tcW w:w="1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1780" w:type="dxa"/>
            <w:vAlign w:val="bottom"/>
          </w:tcPr>
          <w:p>
            <w:pPr>
              <w:jc w:val="center"/>
              <w:ind w:left="322"/>
              <w:spacing w:after="0"/>
              <w:rPr>
                <w:sz w:val="20"/>
                <w:szCs w:val="20"/>
                <w:color w:val="auto"/>
              </w:rPr>
            </w:pPr>
            <w:r>
              <w:rPr>
                <w:rFonts w:ascii="Arial" w:cs="Arial" w:eastAsia="Arial" w:hAnsi="Arial"/>
                <w:sz w:val="14"/>
                <w:szCs w:val="14"/>
                <w:b w:val="1"/>
                <w:bCs w:val="1"/>
                <w:color w:val="auto"/>
              </w:rPr>
              <w:t>Earned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Restricted</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9"/>
              </w:rPr>
              <w:t>Stock</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Deferred</w:t>
            </w:r>
          </w:p>
        </w:tc>
        <w:tc>
          <w:tcPr>
            <w:tcW w:w="1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1780" w:type="dxa"/>
            <w:vAlign w:val="bottom"/>
          </w:tcPr>
          <w:p>
            <w:pPr>
              <w:jc w:val="center"/>
              <w:ind w:left="322"/>
              <w:spacing w:after="0"/>
              <w:rPr>
                <w:sz w:val="20"/>
                <w:szCs w:val="20"/>
                <w:color w:val="auto"/>
              </w:rPr>
            </w:pPr>
            <w:r>
              <w:rPr>
                <w:rFonts w:ascii="Arial" w:cs="Arial" w:eastAsia="Arial" w:hAnsi="Arial"/>
                <w:sz w:val="14"/>
                <w:szCs w:val="14"/>
                <w:b w:val="1"/>
                <w:bCs w:val="1"/>
                <w:color w:val="auto"/>
              </w:rPr>
              <w:t>or Paid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9"/>
              </w:rPr>
              <w:t>Stock</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20" w:type="dxa"/>
            <w:vAlign w:val="bottom"/>
            <w:vMerge w:val="restart"/>
          </w:tcPr>
          <w:p>
            <w:pPr>
              <w:ind w:left="1180"/>
              <w:spacing w:after="0"/>
              <w:rPr>
                <w:sz w:val="20"/>
                <w:szCs w:val="20"/>
                <w:color w:val="auto"/>
              </w:rPr>
            </w:pPr>
            <w:r>
              <w:rPr>
                <w:rFonts w:ascii="Arial" w:cs="Arial" w:eastAsia="Arial" w:hAnsi="Arial"/>
                <w:sz w:val="14"/>
                <w:szCs w:val="14"/>
                <w:b w:val="1"/>
                <w:bCs w:val="1"/>
                <w:color w:val="auto"/>
              </w:rPr>
              <w:t>Name</w:t>
            </w:r>
            <w:r>
              <w:rPr>
                <w:rFonts w:ascii="Arial" w:cs="Arial" w:eastAsia="Arial" w:hAnsi="Arial"/>
                <w:sz w:val="24"/>
                <w:szCs w:val="24"/>
                <w:b w:val="1"/>
                <w:bCs w:val="1"/>
                <w:color w:val="auto"/>
                <w:vertAlign w:val="superscript"/>
              </w:rPr>
              <w:t>(1)</w:t>
            </w:r>
          </w:p>
        </w:tc>
        <w:tc>
          <w:tcPr>
            <w:tcW w:w="1780" w:type="dxa"/>
            <w:vAlign w:val="bottom"/>
          </w:tcPr>
          <w:p>
            <w:pPr>
              <w:jc w:val="center"/>
              <w:ind w:left="342"/>
              <w:spacing w:after="0" w:line="149" w:lineRule="exact"/>
              <w:rPr>
                <w:sz w:val="20"/>
                <w:szCs w:val="20"/>
                <w:color w:val="auto"/>
              </w:rPr>
            </w:pPr>
            <w:r>
              <w:rPr>
                <w:rFonts w:ascii="Arial" w:cs="Arial" w:eastAsia="Arial" w:hAnsi="Arial"/>
                <w:sz w:val="14"/>
                <w:szCs w:val="14"/>
                <w:b w:val="1"/>
                <w:bCs w:val="1"/>
                <w:color w:val="auto"/>
              </w:rPr>
              <w:t>in Cash</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Awards</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Awards</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Earnings</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Compensation</w:t>
            </w:r>
          </w:p>
        </w:tc>
        <w:tc>
          <w:tcPr>
            <w:tcW w:w="900" w:type="dxa"/>
            <w:vAlign w:val="bottom"/>
          </w:tcPr>
          <w:p>
            <w:pPr>
              <w:jc w:val="right"/>
              <w:ind w:right="214"/>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2420" w:type="dxa"/>
            <w:vAlign w:val="bottom"/>
            <w:vMerge w:val="continue"/>
          </w:tcPr>
          <w:p>
            <w:pPr>
              <w:spacing w:after="0"/>
              <w:rPr>
                <w:sz w:val="17"/>
                <w:szCs w:val="17"/>
                <w:color w:val="auto"/>
              </w:rPr>
            </w:pPr>
          </w:p>
        </w:tc>
        <w:tc>
          <w:tcPr>
            <w:tcW w:w="1780" w:type="dxa"/>
            <w:vAlign w:val="bottom"/>
          </w:tcPr>
          <w:p>
            <w:pPr>
              <w:jc w:val="center"/>
              <w:ind w:left="342"/>
              <w:spacing w:after="0" w:line="202"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(2)</w:t>
            </w:r>
          </w:p>
        </w:tc>
        <w:tc>
          <w:tcPr>
            <w:tcW w:w="1040" w:type="dxa"/>
            <w:vAlign w:val="bottom"/>
          </w:tcPr>
          <w:p>
            <w:pPr>
              <w:jc w:val="center"/>
              <w:spacing w:after="0" w:line="202"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(3)</w:t>
            </w:r>
          </w:p>
        </w:tc>
        <w:tc>
          <w:tcPr>
            <w:tcW w:w="780" w:type="dxa"/>
            <w:vAlign w:val="bottom"/>
          </w:tcPr>
          <w:p>
            <w:pPr>
              <w:jc w:val="center"/>
              <w:spacing w:after="0" w:line="202"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(4)</w:t>
            </w:r>
          </w:p>
        </w:tc>
        <w:tc>
          <w:tcPr>
            <w:tcW w:w="1320" w:type="dxa"/>
            <w:vAlign w:val="bottom"/>
          </w:tcPr>
          <w:p>
            <w:pPr>
              <w:jc w:val="center"/>
              <w:spacing w:after="0" w:line="202"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(5)</w:t>
            </w:r>
          </w:p>
        </w:tc>
        <w:tc>
          <w:tcPr>
            <w:tcW w:w="1320" w:type="dxa"/>
            <w:vAlign w:val="bottom"/>
          </w:tcPr>
          <w:p>
            <w:pPr>
              <w:jc w:val="center"/>
              <w:ind w:right="15"/>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27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0"/>
        </w:trPr>
        <w:tc>
          <w:tcPr>
            <w:tcW w:w="2420" w:type="dxa"/>
            <w:vAlign w:val="bottom"/>
            <w:shd w:val="clear" w:color="auto" w:fill="D7F5C4"/>
          </w:tcPr>
          <w:p>
            <w:pPr>
              <w:spacing w:after="0"/>
              <w:rPr>
                <w:sz w:val="20"/>
                <w:szCs w:val="20"/>
                <w:color w:val="auto"/>
              </w:rPr>
            </w:pPr>
            <w:r>
              <w:rPr>
                <w:rFonts w:ascii="Arial" w:cs="Arial" w:eastAsia="Arial" w:hAnsi="Arial"/>
                <w:sz w:val="18"/>
                <w:szCs w:val="18"/>
                <w:color w:val="auto"/>
              </w:rPr>
              <w:t>Tom E. Maxwell</w:t>
            </w:r>
          </w:p>
        </w:tc>
        <w:tc>
          <w:tcPr>
            <w:tcW w:w="1780" w:type="dxa"/>
            <w:vAlign w:val="bottom"/>
            <w:shd w:val="clear" w:color="auto" w:fill="D7F5C4"/>
          </w:tcPr>
          <w:p>
            <w:pPr>
              <w:jc w:val="right"/>
              <w:ind w:right="142"/>
              <w:spacing w:after="0" w:line="230" w:lineRule="exact"/>
              <w:rPr>
                <w:sz w:val="20"/>
                <w:szCs w:val="20"/>
                <w:color w:val="auto"/>
              </w:rPr>
            </w:pPr>
            <w:r>
              <w:rPr>
                <w:rFonts w:ascii="Arial" w:cs="Arial" w:eastAsia="Arial" w:hAnsi="Arial"/>
                <w:sz w:val="16"/>
                <w:szCs w:val="16"/>
                <w:color w:val="auto"/>
              </w:rPr>
              <w:t>53,333</w:t>
            </w:r>
            <w:r>
              <w:rPr>
                <w:rFonts w:ascii="Arial" w:cs="Arial" w:eastAsia="Arial" w:hAnsi="Arial"/>
                <w:sz w:val="26"/>
                <w:szCs w:val="26"/>
                <w:color w:val="auto"/>
                <w:vertAlign w:val="superscript"/>
              </w:rPr>
              <w:t>(6)</w:t>
            </w:r>
          </w:p>
        </w:tc>
        <w:tc>
          <w:tcPr>
            <w:tcW w:w="1040" w:type="dxa"/>
            <w:vAlign w:val="bottom"/>
            <w:shd w:val="clear" w:color="auto" w:fill="D7F5C4"/>
          </w:tcPr>
          <w:p>
            <w:pPr>
              <w:jc w:val="right"/>
              <w:ind w:right="17"/>
              <w:spacing w:after="0"/>
              <w:rPr>
                <w:sz w:val="20"/>
                <w:szCs w:val="20"/>
                <w:color w:val="auto"/>
              </w:rPr>
            </w:pPr>
            <w:r>
              <w:rPr>
                <w:rFonts w:ascii="Arial" w:cs="Arial" w:eastAsia="Arial" w:hAnsi="Arial"/>
                <w:sz w:val="18"/>
                <w:szCs w:val="18"/>
                <w:color w:val="auto"/>
              </w:rPr>
              <w:t>—</w:t>
            </w:r>
          </w:p>
        </w:tc>
        <w:tc>
          <w:tcPr>
            <w:tcW w:w="780" w:type="dxa"/>
            <w:vAlign w:val="bottom"/>
            <w:shd w:val="clear" w:color="auto" w:fill="D7F5C4"/>
          </w:tcPr>
          <w:p>
            <w:pPr>
              <w:ind w:left="4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D7F5C4"/>
          </w:tcPr>
          <w:p>
            <w:pPr>
              <w:jc w:val="right"/>
              <w:ind w:right="60"/>
              <w:spacing w:after="0"/>
              <w:rPr>
                <w:sz w:val="20"/>
                <w:szCs w:val="20"/>
                <w:color w:val="auto"/>
              </w:rPr>
            </w:pPr>
            <w:r>
              <w:rPr>
                <w:rFonts w:ascii="Arial" w:cs="Arial" w:eastAsia="Arial" w:hAnsi="Arial"/>
                <w:sz w:val="18"/>
                <w:szCs w:val="18"/>
                <w:color w:val="auto"/>
              </w:rPr>
              <w:t>17,991</w:t>
            </w:r>
          </w:p>
        </w:tc>
        <w:tc>
          <w:tcPr>
            <w:tcW w:w="1320" w:type="dxa"/>
            <w:vAlign w:val="bottom"/>
            <w:shd w:val="clear" w:color="auto" w:fill="D7F5C4"/>
          </w:tcPr>
          <w:p>
            <w:pPr>
              <w:ind w:left="1000"/>
              <w:spacing w:after="0"/>
              <w:rPr>
                <w:sz w:val="20"/>
                <w:szCs w:val="20"/>
                <w:color w:val="auto"/>
              </w:rPr>
            </w:pPr>
            <w:r>
              <w:rPr>
                <w:rFonts w:ascii="Arial" w:cs="Arial" w:eastAsia="Arial" w:hAnsi="Arial"/>
                <w:sz w:val="18"/>
                <w:szCs w:val="18"/>
                <w:color w:val="auto"/>
              </w:rPr>
              <w:t>—</w:t>
            </w:r>
          </w:p>
        </w:tc>
        <w:tc>
          <w:tcPr>
            <w:tcW w:w="900" w:type="dxa"/>
            <w:vAlign w:val="bottom"/>
            <w:shd w:val="clear" w:color="auto" w:fill="D7F5C4"/>
          </w:tcPr>
          <w:p>
            <w:pPr>
              <w:jc w:val="right"/>
              <w:ind w:right="14"/>
              <w:spacing w:after="0"/>
              <w:rPr>
                <w:sz w:val="20"/>
                <w:szCs w:val="20"/>
                <w:color w:val="auto"/>
              </w:rPr>
            </w:pPr>
            <w:r>
              <w:rPr>
                <w:rFonts w:ascii="Arial" w:cs="Arial" w:eastAsia="Arial" w:hAnsi="Arial"/>
                <w:sz w:val="18"/>
                <w:szCs w:val="18"/>
                <w:color w:val="auto"/>
              </w:rPr>
              <w:t>71,324</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Jim W. Mogg</w:t>
            </w:r>
          </w:p>
        </w:tc>
        <w:tc>
          <w:tcPr>
            <w:tcW w:w="1780" w:type="dxa"/>
            <w:vAlign w:val="bottom"/>
          </w:tcPr>
          <w:p>
            <w:pPr>
              <w:jc w:val="right"/>
              <w:ind w:right="142"/>
              <w:spacing w:after="0" w:line="230" w:lineRule="exact"/>
              <w:rPr>
                <w:sz w:val="20"/>
                <w:szCs w:val="20"/>
                <w:color w:val="auto"/>
              </w:rPr>
            </w:pPr>
            <w:r>
              <w:rPr>
                <w:rFonts w:ascii="Arial" w:cs="Arial" w:eastAsia="Arial" w:hAnsi="Arial"/>
                <w:sz w:val="16"/>
                <w:szCs w:val="16"/>
                <w:color w:val="auto"/>
              </w:rPr>
              <w:t>137,500</w:t>
            </w:r>
            <w:r>
              <w:rPr>
                <w:rFonts w:ascii="Arial" w:cs="Arial" w:eastAsia="Arial" w:hAnsi="Arial"/>
                <w:sz w:val="26"/>
                <w:szCs w:val="26"/>
                <w:color w:val="auto"/>
                <w:vertAlign w:val="superscript"/>
              </w:rPr>
              <w:t>(7)</w:t>
            </w: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85,572</w:t>
            </w:r>
          </w:p>
        </w:tc>
        <w:tc>
          <w:tcPr>
            <w:tcW w:w="780" w:type="dxa"/>
            <w:vAlign w:val="bottom"/>
          </w:tcPr>
          <w:p>
            <w:pPr>
              <w:ind w:left="4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60"/>
              <w:spacing w:after="0"/>
              <w:rPr>
                <w:sz w:val="20"/>
                <w:szCs w:val="20"/>
                <w:color w:val="auto"/>
              </w:rPr>
            </w:pPr>
            <w:r>
              <w:rPr>
                <w:rFonts w:ascii="Arial" w:cs="Arial" w:eastAsia="Arial" w:hAnsi="Arial"/>
                <w:sz w:val="18"/>
                <w:szCs w:val="18"/>
                <w:color w:val="auto"/>
              </w:rPr>
              <w:t>13,726</w:t>
            </w:r>
          </w:p>
        </w:tc>
        <w:tc>
          <w:tcPr>
            <w:tcW w:w="1320" w:type="dxa"/>
            <w:vAlign w:val="bottom"/>
          </w:tcPr>
          <w:p>
            <w:pPr>
              <w:ind w:left="10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236,798</w:t>
            </w:r>
          </w:p>
        </w:tc>
        <w:tc>
          <w:tcPr>
            <w:tcW w:w="0" w:type="dxa"/>
            <w:vAlign w:val="bottom"/>
          </w:tcPr>
          <w:p>
            <w:pPr>
              <w:spacing w:after="0"/>
              <w:rPr>
                <w:sz w:val="1"/>
                <w:szCs w:val="1"/>
                <w:color w:val="auto"/>
              </w:rPr>
            </w:pPr>
          </w:p>
        </w:tc>
      </w:tr>
      <w:tr>
        <w:trPr>
          <w:trHeight w:val="230"/>
        </w:trPr>
        <w:tc>
          <w:tcPr>
            <w:tcW w:w="2420" w:type="dxa"/>
            <w:vAlign w:val="bottom"/>
            <w:shd w:val="clear" w:color="auto" w:fill="D7F5C4"/>
          </w:tcPr>
          <w:p>
            <w:pPr>
              <w:spacing w:after="0"/>
              <w:rPr>
                <w:sz w:val="20"/>
                <w:szCs w:val="20"/>
                <w:color w:val="auto"/>
              </w:rPr>
            </w:pPr>
            <w:r>
              <w:rPr>
                <w:rFonts w:ascii="Arial" w:cs="Arial" w:eastAsia="Arial" w:hAnsi="Arial"/>
                <w:sz w:val="18"/>
                <w:szCs w:val="18"/>
                <w:color w:val="auto"/>
              </w:rPr>
              <w:t>James H. Miller</w:t>
            </w:r>
          </w:p>
        </w:tc>
        <w:tc>
          <w:tcPr>
            <w:tcW w:w="1780" w:type="dxa"/>
            <w:vAlign w:val="bottom"/>
            <w:shd w:val="clear" w:color="auto" w:fill="D7F5C4"/>
          </w:tcPr>
          <w:p>
            <w:pPr>
              <w:jc w:val="right"/>
              <w:ind w:right="142"/>
              <w:spacing w:after="0" w:line="230" w:lineRule="exact"/>
              <w:rPr>
                <w:sz w:val="20"/>
                <w:szCs w:val="20"/>
                <w:color w:val="auto"/>
              </w:rPr>
            </w:pPr>
            <w:r>
              <w:rPr>
                <w:rFonts w:ascii="Arial" w:cs="Arial" w:eastAsia="Arial" w:hAnsi="Arial"/>
                <w:sz w:val="16"/>
                <w:szCs w:val="16"/>
                <w:color w:val="auto"/>
              </w:rPr>
              <w:t>85,000</w:t>
            </w:r>
            <w:r>
              <w:rPr>
                <w:rFonts w:ascii="Arial" w:cs="Arial" w:eastAsia="Arial" w:hAnsi="Arial"/>
                <w:sz w:val="26"/>
                <w:szCs w:val="26"/>
                <w:color w:val="auto"/>
                <w:vertAlign w:val="superscript"/>
              </w:rPr>
              <w:t>(8)</w:t>
            </w:r>
          </w:p>
        </w:tc>
        <w:tc>
          <w:tcPr>
            <w:tcW w:w="1040" w:type="dxa"/>
            <w:vAlign w:val="bottom"/>
            <w:shd w:val="clear" w:color="auto" w:fill="D7F5C4"/>
          </w:tcPr>
          <w:p>
            <w:pPr>
              <w:jc w:val="right"/>
              <w:ind w:right="17"/>
              <w:spacing w:after="0"/>
              <w:rPr>
                <w:sz w:val="20"/>
                <w:szCs w:val="20"/>
                <w:color w:val="auto"/>
              </w:rPr>
            </w:pPr>
            <w:r>
              <w:rPr>
                <w:rFonts w:ascii="Arial" w:cs="Arial" w:eastAsia="Arial" w:hAnsi="Arial"/>
                <w:sz w:val="18"/>
                <w:szCs w:val="18"/>
                <w:color w:val="auto"/>
              </w:rPr>
              <w:t>85,572</w:t>
            </w:r>
          </w:p>
        </w:tc>
        <w:tc>
          <w:tcPr>
            <w:tcW w:w="780" w:type="dxa"/>
            <w:vAlign w:val="bottom"/>
            <w:shd w:val="clear" w:color="auto" w:fill="D7F5C4"/>
          </w:tcPr>
          <w:p>
            <w:pPr>
              <w:ind w:left="4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D7F5C4"/>
          </w:tcPr>
          <w:p>
            <w:pPr>
              <w:jc w:val="right"/>
              <w:ind w:right="60"/>
              <w:spacing w:after="0"/>
              <w:rPr>
                <w:sz w:val="20"/>
                <w:szCs w:val="20"/>
                <w:color w:val="auto"/>
              </w:rPr>
            </w:pPr>
            <w:r>
              <w:rPr>
                <w:rFonts w:ascii="Arial" w:cs="Arial" w:eastAsia="Arial" w:hAnsi="Arial"/>
                <w:sz w:val="18"/>
                <w:szCs w:val="18"/>
                <w:color w:val="auto"/>
              </w:rPr>
              <w:t>8,985</w:t>
            </w:r>
          </w:p>
        </w:tc>
        <w:tc>
          <w:tcPr>
            <w:tcW w:w="1320" w:type="dxa"/>
            <w:vAlign w:val="bottom"/>
            <w:shd w:val="clear" w:color="auto" w:fill="D7F5C4"/>
          </w:tcPr>
          <w:p>
            <w:pPr>
              <w:ind w:left="1000"/>
              <w:spacing w:after="0"/>
              <w:rPr>
                <w:sz w:val="20"/>
                <w:szCs w:val="20"/>
                <w:color w:val="auto"/>
              </w:rPr>
            </w:pPr>
            <w:r>
              <w:rPr>
                <w:rFonts w:ascii="Arial" w:cs="Arial" w:eastAsia="Arial" w:hAnsi="Arial"/>
                <w:sz w:val="18"/>
                <w:szCs w:val="18"/>
                <w:color w:val="auto"/>
              </w:rPr>
              <w:t>—</w:t>
            </w:r>
          </w:p>
        </w:tc>
        <w:tc>
          <w:tcPr>
            <w:tcW w:w="900" w:type="dxa"/>
            <w:vAlign w:val="bottom"/>
            <w:shd w:val="clear" w:color="auto" w:fill="D7F5C4"/>
          </w:tcPr>
          <w:p>
            <w:pPr>
              <w:jc w:val="right"/>
              <w:ind w:right="14"/>
              <w:spacing w:after="0"/>
              <w:rPr>
                <w:sz w:val="20"/>
                <w:szCs w:val="20"/>
                <w:color w:val="auto"/>
              </w:rPr>
            </w:pPr>
            <w:r>
              <w:rPr>
                <w:rFonts w:ascii="Arial" w:cs="Arial" w:eastAsia="Arial" w:hAnsi="Arial"/>
                <w:sz w:val="18"/>
                <w:szCs w:val="18"/>
                <w:color w:val="auto"/>
              </w:rPr>
              <w:t>179,557</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John W. Gibson</w:t>
            </w:r>
          </w:p>
        </w:tc>
        <w:tc>
          <w:tcPr>
            <w:tcW w:w="1780" w:type="dxa"/>
            <w:vAlign w:val="bottom"/>
          </w:tcPr>
          <w:p>
            <w:pPr>
              <w:jc w:val="right"/>
              <w:ind w:right="142"/>
              <w:spacing w:after="0" w:line="230" w:lineRule="exact"/>
              <w:rPr>
                <w:sz w:val="20"/>
                <w:szCs w:val="20"/>
                <w:color w:val="auto"/>
              </w:rPr>
            </w:pPr>
            <w:r>
              <w:rPr>
                <w:rFonts w:ascii="Arial" w:cs="Arial" w:eastAsia="Arial" w:hAnsi="Arial"/>
                <w:sz w:val="16"/>
                <w:szCs w:val="16"/>
                <w:color w:val="auto"/>
              </w:rPr>
              <w:t>95,000</w:t>
            </w:r>
            <w:r>
              <w:rPr>
                <w:rFonts w:ascii="Arial" w:cs="Arial" w:eastAsia="Arial" w:hAnsi="Arial"/>
                <w:sz w:val="26"/>
                <w:szCs w:val="26"/>
                <w:color w:val="auto"/>
                <w:vertAlign w:val="superscript"/>
              </w:rPr>
              <w:t>(9)</w:t>
            </w: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85,572</w:t>
            </w:r>
          </w:p>
        </w:tc>
        <w:tc>
          <w:tcPr>
            <w:tcW w:w="780" w:type="dxa"/>
            <w:vAlign w:val="bottom"/>
          </w:tcPr>
          <w:p>
            <w:pPr>
              <w:ind w:left="4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60"/>
              <w:spacing w:after="0"/>
              <w:rPr>
                <w:sz w:val="20"/>
                <w:szCs w:val="20"/>
                <w:color w:val="auto"/>
              </w:rPr>
            </w:pPr>
            <w:r>
              <w:rPr>
                <w:rFonts w:ascii="Arial" w:cs="Arial" w:eastAsia="Arial" w:hAnsi="Arial"/>
                <w:sz w:val="18"/>
                <w:szCs w:val="18"/>
                <w:color w:val="auto"/>
              </w:rPr>
              <w:t>2,775</w:t>
            </w:r>
          </w:p>
        </w:tc>
        <w:tc>
          <w:tcPr>
            <w:tcW w:w="1320" w:type="dxa"/>
            <w:vAlign w:val="bottom"/>
          </w:tcPr>
          <w:p>
            <w:pPr>
              <w:ind w:left="10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183,347</w:t>
            </w:r>
          </w:p>
        </w:tc>
        <w:tc>
          <w:tcPr>
            <w:tcW w:w="0" w:type="dxa"/>
            <w:vAlign w:val="bottom"/>
          </w:tcPr>
          <w:p>
            <w:pPr>
              <w:spacing w:after="0"/>
              <w:rPr>
                <w:sz w:val="1"/>
                <w:szCs w:val="1"/>
                <w:color w:val="auto"/>
              </w:rPr>
            </w:pPr>
          </w:p>
        </w:tc>
      </w:tr>
      <w:tr>
        <w:trPr>
          <w:trHeight w:val="230"/>
        </w:trPr>
        <w:tc>
          <w:tcPr>
            <w:tcW w:w="2420" w:type="dxa"/>
            <w:vAlign w:val="bottom"/>
            <w:shd w:val="clear" w:color="auto" w:fill="D7F5C4"/>
          </w:tcPr>
          <w:p>
            <w:pPr>
              <w:spacing w:after="0"/>
              <w:rPr>
                <w:sz w:val="20"/>
                <w:szCs w:val="20"/>
                <w:color w:val="auto"/>
              </w:rPr>
            </w:pPr>
            <w:r>
              <w:rPr>
                <w:rFonts w:ascii="Arial" w:cs="Arial" w:eastAsia="Arial" w:hAnsi="Arial"/>
                <w:sz w:val="18"/>
                <w:szCs w:val="18"/>
                <w:color w:val="auto"/>
              </w:rPr>
              <w:t>John D. Chandler</w:t>
            </w:r>
          </w:p>
        </w:tc>
        <w:tc>
          <w:tcPr>
            <w:tcW w:w="1780" w:type="dxa"/>
            <w:vAlign w:val="bottom"/>
            <w:shd w:val="clear" w:color="auto" w:fill="D7F5C4"/>
          </w:tcPr>
          <w:p>
            <w:pPr>
              <w:jc w:val="right"/>
              <w:ind w:right="142"/>
              <w:spacing w:after="0" w:line="230" w:lineRule="exact"/>
              <w:rPr>
                <w:sz w:val="20"/>
                <w:szCs w:val="20"/>
                <w:color w:val="auto"/>
              </w:rPr>
            </w:pPr>
            <w:r>
              <w:rPr>
                <w:rFonts w:ascii="Arial" w:cs="Arial" w:eastAsia="Arial" w:hAnsi="Arial"/>
                <w:sz w:val="16"/>
                <w:szCs w:val="16"/>
                <w:color w:val="auto"/>
              </w:rPr>
              <w:t>85,000</w:t>
            </w:r>
            <w:r>
              <w:rPr>
                <w:rFonts w:ascii="Arial" w:cs="Arial" w:eastAsia="Arial" w:hAnsi="Arial"/>
                <w:sz w:val="26"/>
                <w:szCs w:val="26"/>
                <w:color w:val="auto"/>
                <w:vertAlign w:val="superscript"/>
              </w:rPr>
              <w:t>(8)</w:t>
            </w:r>
          </w:p>
        </w:tc>
        <w:tc>
          <w:tcPr>
            <w:tcW w:w="1040" w:type="dxa"/>
            <w:vAlign w:val="bottom"/>
            <w:shd w:val="clear" w:color="auto" w:fill="D7F5C4"/>
          </w:tcPr>
          <w:p>
            <w:pPr>
              <w:jc w:val="right"/>
              <w:ind w:right="17"/>
              <w:spacing w:after="0"/>
              <w:rPr>
                <w:sz w:val="20"/>
                <w:szCs w:val="20"/>
                <w:color w:val="auto"/>
              </w:rPr>
            </w:pPr>
            <w:r>
              <w:rPr>
                <w:rFonts w:ascii="Arial" w:cs="Arial" w:eastAsia="Arial" w:hAnsi="Arial"/>
                <w:sz w:val="18"/>
                <w:szCs w:val="18"/>
                <w:color w:val="auto"/>
              </w:rPr>
              <w:t>85,572</w:t>
            </w:r>
          </w:p>
        </w:tc>
        <w:tc>
          <w:tcPr>
            <w:tcW w:w="780" w:type="dxa"/>
            <w:vAlign w:val="bottom"/>
            <w:shd w:val="clear" w:color="auto" w:fill="D7F5C4"/>
          </w:tcPr>
          <w:p>
            <w:pPr>
              <w:ind w:left="4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D7F5C4"/>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D7F5C4"/>
          </w:tcPr>
          <w:p>
            <w:pPr>
              <w:ind w:left="1000"/>
              <w:spacing w:after="0"/>
              <w:rPr>
                <w:sz w:val="20"/>
                <w:szCs w:val="20"/>
                <w:color w:val="auto"/>
              </w:rPr>
            </w:pPr>
            <w:r>
              <w:rPr>
                <w:rFonts w:ascii="Arial" w:cs="Arial" w:eastAsia="Arial" w:hAnsi="Arial"/>
                <w:sz w:val="18"/>
                <w:szCs w:val="18"/>
                <w:color w:val="auto"/>
              </w:rPr>
              <w:t>—</w:t>
            </w:r>
          </w:p>
        </w:tc>
        <w:tc>
          <w:tcPr>
            <w:tcW w:w="900" w:type="dxa"/>
            <w:vAlign w:val="bottom"/>
            <w:shd w:val="clear" w:color="auto" w:fill="D7F5C4"/>
          </w:tcPr>
          <w:p>
            <w:pPr>
              <w:jc w:val="right"/>
              <w:ind w:right="14"/>
              <w:spacing w:after="0"/>
              <w:rPr>
                <w:sz w:val="20"/>
                <w:szCs w:val="20"/>
                <w:color w:val="auto"/>
              </w:rPr>
            </w:pPr>
            <w:r>
              <w:rPr>
                <w:rFonts w:ascii="Arial" w:cs="Arial" w:eastAsia="Arial" w:hAnsi="Arial"/>
                <w:sz w:val="18"/>
                <w:szCs w:val="18"/>
                <w:color w:val="auto"/>
              </w:rPr>
              <w:t>170,572</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Martha Z. Carnes</w:t>
            </w:r>
          </w:p>
        </w:tc>
        <w:tc>
          <w:tcPr>
            <w:tcW w:w="1780" w:type="dxa"/>
            <w:vAlign w:val="bottom"/>
          </w:tcPr>
          <w:p>
            <w:pPr>
              <w:jc w:val="right"/>
              <w:ind w:right="62"/>
              <w:spacing w:after="0" w:line="230" w:lineRule="exact"/>
              <w:rPr>
                <w:sz w:val="20"/>
                <w:szCs w:val="20"/>
                <w:color w:val="auto"/>
              </w:rPr>
            </w:pPr>
            <w:r>
              <w:rPr>
                <w:rFonts w:ascii="Arial" w:cs="Arial" w:eastAsia="Arial" w:hAnsi="Arial"/>
                <w:sz w:val="16"/>
                <w:szCs w:val="16"/>
                <w:color w:val="auto"/>
              </w:rPr>
              <w:t>100,000</w:t>
            </w:r>
            <w:r>
              <w:rPr>
                <w:rFonts w:ascii="Arial" w:cs="Arial" w:eastAsia="Arial" w:hAnsi="Arial"/>
                <w:sz w:val="26"/>
                <w:szCs w:val="26"/>
                <w:color w:val="auto"/>
                <w:vertAlign w:val="superscript"/>
              </w:rPr>
              <w:t>(10)</w:t>
            </w: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85,572</w:t>
            </w:r>
          </w:p>
        </w:tc>
        <w:tc>
          <w:tcPr>
            <w:tcW w:w="780" w:type="dxa"/>
            <w:vAlign w:val="bottom"/>
          </w:tcPr>
          <w:p>
            <w:pPr>
              <w:ind w:left="4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ind w:left="10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185,572</w:t>
            </w:r>
          </w:p>
        </w:tc>
        <w:tc>
          <w:tcPr>
            <w:tcW w:w="0" w:type="dxa"/>
            <w:vAlign w:val="bottom"/>
          </w:tcPr>
          <w:p>
            <w:pPr>
              <w:spacing w:after="0"/>
              <w:rPr>
                <w:sz w:val="1"/>
                <w:szCs w:val="1"/>
                <w:color w:val="auto"/>
              </w:rPr>
            </w:pPr>
          </w:p>
        </w:tc>
      </w:tr>
      <w:tr>
        <w:trPr>
          <w:trHeight w:val="230"/>
        </w:trPr>
        <w:tc>
          <w:tcPr>
            <w:tcW w:w="2420" w:type="dxa"/>
            <w:vAlign w:val="bottom"/>
            <w:shd w:val="clear" w:color="auto" w:fill="D7F5C4"/>
          </w:tcPr>
          <w:p>
            <w:pPr>
              <w:spacing w:after="0"/>
              <w:rPr>
                <w:sz w:val="20"/>
                <w:szCs w:val="20"/>
                <w:color w:val="auto"/>
              </w:rPr>
            </w:pPr>
            <w:r>
              <w:rPr>
                <w:rFonts w:ascii="Arial" w:cs="Arial" w:eastAsia="Arial" w:hAnsi="Arial"/>
                <w:sz w:val="18"/>
                <w:szCs w:val="18"/>
                <w:color w:val="auto"/>
              </w:rPr>
              <w:t>Liane K. Hinrichs</w:t>
            </w:r>
          </w:p>
        </w:tc>
        <w:tc>
          <w:tcPr>
            <w:tcW w:w="1780" w:type="dxa"/>
            <w:vAlign w:val="bottom"/>
            <w:shd w:val="clear" w:color="auto" w:fill="D7F5C4"/>
          </w:tcPr>
          <w:p>
            <w:pPr>
              <w:jc w:val="right"/>
              <w:ind w:right="62"/>
              <w:spacing w:after="0" w:line="230" w:lineRule="exact"/>
              <w:rPr>
                <w:sz w:val="20"/>
                <w:szCs w:val="20"/>
                <w:color w:val="auto"/>
              </w:rPr>
            </w:pPr>
            <w:r>
              <w:rPr>
                <w:rFonts w:ascii="Arial" w:cs="Arial" w:eastAsia="Arial" w:hAnsi="Arial"/>
                <w:sz w:val="16"/>
                <w:szCs w:val="16"/>
                <w:color w:val="auto"/>
              </w:rPr>
              <w:t>90,000</w:t>
            </w:r>
            <w:r>
              <w:rPr>
                <w:rFonts w:ascii="Arial" w:cs="Arial" w:eastAsia="Arial" w:hAnsi="Arial"/>
                <w:sz w:val="26"/>
                <w:szCs w:val="26"/>
                <w:color w:val="auto"/>
                <w:vertAlign w:val="superscript"/>
              </w:rPr>
              <w:t>(11)</w:t>
            </w:r>
          </w:p>
        </w:tc>
        <w:tc>
          <w:tcPr>
            <w:tcW w:w="1040" w:type="dxa"/>
            <w:vAlign w:val="bottom"/>
            <w:shd w:val="clear" w:color="auto" w:fill="D7F5C4"/>
          </w:tcPr>
          <w:p>
            <w:pPr>
              <w:jc w:val="right"/>
              <w:ind w:right="17"/>
              <w:spacing w:after="0"/>
              <w:rPr>
                <w:sz w:val="20"/>
                <w:szCs w:val="20"/>
                <w:color w:val="auto"/>
              </w:rPr>
            </w:pPr>
            <w:r>
              <w:rPr>
                <w:rFonts w:ascii="Arial" w:cs="Arial" w:eastAsia="Arial" w:hAnsi="Arial"/>
                <w:sz w:val="18"/>
                <w:szCs w:val="18"/>
                <w:color w:val="auto"/>
              </w:rPr>
              <w:t>121,247</w:t>
            </w:r>
          </w:p>
        </w:tc>
        <w:tc>
          <w:tcPr>
            <w:tcW w:w="780" w:type="dxa"/>
            <w:vAlign w:val="bottom"/>
            <w:shd w:val="clear" w:color="auto" w:fill="D7F5C4"/>
          </w:tcPr>
          <w:p>
            <w:pPr>
              <w:ind w:left="4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D7F5C4"/>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D7F5C4"/>
          </w:tcPr>
          <w:p>
            <w:pPr>
              <w:ind w:left="1000"/>
              <w:spacing w:after="0"/>
              <w:rPr>
                <w:sz w:val="20"/>
                <w:szCs w:val="20"/>
                <w:color w:val="auto"/>
              </w:rPr>
            </w:pPr>
            <w:r>
              <w:rPr>
                <w:rFonts w:ascii="Arial" w:cs="Arial" w:eastAsia="Arial" w:hAnsi="Arial"/>
                <w:sz w:val="18"/>
                <w:szCs w:val="18"/>
                <w:color w:val="auto"/>
              </w:rPr>
              <w:t>—</w:t>
            </w:r>
          </w:p>
        </w:tc>
        <w:tc>
          <w:tcPr>
            <w:tcW w:w="900" w:type="dxa"/>
            <w:vAlign w:val="bottom"/>
            <w:shd w:val="clear" w:color="auto" w:fill="D7F5C4"/>
          </w:tcPr>
          <w:p>
            <w:pPr>
              <w:jc w:val="right"/>
              <w:ind w:right="14"/>
              <w:spacing w:after="0"/>
              <w:rPr>
                <w:sz w:val="20"/>
                <w:szCs w:val="20"/>
                <w:color w:val="auto"/>
              </w:rPr>
            </w:pPr>
            <w:r>
              <w:rPr>
                <w:rFonts w:ascii="Arial" w:cs="Arial" w:eastAsia="Arial" w:hAnsi="Arial"/>
                <w:sz w:val="18"/>
                <w:szCs w:val="18"/>
                <w:color w:val="auto"/>
              </w:rPr>
              <w:t>211,247</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347" w:right="240" w:hanging="347"/>
        <w:spacing w:after="0" w:line="250" w:lineRule="auto"/>
        <w:tabs>
          <w:tab w:leader="none" w:pos="347" w:val="left"/>
        </w:tabs>
        <w:numPr>
          <w:ilvl w:val="0"/>
          <w:numId w:val="14"/>
        </w:numPr>
        <w:rPr>
          <w:rFonts w:ascii="Arial" w:cs="Arial" w:eastAsia="Arial" w:hAnsi="Arial"/>
          <w:sz w:val="14"/>
          <w:szCs w:val="14"/>
          <w:color w:val="auto"/>
        </w:rPr>
      </w:pPr>
      <w:r>
        <w:rPr>
          <w:rFonts w:ascii="Arial" w:cs="Arial" w:eastAsia="Arial" w:hAnsi="Arial"/>
          <w:sz w:val="14"/>
          <w:szCs w:val="14"/>
          <w:color w:val="auto"/>
        </w:rPr>
        <w:t>John R. Hewitt is not included in this table because he is a current employee and thus received no compensation for his service as a director. The compensation received by Mr. Hewitt as an employee is shown in the Summary Compensation Table for our Named Executive Officers under the caption “Executive Officer Compensation”.</w:t>
      </w:r>
    </w:p>
    <w:p>
      <w:pPr>
        <w:spacing w:after="0" w:line="91" w:lineRule="exact"/>
        <w:rPr>
          <w:rFonts w:ascii="Arial" w:cs="Arial" w:eastAsia="Arial" w:hAnsi="Arial"/>
          <w:sz w:val="14"/>
          <w:szCs w:val="14"/>
          <w:color w:val="auto"/>
        </w:rPr>
      </w:pPr>
    </w:p>
    <w:p>
      <w:pPr>
        <w:ind w:left="347" w:right="140" w:hanging="347"/>
        <w:spacing w:after="0" w:line="258" w:lineRule="auto"/>
        <w:tabs>
          <w:tab w:leader="none" w:pos="347"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retainer fees earned in fiscal 2019 but paid subsequent to the completion of the fiscal year and fees earned in fiscal 2019 but deferred under the Deferred Fee Plan.</w:t>
      </w:r>
    </w:p>
    <w:p>
      <w:pPr>
        <w:spacing w:after="0" w:line="86" w:lineRule="exact"/>
        <w:rPr>
          <w:rFonts w:ascii="Arial" w:cs="Arial" w:eastAsia="Arial" w:hAnsi="Arial"/>
          <w:sz w:val="14"/>
          <w:szCs w:val="14"/>
          <w:color w:val="auto"/>
        </w:rPr>
      </w:pPr>
    </w:p>
    <w:p>
      <w:pPr>
        <w:ind w:left="347" w:hanging="347"/>
        <w:spacing w:after="0" w:line="243" w:lineRule="auto"/>
        <w:tabs>
          <w:tab w:leader="none" w:pos="347"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amounts shown represent the grant date fair value for awards granted during fiscal 2019 determined in accordance with the applicable accounting guidance for equity-based awards. For further information on the valuation of these awards, see Notes 1 and 10 to the Consolidated Financial Statements included in our fiscal 2019 Annual Report on Form 10-K. The number of RSUs awarded in fiscal 2019 was determined by dividing the target value of $95,000 by the average share price over the 20-day period ending five days prior to the grant date multiplied by the closing share price on the grant date. For services provided as a member of the Board in fiscal 2019, Messrs. Mogg, Miller, Gibson and Chandler and Ms. Carnes each received an award of 4,116 RSUs with a grant date fair value of $85,572. Ms. Hinrichs received a pro-rata award of 5,832 RSUs with a grant date fair value of $121,247 for services provided from her appointment date of June 2018 through fiscal 2019. As of June 30, 2019, Messrs. Mogg, Miller, Gibson and Chandler and Ms. Carnes each held 4,116 unvested RSUs, and Ms. Hinrichs held 5,832 unvested RSU’s.</w:t>
      </w:r>
    </w:p>
    <w:p>
      <w:pPr>
        <w:spacing w:after="0" w:line="262" w:lineRule="exact"/>
        <w:rPr>
          <w:rFonts w:ascii="Arial" w:cs="Arial" w:eastAsia="Arial" w:hAnsi="Arial"/>
          <w:sz w:val="14"/>
          <w:szCs w:val="14"/>
          <w:color w:val="auto"/>
        </w:rPr>
      </w:pPr>
    </w:p>
    <w:p>
      <w:pPr>
        <w:ind w:left="347" w:hanging="347"/>
        <w:spacing w:after="0"/>
        <w:tabs>
          <w:tab w:leader="none" w:pos="347" w:val="left"/>
        </w:tabs>
        <w:numPr>
          <w:ilvl w:val="0"/>
          <w:numId w:val="14"/>
        </w:numPr>
        <w:rPr>
          <w:rFonts w:ascii="Arial" w:cs="Arial" w:eastAsia="Arial" w:hAnsi="Arial"/>
          <w:sz w:val="14"/>
          <w:szCs w:val="14"/>
          <w:color w:val="auto"/>
        </w:rPr>
      </w:pPr>
      <w:r>
        <w:rPr>
          <w:rFonts w:ascii="Arial" w:cs="Arial" w:eastAsia="Arial" w:hAnsi="Arial"/>
          <w:sz w:val="14"/>
          <w:szCs w:val="14"/>
          <w:color w:val="auto"/>
        </w:rPr>
        <w:t>No stock option awards were granted to non-employee directors in fiscal 2019 and no options were outstanding at June 30, 2019.</w:t>
      </w:r>
    </w:p>
    <w:p>
      <w:pPr>
        <w:spacing w:after="0" w:line="109" w:lineRule="exact"/>
        <w:rPr>
          <w:rFonts w:ascii="Arial" w:cs="Arial" w:eastAsia="Arial" w:hAnsi="Arial"/>
          <w:sz w:val="14"/>
          <w:szCs w:val="14"/>
          <w:color w:val="auto"/>
        </w:rPr>
      </w:pPr>
    </w:p>
    <w:p>
      <w:pPr>
        <w:ind w:left="347" w:right="320" w:hanging="347"/>
        <w:spacing w:after="0" w:line="250" w:lineRule="auto"/>
        <w:tabs>
          <w:tab w:leader="none" w:pos="347" w:val="left"/>
        </w:tabs>
        <w:numPr>
          <w:ilvl w:val="0"/>
          <w:numId w:val="14"/>
        </w:numPr>
        <w:rPr>
          <w:rFonts w:ascii="Arial" w:cs="Arial" w:eastAsia="Arial" w:hAnsi="Arial"/>
          <w:sz w:val="14"/>
          <w:szCs w:val="14"/>
          <w:color w:val="auto"/>
        </w:rPr>
      </w:pPr>
      <w:r>
        <w:rPr>
          <w:rFonts w:ascii="Arial" w:cs="Arial" w:eastAsia="Arial" w:hAnsi="Arial"/>
          <w:sz w:val="14"/>
          <w:szCs w:val="14"/>
          <w:color w:val="auto"/>
        </w:rPr>
        <w:t>A non-employee director may defer all or part of director fees earned into the Deferred Fee Plan and earn interest on any deferred fees. The amounts shown represent interest earned under the plan in excess of a market rate. For fiscal 2019, the market rate for the deferrals was 2.508% as compared to the actual average rate earned of 5.0% for the first six months and 6.25% for the last six months.</w:t>
      </w:r>
    </w:p>
    <w:p>
      <w:pPr>
        <w:spacing w:after="0" w:line="91" w:lineRule="exact"/>
        <w:rPr>
          <w:rFonts w:ascii="Arial" w:cs="Arial" w:eastAsia="Arial" w:hAnsi="Arial"/>
          <w:sz w:val="14"/>
          <w:szCs w:val="14"/>
          <w:color w:val="auto"/>
        </w:rPr>
      </w:pPr>
    </w:p>
    <w:p>
      <w:pPr>
        <w:ind w:left="347" w:hanging="347"/>
        <w:spacing w:after="0" w:line="250" w:lineRule="auto"/>
        <w:tabs>
          <w:tab w:leader="none" w:pos="347"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Represents fees earned by Mr. Maxwell, including fees earned for his service as Chairman of the Board, from July 1, 2018 through his retirement date of October 30, 2018, all of which were deferred under the Deferred Fee Plan. Under this plan, Board members receive cash settlement of deferred fees one year after retirement, which will occur on October 30, 2019.</w:t>
      </w:r>
    </w:p>
    <w:p>
      <w:pPr>
        <w:spacing w:after="0" w:line="91" w:lineRule="exact"/>
        <w:rPr>
          <w:rFonts w:ascii="Arial" w:cs="Arial" w:eastAsia="Arial" w:hAnsi="Arial"/>
          <w:sz w:val="14"/>
          <w:szCs w:val="14"/>
          <w:color w:val="auto"/>
        </w:rPr>
      </w:pPr>
    </w:p>
    <w:p>
      <w:pPr>
        <w:ind w:left="347" w:right="200" w:hanging="347"/>
        <w:spacing w:after="0" w:line="250" w:lineRule="auto"/>
        <w:tabs>
          <w:tab w:leader="none" w:pos="347" w:val="left"/>
        </w:tabs>
        <w:numPr>
          <w:ilvl w:val="0"/>
          <w:numId w:val="14"/>
        </w:numPr>
        <w:rPr>
          <w:rFonts w:ascii="Arial" w:cs="Arial" w:eastAsia="Arial" w:hAnsi="Arial"/>
          <w:sz w:val="14"/>
          <w:szCs w:val="14"/>
          <w:color w:val="auto"/>
        </w:rPr>
      </w:pPr>
      <w:r>
        <w:rPr>
          <w:rFonts w:ascii="Arial" w:cs="Arial" w:eastAsia="Arial" w:hAnsi="Arial"/>
          <w:sz w:val="14"/>
          <w:szCs w:val="14"/>
          <w:color w:val="auto"/>
        </w:rPr>
        <w:t>Mr. Mogg’s fees represent his annual retainer of $85,000, plus the pro-rated additional retainer of $2,500 for his service as Chairman of the Nominating and Corporate Governance Committee from July 1, 2018 to October 30, 2018, plus the pro-rated additional retainer of $50,000 for his service as Chairman of the Board for the remainder of fiscal 2019. Mr. Mogg deferred $100,000 of these fees.</w:t>
      </w:r>
    </w:p>
    <w:p>
      <w:pPr>
        <w:spacing w:after="0" w:line="91" w:lineRule="exact"/>
        <w:rPr>
          <w:rFonts w:ascii="Arial" w:cs="Arial" w:eastAsia="Arial" w:hAnsi="Arial"/>
          <w:sz w:val="14"/>
          <w:szCs w:val="14"/>
          <w:color w:val="auto"/>
        </w:rPr>
      </w:pPr>
    </w:p>
    <w:p>
      <w:pPr>
        <w:ind w:left="347" w:right="200" w:hanging="347"/>
        <w:spacing w:after="0" w:line="258" w:lineRule="auto"/>
        <w:tabs>
          <w:tab w:leader="none" w:pos="347" w:val="left"/>
        </w:tabs>
        <w:numPr>
          <w:ilvl w:val="0"/>
          <w:numId w:val="14"/>
        </w:numPr>
        <w:rPr>
          <w:rFonts w:ascii="Arial" w:cs="Arial" w:eastAsia="Arial" w:hAnsi="Arial"/>
          <w:sz w:val="14"/>
          <w:szCs w:val="14"/>
          <w:color w:val="auto"/>
        </w:rPr>
      </w:pPr>
      <w:r>
        <w:rPr>
          <w:rFonts w:ascii="Arial" w:cs="Arial" w:eastAsia="Arial" w:hAnsi="Arial"/>
          <w:sz w:val="14"/>
          <w:szCs w:val="14"/>
          <w:color w:val="auto"/>
        </w:rPr>
        <w:t>Fees for Messrs. Miller and Chandler represent their annual retainers of $85,000. Mr. Miller deferred all of these fees, and Mr. Chandler’s fees were paid in cash.</w:t>
      </w:r>
    </w:p>
    <w:p>
      <w:pPr>
        <w:spacing w:after="0" w:line="86" w:lineRule="exact"/>
        <w:rPr>
          <w:rFonts w:ascii="Arial" w:cs="Arial" w:eastAsia="Arial" w:hAnsi="Arial"/>
          <w:sz w:val="14"/>
          <w:szCs w:val="14"/>
          <w:color w:val="auto"/>
        </w:rPr>
      </w:pPr>
    </w:p>
    <w:p>
      <w:pPr>
        <w:ind w:left="347" w:right="840" w:hanging="347"/>
        <w:spacing w:after="0" w:line="258" w:lineRule="auto"/>
        <w:tabs>
          <w:tab w:leader="none" w:pos="347" w:val="left"/>
        </w:tabs>
        <w:numPr>
          <w:ilvl w:val="0"/>
          <w:numId w:val="14"/>
        </w:numPr>
        <w:rPr>
          <w:rFonts w:ascii="Arial" w:cs="Arial" w:eastAsia="Arial" w:hAnsi="Arial"/>
          <w:sz w:val="14"/>
          <w:szCs w:val="14"/>
          <w:color w:val="auto"/>
        </w:rPr>
      </w:pPr>
      <w:r>
        <w:rPr>
          <w:rFonts w:ascii="Arial" w:cs="Arial" w:eastAsia="Arial" w:hAnsi="Arial"/>
          <w:sz w:val="14"/>
          <w:szCs w:val="14"/>
          <w:color w:val="auto"/>
        </w:rPr>
        <w:t>Mr. Gibson’s fees represent his annual retainer of $85,000, plus the additional retainer of $10,000 for his service as Chairman of the Compensation Committee. Mr. Gibson deferred all of these fees.</w:t>
      </w:r>
    </w:p>
    <w:p>
      <w:pPr>
        <w:spacing w:after="0" w:line="86" w:lineRule="exact"/>
        <w:rPr>
          <w:rFonts w:ascii="Arial" w:cs="Arial" w:eastAsia="Arial" w:hAnsi="Arial"/>
          <w:sz w:val="14"/>
          <w:szCs w:val="14"/>
          <w:color w:val="auto"/>
        </w:rPr>
      </w:pPr>
    </w:p>
    <w:p>
      <w:pPr>
        <w:ind w:left="347" w:right="460" w:hanging="347"/>
        <w:spacing w:after="0" w:line="258" w:lineRule="auto"/>
        <w:tabs>
          <w:tab w:leader="none" w:pos="347" w:val="left"/>
        </w:tabs>
        <w:numPr>
          <w:ilvl w:val="0"/>
          <w:numId w:val="14"/>
        </w:numPr>
        <w:rPr>
          <w:rFonts w:ascii="Arial" w:cs="Arial" w:eastAsia="Arial" w:hAnsi="Arial"/>
          <w:sz w:val="14"/>
          <w:szCs w:val="14"/>
          <w:color w:val="auto"/>
        </w:rPr>
      </w:pPr>
      <w:r>
        <w:rPr>
          <w:rFonts w:ascii="Arial" w:cs="Arial" w:eastAsia="Arial" w:hAnsi="Arial"/>
          <w:sz w:val="14"/>
          <w:szCs w:val="14"/>
          <w:color w:val="auto"/>
        </w:rPr>
        <w:t>Ms. Carnes’ fees represent her annual retainer of $85,000, plus the additional retainer of $15,000 for her service as Chairman of the Audit Committee. Ms. Carnes’ fees were paid in cash.</w:t>
      </w:r>
    </w:p>
    <w:p>
      <w:pPr>
        <w:spacing w:after="0" w:line="86" w:lineRule="exact"/>
        <w:rPr>
          <w:rFonts w:ascii="Arial" w:cs="Arial" w:eastAsia="Arial" w:hAnsi="Arial"/>
          <w:sz w:val="14"/>
          <w:szCs w:val="14"/>
          <w:color w:val="auto"/>
        </w:rPr>
      </w:pPr>
    </w:p>
    <w:p>
      <w:pPr>
        <w:jc w:val="both"/>
        <w:ind w:left="347" w:right="180" w:hanging="347"/>
        <w:spacing w:after="0" w:line="258" w:lineRule="auto"/>
        <w:tabs>
          <w:tab w:leader="none" w:pos="347" w:val="left"/>
        </w:tabs>
        <w:numPr>
          <w:ilvl w:val="0"/>
          <w:numId w:val="14"/>
        </w:numPr>
        <w:rPr>
          <w:rFonts w:ascii="Arial" w:cs="Arial" w:eastAsia="Arial" w:hAnsi="Arial"/>
          <w:sz w:val="14"/>
          <w:szCs w:val="14"/>
          <w:color w:val="auto"/>
        </w:rPr>
      </w:pPr>
      <w:r>
        <w:rPr>
          <w:rFonts w:ascii="Arial" w:cs="Arial" w:eastAsia="Arial" w:hAnsi="Arial"/>
          <w:sz w:val="14"/>
          <w:szCs w:val="14"/>
          <w:color w:val="auto"/>
        </w:rPr>
        <w:t>Ms. Hinrichs’ fees represent her annual retainer of $85,000, plus the pro-rated additional retainer of $5,000 for her service as Chairman of the Nominating and Corporate Governance Committee from October 31, 2018 through the end of fiscal 2019. Ms Hinrichs’ fees were paid in cash.</w:t>
      </w:r>
    </w:p>
    <w:p>
      <w:pPr>
        <w:spacing w:after="0" w:line="189"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607187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6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61DA16"/>
        </w:rPr>
        <w:t>AUDIT COMMITTEE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61DA16"/>
        </w:rPr>
        <w:t>Report of the Audit Committee of the Board</w:t>
      </w:r>
    </w:p>
    <w:p>
      <w:pPr>
        <w:spacing w:after="0" w:line="12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Audit Committee oversees the Company’s financial reporting process, including the system of internal controls, on behalf of the Board of Directors. Management has the primary responsibility for the financial statements and the associated system of internal controls. The Company’s independent registered public accounting firm is responsible for performing an independent audit of the Company’s financial statements and internal control over financial reporting in accordance with the Public Company Accounting Oversight Board standards and to issue a report thereon. The Audit Committee monitors these processes. The Audit Committee’s role does not provide any special assurance with regard to the Company’s financial statements, nor does it involve a professional evaluation of the quality of the audits performed by the independent registered public accounting firm. As part of its oversight responsibilities, the Audit Committee has:</w:t>
      </w:r>
    </w:p>
    <w:p>
      <w:pPr>
        <w:spacing w:after="0" w:line="105" w:lineRule="exact"/>
        <w:rPr>
          <w:sz w:val="20"/>
          <w:szCs w:val="20"/>
          <w:color w:val="auto"/>
        </w:rPr>
      </w:pPr>
    </w:p>
    <w:p>
      <w:pPr>
        <w:jc w:val="both"/>
        <w:ind w:left="700" w:right="240" w:hanging="35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reviewed and discussed with the Company’s internal auditors and independent registered public accounting firm, with and without management present, their evaluations of the Company’s internal accounting controls and the overall quality of the Company’s financial reporting;</w:t>
      </w:r>
    </w:p>
    <w:p>
      <w:pPr>
        <w:spacing w:after="0" w:line="94" w:lineRule="exact"/>
        <w:rPr>
          <w:rFonts w:ascii="Arial" w:cs="Arial" w:eastAsia="Arial" w:hAnsi="Arial"/>
          <w:sz w:val="18"/>
          <w:szCs w:val="18"/>
          <w:color w:val="auto"/>
        </w:rPr>
      </w:pPr>
    </w:p>
    <w:p>
      <w:pPr>
        <w:ind w:left="700" w:right="760" w:hanging="356"/>
        <w:spacing w:after="0" w:line="246"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reviewed and discussed with management and the independent registered public accounting firm the Company’s audited financial statements as of and for the year ended June 30, 2019;</w:t>
      </w:r>
    </w:p>
    <w:p>
      <w:pPr>
        <w:spacing w:after="0" w:line="88" w:lineRule="exact"/>
        <w:rPr>
          <w:rFonts w:ascii="Arial" w:cs="Arial" w:eastAsia="Arial" w:hAnsi="Arial"/>
          <w:sz w:val="18"/>
          <w:szCs w:val="18"/>
          <w:color w:val="auto"/>
        </w:rPr>
      </w:pPr>
    </w:p>
    <w:p>
      <w:pPr>
        <w:ind w:left="700" w:right="140" w:hanging="356"/>
        <w:spacing w:after="0" w:line="246"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discussed with the independent registered public accounting firm the matters required to be discussed by AS 1301: Communications with Audit Committees of the Public Company Accounting Oversight Board; and</w:t>
      </w:r>
    </w:p>
    <w:p>
      <w:pPr>
        <w:spacing w:after="0" w:line="88" w:lineRule="exact"/>
        <w:rPr>
          <w:rFonts w:ascii="Arial" w:cs="Arial" w:eastAsia="Arial" w:hAnsi="Arial"/>
          <w:sz w:val="18"/>
          <w:szCs w:val="18"/>
          <w:color w:val="auto"/>
        </w:rPr>
      </w:pPr>
    </w:p>
    <w:p>
      <w:pPr>
        <w:ind w:left="700" w:hanging="356"/>
        <w:spacing w:after="0" w:line="239"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received and reviewed the written disclosures and the letter from the independent registered public accounting firm required by the applicable requirements of the Public Company Accounting Oversight Board regarding the independent registered public accounting firm’s communications with the Audit Committee concerning independence, and has discussed with the independent registered public accounting firm its independence.</w:t>
      </w:r>
    </w:p>
    <w:p>
      <w:pPr>
        <w:spacing w:after="0" w:line="9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Based on the reviews and discussions above, the Audit Committee recommended to the Board of Directors that the audited financial statements referred to above be included in the Company’s Annual Report on Form 10-K for the year ended June 30, 2019 for filing with the Securities and Exchange Commission. The Audit Committee, subject to ratification by the stockholders, has selected Deloitte &amp; Touche LLP as the Company’s independent registered public accounting firm for the year ending June 30, 2020.</w:t>
      </w:r>
    </w:p>
    <w:p>
      <w:pPr>
        <w:spacing w:after="0" w:line="9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Audit Committee is governed by a written charter. The Board of Directors has determined that the members of the Audit Committee are independent and financially literate as defined by the applicable standards. The Board has also determined that Martha Z. Carnes, John W. Gibson and John D. Chandler qualify as financial experts as defined by the SEC rules adopted pursuant to the Sarbanes-Oxley Act of 2002.</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Audit Committee:</w:t>
      </w:r>
    </w:p>
    <w:p>
      <w:pPr>
        <w:spacing w:after="0" w:line="10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Martha Z. Carnes, Audit Committee Chairman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James H. Miller, Audit Committee Member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John W. Gibson, Audit Committee Member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John D. Chandler, Audit Committee Member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Liane K. Hinrichs, Audit Committee Member</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607187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61DA16"/>
        </w:rPr>
        <w:t>Fees of Independent Registered Public Accounting Firm</w:t>
      </w:r>
    </w:p>
    <w:p>
      <w:pPr>
        <w:spacing w:after="0" w:line="12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Fees billed for audit services in fiscal 2019 and 2018 include fees associated with the annual audit, the reviews of our quarterly reports on Form 10-Q, the audit of our internal controls, and services performed in connection with other filings with the SEC.</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80" w:type="dxa"/>
            <w:vAlign w:val="bottom"/>
          </w:tcPr>
          <w:p>
            <w:pPr>
              <w:spacing w:after="0"/>
              <w:rPr>
                <w:sz w:val="16"/>
                <w:szCs w:val="16"/>
                <w:color w:val="auto"/>
              </w:rPr>
            </w:pPr>
          </w:p>
        </w:tc>
        <w:tc>
          <w:tcPr>
            <w:tcW w:w="80" w:type="dxa"/>
            <w:vAlign w:val="bottom"/>
            <w:shd w:val="clear" w:color="auto" w:fill="D7F5C4"/>
          </w:tcPr>
          <w:p>
            <w:pPr>
              <w:spacing w:after="0"/>
              <w:rPr>
                <w:sz w:val="16"/>
                <w:szCs w:val="16"/>
                <w:color w:val="auto"/>
              </w:rPr>
            </w:pPr>
          </w:p>
        </w:tc>
        <w:tc>
          <w:tcPr>
            <w:tcW w:w="160" w:type="dxa"/>
            <w:vAlign w:val="bottom"/>
            <w:shd w:val="clear" w:color="auto" w:fill="D7F5C4"/>
          </w:tcPr>
          <w:p>
            <w:pPr>
              <w:spacing w:after="0"/>
              <w:rPr>
                <w:sz w:val="16"/>
                <w:szCs w:val="16"/>
                <w:color w:val="auto"/>
              </w:rPr>
            </w:pPr>
          </w:p>
        </w:tc>
        <w:tc>
          <w:tcPr>
            <w:tcW w:w="2440" w:type="dxa"/>
            <w:vAlign w:val="bottom"/>
            <w:gridSpan w:val="5"/>
            <w:shd w:val="clear" w:color="auto" w:fill="D7F5C4"/>
          </w:tcPr>
          <w:p>
            <w:pPr>
              <w:jc w:val="right"/>
              <w:ind w:right="540"/>
              <w:spacing w:after="0"/>
              <w:rPr>
                <w:sz w:val="20"/>
                <w:szCs w:val="20"/>
                <w:color w:val="auto"/>
              </w:rPr>
            </w:pPr>
            <w:r>
              <w:rPr>
                <w:rFonts w:ascii="Arial" w:cs="Arial" w:eastAsia="Arial" w:hAnsi="Arial"/>
                <w:sz w:val="14"/>
                <w:szCs w:val="14"/>
                <w:b w:val="1"/>
                <w:bCs w:val="1"/>
                <w:color w:val="auto"/>
              </w:rPr>
              <w:t>Deloitte &amp; Touche LLP</w:t>
            </w:r>
          </w:p>
        </w:tc>
      </w:tr>
      <w:tr>
        <w:trPr>
          <w:trHeight w:val="189"/>
        </w:trPr>
        <w:tc>
          <w:tcPr>
            <w:tcW w:w="6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117"/>
              <w:spacing w:after="0"/>
              <w:rPr>
                <w:sz w:val="20"/>
                <w:szCs w:val="20"/>
                <w:color w:val="auto"/>
              </w:rPr>
            </w:pPr>
            <w:r>
              <w:rPr>
                <w:rFonts w:ascii="Arial" w:cs="Arial" w:eastAsia="Arial" w:hAnsi="Arial"/>
                <w:sz w:val="14"/>
                <w:szCs w:val="14"/>
                <w:b w:val="1"/>
                <w:bCs w:val="1"/>
                <w:color w:val="auto"/>
              </w:rPr>
              <w:t>Fiscal 2019</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Fiscal 2018</w:t>
            </w:r>
          </w:p>
        </w:tc>
      </w:tr>
      <w:tr>
        <w:trPr>
          <w:trHeight w:val="230"/>
        </w:trPr>
        <w:tc>
          <w:tcPr>
            <w:tcW w:w="6880" w:type="dxa"/>
            <w:vAlign w:val="bottom"/>
            <w:shd w:val="clear" w:color="auto" w:fill="D7F5C4"/>
          </w:tcPr>
          <w:p>
            <w:pPr>
              <w:spacing w:after="0"/>
              <w:rPr>
                <w:sz w:val="20"/>
                <w:szCs w:val="20"/>
                <w:color w:val="auto"/>
              </w:rPr>
            </w:pPr>
            <w:r>
              <w:rPr>
                <w:rFonts w:ascii="Arial" w:cs="Arial" w:eastAsia="Arial" w:hAnsi="Arial"/>
                <w:sz w:val="18"/>
                <w:szCs w:val="18"/>
                <w:color w:val="auto"/>
              </w:rPr>
              <w:t>Audit Services</w:t>
            </w:r>
          </w:p>
        </w:tc>
        <w:tc>
          <w:tcPr>
            <w:tcW w:w="240" w:type="dxa"/>
            <w:vAlign w:val="bottom"/>
            <w:gridSpan w:val="2"/>
            <w:shd w:val="clear" w:color="auto" w:fill="D7F5C4"/>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D7F5C4"/>
          </w:tcPr>
          <w:p>
            <w:pPr>
              <w:jc w:val="right"/>
              <w:spacing w:after="0"/>
              <w:rPr>
                <w:sz w:val="20"/>
                <w:szCs w:val="20"/>
                <w:color w:val="auto"/>
              </w:rPr>
            </w:pPr>
            <w:r>
              <w:rPr>
                <w:rFonts w:ascii="Arial" w:cs="Arial" w:eastAsia="Arial" w:hAnsi="Arial"/>
                <w:sz w:val="18"/>
                <w:szCs w:val="18"/>
                <w:color w:val="auto"/>
              </w:rPr>
              <w:t>1,465,345</w:t>
            </w:r>
          </w:p>
        </w:tc>
        <w:tc>
          <w:tcPr>
            <w:tcW w:w="340" w:type="dxa"/>
            <w:vAlign w:val="bottom"/>
            <w:gridSpan w:val="2"/>
            <w:shd w:val="clear" w:color="auto" w:fill="D7F5C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D7F5C4"/>
          </w:tcPr>
          <w:p>
            <w:pPr>
              <w:jc w:val="right"/>
              <w:spacing w:after="0"/>
              <w:rPr>
                <w:sz w:val="20"/>
                <w:szCs w:val="20"/>
                <w:color w:val="auto"/>
              </w:rPr>
            </w:pPr>
            <w:r>
              <w:rPr>
                <w:rFonts w:ascii="Arial" w:cs="Arial" w:eastAsia="Arial" w:hAnsi="Arial"/>
                <w:sz w:val="18"/>
                <w:szCs w:val="18"/>
                <w:color w:val="auto"/>
              </w:rPr>
              <w:t>1,471,700</w:t>
            </w:r>
          </w:p>
        </w:tc>
        <w:tc>
          <w:tcPr>
            <w:tcW w:w="100" w:type="dxa"/>
            <w:vAlign w:val="bottom"/>
            <w:shd w:val="clear" w:color="auto" w:fill="D7F5C4"/>
          </w:tcPr>
          <w:p>
            <w:pPr>
              <w:spacing w:after="0"/>
              <w:rPr>
                <w:sz w:val="19"/>
                <w:szCs w:val="19"/>
                <w:color w:val="auto"/>
              </w:rPr>
            </w:pPr>
          </w:p>
        </w:tc>
      </w:tr>
      <w:tr>
        <w:trPr>
          <w:trHeight w:val="223"/>
        </w:trPr>
        <w:tc>
          <w:tcPr>
            <w:tcW w:w="6880" w:type="dxa"/>
            <w:vAlign w:val="bottom"/>
          </w:tcPr>
          <w:p>
            <w:pPr>
              <w:spacing w:after="0"/>
              <w:rPr>
                <w:sz w:val="20"/>
                <w:szCs w:val="20"/>
                <w:color w:val="auto"/>
              </w:rPr>
            </w:pPr>
            <w:r>
              <w:rPr>
                <w:rFonts w:ascii="Arial" w:cs="Arial" w:eastAsia="Arial" w:hAnsi="Arial"/>
                <w:sz w:val="18"/>
                <w:szCs w:val="18"/>
                <w:color w:val="auto"/>
              </w:rPr>
              <w:t>Other Services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64"/>
        </w:trPr>
        <w:tc>
          <w:tcPr>
            <w:tcW w:w="6880" w:type="dxa"/>
            <w:vAlign w:val="bottom"/>
            <w:tcBorders>
              <w:bottom w:val="single" w:sz="8" w:color="D7F5C4"/>
            </w:tcBorders>
            <w:shd w:val="clear" w:color="auto" w:fill="D7F5C4"/>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D7F5C4"/>
            </w:tcBorders>
            <w:shd w:val="clear" w:color="auto" w:fill="D7F5C4"/>
          </w:tcPr>
          <w:p>
            <w:pPr>
              <w:spacing w:after="0"/>
              <w:rPr>
                <w:sz w:val="22"/>
                <w:szCs w:val="22"/>
                <w:color w:val="auto"/>
              </w:rPr>
            </w:pPr>
          </w:p>
        </w:tc>
        <w:tc>
          <w:tcPr>
            <w:tcW w:w="160" w:type="dxa"/>
            <w:vAlign w:val="bottom"/>
            <w:tcBorders>
              <w:top w:val="single" w:sz="8" w:color="auto"/>
              <w:bottom w:val="single" w:sz="8" w:color="auto"/>
            </w:tcBorders>
            <w:shd w:val="clear" w:color="auto" w:fill="D7F5C4"/>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D7F5C4"/>
          </w:tcPr>
          <w:p>
            <w:pPr>
              <w:jc w:val="right"/>
              <w:spacing w:after="0"/>
              <w:rPr>
                <w:sz w:val="20"/>
                <w:szCs w:val="20"/>
                <w:color w:val="auto"/>
              </w:rPr>
            </w:pPr>
            <w:r>
              <w:rPr>
                <w:rFonts w:ascii="Arial" w:cs="Arial" w:eastAsia="Arial" w:hAnsi="Arial"/>
                <w:sz w:val="18"/>
                <w:szCs w:val="18"/>
                <w:color w:val="auto"/>
              </w:rPr>
              <w:t>1,475,345</w:t>
            </w:r>
          </w:p>
        </w:tc>
        <w:tc>
          <w:tcPr>
            <w:tcW w:w="160" w:type="dxa"/>
            <w:vAlign w:val="bottom"/>
            <w:tcBorders>
              <w:bottom w:val="single" w:sz="8" w:color="D7F5C4"/>
            </w:tcBorders>
            <w:shd w:val="clear" w:color="auto" w:fill="D7F5C4"/>
          </w:tcPr>
          <w:p>
            <w:pPr>
              <w:spacing w:after="0"/>
              <w:rPr>
                <w:sz w:val="22"/>
                <w:szCs w:val="22"/>
                <w:color w:val="auto"/>
              </w:rPr>
            </w:pPr>
          </w:p>
        </w:tc>
        <w:tc>
          <w:tcPr>
            <w:tcW w:w="180" w:type="dxa"/>
            <w:vAlign w:val="bottom"/>
            <w:tcBorders>
              <w:top w:val="single" w:sz="8" w:color="auto"/>
              <w:bottom w:val="single" w:sz="8" w:color="auto"/>
            </w:tcBorders>
            <w:shd w:val="clear" w:color="auto" w:fill="D7F5C4"/>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D7F5C4"/>
          </w:tcPr>
          <w:p>
            <w:pPr>
              <w:jc w:val="right"/>
              <w:spacing w:after="0"/>
              <w:rPr>
                <w:sz w:val="20"/>
                <w:szCs w:val="20"/>
                <w:color w:val="auto"/>
              </w:rPr>
            </w:pPr>
            <w:r>
              <w:rPr>
                <w:rFonts w:ascii="Arial" w:cs="Arial" w:eastAsia="Arial" w:hAnsi="Arial"/>
                <w:sz w:val="18"/>
                <w:szCs w:val="18"/>
                <w:color w:val="auto"/>
              </w:rPr>
              <w:t>1,471,700</w:t>
            </w:r>
          </w:p>
        </w:tc>
        <w:tc>
          <w:tcPr>
            <w:tcW w:w="100" w:type="dxa"/>
            <w:vAlign w:val="bottom"/>
            <w:tcBorders>
              <w:bottom w:val="single" w:sz="8" w:color="D7F5C4"/>
            </w:tcBorders>
            <w:shd w:val="clear" w:color="auto" w:fill="D7F5C4"/>
          </w:tcPr>
          <w:p>
            <w:pPr>
              <w:spacing w:after="0"/>
              <w:rPr>
                <w:sz w:val="22"/>
                <w:szCs w:val="22"/>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61DA16"/>
        </w:rPr>
        <w:t>Audit Committee Pre-Approval Policy</w:t>
      </w:r>
    </w:p>
    <w:p>
      <w:pPr>
        <w:spacing w:after="0" w:line="126"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The Audit Committee’s policy is to pre-approve all audit, audit-related, tax and permissible non-audit services provided by the independent registered public accounting firm on a periodic basis up to a specified dollar amount in order to assure that the provision of such services does not impair the auditor’s independence. If the dollar amount of any anticipated services is expected to exceed the predetermined limit, pre-approval of the Audit Committee is required.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61DA16"/>
        </w:rPr>
        <w:t>PROPOSAL NUMBER 2:</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61DA16"/>
        </w:rPr>
        <w:t>Ratification of Selection of Independent Registered Public Accounting Firm</w:t>
      </w:r>
    </w:p>
    <w:p>
      <w:pPr>
        <w:spacing w:after="0" w:line="10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Pursuant to the Sarbanes-Oxley Act of 2002, the Audit Committee of the Board of the Company has been charged with the exclusive power and authority to engage or terminate the independent registered public accounting firm. The Audit Committee of the Board has engaged the firm of Deloitte &amp; Touche LLP as the Company’s independent registered public accounting firm for the fiscal year ending June 30, 2020. Deloitte &amp; Touche LLP has served as independent auditors for the Company since January 2006.</w:t>
      </w:r>
    </w:p>
    <w:p>
      <w:pPr>
        <w:spacing w:after="0" w:line="97" w:lineRule="exact"/>
        <w:rPr>
          <w:sz w:val="20"/>
          <w:szCs w:val="20"/>
          <w:color w:val="auto"/>
        </w:rPr>
      </w:pPr>
    </w:p>
    <w:p>
      <w:pPr>
        <w:jc w:val="both"/>
        <w:ind w:right="560"/>
        <w:spacing w:after="0" w:line="256" w:lineRule="auto"/>
        <w:rPr>
          <w:sz w:val="20"/>
          <w:szCs w:val="20"/>
          <w:color w:val="auto"/>
        </w:rPr>
      </w:pPr>
      <w:r>
        <w:rPr>
          <w:rFonts w:ascii="Arial" w:cs="Arial" w:eastAsia="Arial" w:hAnsi="Arial"/>
          <w:sz w:val="18"/>
          <w:szCs w:val="18"/>
          <w:color w:val="auto"/>
        </w:rPr>
        <w:t>A proposal will be presented at the Annual Meeting asking the stockholders to ratify the appointment of Deloitte &amp; Touche LLP as the Company’s independent registered public accounting firm. If the stockholders do not ratify the appointment of Deloitte &amp; Touche LLP, the Audit Committee will reconsider the appointment.</w:t>
      </w:r>
    </w:p>
    <w:p>
      <w:pPr>
        <w:spacing w:after="0" w:line="9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 representative of Deloitte &amp; Touche LLP is expected to be present at the Annual Meeting and will have an opportunity to make a statement, if he or she desires to do so, and to respond to appropriate questions from those attending the meeting.</w:t>
      </w:r>
    </w:p>
    <w:p>
      <w:pPr>
        <w:spacing w:after="0" w:line="9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The affirmative vote of holders of a majority of the shares of common stock present in person or represented by proxy at the Annual Meeting is required for the adoption of this proposal. </w:t>
      </w:r>
      <w:r>
        <w:rPr>
          <w:rFonts w:ascii="Arial" w:cs="Arial" w:eastAsia="Arial" w:hAnsi="Arial"/>
          <w:sz w:val="18"/>
          <w:szCs w:val="18"/>
          <w:b w:val="1"/>
          <w:bCs w:val="1"/>
          <w:color w:val="auto"/>
        </w:rPr>
        <w:t>The Board unanimously recommends that the</w:t>
      </w:r>
      <w:r>
        <w:rPr>
          <w:rFonts w:ascii="Arial" w:cs="Arial" w:eastAsia="Arial" w:hAnsi="Arial"/>
          <w:sz w:val="18"/>
          <w:szCs w:val="18"/>
          <w:color w:val="auto"/>
        </w:rPr>
        <w:t xml:space="preserve"> </w:t>
      </w:r>
      <w:r>
        <w:rPr>
          <w:rFonts w:ascii="Arial" w:cs="Arial" w:eastAsia="Arial" w:hAnsi="Arial"/>
          <w:sz w:val="18"/>
          <w:szCs w:val="18"/>
          <w:b w:val="1"/>
          <w:bCs w:val="1"/>
          <w:color w:val="auto"/>
        </w:rPr>
        <w:t>stockholders vote “For” ratification of Deloitte &amp; Touche LLP’s engagement.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607187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61DA16"/>
        </w:rPr>
        <w:t>EXECUTIVE OFFICER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61DA16"/>
        </w:rPr>
        <w:t>Executive Officer Biographies</w:t>
      </w:r>
    </w:p>
    <w:p>
      <w:pPr>
        <w:spacing w:after="0" w:line="126"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In addition to Mr. Hewitt, the Company’s President and Chief Executive Officer, who serves on the Board and whose biographical information is set forth under the caption, “Nominated Director Biographies,” the executive officers of the Company are:</w:t>
      </w:r>
    </w:p>
    <w:p>
      <w:pPr>
        <w:spacing w:after="0" w:line="7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color w:val="auto"/>
        </w:rPr>
        <w:t>Joseph F. Montalbano</w:t>
      </w:r>
      <w:r>
        <w:rPr>
          <w:rFonts w:ascii="Arial" w:cs="Arial" w:eastAsia="Arial" w:hAnsi="Arial"/>
          <w:sz w:val="18"/>
          <w:szCs w:val="18"/>
          <w:color w:val="auto"/>
        </w:rPr>
        <w:t>, age 70, has served as Vice President and Chief Operating Officer since May 2008. In August</w:t>
      </w:r>
      <w:r>
        <w:rPr>
          <w:rFonts w:ascii="Arial" w:cs="Arial" w:eastAsia="Arial" w:hAnsi="Arial"/>
          <w:sz w:val="18"/>
          <w:szCs w:val="18"/>
          <w:b w:val="1"/>
          <w:bCs w:val="1"/>
          <w:color w:val="auto"/>
        </w:rPr>
        <w:t xml:space="preserve"> </w:t>
      </w:r>
      <w:r>
        <w:rPr>
          <w:rFonts w:ascii="Arial" w:cs="Arial" w:eastAsia="Arial" w:hAnsi="Arial"/>
          <w:sz w:val="18"/>
          <w:szCs w:val="18"/>
          <w:color w:val="auto"/>
        </w:rPr>
        <w:t>of 2019, Mr. Montalbano notified the Company of his intent to retire on June 30, 2020. From 2002 to 2008, Mr. Montalbano served as Senior Vice President – Senior Project Director Energy Sector of Black &amp; Veatch, where he was responsible for all construction projects under his direction. Prior to working at Black &amp; Veatch, from 1972 to 2002, Mr. Montalbano served numerous project management roles with a national construction firm serving the energy sector. Mr. Montalbano holds a Bachelor of Science degree in Electrical Engineering and a Masters of Science degree in Electrical Engineering from Polytechnic Institute of Brooklyn. He earned a Masters in Business Administration degree from New York Institute of Technology and is registered as a Professional Engineer in multiple states. Mr. Montalbano also served on the Board of the Ronald McDonald House Charities of Tulsa from September 2014 to September 2018.</w:t>
      </w:r>
    </w:p>
    <w:p>
      <w:pPr>
        <w:spacing w:after="0" w:line="7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color w:val="auto"/>
        </w:rPr>
        <w:t>Kevin S. Cavanah</w:t>
      </w:r>
      <w:r>
        <w:rPr>
          <w:rFonts w:ascii="Arial" w:cs="Arial" w:eastAsia="Arial" w:hAnsi="Arial"/>
          <w:sz w:val="18"/>
          <w:szCs w:val="18"/>
          <w:color w:val="auto"/>
        </w:rPr>
        <w:t>, age 54, has served as Vice President – Finance, Chief Financial Officer since December 2010 and</w:t>
      </w:r>
      <w:r>
        <w:rPr>
          <w:rFonts w:ascii="Arial" w:cs="Arial" w:eastAsia="Arial" w:hAnsi="Arial"/>
          <w:sz w:val="18"/>
          <w:szCs w:val="18"/>
          <w:b w:val="1"/>
          <w:bCs w:val="1"/>
          <w:color w:val="auto"/>
        </w:rPr>
        <w:t xml:space="preserve"> </w:t>
      </w:r>
      <w:r>
        <w:rPr>
          <w:rFonts w:ascii="Arial" w:cs="Arial" w:eastAsia="Arial" w:hAnsi="Arial"/>
          <w:sz w:val="18"/>
          <w:szCs w:val="18"/>
          <w:color w:val="auto"/>
        </w:rPr>
        <w:t>as Treasurer since December 2013. Mr. Cavanah also served as Secretary for the Company from December 2010 to October 2018. Mr. Cavanah served as Vice President, Accounting and Financial Reporting for the Company from August 2007 to December 2010 and as Controller from April 2003 to December 2010. Prior to joining the Company, Mr. Cavanah served as an Accounting Manager for Williams Communications from 2001 to 2003 and as an Accounting Manager for The Williams Companies, Inc. from 1998 to 2001. Prior to joining The Williams Companies, Inc., Mr. Cavanah served as an Audit Manager for Ernst &amp; Young, LLP. Mr. Cavanah has a Bachelor of Science in Business Administration degree in Accounting from the University of Arkansas. Mr. Cavanah also serves on the Board of the Tulsa Area United Way as well as its Finance and Audit Committee.</w:t>
      </w:r>
    </w:p>
    <w:p>
      <w:pPr>
        <w:spacing w:after="0" w:line="7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color w:val="auto"/>
        </w:rPr>
        <w:t>Alan R. Updyke</w:t>
      </w:r>
      <w:r>
        <w:rPr>
          <w:rFonts w:ascii="Arial" w:cs="Arial" w:eastAsia="Arial" w:hAnsi="Arial"/>
          <w:sz w:val="18"/>
          <w:szCs w:val="18"/>
          <w:color w:val="auto"/>
        </w:rPr>
        <w:t>, age 59, has served as President of Operations since September 2019. He was President of Matrix</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Inc., one of the Company’s principal operating subsidiaries, from February 2018 to September 2019. He previously served as Senior Vice President, Operations for Matrix Service Inc. from September 2014 to January 2018. Prior to that, he served as Vice President of Construction for Matrix Service Inc. from July 2012 to August 2014. Before joining Matrix Service Inc., Mr. Updyke spent 17 years with Brinderson in various roles, most recently as President of their Western Operations. In that role, Mr. Updyke was responsible for providing strategic leadership and management direction to four regional offices and all major capital construction projects. Previous to that, Mr. Updyke was the General Manager of Turner Industries West Coast Operations.</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Jason W. Turner</w:t>
      </w:r>
      <w:r>
        <w:rPr>
          <w:rFonts w:ascii="Arial" w:cs="Arial" w:eastAsia="Arial" w:hAnsi="Arial"/>
          <w:sz w:val="18"/>
          <w:szCs w:val="18"/>
          <w:color w:val="auto"/>
        </w:rPr>
        <w:t>, age 48, has served as President, Matrix North American Construction, one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principal operating subsidiaries, since December 2013. He previously served as Vice President, Corporate Development and Treasurer for Matrix Service Company from August of 2012 to December 2013 and as Vice President and Treasurer from May 2010 to August 2012. Prior to that, Mr. Turner served as Director of Finance for Matrix Service Company from March 2006 to May 2010. Prior to joining the Company, Mr. Turner served as Vice President Credit Products Officer for Bank of America. From May 1996 to February 2005, Mr. Turner held various positions with Gemstar-TV Guide including Vice President of Finance for TV Guide Networks. Prior to 1996, Mr. Turner worked for the Federal Reserve Bank and in commercial banking. Mr. Turner has a Bachelor of Science Degree in Finance from Oklahoma State University and an MBA from the University of Tulsa.</w:t>
      </w:r>
    </w:p>
    <w:p>
      <w:pPr>
        <w:spacing w:after="0" w:line="7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Nancy E. Austin</w:t>
      </w:r>
      <w:r>
        <w:rPr>
          <w:rFonts w:ascii="Arial" w:cs="Arial" w:eastAsia="Arial" w:hAnsi="Arial"/>
          <w:sz w:val="18"/>
          <w:szCs w:val="18"/>
          <w:color w:val="auto"/>
        </w:rPr>
        <w:t>, age 52, has served as Vice President, Chief Administrative Officer for the Company since October</w:t>
      </w:r>
      <w:r>
        <w:rPr>
          <w:rFonts w:ascii="Arial" w:cs="Arial" w:eastAsia="Arial" w:hAnsi="Arial"/>
          <w:sz w:val="18"/>
          <w:szCs w:val="18"/>
          <w:b w:val="1"/>
          <w:bCs w:val="1"/>
          <w:color w:val="auto"/>
        </w:rPr>
        <w:t xml:space="preserve"> </w:t>
      </w:r>
      <w:r>
        <w:rPr>
          <w:rFonts w:ascii="Arial" w:cs="Arial" w:eastAsia="Arial" w:hAnsi="Arial"/>
          <w:sz w:val="18"/>
          <w:szCs w:val="18"/>
          <w:color w:val="auto"/>
        </w:rPr>
        <w:t>2018. She previously served as Vice President, Strategic Services and Administration from August 2016 to October 2018 and as Vice President, Human Resources from January 2006 to August 2016. Prior to that, Mrs. Austin served as Director of Human Resources from September 2000 to January 2006. Prior to joining the Company, Mrs. Austin worked for TV Guide, Samson Resources and Villareal &amp; Associates specializing in human resource management, employee relations, and consulting. Mrs. Austin holds a Bachelor of Science degree in Political Science from Oklahoma State University and is a certified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607187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Professional in Human Resources. She is also a member of the Society for Human Resource Management and World-at-Work. Mrs. Austin serves on the Board of the Northeast Oklahoma Chapter of American Red Cross, and she also serves on the Board of the Girl Scouts of Eastern Oklahoma.</w:t>
      </w:r>
    </w:p>
    <w:p>
      <w:pPr>
        <w:spacing w:after="0" w:line="7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b w:val="1"/>
          <w:bCs w:val="1"/>
          <w:color w:val="auto"/>
        </w:rPr>
        <w:t>Rick J. Bennett</w:t>
      </w:r>
      <w:r>
        <w:rPr>
          <w:rFonts w:ascii="Arial" w:cs="Arial" w:eastAsia="Arial" w:hAnsi="Arial"/>
          <w:sz w:val="17"/>
          <w:szCs w:val="17"/>
          <w:color w:val="auto"/>
        </w:rPr>
        <w:t>, age 54, joined the Company as Vice President and Chief Information Officer in October 2014. Prior to</w:t>
      </w:r>
      <w:r>
        <w:rPr>
          <w:rFonts w:ascii="Arial" w:cs="Arial" w:eastAsia="Arial" w:hAnsi="Arial"/>
          <w:sz w:val="17"/>
          <w:szCs w:val="17"/>
          <w:b w:val="1"/>
          <w:bCs w:val="1"/>
          <w:color w:val="auto"/>
        </w:rPr>
        <w:t xml:space="preserve"> </w:t>
      </w:r>
      <w:r>
        <w:rPr>
          <w:rFonts w:ascii="Arial" w:cs="Arial" w:eastAsia="Arial" w:hAnsi="Arial"/>
          <w:sz w:val="17"/>
          <w:szCs w:val="17"/>
          <w:color w:val="auto"/>
        </w:rPr>
        <w:t>joining Matrix, Mr. Bennett served ten years as the Chief Information Officer at T.D. Williamson based in Tulsa, Oklahoma. Prior to that, he held leadership positions in information technology at Blue Cross Blue Shield of Oklahoma, Blakely Crop Hail Insurance, National Farmers Organization, Taylor Ball Construction Management and The Principal Financial Group. Mr. Bennett holds an Executive Certificate from the Massachusetts Institute of Technology (MIT) Sloan School of Management, a Bachelor of Business degree with emphasis in Management Information Systems from Western Illinois University, and completed a Masters of Energy Business degree at the University of Tulsa in May 2018. Early in his career he served in the United States Navy as an Interior Communications Electrician. Mr. Bennett serves on the Tulsa Region Board of Junior Achievement of Oklahoma, and he also serves on the Advisory Board of 501tech.</w:t>
      </w:r>
    </w:p>
    <w:p>
      <w:pPr>
        <w:spacing w:after="0" w:line="66"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Justin D. Sheets</w:t>
      </w:r>
      <w:r>
        <w:rPr>
          <w:rFonts w:ascii="Arial" w:cs="Arial" w:eastAsia="Arial" w:hAnsi="Arial"/>
          <w:sz w:val="18"/>
          <w:szCs w:val="18"/>
          <w:color w:val="auto"/>
        </w:rPr>
        <w:t>, age 41, has served as Vice President and General Counsel since September 2019, Secretary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since October of 2018 and the Corporate Compliance Officer since September of 2015. From October 2014 to September 2019, he was Vice President, Legal and Risk Management. From July 2013 to October 2014, Mr. Sheets served as Senior Director, Legal and Risk Management. Between November 2011 and July of 2013, Mr. Sheets served as Director, Risk Management and from June 2010 until November of 2011, Mr. Sheets served as Staff Counsel. Mr. Sheets began his career with Matrix Service Company in 2002. From 2002 to 2008 and since 2010, Mr. Sheets served in various capacities of increasing responsibility. Mr. Sheets provided consulting services to the Company between 2008 and 2010 while he also consulted with Conway, McKenzie and Dunleavy representing construction clients with a primary focus on mergers and acquisitions, restructuring and liquidations. Mr. Sheets holds a Bachelor of Science Degree in Environmental Health and Safety Sciences from Indiana State University and a Juris Doctorate from the University of Tulsa and is licensed to practice law in the State of New Jersey. Mr. Sheets has also served on the Board of Family &amp; Children’s Services since 2016.</w:t>
      </w:r>
    </w:p>
    <w:p>
      <w:pPr>
        <w:spacing w:after="0" w:line="8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b w:val="1"/>
          <w:bCs w:val="1"/>
          <w:color w:val="auto"/>
        </w:rPr>
        <w:t>Bradley J. Rinehart</w:t>
      </w:r>
      <w:r>
        <w:rPr>
          <w:rFonts w:ascii="Arial" w:cs="Arial" w:eastAsia="Arial" w:hAnsi="Arial"/>
          <w:sz w:val="18"/>
          <w:szCs w:val="18"/>
          <w:color w:val="auto"/>
        </w:rPr>
        <w:t>, age 55, has served as President, Matrix Service Inc. since September 2019. He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Matrix PDM Engineering from December 2016 to September 2019. He previously served as Vice President, Matrix Service Inc. from May 1997 to December 2016, Regional Manager for the Michigan Tank Construction Region (“Michigan Region”) from 1991 to May 1997, Operations Manager of the Michigan Region from 1990 to 1991, and as a project manager in the Michigan Region from 1988 to 1989. Mr. Rinehart holds a Bachelor of Science Degree in Construction Science from the University of Oklahoma. Mr Rinehart has also served on the Board of the Parkinson Foundation of Oklahoma since 2016.</w:t>
      </w:r>
    </w:p>
    <w:p>
      <w:pPr>
        <w:spacing w:after="0" w:line="7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color w:val="auto"/>
        </w:rPr>
        <w:t>Glyn A. Rodgers</w:t>
      </w:r>
      <w:r>
        <w:rPr>
          <w:rFonts w:ascii="Arial" w:cs="Arial" w:eastAsia="Arial" w:hAnsi="Arial"/>
          <w:sz w:val="18"/>
          <w:szCs w:val="18"/>
          <w:color w:val="auto"/>
        </w:rPr>
        <w:t>, age 61, has served as President, Matrix PDM Engineering since September 2019. He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Vice President of Business Development for Matrix Service Inc. from January 2018 to September 2019. Prior to joining Matrix, he served as President for IHI E&amp;C International Corporation from 2012 to 2016, President for Kvaerner Houston EPC Center from 2010 to 2012, President for Aker Solutions US Inc. from 2007 to 2010, President for Aker Solutions Facility Services from 2004 to 2007 and Vice President for Aker Plant Services Group Inc. from 2002 to 2004.</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607187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61DA16"/>
        </w:rPr>
        <w:t>COMPENSATION DISCUSSION AND ANALYSIS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61DA16"/>
        </w:rPr>
        <w:t>Executive Summary</w:t>
      </w:r>
    </w:p>
    <w:p>
      <w:pPr>
        <w:spacing w:after="0" w:line="126"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This Compensation Discussion and Analysis explains our compensation philosophy, objectives and practices in place for our President and Chief Executive Officer (“CEO”), our Chief Financial Officer (“CFO”) and our other named executive officers (collectively, the “Named Executive Officers” or “NEOs”) during fiscal 2019. Compensation for our Named Executive Officers is determined by the Compensation Committee of the Board (the “Committee”) and is supported by market data and advice from an independent compensation consultant retained by the Committee, Meridian Compensation Partners, LLC (“Meridian”).</w:t>
      </w:r>
    </w:p>
    <w:p>
      <w:pPr>
        <w:spacing w:after="0" w:line="101" w:lineRule="exact"/>
        <w:rPr>
          <w:sz w:val="20"/>
          <w:szCs w:val="20"/>
          <w:color w:val="auto"/>
        </w:rPr>
      </w:pPr>
    </w:p>
    <w:p>
      <w:pPr>
        <w:ind w:right="380"/>
        <w:spacing w:after="0" w:line="291" w:lineRule="auto"/>
        <w:rPr>
          <w:sz w:val="20"/>
          <w:szCs w:val="20"/>
          <w:color w:val="auto"/>
        </w:rPr>
      </w:pPr>
      <w:r>
        <w:rPr>
          <w:rFonts w:ascii="Arial" w:cs="Arial" w:eastAsia="Arial" w:hAnsi="Arial"/>
          <w:sz w:val="17"/>
          <w:szCs w:val="17"/>
          <w:color w:val="auto"/>
        </w:rPr>
        <w:t>In fiscal 2019, the Company’s Named Executive Officers continued to be the Chief Executive Officer, the Chief Operating Officer, the Chief Financial Officer and the presidents of the Company’s two largest operating companies.</w:t>
      </w:r>
    </w:p>
    <w:p>
      <w:pPr>
        <w:spacing w:after="0" w:line="66" w:lineRule="exact"/>
        <w:rPr>
          <w:sz w:val="20"/>
          <w:szCs w:val="20"/>
          <w:color w:val="auto"/>
        </w:rPr>
      </w:pPr>
    </w:p>
    <w:p>
      <w:pPr>
        <w:jc w:val="both"/>
        <w:ind w:right="340"/>
        <w:spacing w:after="0" w:line="256" w:lineRule="auto"/>
        <w:rPr>
          <w:sz w:val="20"/>
          <w:szCs w:val="20"/>
          <w:color w:val="auto"/>
        </w:rPr>
      </w:pPr>
      <w:r>
        <w:rPr>
          <w:rFonts w:ascii="Arial" w:cs="Arial" w:eastAsia="Arial" w:hAnsi="Arial"/>
          <w:sz w:val="18"/>
          <w:szCs w:val="18"/>
          <w:color w:val="auto"/>
        </w:rPr>
        <w:t>Summarized below are the highlights of key decisions and actions taken regarding the compensation of our Named Executive Officers in fiscal 2019. These actions were approved by the Committee with advice from Meridian and are consistent with our stated compensation philosophy.</w:t>
      </w:r>
    </w:p>
    <w:p>
      <w:pPr>
        <w:spacing w:after="0" w:line="94" w:lineRule="exact"/>
        <w:rPr>
          <w:sz w:val="20"/>
          <w:szCs w:val="20"/>
          <w:color w:val="auto"/>
        </w:rPr>
      </w:pPr>
    </w:p>
    <w:p>
      <w:pPr>
        <w:ind w:left="700" w:right="60" w:hanging="356"/>
        <w:spacing w:after="0" w:line="237"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 Salaries: Consistent with normal practice, the Committee reviewed Named Executive Officer compensation in August 2018. In determining base salary adjustments for fiscal 2019, the Committee considered many factors including market data provided by Meridian, the Company’s financial and safety performance in fiscal 2018 and the absence of salary increases in fiscal 2018. Based on these factors, the Committee approved a salary increase of 6.7% for the CEO, 5.0% for the COO, 9.4% for the CFO, and 5.0% and 3.0% for the two operating company presidents. These salary adjustments were effective on September 1, 2018.</w:t>
      </w:r>
    </w:p>
    <w:p>
      <w:pPr>
        <w:spacing w:after="0" w:line="95" w:lineRule="exact"/>
        <w:rPr>
          <w:rFonts w:ascii="Arial" w:cs="Arial" w:eastAsia="Arial" w:hAnsi="Arial"/>
          <w:sz w:val="18"/>
          <w:szCs w:val="18"/>
          <w:color w:val="auto"/>
        </w:rPr>
      </w:pPr>
    </w:p>
    <w:p>
      <w:pPr>
        <w:ind w:left="700" w:right="20" w:hanging="356"/>
        <w:spacing w:after="0" w:line="236"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Fiscal 2019 Short-Term Incentive Compensation Targets: No changes were made to the target bonus opportunity for the Named Executive Officers, except that the maximum individual opportunity was increased from 150% to 200% of their target bonus. The fiscal 2019 plan metrics were based on the achievement of financial and safety goals. The achievement of the financial goals determine 85% of the payout while the achievement of the safety goals determine the remaining 15%. For a financial bonus to be paid, at least 50% of budgeted post-incentive operating income must be earned. For the presidents of the Company’s two largest operating companies, this is measured at the operating company level. For the CEO, COO and CFO, this is measured at the consolidated level.</w:t>
      </w:r>
    </w:p>
    <w:p>
      <w:pPr>
        <w:spacing w:after="0" w:line="100" w:lineRule="exact"/>
        <w:rPr>
          <w:rFonts w:ascii="Arial" w:cs="Arial" w:eastAsia="Arial" w:hAnsi="Arial"/>
          <w:sz w:val="18"/>
          <w:szCs w:val="18"/>
          <w:color w:val="auto"/>
        </w:rPr>
      </w:pPr>
    </w:p>
    <w:p>
      <w:pPr>
        <w:ind w:left="700" w:hanging="356"/>
        <w:spacing w:after="0" w:line="237"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Fiscal 2019 Short-Term Incentive Compensation Payout: Post-incentive operating income exceeded 50% of the budgeted amount for the two largest operating companies and the consolidated company. Therefore, four of the NEOs, including the CEO, received payouts related to financial performance of between threshold and target, and one NEO received a payout related to financial performance of slightly above target. For safety performance, three of the NEOs, including the CEO, received payouts slightly above threshold, one NEO received a maximum payout, and one NEO received no payout for safety.</w:t>
      </w:r>
    </w:p>
    <w:p>
      <w:pPr>
        <w:spacing w:after="0" w:line="97" w:lineRule="exact"/>
        <w:rPr>
          <w:rFonts w:ascii="Arial" w:cs="Arial" w:eastAsia="Arial" w:hAnsi="Arial"/>
          <w:sz w:val="18"/>
          <w:szCs w:val="18"/>
          <w:color w:val="auto"/>
        </w:rPr>
      </w:pPr>
    </w:p>
    <w:p>
      <w:pPr>
        <w:ind w:left="700" w:right="180" w:hanging="356"/>
        <w:spacing w:after="0" w:line="207"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Fiscal 2017 Performance Share Units (“PSUs”) Award Payout: The vesting of this award was based on the Company’s relative Total Shareholder Return for fiscal 2017 through the end of fiscal 2019 in comparison to a group of peer companies. The Company’s actual performance was in the 47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which was close to target performance; therefore, these PSUs vested at 89% of target on August 23, 2019.</w:t>
      </w:r>
    </w:p>
    <w:p>
      <w:pPr>
        <w:spacing w:after="0" w:line="95" w:lineRule="exact"/>
        <w:rPr>
          <w:rFonts w:ascii="Arial" w:cs="Arial" w:eastAsia="Arial" w:hAnsi="Arial"/>
          <w:sz w:val="18"/>
          <w:szCs w:val="18"/>
          <w:color w:val="auto"/>
        </w:rPr>
      </w:pPr>
    </w:p>
    <w:p>
      <w:pPr>
        <w:ind w:left="700" w:right="20" w:hanging="356"/>
        <w:spacing w:after="0" w:line="238"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Fiscal 2018 Cash-Based Long-Term Incentive Award Payout: The cash-based portion of the fiscal 2018 long-term incentive award was based on the average Return on Invested Capital for fiscal 2018 and 2019. The fiscal 2018 Return on Invested Capital was (3.5%) and the fiscal 2019 Return on Invested Capital was 10.6%. This financial performance resulted in an average Return on Invested Capital of 3.6% which is below the threshold level; therefore, no payout was earned or paid.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607187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5" w:lineRule="exact"/>
        <w:rPr>
          <w:sz w:val="20"/>
          <w:szCs w:val="20"/>
          <w:color w:val="auto"/>
        </w:rPr>
      </w:pPr>
    </w:p>
    <w:p>
      <w:pPr>
        <w:ind w:left="700" w:right="160" w:hanging="35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Fiscal 2019 Long-Term Incentive Awards: No changes were made to the design of the fiscal 2019 long-term incentive award for the Named Executive Officers. The actual long-term incentive awards for fiscal 2019 were comprised of the following:</w:t>
      </w:r>
    </w:p>
    <w:p>
      <w:pPr>
        <w:spacing w:after="0" w:line="94" w:lineRule="exact"/>
        <w:rPr>
          <w:rFonts w:ascii="Arial" w:cs="Arial" w:eastAsia="Arial" w:hAnsi="Arial"/>
          <w:sz w:val="18"/>
          <w:szCs w:val="18"/>
          <w:color w:val="auto"/>
        </w:rPr>
      </w:pPr>
    </w:p>
    <w:p>
      <w:pPr>
        <w:ind w:left="1060" w:hanging="351"/>
        <w:spacing w:after="0" w:line="238" w:lineRule="auto"/>
        <w:tabs>
          <w:tab w:leader="none" w:pos="10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One-third of the award consisted of service-based RSUs. Restrictions on the RSUs lapse in four equal annual installments, subject to continued employment with us. In addition, the award agreements contain a provision that accelerates the vesting for retirement eligible participants and participants that become retirement eligible during the vesting period. The award is forfeited if retirement occurs before the first anniversary of the award. Settlement still occurs on the normal vesting schedules;</w:t>
      </w:r>
    </w:p>
    <w:p>
      <w:pPr>
        <w:spacing w:after="0" w:line="94" w:lineRule="exact"/>
        <w:rPr>
          <w:rFonts w:ascii="Arial" w:cs="Arial" w:eastAsia="Arial" w:hAnsi="Arial"/>
          <w:sz w:val="18"/>
          <w:szCs w:val="18"/>
          <w:color w:val="auto"/>
        </w:rPr>
      </w:pPr>
    </w:p>
    <w:p>
      <w:pPr>
        <w:ind w:left="1060" w:right="20" w:hanging="351"/>
        <w:spacing w:after="0" w:line="238" w:lineRule="auto"/>
        <w:tabs>
          <w:tab w:leader="none" w:pos="10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One-third of the award consisted of performance units, or “PSUs”. Award recipients may receive anywhere from zero to two shares of our common stock for each PSU on the third anniversary of the date of the award depending on the Company’s relative Total Shareholder Return in comparison to the Total Shareholder Return of a peer group of companies over a performance period consisting of fiscal years 2019, 2020 and 2021; and</w:t>
      </w:r>
    </w:p>
    <w:p>
      <w:pPr>
        <w:spacing w:after="0" w:line="94" w:lineRule="exact"/>
        <w:rPr>
          <w:rFonts w:ascii="Arial" w:cs="Arial" w:eastAsia="Arial" w:hAnsi="Arial"/>
          <w:sz w:val="18"/>
          <w:szCs w:val="18"/>
          <w:color w:val="auto"/>
        </w:rPr>
      </w:pPr>
    </w:p>
    <w:p>
      <w:pPr>
        <w:ind w:left="1060" w:right="380" w:hanging="351"/>
        <w:spacing w:after="0"/>
        <w:tabs>
          <w:tab w:leader="none" w:pos="10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One-third of the award consisted of a cash-based long-term incentive award. The payout for the cash-based LTI award will range from zero to 150% of the target payout and is based on the Company’s average Return on Invested Capital for fiscal years 2019 and 2020.</w:t>
      </w:r>
    </w:p>
    <w:p>
      <w:pPr>
        <w:spacing w:after="0" w:line="94" w:lineRule="exact"/>
        <w:rPr>
          <w:rFonts w:ascii="Arial" w:cs="Arial" w:eastAsia="Arial" w:hAnsi="Arial"/>
          <w:sz w:val="18"/>
          <w:szCs w:val="18"/>
          <w:color w:val="auto"/>
        </w:rPr>
      </w:pPr>
    </w:p>
    <w:p>
      <w:pPr>
        <w:ind w:left="700" w:right="20" w:hanging="356"/>
        <w:spacing w:after="0" w:line="238"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Fiscal 2018 Short-Term Incentive Compensation Payout: The Company did not achieve the minimum financial performance to warrant a cash payout. However, based on the record safety performance of the Company, the Committee approved the grant of a service-based RSU that vests one year after the grant. The fair value of the grant is included in the amounts for fiscal 2019 in the Stock Awards column of the Summary Compensation Table.</w:t>
      </w:r>
    </w:p>
    <w:p>
      <w:pPr>
        <w:spacing w:after="0" w:line="9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following graphs illustrate the allocation of the fiscal 2019 target compensation opportunity for our Chief Executive Officer, Mr. Hewitt, and the weighted average of our other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1063625</wp:posOffset>
            </wp:positionH>
            <wp:positionV relativeFrom="paragraph">
              <wp:posOffset>56515</wp:posOffset>
            </wp:positionV>
            <wp:extent cx="3919220" cy="25298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919220" cy="252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607187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995045</wp:posOffset>
            </wp:positionH>
            <wp:positionV relativeFrom="paragraph">
              <wp:posOffset>92075</wp:posOffset>
            </wp:positionV>
            <wp:extent cx="4056380" cy="24523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056380"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61DA16"/>
        </w:rPr>
        <w:t>Compensation Philosophy and Objectives</w:t>
      </w:r>
    </w:p>
    <w:p>
      <w:pPr>
        <w:spacing w:after="0" w:line="12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are focused on building and maintaining a sustainable business model that consistently delivers superior returns to our stockholders. To be successful, we must attract, retain and motivate key talent to provide the needed leadership capabilities to develop and execute our business strategy. Our compensation philosophy and approach is designed to support these objectives.</w:t>
      </w:r>
    </w:p>
    <w:p>
      <w:pPr>
        <w:spacing w:after="0" w:line="9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compensation philosophy is to provide the opportunity for outstanding compensation when superior performance is demonstrated. This pay-for-performance philosophy is reflected in each aspect of the compensation package for executive officers and other management team members. All components of compensation for executive officers and key management are reviewed periodically to ensure consistency with our compensation philosophy and to verify that the overall level of compensation is competitive. We use the following principles in the design and administration of our executive compensation program:</w:t>
      </w:r>
    </w:p>
    <w:p>
      <w:pPr>
        <w:spacing w:after="0" w:line="101" w:lineRule="exact"/>
        <w:rPr>
          <w:sz w:val="20"/>
          <w:szCs w:val="20"/>
          <w:color w:val="auto"/>
        </w:rPr>
      </w:pPr>
    </w:p>
    <w:p>
      <w:pPr>
        <w:ind w:left="700" w:hanging="356"/>
        <w:spacing w:after="0" w:line="229"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Competitiveness – Our compensation programs are designed to ensure we can attract, motivate and retain the talent needed to lead and grow the business. Targets for base salary, short-term and long-term compensation are generally aligned with median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market levels.</w:t>
      </w:r>
    </w:p>
    <w:p>
      <w:pPr>
        <w:spacing w:after="0" w:line="2" w:lineRule="exact"/>
        <w:rPr>
          <w:rFonts w:ascii="Arial" w:cs="Arial" w:eastAsia="Arial" w:hAnsi="Arial"/>
          <w:sz w:val="18"/>
          <w:szCs w:val="18"/>
          <w:color w:val="auto"/>
        </w:rPr>
      </w:pPr>
    </w:p>
    <w:p>
      <w:pPr>
        <w:ind w:left="700" w:hanging="35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Support Business Objectives, Strategy and Values – Ultimately our compensation program is designed to drive the achievement of short and long-term business objectives, support the creation of long-term value for our stockholders, and promote and encourage behavior consistent with our core values and guiding principles.</w:t>
      </w:r>
    </w:p>
    <w:p>
      <w:pPr>
        <w:spacing w:after="0" w:line="81" w:lineRule="exact"/>
        <w:rPr>
          <w:rFonts w:ascii="Arial" w:cs="Arial" w:eastAsia="Arial" w:hAnsi="Arial"/>
          <w:sz w:val="18"/>
          <w:szCs w:val="18"/>
          <w:color w:val="auto"/>
        </w:rPr>
      </w:pPr>
    </w:p>
    <w:p>
      <w:pPr>
        <w:ind w:left="700" w:right="320" w:hanging="356"/>
        <w:spacing w:after="0" w:line="213" w:lineRule="auto"/>
        <w:tabs>
          <w:tab w:leader="none" w:pos="7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Pay for Performance – While we establish target pay levels at or near the median or 50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 market levels for target level performance, our plans provide the opportunity for significantly greater rewards for outstanding performance. At the same time, performance that does not meet expectations is not rewarded.</w:t>
      </w:r>
    </w:p>
    <w:p>
      <w:pPr>
        <w:spacing w:after="0" w:line="96" w:lineRule="exact"/>
        <w:rPr>
          <w:rFonts w:ascii="Arial" w:cs="Arial" w:eastAsia="Arial" w:hAnsi="Arial"/>
          <w:sz w:val="17"/>
          <w:szCs w:val="17"/>
          <w:color w:val="auto"/>
        </w:rPr>
      </w:pPr>
    </w:p>
    <w:p>
      <w:pPr>
        <w:ind w:left="700" w:right="160" w:hanging="356"/>
        <w:spacing w:after="0" w:line="246"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Individual Performance – In addition to company-wide, operating subsidiary and business unit measures, our programs emphasize individual performance and the achievement of personal objectives.</w:t>
      </w:r>
    </w:p>
    <w:p>
      <w:pPr>
        <w:spacing w:after="0" w:line="88" w:lineRule="exact"/>
        <w:rPr>
          <w:rFonts w:ascii="Arial" w:cs="Arial" w:eastAsia="Arial" w:hAnsi="Arial"/>
          <w:sz w:val="18"/>
          <w:szCs w:val="18"/>
          <w:color w:val="auto"/>
        </w:rPr>
      </w:pPr>
    </w:p>
    <w:p>
      <w:pPr>
        <w:jc w:val="both"/>
        <w:ind w:left="700" w:right="140" w:hanging="35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Integrated Approach – We look at compensation in total and strive to achieve an appropriate balance of short and long-term compensation components, with the ultimate goal of aligning executive compensation with the creation of long-term stockholder value.</w:t>
      </w:r>
    </w:p>
    <w:p>
      <w:pPr>
        <w:spacing w:after="0" w:line="9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executive compensation program is administered by the Committee. The role of the Committee is to provide oversight and direction to ensure the establishment of executive compensation programs that are competitive in nature, enable us to attract and retain top talent, and align the interests of our executive officers with our stockholders.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607187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Committee is supported by our Vice President, Chief Administrative Officer in the design, review and administration of our executive compensation programs. The Committee engaged Meridian to evaluate executive officer compensation and Company practices in relation to other companies and to provide associated recommendations.</w:t>
      </w:r>
    </w:p>
    <w:p>
      <w:pPr>
        <w:spacing w:after="0" w:line="9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CEO considers all relevant information and provides recommendations to the Committee regarding compensation for review, discussion and approval for all executive officers with the exception of himself. The Committee establishes CEO compensation. The Committee reviews the performance and approves the compensation of the executive officers based on the CEO’s recommendations, and then reviews the performance and establishes appropriate compensation for the CEO in executive session without the CEO present.</w:t>
      </w:r>
    </w:p>
    <w:p>
      <w:pPr>
        <w:spacing w:after="0" w:line="9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implementing our compensation philosophy, the Committee also compares our CEO’s total compensation to the total compensation of the other Named Executive Officers. However, the Committee has not established a targeted level of difference between the total compensation of the CEO and the median total compensation level for the next lower tier of management. The Committee also considers internal pay equity among the other Named Executive Officers, and in relation to the next lower tier of management, in order to maintain compensation levels that are consistent with the individual contributions and responsibilities of those officers.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61DA16"/>
        </w:rPr>
        <w:t>Committee Consideration of the 2018 Stockholder Vote on Executive Compensation</w:t>
      </w:r>
    </w:p>
    <w:p>
      <w:pPr>
        <w:spacing w:after="0" w:line="12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conducted our advisory vote on executive compensation last year at our 2018 annual meeting. While this vote was not binding on us, we believe that it is important for our stockholders to have an opportunity to vote on this proposal on an annual basis as a means of expressing their views regarding our executive compensation philosophy, our compensation policies and programs, and our decisions regarding executive compensation, all as disclosed in our proxy statement. The Committee values the opinions of our stockholders and, to the extent there is any significant vote against the compensation of our Named Executive Officers, we will consider our stockholders’ concerns, and the Committee will evaluate whether any actions are necessary to address those concerns.</w:t>
      </w:r>
    </w:p>
    <w:p>
      <w:pPr>
        <w:spacing w:after="0" w:line="9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Committee has reviewed the voting results from the advisory vote on executive compensation (commonly known as a say-on-pay proposal) conducted at our 2018 Annual Meeting of Stockholders. At that meeting, nearly 98% of the votes cast on the say-on-pay proposal were in favor of our Named Executive Officers’ compensation as disclosed in our proxy statement. The Committee determined that, given the high level of support, no changes to our executive compensation policies and decisions were necessary based on last year’s voting results. The Committee intends to continue making executive compensation decisions with a focus on aligning pay with performance and promoting stockholder value.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61DA16"/>
        </w:rPr>
        <w:t>Key Elements of Executive Compensation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primary elements of our executive compensation program include:</w:t>
      </w:r>
    </w:p>
    <w:p>
      <w:pPr>
        <w:spacing w:after="0" w:line="104" w:lineRule="exact"/>
        <w:rPr>
          <w:sz w:val="20"/>
          <w:szCs w:val="20"/>
          <w:color w:val="auto"/>
        </w:rPr>
      </w:pPr>
    </w:p>
    <w:p>
      <w:pPr>
        <w:ind w:left="700" w:hanging="35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03" w:lineRule="exact"/>
        <w:rPr>
          <w:rFonts w:ascii="Arial" w:cs="Arial" w:eastAsia="Arial" w:hAnsi="Arial"/>
          <w:sz w:val="18"/>
          <w:szCs w:val="18"/>
          <w:color w:val="auto"/>
        </w:rPr>
      </w:pPr>
    </w:p>
    <w:p>
      <w:pPr>
        <w:ind w:left="700" w:hanging="35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Annual/Short-Term Cash Incentive Compensation;</w:t>
      </w:r>
    </w:p>
    <w:p>
      <w:pPr>
        <w:spacing w:after="0" w:line="103" w:lineRule="exact"/>
        <w:rPr>
          <w:rFonts w:ascii="Arial" w:cs="Arial" w:eastAsia="Arial" w:hAnsi="Arial"/>
          <w:sz w:val="18"/>
          <w:szCs w:val="18"/>
          <w:color w:val="auto"/>
        </w:rPr>
      </w:pPr>
    </w:p>
    <w:p>
      <w:pPr>
        <w:ind w:left="700" w:hanging="35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Long-Term Incentive Compensation;</w:t>
      </w:r>
    </w:p>
    <w:p>
      <w:pPr>
        <w:spacing w:after="0" w:line="103" w:lineRule="exact"/>
        <w:rPr>
          <w:rFonts w:ascii="Arial" w:cs="Arial" w:eastAsia="Arial" w:hAnsi="Arial"/>
          <w:sz w:val="18"/>
          <w:szCs w:val="18"/>
          <w:color w:val="auto"/>
        </w:rPr>
      </w:pPr>
    </w:p>
    <w:p>
      <w:pPr>
        <w:ind w:left="700" w:hanging="35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Benefits; and</w:t>
      </w:r>
    </w:p>
    <w:p>
      <w:pPr>
        <w:spacing w:after="0" w:line="103" w:lineRule="exact"/>
        <w:rPr>
          <w:rFonts w:ascii="Arial" w:cs="Arial" w:eastAsia="Arial" w:hAnsi="Arial"/>
          <w:sz w:val="18"/>
          <w:szCs w:val="18"/>
          <w:color w:val="auto"/>
        </w:rPr>
      </w:pPr>
    </w:p>
    <w:p>
      <w:pPr>
        <w:ind w:left="700" w:hanging="35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 of Control/Severance Agreements.</w:t>
      </w:r>
    </w:p>
    <w:p>
      <w:pPr>
        <w:spacing w:after="0" w:line="10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Compensation Committee engages a compensation consultant on a bi-annual basis to ensure that the Company’s compensation package is consistent with that of its competitors. The Committee engaged Meridian in fiscal 2019 to evaluate the elements of target compensation and the appropriate mix of compensation programs. Meridian was engaged exclusively by the Committee and does not provide other services to the Company or senior management. The Committee has assessed the independence of Meridian pursuant to SEC rules and concluded that Meridian’s work for the Committee does not raise any conflict of interest.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607187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Committee evaluated the competitiveness of the compensation package offered to our executives in both form and structure. Meridian’s fiscal 2019 executive compensation practices analysis included a review of general industry survey data and of proxy information and other public filings for the following companies:</w:t>
      </w:r>
    </w:p>
    <w:p>
      <w:pPr>
        <w:spacing w:after="0" w:line="53" w:lineRule="exact"/>
        <w:rPr>
          <w:sz w:val="20"/>
          <w:szCs w:val="20"/>
          <w:color w:val="auto"/>
        </w:rPr>
      </w:pPr>
    </w:p>
    <w:tbl>
      <w:tblPr>
        <w:tblLayout w:type="fixed"/>
        <w:tblInd w:w="380" w:type="dxa"/>
        <w:tblCellMar>
          <w:top w:w="0" w:type="dxa"/>
          <w:left w:w="0" w:type="dxa"/>
          <w:bottom w:w="0" w:type="dxa"/>
          <w:right w:w="0" w:type="dxa"/>
        </w:tblCellMar>
      </w:tblPr>
      <w:tr>
        <w:trPr>
          <w:trHeight w:val="217"/>
        </w:trPr>
        <w:tc>
          <w:tcPr>
            <w:tcW w:w="3960" w:type="dxa"/>
            <w:vAlign w:val="bottom"/>
          </w:tcPr>
          <w:p>
            <w:pPr>
              <w:spacing w:after="0"/>
              <w:rPr>
                <w:sz w:val="20"/>
                <w:szCs w:val="20"/>
                <w:color w:val="auto"/>
              </w:rPr>
            </w:pPr>
            <w:r>
              <w:rPr>
                <w:rFonts w:ascii="Arial" w:cs="Arial" w:eastAsia="Arial" w:hAnsi="Arial"/>
                <w:sz w:val="18"/>
                <w:szCs w:val="18"/>
                <w:color w:val="auto"/>
              </w:rPr>
              <w:t>Aegion Corporation</w:t>
            </w:r>
          </w:p>
        </w:tc>
        <w:tc>
          <w:tcPr>
            <w:tcW w:w="5020" w:type="dxa"/>
            <w:vAlign w:val="bottom"/>
          </w:tcPr>
          <w:p>
            <w:pPr>
              <w:ind w:left="540"/>
              <w:spacing w:after="0"/>
              <w:rPr>
                <w:sz w:val="20"/>
                <w:szCs w:val="20"/>
                <w:color w:val="auto"/>
              </w:rPr>
            </w:pPr>
            <w:r>
              <w:rPr>
                <w:rFonts w:ascii="Arial" w:cs="Arial" w:eastAsia="Arial" w:hAnsi="Arial"/>
                <w:sz w:val="18"/>
                <w:szCs w:val="18"/>
                <w:color w:val="auto"/>
              </w:rPr>
              <w:t>KBR Inc.</w:t>
            </w:r>
          </w:p>
        </w:tc>
      </w:tr>
      <w:tr>
        <w:trPr>
          <w:trHeight w:val="230"/>
        </w:trPr>
        <w:tc>
          <w:tcPr>
            <w:tcW w:w="3960" w:type="dxa"/>
            <w:vAlign w:val="bottom"/>
            <w:shd w:val="clear" w:color="auto" w:fill="D7F5C4"/>
          </w:tcPr>
          <w:p>
            <w:pPr>
              <w:spacing w:after="0"/>
              <w:rPr>
                <w:sz w:val="20"/>
                <w:szCs w:val="20"/>
                <w:color w:val="auto"/>
              </w:rPr>
            </w:pPr>
            <w:r>
              <w:rPr>
                <w:rFonts w:ascii="Arial" w:cs="Arial" w:eastAsia="Arial" w:hAnsi="Arial"/>
                <w:sz w:val="18"/>
                <w:szCs w:val="18"/>
                <w:color w:val="auto"/>
              </w:rPr>
              <w:t>Argan Inc.</w:t>
            </w:r>
          </w:p>
        </w:tc>
        <w:tc>
          <w:tcPr>
            <w:tcW w:w="5020" w:type="dxa"/>
            <w:vAlign w:val="bottom"/>
            <w:shd w:val="clear" w:color="auto" w:fill="D7F5C4"/>
          </w:tcPr>
          <w:p>
            <w:pPr>
              <w:ind w:left="540"/>
              <w:spacing w:after="0"/>
              <w:rPr>
                <w:sz w:val="20"/>
                <w:szCs w:val="20"/>
                <w:color w:val="auto"/>
              </w:rPr>
            </w:pPr>
            <w:r>
              <w:rPr>
                <w:rFonts w:ascii="Arial" w:cs="Arial" w:eastAsia="Arial" w:hAnsi="Arial"/>
                <w:sz w:val="18"/>
                <w:szCs w:val="18"/>
                <w:color w:val="auto"/>
              </w:rPr>
              <w:t>MasTec Inc.</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Babcock &amp; Wilcox Enterprises Inc.</w:t>
            </w:r>
          </w:p>
        </w:tc>
        <w:tc>
          <w:tcPr>
            <w:tcW w:w="5020" w:type="dxa"/>
            <w:vAlign w:val="bottom"/>
          </w:tcPr>
          <w:p>
            <w:pPr>
              <w:ind w:left="540"/>
              <w:spacing w:after="0"/>
              <w:rPr>
                <w:sz w:val="20"/>
                <w:szCs w:val="20"/>
                <w:color w:val="auto"/>
              </w:rPr>
            </w:pPr>
            <w:r>
              <w:rPr>
                <w:rFonts w:ascii="Arial" w:cs="Arial" w:eastAsia="Arial" w:hAnsi="Arial"/>
                <w:sz w:val="18"/>
                <w:szCs w:val="18"/>
                <w:color w:val="auto"/>
              </w:rPr>
              <w:t>Mistras Group Inc.</w:t>
            </w:r>
          </w:p>
        </w:tc>
      </w:tr>
      <w:tr>
        <w:trPr>
          <w:trHeight w:val="230"/>
        </w:trPr>
        <w:tc>
          <w:tcPr>
            <w:tcW w:w="3960" w:type="dxa"/>
            <w:vAlign w:val="bottom"/>
            <w:shd w:val="clear" w:color="auto" w:fill="D7F5C4"/>
          </w:tcPr>
          <w:p>
            <w:pPr>
              <w:spacing w:after="0"/>
              <w:rPr>
                <w:sz w:val="20"/>
                <w:szCs w:val="20"/>
                <w:color w:val="auto"/>
              </w:rPr>
            </w:pPr>
            <w:r>
              <w:rPr>
                <w:rFonts w:ascii="Arial" w:cs="Arial" w:eastAsia="Arial" w:hAnsi="Arial"/>
                <w:sz w:val="18"/>
                <w:szCs w:val="18"/>
                <w:color w:val="auto"/>
              </w:rPr>
              <w:t>Dycom Industries Inc.</w:t>
            </w:r>
          </w:p>
        </w:tc>
        <w:tc>
          <w:tcPr>
            <w:tcW w:w="5020" w:type="dxa"/>
            <w:vAlign w:val="bottom"/>
            <w:shd w:val="clear" w:color="auto" w:fill="D7F5C4"/>
          </w:tcPr>
          <w:p>
            <w:pPr>
              <w:ind w:left="540"/>
              <w:spacing w:after="0"/>
              <w:rPr>
                <w:sz w:val="20"/>
                <w:szCs w:val="20"/>
                <w:color w:val="auto"/>
              </w:rPr>
            </w:pPr>
            <w:r>
              <w:rPr>
                <w:rFonts w:ascii="Arial" w:cs="Arial" w:eastAsia="Arial" w:hAnsi="Arial"/>
                <w:sz w:val="18"/>
                <w:szCs w:val="18"/>
                <w:color w:val="auto"/>
              </w:rPr>
              <w:t>MYR Group Inc.</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EMCOR Group Inc.</w:t>
            </w:r>
          </w:p>
        </w:tc>
        <w:tc>
          <w:tcPr>
            <w:tcW w:w="5020" w:type="dxa"/>
            <w:vAlign w:val="bottom"/>
          </w:tcPr>
          <w:p>
            <w:pPr>
              <w:ind w:left="540"/>
              <w:spacing w:after="0"/>
              <w:rPr>
                <w:sz w:val="20"/>
                <w:szCs w:val="20"/>
                <w:color w:val="auto"/>
              </w:rPr>
            </w:pPr>
            <w:r>
              <w:rPr>
                <w:rFonts w:ascii="Arial" w:cs="Arial" w:eastAsia="Arial" w:hAnsi="Arial"/>
                <w:sz w:val="18"/>
                <w:szCs w:val="18"/>
                <w:color w:val="auto"/>
              </w:rPr>
              <w:t>Primoris Services Corporation</w:t>
            </w:r>
          </w:p>
        </w:tc>
      </w:tr>
      <w:tr>
        <w:trPr>
          <w:trHeight w:val="230"/>
        </w:trPr>
        <w:tc>
          <w:tcPr>
            <w:tcW w:w="3960" w:type="dxa"/>
            <w:vAlign w:val="bottom"/>
            <w:shd w:val="clear" w:color="auto" w:fill="D7F5C4"/>
          </w:tcPr>
          <w:p>
            <w:pPr>
              <w:spacing w:after="0"/>
              <w:rPr>
                <w:sz w:val="20"/>
                <w:szCs w:val="20"/>
                <w:color w:val="auto"/>
              </w:rPr>
            </w:pPr>
            <w:r>
              <w:rPr>
                <w:rFonts w:ascii="Arial" w:cs="Arial" w:eastAsia="Arial" w:hAnsi="Arial"/>
                <w:sz w:val="18"/>
                <w:szCs w:val="18"/>
                <w:color w:val="auto"/>
              </w:rPr>
              <w:t>Granite Construction Inc.</w:t>
            </w:r>
          </w:p>
        </w:tc>
        <w:tc>
          <w:tcPr>
            <w:tcW w:w="5020" w:type="dxa"/>
            <w:vAlign w:val="bottom"/>
            <w:shd w:val="clear" w:color="auto" w:fill="D7F5C4"/>
          </w:tcPr>
          <w:p>
            <w:pPr>
              <w:ind w:left="540"/>
              <w:spacing w:after="0"/>
              <w:rPr>
                <w:sz w:val="20"/>
                <w:szCs w:val="20"/>
                <w:color w:val="auto"/>
              </w:rPr>
            </w:pPr>
            <w:r>
              <w:rPr>
                <w:rFonts w:ascii="Arial" w:cs="Arial" w:eastAsia="Arial" w:hAnsi="Arial"/>
                <w:sz w:val="18"/>
                <w:szCs w:val="18"/>
                <w:color w:val="auto"/>
              </w:rPr>
              <w:t>Sterling Construction Company Inc.</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Great Lakes Dredge and Dock Corporation</w:t>
            </w:r>
          </w:p>
        </w:tc>
        <w:tc>
          <w:tcPr>
            <w:tcW w:w="5020" w:type="dxa"/>
            <w:vAlign w:val="bottom"/>
          </w:tcPr>
          <w:p>
            <w:pPr>
              <w:ind w:left="540"/>
              <w:spacing w:after="0"/>
              <w:rPr>
                <w:sz w:val="20"/>
                <w:szCs w:val="20"/>
                <w:color w:val="auto"/>
              </w:rPr>
            </w:pPr>
            <w:r>
              <w:rPr>
                <w:rFonts w:ascii="Arial" w:cs="Arial" w:eastAsia="Arial" w:hAnsi="Arial"/>
                <w:sz w:val="18"/>
                <w:szCs w:val="18"/>
                <w:color w:val="auto"/>
              </w:rPr>
              <w:t>Team Inc.</w:t>
            </w:r>
          </w:p>
        </w:tc>
      </w:tr>
      <w:tr>
        <w:trPr>
          <w:trHeight w:val="230"/>
        </w:trPr>
        <w:tc>
          <w:tcPr>
            <w:tcW w:w="3960" w:type="dxa"/>
            <w:vAlign w:val="bottom"/>
            <w:shd w:val="clear" w:color="auto" w:fill="D7F5C4"/>
          </w:tcPr>
          <w:p>
            <w:pPr>
              <w:spacing w:after="0"/>
              <w:rPr>
                <w:sz w:val="20"/>
                <w:szCs w:val="20"/>
                <w:color w:val="auto"/>
              </w:rPr>
            </w:pPr>
            <w:r>
              <w:rPr>
                <w:rFonts w:ascii="Arial" w:cs="Arial" w:eastAsia="Arial" w:hAnsi="Arial"/>
                <w:sz w:val="18"/>
                <w:szCs w:val="18"/>
                <w:color w:val="auto"/>
              </w:rPr>
              <w:t>IES Holdings Inc.</w:t>
            </w:r>
          </w:p>
        </w:tc>
        <w:tc>
          <w:tcPr>
            <w:tcW w:w="5020" w:type="dxa"/>
            <w:vAlign w:val="bottom"/>
            <w:shd w:val="clear" w:color="auto" w:fill="D7F5C4"/>
          </w:tcPr>
          <w:p>
            <w:pPr>
              <w:spacing w:after="0"/>
              <w:rPr>
                <w:sz w:val="19"/>
                <w:szCs w:val="19"/>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Base Salary</w:t>
      </w:r>
    </w:p>
    <w:p>
      <w:pPr>
        <w:spacing w:after="0" w:line="122"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Base salary is the foundation of our executive compensation package. Our practice in establishing executive base salary, and that for other managers and employees, is to determine the market median, or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among comparable companies. This data was provided by Meridian. Base salary is then established based on the Named Executive Officer’s responsibilities, role in the organization, level and type of work experience, and individual and business performance. We expect to continue to engage a compensation consultant to review and provide competitive market pay data on no less than a bi-annual basis.</w:t>
      </w:r>
    </w:p>
    <w:p>
      <w:pPr>
        <w:spacing w:after="0" w:line="11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utilize a market-based job evaluation system to establish and ensure equitable, competitive pay levels throughout the organization. Salary grades and ranges are established by evaluating positions based on the external market data and internal equity. Most of our employees, including the Named Executive Officers, are assigned to a salary grade. Broad ranges of salary are associated with each grade and are based on market data.</w:t>
      </w:r>
    </w:p>
    <w:p>
      <w:pPr>
        <w:spacing w:after="0" w:line="96"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Base salary and salary grade also play a factor in determining other short- and long-term incentive compensation awards. Short-and long-term target incentive awards are set at a percentage of base salary.</w:t>
      </w:r>
    </w:p>
    <w:p>
      <w:pPr>
        <w:spacing w:after="0" w:line="8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Consistent with the Committee’s normal practice of reviewing executive compensation, Meridian’s observations and recommendations regarding the competitiveness of executive compensation were presented to the Committee at the August 2018 meeting. The Committee approved salary adjustments, which were based on the Company’s compensation philosophy of competitiveness and individual and business performance and in recognition that no base salary increases were made in the prior fiscal year. The Committee’s decisions are discussed below:</w:t>
      </w:r>
    </w:p>
    <w:p>
      <w:pPr>
        <w:spacing w:after="0" w:line="97" w:lineRule="exact"/>
        <w:rPr>
          <w:sz w:val="20"/>
          <w:szCs w:val="20"/>
          <w:color w:val="auto"/>
        </w:rPr>
      </w:pPr>
    </w:p>
    <w:p>
      <w:pPr>
        <w:ind w:left="700" w:right="60" w:hanging="356"/>
        <w:spacing w:after="0" w:line="238"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John R. Hewitt - Chief Executive Officer: In determining Mr. Hewitt’s salary adjustment, the Committee considered Mr. Hewitt’s achievements and the challenges faced by the business as well as the Meridian study, which indicated that Mr. Hewitt’s base salary was near the peer group median. Based on these factors, the Committee concluded that it would be appropriate to increase his base salary by 6.7%, or $50,000, from $750,000 to $800,000 effective September 1, 2018.</w:t>
      </w:r>
    </w:p>
    <w:p>
      <w:pPr>
        <w:spacing w:after="0" w:line="94" w:lineRule="exact"/>
        <w:rPr>
          <w:rFonts w:ascii="Arial" w:cs="Arial" w:eastAsia="Arial" w:hAnsi="Arial"/>
          <w:sz w:val="18"/>
          <w:szCs w:val="18"/>
          <w:color w:val="auto"/>
        </w:rPr>
      </w:pPr>
    </w:p>
    <w:p>
      <w:pPr>
        <w:ind w:left="700" w:right="140" w:hanging="356"/>
        <w:spacing w:after="0" w:line="238"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Joseph F. Montalbano - Chief Operating Officer: The Meridian study indicated that Mr. Montalbano’s base salary was near the peer group median. Based on Mr. Montalbano’s performance and his base salary relative to our peer companies, Mr. Hewitt recommended a base salary increase of 5.0%, or $24,806. The Committee approved Mr. Hewitt’s recommendation, and Mr. Montalbano’s base salary was increased from $496,125 to $520,931 effective September 1, 2018.</w:t>
      </w:r>
    </w:p>
    <w:p>
      <w:pPr>
        <w:spacing w:after="0" w:line="94" w:lineRule="exact"/>
        <w:rPr>
          <w:rFonts w:ascii="Arial" w:cs="Arial" w:eastAsia="Arial" w:hAnsi="Arial"/>
          <w:sz w:val="18"/>
          <w:szCs w:val="18"/>
          <w:color w:val="auto"/>
        </w:rPr>
      </w:pPr>
    </w:p>
    <w:p>
      <w:pPr>
        <w:ind w:left="700" w:right="160" w:hanging="356"/>
        <w:spacing w:after="0" w:line="246"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Kevin S. Cavanah - Chief Financial Officer: The Meridian study indicated that Mr. Cavanah’s base salary was near the peer group median. Based on Mr. Cavanah’s strong performance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607187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5" w:lineRule="exact"/>
        <w:rPr>
          <w:sz w:val="20"/>
          <w:szCs w:val="20"/>
          <w:color w:val="auto"/>
        </w:rPr>
      </w:pPr>
    </w:p>
    <w:p>
      <w:pPr>
        <w:ind w:left="720" w:right="260"/>
        <w:spacing w:after="0" w:line="256" w:lineRule="auto"/>
        <w:rPr>
          <w:sz w:val="20"/>
          <w:szCs w:val="20"/>
          <w:color w:val="auto"/>
        </w:rPr>
      </w:pPr>
      <w:r>
        <w:rPr>
          <w:rFonts w:ascii="Arial" w:cs="Arial" w:eastAsia="Arial" w:hAnsi="Arial"/>
          <w:sz w:val="18"/>
          <w:szCs w:val="18"/>
          <w:color w:val="auto"/>
        </w:rPr>
        <w:t>his base salary relative to our peer companies, Mr. Hewitt recommended a base salary increase of 9.4%, or $40,852. The Committee approved Mr. Hewitt’s recommendation, and Mr. Cavanah’s base salary was increased from $434,148 to $475,000 effective September 1, 2018.</w:t>
      </w:r>
    </w:p>
    <w:p>
      <w:pPr>
        <w:spacing w:after="0" w:line="94" w:lineRule="exact"/>
        <w:rPr>
          <w:sz w:val="20"/>
          <w:szCs w:val="20"/>
          <w:color w:val="auto"/>
        </w:rPr>
      </w:pPr>
    </w:p>
    <w:p>
      <w:pPr>
        <w:ind w:left="700" w:right="200" w:hanging="356"/>
        <w:spacing w:after="0" w:line="237"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Alan R. Updyke - President, Matrix Service Inc.: The Meridian study indicated that Mr. Updyke’s base salary was at the peer group median. Based on Mr. Updyke’s performance, his base salary relative to our peer companies and Mr. Updyke’s prior increase that he received in February 2018 when he became President of Matrix Service Inc., Mr. Hewitt recommended a base salary increase of 3.0%, or $11,577. The Committee approved Mr. Hewitt’s recommendation, and Mr. Updyke’s base salary was increased from $385,903 to $397,480 effective September 1, 2018.</w:t>
      </w:r>
    </w:p>
    <w:p>
      <w:pPr>
        <w:spacing w:after="0" w:line="97" w:lineRule="exact"/>
        <w:rPr>
          <w:rFonts w:ascii="Arial" w:cs="Arial" w:eastAsia="Arial" w:hAnsi="Arial"/>
          <w:sz w:val="18"/>
          <w:szCs w:val="18"/>
          <w:color w:val="auto"/>
        </w:rPr>
      </w:pPr>
    </w:p>
    <w:p>
      <w:pPr>
        <w:ind w:left="700" w:hanging="356"/>
        <w:spacing w:after="0" w:line="238"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Jason W. Turner - President, Matrix North American Construction: The Meridian study indicated that Mr. Turner’s base salary was near the peer group median. Based on Mr. Turner’s performance and his base salary relative to our peer companies, Mr. Hewitt recommended a base salary increase of 5.0%, or $19,795. The Committee approved Mr. Hewitt’s recommendation, and Mr. Turner’s base salary was increased from $395,890 to $415,685 effective September 1, 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Annual/Short-Term Incentive Compensation</w:t>
      </w:r>
    </w:p>
    <w:p>
      <w:pPr>
        <w:spacing w:after="0" w:line="122"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color w:val="auto"/>
        </w:rPr>
        <w:t>Our annual/short-term incentive compensation plan is designed to offer the opportunity for substantial annual cash incentive awards for delivering outstanding performance. Rewards under our short-term incentive compensation plan are based on overall company, business unit and individual performance, as compared to pre-established objectives that are tied to enhancement of stockholder value. Our short-term incentive compensation objectives are designed to:</w:t>
      </w:r>
    </w:p>
    <w:p>
      <w:pPr>
        <w:spacing w:after="0" w:line="80" w:lineRule="exact"/>
        <w:rPr>
          <w:sz w:val="20"/>
          <w:szCs w:val="20"/>
          <w:color w:val="auto"/>
        </w:rPr>
      </w:pPr>
    </w:p>
    <w:p>
      <w:pPr>
        <w:ind w:left="700" w:hanging="35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support and drive performance toward achieving our strategic objectives;</w:t>
      </w:r>
    </w:p>
    <w:p>
      <w:pPr>
        <w:spacing w:after="0" w:line="103" w:lineRule="exact"/>
        <w:rPr>
          <w:rFonts w:ascii="Arial" w:cs="Arial" w:eastAsia="Arial" w:hAnsi="Arial"/>
          <w:sz w:val="18"/>
          <w:szCs w:val="18"/>
          <w:color w:val="auto"/>
        </w:rPr>
      </w:pPr>
    </w:p>
    <w:p>
      <w:pPr>
        <w:ind w:left="700" w:hanging="35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emphasize overall company and business unit performance in the structuring of reward opportunities;</w:t>
      </w:r>
    </w:p>
    <w:p>
      <w:pPr>
        <w:spacing w:after="0" w:line="103" w:lineRule="exact"/>
        <w:rPr>
          <w:rFonts w:ascii="Arial" w:cs="Arial" w:eastAsia="Arial" w:hAnsi="Arial"/>
          <w:sz w:val="18"/>
          <w:szCs w:val="18"/>
          <w:color w:val="auto"/>
        </w:rPr>
      </w:pPr>
    </w:p>
    <w:p>
      <w:pPr>
        <w:ind w:left="700" w:hanging="35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motivate and reward superior performance; and</w:t>
      </w:r>
    </w:p>
    <w:p>
      <w:pPr>
        <w:spacing w:after="0" w:line="103" w:lineRule="exact"/>
        <w:rPr>
          <w:rFonts w:ascii="Arial" w:cs="Arial" w:eastAsia="Arial" w:hAnsi="Arial"/>
          <w:sz w:val="18"/>
          <w:szCs w:val="18"/>
          <w:color w:val="auto"/>
        </w:rPr>
      </w:pPr>
    </w:p>
    <w:p>
      <w:pPr>
        <w:ind w:left="700" w:hanging="35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incentive compensation opportunities that are competitive with the industry.</w:t>
      </w:r>
    </w:p>
    <w:p>
      <w:pPr>
        <w:spacing w:after="0" w:line="10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base calculation of incentives is generally tied to objective measures for financial and safety performance. Incentives for executive officers other than the CEO in the form of targeted percentages of base salary are recommended by the CEO and reviewed and approved by the Committee, which is free to reject or revise the CEO’s recommendations. The targeted incentive compensation percentage of base salary for the CEO is determined solely by the Committee in executive session, without the CEO present.</w:t>
      </w:r>
    </w:p>
    <w:p>
      <w:pPr>
        <w:spacing w:after="0" w:line="9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For fiscal 2019, the Committee approved the following key provisions of the annual/short-term incentive compensation plan:</w:t>
      </w:r>
    </w:p>
    <w:p>
      <w:pPr>
        <w:spacing w:after="0" w:line="88" w:lineRule="exact"/>
        <w:rPr>
          <w:sz w:val="20"/>
          <w:szCs w:val="20"/>
          <w:color w:val="auto"/>
        </w:rPr>
      </w:pPr>
    </w:p>
    <w:p>
      <w:pPr>
        <w:ind w:left="700" w:right="380" w:hanging="3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50% of budgeted fiscal 2019 post-incentive operating income is not achieved, no incentives may be paid relating to financial metrics under the plan. Payouts relating to safety metrics may be paid regardless of financial performance.</w:t>
      </w:r>
    </w:p>
    <w:p>
      <w:pPr>
        <w:spacing w:after="0" w:line="94" w:lineRule="exact"/>
        <w:rPr>
          <w:rFonts w:ascii="Arial" w:cs="Arial" w:eastAsia="Arial" w:hAnsi="Arial"/>
          <w:sz w:val="18"/>
          <w:szCs w:val="18"/>
          <w:color w:val="auto"/>
        </w:rPr>
      </w:pPr>
    </w:p>
    <w:p>
      <w:pPr>
        <w:ind w:left="700" w:right="500" w:hanging="356"/>
        <w:spacing w:after="0" w:line="246"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Incentives would be weighted at 85% for performance against financial metrics and 15% for performance against safety metrics.</w:t>
      </w:r>
    </w:p>
    <w:p>
      <w:pPr>
        <w:spacing w:after="0" w:line="88" w:lineRule="exact"/>
        <w:rPr>
          <w:rFonts w:ascii="Arial" w:cs="Arial" w:eastAsia="Arial" w:hAnsi="Arial"/>
          <w:sz w:val="18"/>
          <w:szCs w:val="18"/>
          <w:color w:val="auto"/>
        </w:rPr>
      </w:pPr>
    </w:p>
    <w:p>
      <w:pPr>
        <w:ind w:left="700" w:right="480" w:hanging="356"/>
        <w:spacing w:after="0" w:line="246"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Financial incentives would be based on operating income, and safety incentives would be based on Total Recordable Incident Rate, or “TRIR”.</w:t>
      </w:r>
    </w:p>
    <w:p>
      <w:pPr>
        <w:spacing w:after="0" w:line="88" w:lineRule="exact"/>
        <w:rPr>
          <w:rFonts w:ascii="Arial" w:cs="Arial" w:eastAsia="Arial" w:hAnsi="Arial"/>
          <w:sz w:val="18"/>
          <w:szCs w:val="18"/>
          <w:color w:val="auto"/>
        </w:rPr>
      </w:pPr>
    </w:p>
    <w:p>
      <w:pPr>
        <w:ind w:left="700" w:right="240" w:hanging="356"/>
        <w:spacing w:after="0" w:line="246"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Payout of short-term incentives attributable to operating income and safety for Messrs. Hewitt, Cavanah and Montalbano would be based on the Company’s consolidated performance.</w:t>
      </w:r>
    </w:p>
    <w:p>
      <w:pPr>
        <w:spacing w:after="0" w:line="88" w:lineRule="exact"/>
        <w:rPr>
          <w:rFonts w:ascii="Arial" w:cs="Arial" w:eastAsia="Arial" w:hAnsi="Arial"/>
          <w:sz w:val="18"/>
          <w:szCs w:val="18"/>
          <w:color w:val="auto"/>
        </w:rPr>
      </w:pPr>
    </w:p>
    <w:p>
      <w:pPr>
        <w:ind w:left="700" w:right="400" w:hanging="356"/>
        <w:spacing w:after="0" w:line="246"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Payout of short-term incentives for Messrs. Turner and Updyke would be based on the performance of the applicable operating company with respect to operating income and safety.</w:t>
      </w:r>
    </w:p>
    <w:p>
      <w:pPr>
        <w:spacing w:after="0" w:line="88" w:lineRule="exact"/>
        <w:rPr>
          <w:rFonts w:ascii="Arial" w:cs="Arial" w:eastAsia="Arial" w:hAnsi="Arial"/>
          <w:sz w:val="18"/>
          <w:szCs w:val="18"/>
          <w:color w:val="auto"/>
        </w:rPr>
      </w:pPr>
    </w:p>
    <w:p>
      <w:pPr>
        <w:ind w:left="700" w:right="240" w:hanging="356"/>
        <w:spacing w:after="0" w:line="246"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Once the Committee approved the incentive metrics, Threshold, Target and Maximum levels of performance were defined.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607187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5" w:lineRule="exact"/>
        <w:rPr>
          <w:sz w:val="20"/>
          <w:szCs w:val="20"/>
          <w:color w:val="auto"/>
        </w:rPr>
      </w:pPr>
    </w:p>
    <w:p>
      <w:pPr>
        <w:ind w:left="700" w:right="460" w:hanging="35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Target short-term payouts for fiscal 2019 were established for each of the Named Executive Officers. Mr. Hewitt’s target remained at 100% of his base salary while Messrs. Montalbano’s, Cavanah’s, Turner’s and Updyke’s targets remained at 75% of their respective base salaries.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Incentive targets and actual performance for the Named Executive Officers are as follows:</w:t>
      </w:r>
    </w:p>
    <w:p>
      <w:pPr>
        <w:spacing w:after="0" w:line="104" w:lineRule="exact"/>
        <w:rPr>
          <w:sz w:val="20"/>
          <w:szCs w:val="20"/>
          <w:color w:val="auto"/>
        </w:rPr>
      </w:pPr>
    </w:p>
    <w:p>
      <w:pPr>
        <w:ind w:left="700" w:right="140" w:hanging="356"/>
        <w:spacing w:after="0" w:line="246"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Safety performance targets, which represented 15% of the total incentive opportunity, were established based on the safety criteria discussed above. The specific criteria were as follows:</w:t>
      </w:r>
    </w:p>
    <w:p>
      <w:pPr>
        <w:spacing w:after="0" w:line="36" w:lineRule="exact"/>
        <w:rPr>
          <w:sz w:val="20"/>
          <w:szCs w:val="20"/>
          <w:color w:val="auto"/>
        </w:rPr>
      </w:pPr>
    </w:p>
    <w:tbl>
      <w:tblPr>
        <w:tblLayout w:type="fixed"/>
        <w:tblInd w:w="760" w:type="dxa"/>
        <w:tblCellMar>
          <w:top w:w="0" w:type="dxa"/>
          <w:left w:w="0" w:type="dxa"/>
          <w:bottom w:w="0" w:type="dxa"/>
          <w:right w:w="0" w:type="dxa"/>
        </w:tblCellMar>
      </w:tblPr>
      <w:tr>
        <w:trPr>
          <w:trHeight w:val="189"/>
        </w:trPr>
        <w:tc>
          <w:tcPr>
            <w:tcW w:w="2880" w:type="dxa"/>
            <w:vAlign w:val="bottom"/>
          </w:tcPr>
          <w:p>
            <w:pPr>
              <w:spacing w:after="0"/>
              <w:rPr>
                <w:sz w:val="16"/>
                <w:szCs w:val="16"/>
                <w:color w:val="auto"/>
              </w:rPr>
            </w:pPr>
          </w:p>
        </w:tc>
        <w:tc>
          <w:tcPr>
            <w:tcW w:w="3460" w:type="dxa"/>
            <w:vAlign w:val="bottom"/>
          </w:tcPr>
          <w:p>
            <w:pPr>
              <w:jc w:val="right"/>
              <w:ind w:right="239"/>
              <w:spacing w:after="0"/>
              <w:rPr>
                <w:sz w:val="20"/>
                <w:szCs w:val="20"/>
                <w:color w:val="auto"/>
              </w:rPr>
            </w:pPr>
            <w:r>
              <w:rPr>
                <w:rFonts w:ascii="Arial" w:cs="Arial" w:eastAsia="Arial" w:hAnsi="Arial"/>
                <w:sz w:val="14"/>
                <w:szCs w:val="14"/>
                <w:b w:val="1"/>
                <w:bCs w:val="1"/>
                <w:color w:val="auto"/>
              </w:rPr>
              <w:t>Threshold</w:t>
            </w:r>
          </w:p>
        </w:tc>
        <w:tc>
          <w:tcPr>
            <w:tcW w:w="1040" w:type="dxa"/>
            <w:vAlign w:val="bottom"/>
          </w:tcPr>
          <w:p>
            <w:pPr>
              <w:jc w:val="right"/>
              <w:ind w:right="339"/>
              <w:spacing w:after="0"/>
              <w:rPr>
                <w:sz w:val="20"/>
                <w:szCs w:val="20"/>
                <w:color w:val="auto"/>
              </w:rPr>
            </w:pPr>
            <w:r>
              <w:rPr>
                <w:rFonts w:ascii="Arial" w:cs="Arial" w:eastAsia="Arial" w:hAnsi="Arial"/>
                <w:sz w:val="14"/>
                <w:szCs w:val="14"/>
                <w:b w:val="1"/>
                <w:bCs w:val="1"/>
                <w:color w:val="auto"/>
              </w:rPr>
              <w:t>Target</w:t>
            </w:r>
          </w:p>
        </w:tc>
        <w:tc>
          <w:tcPr>
            <w:tcW w:w="1020" w:type="dxa"/>
            <w:vAlign w:val="bottom"/>
          </w:tcPr>
          <w:p>
            <w:pPr>
              <w:jc w:val="right"/>
              <w:ind w:right="119"/>
              <w:spacing w:after="0"/>
              <w:rPr>
                <w:sz w:val="20"/>
                <w:szCs w:val="20"/>
                <w:color w:val="auto"/>
              </w:rPr>
            </w:pPr>
            <w:r>
              <w:rPr>
                <w:rFonts w:ascii="Arial" w:cs="Arial" w:eastAsia="Arial" w:hAnsi="Arial"/>
                <w:sz w:val="14"/>
                <w:szCs w:val="14"/>
                <w:b w:val="1"/>
                <w:bCs w:val="1"/>
                <w:color w:val="auto"/>
              </w:rPr>
              <w:t>Maximum</w:t>
            </w:r>
          </w:p>
        </w:tc>
      </w:tr>
      <w:tr>
        <w:trPr>
          <w:trHeight w:val="230"/>
        </w:trPr>
        <w:tc>
          <w:tcPr>
            <w:tcW w:w="2880" w:type="dxa"/>
            <w:vAlign w:val="bottom"/>
            <w:shd w:val="clear" w:color="auto" w:fill="D7F5C4"/>
          </w:tcPr>
          <w:p>
            <w:pPr>
              <w:spacing w:after="0"/>
              <w:rPr>
                <w:sz w:val="20"/>
                <w:szCs w:val="20"/>
                <w:color w:val="auto"/>
              </w:rPr>
            </w:pPr>
            <w:r>
              <w:rPr>
                <w:rFonts w:ascii="Arial" w:cs="Arial" w:eastAsia="Arial" w:hAnsi="Arial"/>
                <w:sz w:val="18"/>
                <w:szCs w:val="18"/>
                <w:color w:val="auto"/>
              </w:rPr>
              <w:t>TRIR</w:t>
            </w:r>
          </w:p>
        </w:tc>
        <w:tc>
          <w:tcPr>
            <w:tcW w:w="3460" w:type="dxa"/>
            <w:vAlign w:val="bottom"/>
            <w:shd w:val="clear" w:color="auto" w:fill="D7F5C4"/>
          </w:tcPr>
          <w:p>
            <w:pPr>
              <w:jc w:val="right"/>
              <w:ind w:right="139"/>
              <w:spacing w:after="0"/>
              <w:rPr>
                <w:sz w:val="20"/>
                <w:szCs w:val="20"/>
                <w:color w:val="auto"/>
              </w:rPr>
            </w:pPr>
            <w:r>
              <w:rPr>
                <w:rFonts w:ascii="Arial" w:cs="Arial" w:eastAsia="Arial" w:hAnsi="Arial"/>
                <w:sz w:val="18"/>
                <w:szCs w:val="18"/>
                <w:color w:val="auto"/>
              </w:rPr>
              <w:t>0.60</w:t>
            </w:r>
          </w:p>
        </w:tc>
        <w:tc>
          <w:tcPr>
            <w:tcW w:w="1040" w:type="dxa"/>
            <w:vAlign w:val="bottom"/>
            <w:shd w:val="clear" w:color="auto" w:fill="D7F5C4"/>
          </w:tcPr>
          <w:p>
            <w:pPr>
              <w:jc w:val="right"/>
              <w:ind w:right="99"/>
              <w:spacing w:after="0"/>
              <w:rPr>
                <w:sz w:val="20"/>
                <w:szCs w:val="20"/>
                <w:color w:val="auto"/>
              </w:rPr>
            </w:pPr>
            <w:r>
              <w:rPr>
                <w:rFonts w:ascii="Arial" w:cs="Arial" w:eastAsia="Arial" w:hAnsi="Arial"/>
                <w:sz w:val="18"/>
                <w:szCs w:val="18"/>
                <w:color w:val="auto"/>
              </w:rPr>
              <w:t>0.50</w:t>
            </w:r>
          </w:p>
        </w:tc>
        <w:tc>
          <w:tcPr>
            <w:tcW w:w="1020" w:type="dxa"/>
            <w:vAlign w:val="bottom"/>
            <w:shd w:val="clear" w:color="auto" w:fill="D7F5C4"/>
          </w:tcPr>
          <w:p>
            <w:pPr>
              <w:jc w:val="right"/>
              <w:spacing w:after="0"/>
              <w:rPr>
                <w:sz w:val="20"/>
                <w:szCs w:val="20"/>
                <w:color w:val="auto"/>
              </w:rPr>
            </w:pPr>
            <w:r>
              <w:rPr>
                <w:rFonts w:ascii="Arial" w:cs="Arial" w:eastAsia="Arial" w:hAnsi="Arial"/>
                <w:sz w:val="18"/>
                <w:szCs w:val="18"/>
                <w:color w:val="auto"/>
              </w:rPr>
              <w:t>0.40</w:t>
            </w:r>
          </w:p>
        </w:tc>
      </w:tr>
    </w:tbl>
    <w:p>
      <w:pPr>
        <w:spacing w:after="0" w:line="10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fiscal 2019, we achieved a consolidated TRIR of 0.59 while Matrix North American Construction (“MNAC”) and Matrix Service Inc. (“MSI”) achieved a TRIR of 0.93 and 0.33, respectively. Based on these results, Messrs. Hewitt, Montalbano and Cavanah earned safety incentives of between threshold and target, Mr. Turner did not earn a safety incentive, and Mr. Updyke earned the maximum safety incentive.</w:t>
      </w:r>
    </w:p>
    <w:p>
      <w:pPr>
        <w:spacing w:after="0" w:line="96" w:lineRule="exact"/>
        <w:rPr>
          <w:sz w:val="20"/>
          <w:szCs w:val="20"/>
          <w:color w:val="auto"/>
        </w:rPr>
      </w:pPr>
    </w:p>
    <w:p>
      <w:pPr>
        <w:ind w:left="700" w:right="16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financial incentive tied to post-incentive operating income represented 85% of the total bonus opportunity for the Named Executive Officers. The specific pre-tax operating income criteria and actual results were as follows:</w:t>
      </w:r>
    </w:p>
    <w:p>
      <w:pPr>
        <w:spacing w:after="0" w:line="42" w:lineRule="exact"/>
        <w:rPr>
          <w:sz w:val="20"/>
          <w:szCs w:val="20"/>
          <w:color w:val="auto"/>
        </w:rPr>
      </w:pPr>
    </w:p>
    <w:tbl>
      <w:tblPr>
        <w:tblLayout w:type="fixed"/>
        <w:tblInd w:w="760" w:type="dxa"/>
        <w:tblCellMar>
          <w:top w:w="0" w:type="dxa"/>
          <w:left w:w="0" w:type="dxa"/>
          <w:bottom w:w="0" w:type="dxa"/>
          <w:right w:w="0" w:type="dxa"/>
        </w:tblCellMar>
      </w:tblPr>
      <w:tr>
        <w:trPr>
          <w:trHeight w:val="189"/>
        </w:trPr>
        <w:tc>
          <w:tcPr>
            <w:tcW w:w="38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Arial" w:cs="Arial" w:eastAsia="Arial" w:hAnsi="Arial"/>
                <w:sz w:val="14"/>
                <w:szCs w:val="14"/>
                <w:b w:val="1"/>
                <w:bCs w:val="1"/>
                <w:color w:val="auto"/>
              </w:rPr>
              <w:t>MNAC</w:t>
            </w:r>
          </w:p>
        </w:tc>
        <w:tc>
          <w:tcPr>
            <w:tcW w:w="300" w:type="dxa"/>
            <w:vAlign w:val="bottom"/>
          </w:tcPr>
          <w:p>
            <w:pPr>
              <w:spacing w:after="0"/>
              <w:rPr>
                <w:sz w:val="16"/>
                <w:szCs w:val="16"/>
                <w:color w:val="auto"/>
              </w:rPr>
            </w:pPr>
          </w:p>
        </w:tc>
        <w:tc>
          <w:tcPr>
            <w:tcW w:w="800" w:type="dxa"/>
            <w:vAlign w:val="bottom"/>
          </w:tcPr>
          <w:p>
            <w:pPr>
              <w:jc w:val="right"/>
              <w:ind w:right="336"/>
              <w:spacing w:after="0"/>
              <w:rPr>
                <w:sz w:val="20"/>
                <w:szCs w:val="20"/>
                <w:color w:val="auto"/>
              </w:rPr>
            </w:pPr>
            <w:r>
              <w:rPr>
                <w:rFonts w:ascii="Arial" w:cs="Arial" w:eastAsia="Arial" w:hAnsi="Arial"/>
                <w:sz w:val="14"/>
                <w:szCs w:val="14"/>
                <w:b w:val="1"/>
                <w:bCs w:val="1"/>
                <w:color w:val="auto"/>
              </w:rPr>
              <w:t>MSI</w:t>
            </w: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Consolidated</w:t>
            </w:r>
          </w:p>
        </w:tc>
      </w:tr>
      <w:tr>
        <w:trPr>
          <w:trHeight w:val="189"/>
        </w:trPr>
        <w:tc>
          <w:tcPr>
            <w:tcW w:w="38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gridSpan w:val="2"/>
          </w:tcPr>
          <w:p>
            <w:pPr>
              <w:jc w:val="right"/>
              <w:ind w:right="36"/>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30"/>
        </w:trPr>
        <w:tc>
          <w:tcPr>
            <w:tcW w:w="3860" w:type="dxa"/>
            <w:vAlign w:val="bottom"/>
            <w:shd w:val="clear" w:color="auto" w:fill="D7F5C4"/>
          </w:tcPr>
          <w:p>
            <w:pPr>
              <w:spacing w:after="0"/>
              <w:rPr>
                <w:sz w:val="20"/>
                <w:szCs w:val="20"/>
                <w:color w:val="auto"/>
              </w:rPr>
            </w:pPr>
            <w:r>
              <w:rPr>
                <w:rFonts w:ascii="Arial" w:cs="Arial" w:eastAsia="Arial" w:hAnsi="Arial"/>
                <w:sz w:val="18"/>
                <w:szCs w:val="18"/>
                <w:color w:val="auto"/>
              </w:rPr>
              <w:t>Target pre-tax operating income</w:t>
            </w:r>
          </w:p>
        </w:tc>
        <w:tc>
          <w:tcPr>
            <w:tcW w:w="1500" w:type="dxa"/>
            <w:vAlign w:val="bottom"/>
            <w:shd w:val="clear" w:color="auto" w:fill="D7F5C4"/>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D7F5C4"/>
          </w:tcPr>
          <w:p>
            <w:pPr>
              <w:jc w:val="right"/>
              <w:spacing w:after="0"/>
              <w:rPr>
                <w:sz w:val="20"/>
                <w:szCs w:val="20"/>
                <w:color w:val="auto"/>
              </w:rPr>
            </w:pPr>
            <w:r>
              <w:rPr>
                <w:rFonts w:ascii="Arial" w:cs="Arial" w:eastAsia="Arial" w:hAnsi="Arial"/>
                <w:sz w:val="18"/>
                <w:szCs w:val="18"/>
                <w:color w:val="auto"/>
              </w:rPr>
              <w:t>21.8</w:t>
            </w:r>
          </w:p>
        </w:tc>
        <w:tc>
          <w:tcPr>
            <w:tcW w:w="300" w:type="dxa"/>
            <w:vAlign w:val="bottom"/>
            <w:shd w:val="clear" w:color="auto" w:fill="D7F5C4"/>
          </w:tcPr>
          <w:p>
            <w:pPr>
              <w:jc w:val="right"/>
              <w:ind w:right="36"/>
              <w:spacing w:after="0"/>
              <w:rPr>
                <w:sz w:val="20"/>
                <w:szCs w:val="20"/>
                <w:color w:val="auto"/>
              </w:rPr>
            </w:pPr>
            <w:r>
              <w:rPr>
                <w:rFonts w:ascii="Arial" w:cs="Arial" w:eastAsia="Arial" w:hAnsi="Arial"/>
                <w:sz w:val="18"/>
                <w:szCs w:val="18"/>
                <w:color w:val="auto"/>
              </w:rPr>
              <w:t>$</w:t>
            </w:r>
          </w:p>
        </w:tc>
        <w:tc>
          <w:tcPr>
            <w:tcW w:w="800" w:type="dxa"/>
            <w:vAlign w:val="bottom"/>
            <w:shd w:val="clear" w:color="auto" w:fill="D7F5C4"/>
          </w:tcPr>
          <w:p>
            <w:pPr>
              <w:jc w:val="right"/>
              <w:ind w:right="16"/>
              <w:spacing w:after="0"/>
              <w:rPr>
                <w:sz w:val="20"/>
                <w:szCs w:val="20"/>
                <w:color w:val="auto"/>
              </w:rPr>
            </w:pPr>
            <w:r>
              <w:rPr>
                <w:rFonts w:ascii="Arial" w:cs="Arial" w:eastAsia="Arial" w:hAnsi="Arial"/>
                <w:sz w:val="18"/>
                <w:szCs w:val="18"/>
                <w:color w:val="auto"/>
              </w:rPr>
              <w:t>25.0</w:t>
            </w:r>
          </w:p>
        </w:tc>
        <w:tc>
          <w:tcPr>
            <w:tcW w:w="420" w:type="dxa"/>
            <w:vAlign w:val="bottom"/>
            <w:shd w:val="clear" w:color="auto" w:fill="D7F5C4"/>
          </w:tcPr>
          <w:p>
            <w:pPr>
              <w:jc w:val="right"/>
              <w:ind w:right="156"/>
              <w:spacing w:after="0"/>
              <w:rPr>
                <w:sz w:val="20"/>
                <w:szCs w:val="20"/>
                <w:color w:val="auto"/>
              </w:rPr>
            </w:pPr>
            <w:r>
              <w:rPr>
                <w:rFonts w:ascii="Arial" w:cs="Arial" w:eastAsia="Arial" w:hAnsi="Arial"/>
                <w:sz w:val="18"/>
                <w:szCs w:val="18"/>
                <w:color w:val="auto"/>
              </w:rPr>
              <w:t>$</w:t>
            </w:r>
          </w:p>
        </w:tc>
        <w:tc>
          <w:tcPr>
            <w:tcW w:w="680" w:type="dxa"/>
            <w:vAlign w:val="bottom"/>
            <w:shd w:val="clear" w:color="auto" w:fill="D7F5C4"/>
          </w:tcPr>
          <w:p>
            <w:pPr>
              <w:jc w:val="right"/>
              <w:spacing w:after="0"/>
              <w:rPr>
                <w:sz w:val="20"/>
                <w:szCs w:val="20"/>
                <w:color w:val="auto"/>
              </w:rPr>
            </w:pPr>
            <w:r>
              <w:rPr>
                <w:rFonts w:ascii="Arial" w:cs="Arial" w:eastAsia="Arial" w:hAnsi="Arial"/>
                <w:sz w:val="18"/>
                <w:szCs w:val="18"/>
                <w:color w:val="auto"/>
              </w:rPr>
              <w:t>46.4</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Actual pre-tax operating income</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14.1</w:t>
            </w:r>
          </w:p>
        </w:tc>
        <w:tc>
          <w:tcPr>
            <w:tcW w:w="3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27.4</w:t>
            </w:r>
          </w:p>
        </w:tc>
        <w:tc>
          <w:tcPr>
            <w:tcW w:w="42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37.9</w:t>
            </w:r>
          </w:p>
        </w:tc>
      </w:tr>
    </w:tbl>
    <w:p>
      <w:pPr>
        <w:spacing w:after="0" w:line="107"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Based on these results, Messrs. Hewitt, Montalbano, Cavanah and Turner earned financial incentives of between threshold and target while Mr. Updyke earned financial incentives of between target and maximum.</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calculated incentives for each NEO, which were approved by the Committee at the August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Meeting, are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2580" w:type="dxa"/>
            <w:vAlign w:val="bottom"/>
          </w:tcPr>
          <w:p>
            <w:pPr>
              <w:jc w:val="right"/>
              <w:ind w:right="75"/>
              <w:spacing w:after="0"/>
              <w:rPr>
                <w:sz w:val="20"/>
                <w:szCs w:val="20"/>
                <w:color w:val="auto"/>
              </w:rPr>
            </w:pPr>
            <w:r>
              <w:rPr>
                <w:rFonts w:ascii="Arial" w:cs="Arial" w:eastAsia="Arial" w:hAnsi="Arial"/>
                <w:sz w:val="14"/>
                <w:szCs w:val="14"/>
                <w:b w:val="1"/>
                <w:bCs w:val="1"/>
                <w:color w:val="auto"/>
              </w:rPr>
              <w:t>Safety Incentive</w:t>
            </w:r>
          </w:p>
        </w:tc>
        <w:tc>
          <w:tcPr>
            <w:tcW w:w="1600" w:type="dxa"/>
            <w:vAlign w:val="bottom"/>
          </w:tcPr>
          <w:p>
            <w:pPr>
              <w:jc w:val="right"/>
              <w:ind w:right="95"/>
              <w:spacing w:after="0"/>
              <w:rPr>
                <w:sz w:val="20"/>
                <w:szCs w:val="20"/>
                <w:color w:val="auto"/>
              </w:rPr>
            </w:pPr>
            <w:r>
              <w:rPr>
                <w:rFonts w:ascii="Arial" w:cs="Arial" w:eastAsia="Arial" w:hAnsi="Arial"/>
                <w:sz w:val="14"/>
                <w:szCs w:val="14"/>
                <w:b w:val="1"/>
                <w:bCs w:val="1"/>
                <w:color w:val="auto"/>
              </w:rPr>
              <w:t>Financial Incentive</w:t>
            </w:r>
          </w:p>
        </w:tc>
        <w:tc>
          <w:tcPr>
            <w:tcW w:w="1220" w:type="dxa"/>
            <w:vAlign w:val="bottom"/>
          </w:tcPr>
          <w:p>
            <w:pPr>
              <w:jc w:val="right"/>
              <w:ind w:right="15"/>
              <w:spacing w:after="0"/>
              <w:rPr>
                <w:sz w:val="20"/>
                <w:szCs w:val="20"/>
                <w:color w:val="auto"/>
              </w:rPr>
            </w:pPr>
            <w:r>
              <w:rPr>
                <w:rFonts w:ascii="Arial" w:cs="Arial" w:eastAsia="Arial" w:hAnsi="Arial"/>
                <w:sz w:val="14"/>
                <w:szCs w:val="14"/>
                <w:b w:val="1"/>
                <w:bCs w:val="1"/>
                <w:color w:val="auto"/>
              </w:rPr>
              <w:t>Total Incentive</w:t>
            </w:r>
          </w:p>
        </w:tc>
      </w:tr>
      <w:tr>
        <w:trPr>
          <w:trHeight w:val="189"/>
        </w:trPr>
        <w:tc>
          <w:tcPr>
            <w:tcW w:w="4160" w:type="dxa"/>
            <w:vAlign w:val="bottom"/>
          </w:tcPr>
          <w:p>
            <w:pPr>
              <w:ind w:left="2460"/>
              <w:spacing w:after="0"/>
              <w:rPr>
                <w:sz w:val="20"/>
                <w:szCs w:val="20"/>
                <w:color w:val="auto"/>
              </w:rPr>
            </w:pPr>
            <w:r>
              <w:rPr>
                <w:rFonts w:ascii="Arial" w:cs="Arial" w:eastAsia="Arial" w:hAnsi="Arial"/>
                <w:sz w:val="14"/>
                <w:szCs w:val="14"/>
                <w:b w:val="1"/>
                <w:bCs w:val="1"/>
                <w:color w:val="auto"/>
              </w:rPr>
              <w:t>Name</w:t>
            </w:r>
          </w:p>
        </w:tc>
        <w:tc>
          <w:tcPr>
            <w:tcW w:w="2580" w:type="dxa"/>
            <w:vAlign w:val="bottom"/>
          </w:tcPr>
          <w:p>
            <w:pPr>
              <w:jc w:val="right"/>
              <w:ind w:right="535"/>
              <w:spacing w:after="0"/>
              <w:rPr>
                <w:sz w:val="20"/>
                <w:szCs w:val="20"/>
                <w:color w:val="auto"/>
              </w:rPr>
            </w:pPr>
            <w:r>
              <w:rPr>
                <w:rFonts w:ascii="Arial" w:cs="Arial" w:eastAsia="Arial" w:hAnsi="Arial"/>
                <w:sz w:val="14"/>
                <w:szCs w:val="14"/>
                <w:b w:val="1"/>
                <w:bCs w:val="1"/>
                <w:color w:val="auto"/>
              </w:rPr>
              <w:t>($)</w:t>
            </w:r>
          </w:p>
        </w:tc>
        <w:tc>
          <w:tcPr>
            <w:tcW w:w="1600" w:type="dxa"/>
            <w:vAlign w:val="bottom"/>
          </w:tcPr>
          <w:p>
            <w:pPr>
              <w:jc w:val="right"/>
              <w:ind w:right="655"/>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435"/>
              <w:spacing w:after="0"/>
              <w:rPr>
                <w:sz w:val="20"/>
                <w:szCs w:val="20"/>
                <w:color w:val="auto"/>
              </w:rPr>
            </w:pPr>
            <w:r>
              <w:rPr>
                <w:rFonts w:ascii="Arial" w:cs="Arial" w:eastAsia="Arial" w:hAnsi="Arial"/>
                <w:sz w:val="14"/>
                <w:szCs w:val="14"/>
                <w:b w:val="1"/>
                <w:bCs w:val="1"/>
                <w:color w:val="auto"/>
              </w:rPr>
              <w:t>($)</w:t>
            </w:r>
          </w:p>
        </w:tc>
      </w:tr>
      <w:tr>
        <w:trPr>
          <w:trHeight w:val="230"/>
        </w:trPr>
        <w:tc>
          <w:tcPr>
            <w:tcW w:w="4160" w:type="dxa"/>
            <w:vAlign w:val="bottom"/>
            <w:shd w:val="clear" w:color="auto" w:fill="D7F5C4"/>
          </w:tcPr>
          <w:p>
            <w:pPr>
              <w:spacing w:after="0"/>
              <w:rPr>
                <w:sz w:val="20"/>
                <w:szCs w:val="20"/>
                <w:color w:val="auto"/>
              </w:rPr>
            </w:pPr>
            <w:r>
              <w:rPr>
                <w:rFonts w:ascii="Arial" w:cs="Arial" w:eastAsia="Arial" w:hAnsi="Arial"/>
                <w:sz w:val="18"/>
                <w:szCs w:val="18"/>
                <w:color w:val="auto"/>
              </w:rPr>
              <w:t>John R. Hewitt</w:t>
            </w:r>
          </w:p>
        </w:tc>
        <w:tc>
          <w:tcPr>
            <w:tcW w:w="2580" w:type="dxa"/>
            <w:vAlign w:val="bottom"/>
            <w:shd w:val="clear" w:color="auto" w:fill="D7F5C4"/>
          </w:tcPr>
          <w:p>
            <w:pPr>
              <w:jc w:val="right"/>
              <w:ind w:right="35"/>
              <w:spacing w:after="0"/>
              <w:rPr>
                <w:sz w:val="20"/>
                <w:szCs w:val="20"/>
                <w:color w:val="auto"/>
              </w:rPr>
            </w:pPr>
            <w:r>
              <w:rPr>
                <w:rFonts w:ascii="Arial" w:cs="Arial" w:eastAsia="Arial" w:hAnsi="Arial"/>
                <w:sz w:val="18"/>
                <w:szCs w:val="18"/>
                <w:color w:val="auto"/>
              </w:rPr>
              <w:t>44,000</w:t>
            </w:r>
          </w:p>
        </w:tc>
        <w:tc>
          <w:tcPr>
            <w:tcW w:w="1600" w:type="dxa"/>
            <w:vAlign w:val="bottom"/>
            <w:shd w:val="clear" w:color="auto" w:fill="D7F5C4"/>
          </w:tcPr>
          <w:p>
            <w:pPr>
              <w:jc w:val="right"/>
              <w:ind w:right="15"/>
              <w:spacing w:after="0"/>
              <w:rPr>
                <w:sz w:val="20"/>
                <w:szCs w:val="20"/>
                <w:color w:val="auto"/>
              </w:rPr>
            </w:pPr>
            <w:r>
              <w:rPr>
                <w:rFonts w:ascii="Arial" w:cs="Arial" w:eastAsia="Arial" w:hAnsi="Arial"/>
                <w:sz w:val="18"/>
                <w:szCs w:val="18"/>
                <w:color w:val="auto"/>
              </w:rPr>
              <w:t>442,509</w:t>
            </w:r>
          </w:p>
        </w:tc>
        <w:tc>
          <w:tcPr>
            <w:tcW w:w="1220" w:type="dxa"/>
            <w:vAlign w:val="bottom"/>
            <w:shd w:val="clear" w:color="auto" w:fill="D7F5C4"/>
          </w:tcPr>
          <w:p>
            <w:pPr>
              <w:jc w:val="right"/>
              <w:ind w:right="15"/>
              <w:spacing w:after="0"/>
              <w:rPr>
                <w:sz w:val="20"/>
                <w:szCs w:val="20"/>
                <w:color w:val="auto"/>
              </w:rPr>
            </w:pPr>
            <w:r>
              <w:rPr>
                <w:rFonts w:ascii="Arial" w:cs="Arial" w:eastAsia="Arial" w:hAnsi="Arial"/>
                <w:sz w:val="18"/>
                <w:szCs w:val="18"/>
                <w:color w:val="auto"/>
              </w:rPr>
              <w:t>486,509</w:t>
            </w: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Joseph F. Montalbano</w:t>
            </w:r>
          </w:p>
        </w:tc>
        <w:tc>
          <w:tcPr>
            <w:tcW w:w="2580" w:type="dxa"/>
            <w:vAlign w:val="bottom"/>
          </w:tcPr>
          <w:p>
            <w:pPr>
              <w:jc w:val="right"/>
              <w:ind w:right="35"/>
              <w:spacing w:after="0"/>
              <w:rPr>
                <w:sz w:val="20"/>
                <w:szCs w:val="20"/>
                <w:color w:val="auto"/>
              </w:rPr>
            </w:pPr>
            <w:r>
              <w:rPr>
                <w:rFonts w:ascii="Arial" w:cs="Arial" w:eastAsia="Arial" w:hAnsi="Arial"/>
                <w:sz w:val="18"/>
                <w:szCs w:val="18"/>
                <w:color w:val="auto"/>
              </w:rPr>
              <w:t>21,488</w:t>
            </w:r>
          </w:p>
        </w:tc>
        <w:tc>
          <w:tcPr>
            <w:tcW w:w="1600" w:type="dxa"/>
            <w:vAlign w:val="bottom"/>
          </w:tcPr>
          <w:p>
            <w:pPr>
              <w:jc w:val="right"/>
              <w:ind w:right="15"/>
              <w:spacing w:after="0"/>
              <w:rPr>
                <w:sz w:val="20"/>
                <w:szCs w:val="20"/>
                <w:color w:val="auto"/>
              </w:rPr>
            </w:pPr>
            <w:r>
              <w:rPr>
                <w:rFonts w:ascii="Arial" w:cs="Arial" w:eastAsia="Arial" w:hAnsi="Arial"/>
                <w:sz w:val="18"/>
                <w:szCs w:val="18"/>
                <w:color w:val="auto"/>
              </w:rPr>
              <w:t>216,110</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237,598</w:t>
            </w:r>
          </w:p>
        </w:tc>
      </w:tr>
      <w:tr>
        <w:trPr>
          <w:trHeight w:val="230"/>
        </w:trPr>
        <w:tc>
          <w:tcPr>
            <w:tcW w:w="4160" w:type="dxa"/>
            <w:vAlign w:val="bottom"/>
            <w:shd w:val="clear" w:color="auto" w:fill="D7F5C4"/>
          </w:tcPr>
          <w:p>
            <w:pPr>
              <w:spacing w:after="0"/>
              <w:rPr>
                <w:sz w:val="20"/>
                <w:szCs w:val="20"/>
                <w:color w:val="auto"/>
              </w:rPr>
            </w:pPr>
            <w:r>
              <w:rPr>
                <w:rFonts w:ascii="Arial" w:cs="Arial" w:eastAsia="Arial" w:hAnsi="Arial"/>
                <w:sz w:val="18"/>
                <w:szCs w:val="18"/>
                <w:color w:val="auto"/>
              </w:rPr>
              <w:t>Kevin S. Cavanah</w:t>
            </w:r>
          </w:p>
        </w:tc>
        <w:tc>
          <w:tcPr>
            <w:tcW w:w="2580" w:type="dxa"/>
            <w:vAlign w:val="bottom"/>
            <w:shd w:val="clear" w:color="auto" w:fill="D7F5C4"/>
          </w:tcPr>
          <w:p>
            <w:pPr>
              <w:jc w:val="right"/>
              <w:ind w:right="35"/>
              <w:spacing w:after="0"/>
              <w:rPr>
                <w:sz w:val="20"/>
                <w:szCs w:val="20"/>
                <w:color w:val="auto"/>
              </w:rPr>
            </w:pPr>
            <w:r>
              <w:rPr>
                <w:rFonts w:ascii="Arial" w:cs="Arial" w:eastAsia="Arial" w:hAnsi="Arial"/>
                <w:sz w:val="18"/>
                <w:szCs w:val="18"/>
                <w:color w:val="auto"/>
              </w:rPr>
              <w:t>19,594</w:t>
            </w:r>
          </w:p>
        </w:tc>
        <w:tc>
          <w:tcPr>
            <w:tcW w:w="1600" w:type="dxa"/>
            <w:vAlign w:val="bottom"/>
            <w:shd w:val="clear" w:color="auto" w:fill="D7F5C4"/>
          </w:tcPr>
          <w:p>
            <w:pPr>
              <w:jc w:val="right"/>
              <w:ind w:right="15"/>
              <w:spacing w:after="0"/>
              <w:rPr>
                <w:sz w:val="20"/>
                <w:szCs w:val="20"/>
                <w:color w:val="auto"/>
              </w:rPr>
            </w:pPr>
            <w:r>
              <w:rPr>
                <w:rFonts w:ascii="Arial" w:cs="Arial" w:eastAsia="Arial" w:hAnsi="Arial"/>
                <w:sz w:val="18"/>
                <w:szCs w:val="18"/>
                <w:color w:val="auto"/>
              </w:rPr>
              <w:t>197,055</w:t>
            </w:r>
          </w:p>
        </w:tc>
        <w:tc>
          <w:tcPr>
            <w:tcW w:w="1220" w:type="dxa"/>
            <w:vAlign w:val="bottom"/>
            <w:shd w:val="clear" w:color="auto" w:fill="D7F5C4"/>
          </w:tcPr>
          <w:p>
            <w:pPr>
              <w:jc w:val="right"/>
              <w:ind w:right="15"/>
              <w:spacing w:after="0"/>
              <w:rPr>
                <w:sz w:val="20"/>
                <w:szCs w:val="20"/>
                <w:color w:val="auto"/>
              </w:rPr>
            </w:pPr>
            <w:r>
              <w:rPr>
                <w:rFonts w:ascii="Arial" w:cs="Arial" w:eastAsia="Arial" w:hAnsi="Arial"/>
                <w:sz w:val="18"/>
                <w:szCs w:val="18"/>
                <w:color w:val="auto"/>
              </w:rPr>
              <w:t>216,649</w:t>
            </w: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Alan R. Updyke</w:t>
            </w:r>
          </w:p>
        </w:tc>
        <w:tc>
          <w:tcPr>
            <w:tcW w:w="2580" w:type="dxa"/>
            <w:vAlign w:val="bottom"/>
          </w:tcPr>
          <w:p>
            <w:pPr>
              <w:jc w:val="right"/>
              <w:ind w:right="35"/>
              <w:spacing w:after="0"/>
              <w:rPr>
                <w:sz w:val="20"/>
                <w:szCs w:val="20"/>
                <w:color w:val="auto"/>
              </w:rPr>
            </w:pPr>
            <w:r>
              <w:rPr>
                <w:rFonts w:ascii="Arial" w:cs="Arial" w:eastAsia="Arial" w:hAnsi="Arial"/>
                <w:sz w:val="18"/>
                <w:szCs w:val="18"/>
                <w:color w:val="auto"/>
              </w:rPr>
              <w:t>44,717</w:t>
            </w:r>
          </w:p>
        </w:tc>
        <w:tc>
          <w:tcPr>
            <w:tcW w:w="1600" w:type="dxa"/>
            <w:vAlign w:val="bottom"/>
          </w:tcPr>
          <w:p>
            <w:pPr>
              <w:jc w:val="right"/>
              <w:ind w:right="15"/>
              <w:spacing w:after="0"/>
              <w:rPr>
                <w:sz w:val="20"/>
                <w:szCs w:val="20"/>
                <w:color w:val="auto"/>
              </w:rPr>
            </w:pPr>
            <w:r>
              <w:rPr>
                <w:rFonts w:ascii="Arial" w:cs="Arial" w:eastAsia="Arial" w:hAnsi="Arial"/>
                <w:sz w:val="18"/>
                <w:szCs w:val="18"/>
                <w:color w:val="auto"/>
              </w:rPr>
              <w:t>254,444</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299,161</w:t>
            </w:r>
          </w:p>
        </w:tc>
      </w:tr>
      <w:tr>
        <w:trPr>
          <w:trHeight w:val="230"/>
        </w:trPr>
        <w:tc>
          <w:tcPr>
            <w:tcW w:w="4160" w:type="dxa"/>
            <w:vAlign w:val="bottom"/>
            <w:shd w:val="clear" w:color="auto" w:fill="D7F5C4"/>
          </w:tcPr>
          <w:p>
            <w:pPr>
              <w:spacing w:after="0"/>
              <w:rPr>
                <w:sz w:val="20"/>
                <w:szCs w:val="20"/>
                <w:color w:val="auto"/>
              </w:rPr>
            </w:pPr>
            <w:r>
              <w:rPr>
                <w:rFonts w:ascii="Arial" w:cs="Arial" w:eastAsia="Arial" w:hAnsi="Arial"/>
                <w:sz w:val="18"/>
                <w:szCs w:val="18"/>
                <w:color w:val="auto"/>
              </w:rPr>
              <w:t>Jason W. Turner</w:t>
            </w:r>
          </w:p>
        </w:tc>
        <w:tc>
          <w:tcPr>
            <w:tcW w:w="2580" w:type="dxa"/>
            <w:vAlign w:val="bottom"/>
            <w:shd w:val="clear" w:color="auto" w:fill="D7F5C4"/>
          </w:tcPr>
          <w:p>
            <w:pPr>
              <w:jc w:val="right"/>
              <w:ind w:right="35"/>
              <w:spacing w:after="0"/>
              <w:rPr>
                <w:sz w:val="20"/>
                <w:szCs w:val="20"/>
                <w:color w:val="auto"/>
              </w:rPr>
            </w:pPr>
            <w:r>
              <w:rPr>
                <w:rFonts w:ascii="Arial" w:cs="Arial" w:eastAsia="Arial" w:hAnsi="Arial"/>
                <w:sz w:val="18"/>
                <w:szCs w:val="18"/>
                <w:color w:val="auto"/>
              </w:rPr>
              <w:t>—</w:t>
            </w:r>
          </w:p>
        </w:tc>
        <w:tc>
          <w:tcPr>
            <w:tcW w:w="1600" w:type="dxa"/>
            <w:vAlign w:val="bottom"/>
            <w:shd w:val="clear" w:color="auto" w:fill="D7F5C4"/>
          </w:tcPr>
          <w:p>
            <w:pPr>
              <w:jc w:val="right"/>
              <w:ind w:right="15"/>
              <w:spacing w:after="0"/>
              <w:rPr>
                <w:sz w:val="20"/>
                <w:szCs w:val="20"/>
                <w:color w:val="auto"/>
              </w:rPr>
            </w:pPr>
            <w:r>
              <w:rPr>
                <w:rFonts w:ascii="Arial" w:cs="Arial" w:eastAsia="Arial" w:hAnsi="Arial"/>
                <w:sz w:val="18"/>
                <w:szCs w:val="18"/>
                <w:color w:val="auto"/>
              </w:rPr>
              <w:t>145,070</w:t>
            </w:r>
          </w:p>
        </w:tc>
        <w:tc>
          <w:tcPr>
            <w:tcW w:w="1220" w:type="dxa"/>
            <w:vAlign w:val="bottom"/>
            <w:shd w:val="clear" w:color="auto" w:fill="D7F5C4"/>
          </w:tcPr>
          <w:p>
            <w:pPr>
              <w:jc w:val="right"/>
              <w:ind w:right="15"/>
              <w:spacing w:after="0"/>
              <w:rPr>
                <w:sz w:val="20"/>
                <w:szCs w:val="20"/>
                <w:color w:val="auto"/>
              </w:rPr>
            </w:pPr>
            <w:r>
              <w:rPr>
                <w:rFonts w:ascii="Arial" w:cs="Arial" w:eastAsia="Arial" w:hAnsi="Arial"/>
                <w:sz w:val="18"/>
                <w:szCs w:val="18"/>
                <w:color w:val="auto"/>
              </w:rPr>
              <w:t>145,070</w:t>
            </w:r>
          </w:p>
        </w:tc>
      </w:tr>
    </w:tbl>
    <w:p>
      <w:pPr>
        <w:spacing w:after="0" w:line="107"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Performance measures are established shortly after the beginning of the fiscal year and do not include the impact of any acquisitions, positive or negative, completed within the fiscal year. However, it is anticipated that the Committee would evaluate any acquisitions which may be completed during the fiscal year on a case-by-case basis to determine their impact on the plan and adjust performance measures appropriately. In addition, the Committee has negative discretion with respect to actual payout of annual short term incentive awards and can reduce awards regardless of whether performance targets are achieved.</w:t>
      </w:r>
    </w:p>
    <w:p>
      <w:pPr>
        <w:spacing w:after="0" w:line="10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Annual/Short-Term Incentive Compensation Plan is reviewed and evaluated periodically to ensure that it meets our objectives and may be modified, discontinued or replaced based on our changing objectives and requirements.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Long-Term Incentive Compensation</w:t>
      </w:r>
    </w:p>
    <w:p>
      <w:pPr>
        <w:spacing w:after="0" w:line="12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purpose for providing long-term incentive compensation to executive officers is to tie executive rewards directly to the enhancement of long-term stockholder value and Company profitability. Offering the opportunity for executive officers and other key members of management to earn an ownership position in the Company along with a long-term cash incentive enables us to remain competitive and attract, retain and motivate top executive and management talent. We believe that long-term incentive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607187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awards help to create and maintain a long-term perspective among executive officers and provide a direct link between executive compensation and our long-term growth and profitability. However, we also understand that equity awards create dilution in our earnings per share and therefore, believe that a portion of our long-term incentive compensation should be in the form of cash.</w:t>
      </w:r>
    </w:p>
    <w:p>
      <w:pPr>
        <w:spacing w:after="0" w:line="96"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The Committee believes that a combination of service-based RSUs and performance units are the most appropriate forms of equity awards to achieve our stated objectives. RSUs strongly and directly link management and stockholder interests. As a full value award, RSUs are less dilutive to stockholders than stock options, since we are able to issue fewer shares in order to attain the desired level of equity compensation for our executive officers and managers. Under the long-term incentive program, all awards are issued on an annual basis. A portion of the annual award is in the form of service-based RSUs that vest over a specified period of time. Service-based shares are an excellent tool to promote executive officer and management retention. The second portion of the award is in the form of performance units with performance criteria that link the realized value of the equity reward to achievement of stockholder value. Finally, the remaining portion of the award is cash-based and includes performance incentives tied to achievement of important strategic goals. Specific, individual grants vary by level and role in the organization. The amount of each award corresponds to the respective salary grade for each executive officer and manager and is based on market data.</w:t>
      </w:r>
    </w:p>
    <w:p>
      <w:pPr>
        <w:spacing w:after="0" w:line="9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Long-term incentive awards are reviewed and evaluated periodically to ensure that they continue to meet our objectives and may be modified, discontinued or replaced based on the changing objectives and requirements of the Company. The Committee reviewed the long-term incentive plan in August 2018 in connection with the grant of fiscal 2019 long-term incentive awards and recommended no significant changes. The Committee’s review carefully considered the Meridian study, trends of our peer companies, compensation objectives of retention and value creation, and the objective of conserving shares available for grant under our equity incentive plan and reducing earnings dilution.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Committee approved the following structure for the fiscal 2019 long-term incentive grant for NEOs:</w:t>
      </w:r>
    </w:p>
    <w:p>
      <w:pPr>
        <w:spacing w:after="0" w:line="104" w:lineRule="exact"/>
        <w:rPr>
          <w:sz w:val="20"/>
          <w:szCs w:val="20"/>
          <w:color w:val="auto"/>
        </w:rPr>
      </w:pPr>
    </w:p>
    <w:p>
      <w:pPr>
        <w:ind w:left="700" w:right="160" w:hanging="356"/>
        <w:spacing w:after="0" w:line="238"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One third of the grant consisted of service-based RSUs. Vesting will continue to occur evenly over a four-year period beginning on the first anniversary of the grant date. In addition, the award agreements contain a provision that accelerates the vesting for retirement eligible participants and participants that become retirement eligible during the vesting period. The award is forfeited if retirement occurs before the first anniversary of the award. Settlement still occurs on the normal vesting schedules.</w:t>
      </w:r>
    </w:p>
    <w:p>
      <w:pPr>
        <w:spacing w:after="0" w:line="94" w:lineRule="exact"/>
        <w:rPr>
          <w:rFonts w:ascii="Arial" w:cs="Arial" w:eastAsia="Arial" w:hAnsi="Arial"/>
          <w:sz w:val="18"/>
          <w:szCs w:val="18"/>
          <w:color w:val="auto"/>
        </w:rPr>
      </w:pPr>
    </w:p>
    <w:p>
      <w:pPr>
        <w:ind w:left="700" w:right="60" w:hanging="356"/>
        <w:spacing w:after="0" w:line="239"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One third of the grant is in the form of PSUs. The PSUs cliff vest on the third anniversary of the grant. The shares of Company common stock received can vary from zero to two for each performance unit based on the relative Total Shareholder Return (“TSR”) of the Company’s common stock as compared to the TSR of a group of peer companies over the performance period. The potential award levels are as follows:</w:t>
      </w:r>
    </w:p>
    <w:p>
      <w:pPr>
        <w:spacing w:after="0" w:line="41"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29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rPr>
              <w:t>Shares of Common Stock</w:t>
            </w:r>
          </w:p>
        </w:tc>
      </w:tr>
      <w:tr>
        <w:trPr>
          <w:trHeight w:val="189"/>
        </w:trPr>
        <w:tc>
          <w:tcPr>
            <w:tcW w:w="2980" w:type="dxa"/>
            <w:vAlign w:val="bottom"/>
          </w:tcPr>
          <w:p>
            <w:pPr>
              <w:ind w:left="760"/>
              <w:spacing w:after="0"/>
              <w:rPr>
                <w:sz w:val="20"/>
                <w:szCs w:val="20"/>
                <w:color w:val="auto"/>
              </w:rPr>
            </w:pPr>
            <w:r>
              <w:rPr>
                <w:rFonts w:ascii="Arial" w:cs="Arial" w:eastAsia="Arial" w:hAnsi="Arial"/>
                <w:sz w:val="14"/>
                <w:szCs w:val="14"/>
                <w:b w:val="1"/>
                <w:bCs w:val="1"/>
                <w:color w:val="auto"/>
              </w:rPr>
              <w:t>Shareholder Return Goal</w:t>
            </w:r>
          </w:p>
        </w:tc>
        <w:tc>
          <w:tcPr>
            <w:tcW w:w="3160" w:type="dxa"/>
            <w:vAlign w:val="bottom"/>
          </w:tcPr>
          <w:p>
            <w:pPr>
              <w:jc w:val="center"/>
              <w:ind w:left="193"/>
              <w:spacing w:after="0"/>
              <w:rPr>
                <w:sz w:val="20"/>
                <w:szCs w:val="20"/>
                <w:color w:val="auto"/>
              </w:rPr>
            </w:pPr>
            <w:r>
              <w:rPr>
                <w:rFonts w:ascii="Arial" w:cs="Arial" w:eastAsia="Arial" w:hAnsi="Arial"/>
                <w:sz w:val="14"/>
                <w:szCs w:val="14"/>
                <w:b w:val="1"/>
                <w:bCs w:val="1"/>
                <w:color w:val="auto"/>
              </w:rPr>
              <w:t>Total Shareholder Return</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rPr>
              <w:t>for Each Performance Unit</w:t>
            </w:r>
          </w:p>
        </w:tc>
      </w:tr>
      <w:tr>
        <w:trPr>
          <w:trHeight w:val="230"/>
        </w:trPr>
        <w:tc>
          <w:tcPr>
            <w:tcW w:w="2980" w:type="dxa"/>
            <w:vAlign w:val="bottom"/>
            <w:shd w:val="clear" w:color="auto" w:fill="D7F5C4"/>
          </w:tcPr>
          <w:p>
            <w:pPr>
              <w:spacing w:after="0"/>
              <w:rPr>
                <w:sz w:val="20"/>
                <w:szCs w:val="20"/>
                <w:color w:val="auto"/>
              </w:rPr>
            </w:pPr>
            <w:r>
              <w:rPr>
                <w:rFonts w:ascii="Arial" w:cs="Arial" w:eastAsia="Arial" w:hAnsi="Arial"/>
                <w:sz w:val="18"/>
                <w:szCs w:val="18"/>
                <w:color w:val="auto"/>
              </w:rPr>
              <w:t>Threshold</w:t>
            </w:r>
          </w:p>
        </w:tc>
        <w:tc>
          <w:tcPr>
            <w:tcW w:w="3160" w:type="dxa"/>
            <w:vAlign w:val="bottom"/>
            <w:shd w:val="clear" w:color="auto" w:fill="D7F5C4"/>
          </w:tcPr>
          <w:p>
            <w:pPr>
              <w:jc w:val="center"/>
              <w:ind w:left="193"/>
              <w:spacing w:after="0"/>
              <w:rPr>
                <w:sz w:val="20"/>
                <w:szCs w:val="20"/>
                <w:color w:val="auto"/>
              </w:rPr>
            </w:pPr>
            <w:r>
              <w:rPr>
                <w:rFonts w:ascii="Arial" w:cs="Arial" w:eastAsia="Arial" w:hAnsi="Arial"/>
                <w:sz w:val="18"/>
                <w:szCs w:val="18"/>
                <w:color w:val="auto"/>
                <w:w w:val="99"/>
              </w:rPr>
              <w:t>25th percentile of Peer Group</w:t>
            </w:r>
          </w:p>
        </w:tc>
        <w:tc>
          <w:tcPr>
            <w:tcW w:w="2260" w:type="dxa"/>
            <w:vAlign w:val="bottom"/>
            <w:shd w:val="clear" w:color="auto" w:fill="D7F5C4"/>
          </w:tcPr>
          <w:p>
            <w:pPr>
              <w:jc w:val="center"/>
              <w:spacing w:after="0"/>
              <w:rPr>
                <w:sz w:val="20"/>
                <w:szCs w:val="20"/>
                <w:color w:val="auto"/>
              </w:rPr>
            </w:pPr>
            <w:r>
              <w:rPr>
                <w:rFonts w:ascii="Arial" w:cs="Arial" w:eastAsia="Arial" w:hAnsi="Arial"/>
                <w:sz w:val="18"/>
                <w:szCs w:val="18"/>
                <w:color w:val="auto"/>
              </w:rPr>
              <w:t>0.25</w:t>
            </w: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Above Threshold</w:t>
            </w:r>
          </w:p>
        </w:tc>
        <w:tc>
          <w:tcPr>
            <w:tcW w:w="3160" w:type="dxa"/>
            <w:vAlign w:val="bottom"/>
          </w:tcPr>
          <w:p>
            <w:pPr>
              <w:jc w:val="center"/>
              <w:ind w:left="193"/>
              <w:spacing w:after="0"/>
              <w:rPr>
                <w:sz w:val="20"/>
                <w:szCs w:val="20"/>
                <w:color w:val="auto"/>
              </w:rPr>
            </w:pPr>
            <w:r>
              <w:rPr>
                <w:rFonts w:ascii="Arial" w:cs="Arial" w:eastAsia="Arial" w:hAnsi="Arial"/>
                <w:sz w:val="18"/>
                <w:szCs w:val="18"/>
                <w:color w:val="auto"/>
                <w:w w:val="99"/>
              </w:rPr>
              <w:t>35th percentile of Peer Group</w:t>
            </w:r>
          </w:p>
        </w:tc>
        <w:tc>
          <w:tcPr>
            <w:tcW w:w="2260" w:type="dxa"/>
            <w:vAlign w:val="bottom"/>
          </w:tcPr>
          <w:p>
            <w:pPr>
              <w:jc w:val="center"/>
              <w:spacing w:after="0"/>
              <w:rPr>
                <w:sz w:val="20"/>
                <w:szCs w:val="20"/>
                <w:color w:val="auto"/>
              </w:rPr>
            </w:pPr>
            <w:r>
              <w:rPr>
                <w:rFonts w:ascii="Arial" w:cs="Arial" w:eastAsia="Arial" w:hAnsi="Arial"/>
                <w:sz w:val="18"/>
                <w:szCs w:val="18"/>
                <w:color w:val="auto"/>
              </w:rPr>
              <w:t>0.50</w:t>
            </w:r>
          </w:p>
        </w:tc>
      </w:tr>
      <w:tr>
        <w:trPr>
          <w:trHeight w:val="230"/>
        </w:trPr>
        <w:tc>
          <w:tcPr>
            <w:tcW w:w="2980" w:type="dxa"/>
            <w:vAlign w:val="bottom"/>
            <w:shd w:val="clear" w:color="auto" w:fill="D7F5C4"/>
          </w:tcPr>
          <w:p>
            <w:pPr>
              <w:spacing w:after="0"/>
              <w:rPr>
                <w:sz w:val="20"/>
                <w:szCs w:val="20"/>
                <w:color w:val="auto"/>
              </w:rPr>
            </w:pPr>
            <w:r>
              <w:rPr>
                <w:rFonts w:ascii="Arial" w:cs="Arial" w:eastAsia="Arial" w:hAnsi="Arial"/>
                <w:sz w:val="18"/>
                <w:szCs w:val="18"/>
                <w:color w:val="auto"/>
              </w:rPr>
              <w:t>Target</w:t>
            </w:r>
          </w:p>
        </w:tc>
        <w:tc>
          <w:tcPr>
            <w:tcW w:w="3160" w:type="dxa"/>
            <w:vAlign w:val="bottom"/>
            <w:shd w:val="clear" w:color="auto" w:fill="D7F5C4"/>
          </w:tcPr>
          <w:p>
            <w:pPr>
              <w:jc w:val="center"/>
              <w:ind w:left="193"/>
              <w:spacing w:after="0"/>
              <w:rPr>
                <w:sz w:val="20"/>
                <w:szCs w:val="20"/>
                <w:color w:val="auto"/>
              </w:rPr>
            </w:pPr>
            <w:r>
              <w:rPr>
                <w:rFonts w:ascii="Arial" w:cs="Arial" w:eastAsia="Arial" w:hAnsi="Arial"/>
                <w:sz w:val="18"/>
                <w:szCs w:val="18"/>
                <w:color w:val="auto"/>
                <w:w w:val="99"/>
              </w:rPr>
              <w:t>50th percentile of Peer Group</w:t>
            </w:r>
          </w:p>
        </w:tc>
        <w:tc>
          <w:tcPr>
            <w:tcW w:w="2260" w:type="dxa"/>
            <w:vAlign w:val="bottom"/>
            <w:shd w:val="clear" w:color="auto" w:fill="D7F5C4"/>
          </w:tcPr>
          <w:p>
            <w:pPr>
              <w:jc w:val="center"/>
              <w:spacing w:after="0"/>
              <w:rPr>
                <w:sz w:val="20"/>
                <w:szCs w:val="20"/>
                <w:color w:val="auto"/>
              </w:rPr>
            </w:pPr>
            <w:r>
              <w:rPr>
                <w:rFonts w:ascii="Arial" w:cs="Arial" w:eastAsia="Arial" w:hAnsi="Arial"/>
                <w:sz w:val="18"/>
                <w:szCs w:val="18"/>
                <w:color w:val="auto"/>
              </w:rPr>
              <w:t>1.00</w:t>
            </w: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Above Target</w:t>
            </w:r>
          </w:p>
        </w:tc>
        <w:tc>
          <w:tcPr>
            <w:tcW w:w="3160" w:type="dxa"/>
            <w:vAlign w:val="bottom"/>
          </w:tcPr>
          <w:p>
            <w:pPr>
              <w:jc w:val="center"/>
              <w:ind w:left="193"/>
              <w:spacing w:after="0"/>
              <w:rPr>
                <w:sz w:val="20"/>
                <w:szCs w:val="20"/>
                <w:color w:val="auto"/>
              </w:rPr>
            </w:pPr>
            <w:r>
              <w:rPr>
                <w:rFonts w:ascii="Arial" w:cs="Arial" w:eastAsia="Arial" w:hAnsi="Arial"/>
                <w:sz w:val="18"/>
                <w:szCs w:val="18"/>
                <w:color w:val="auto"/>
                <w:w w:val="99"/>
              </w:rPr>
              <w:t>75th percentile of Peer Group</w:t>
            </w:r>
          </w:p>
        </w:tc>
        <w:tc>
          <w:tcPr>
            <w:tcW w:w="2260" w:type="dxa"/>
            <w:vAlign w:val="bottom"/>
          </w:tcPr>
          <w:p>
            <w:pPr>
              <w:jc w:val="center"/>
              <w:spacing w:after="0"/>
              <w:rPr>
                <w:sz w:val="20"/>
                <w:szCs w:val="20"/>
                <w:color w:val="auto"/>
              </w:rPr>
            </w:pPr>
            <w:r>
              <w:rPr>
                <w:rFonts w:ascii="Arial" w:cs="Arial" w:eastAsia="Arial" w:hAnsi="Arial"/>
                <w:sz w:val="18"/>
                <w:szCs w:val="18"/>
                <w:color w:val="auto"/>
              </w:rPr>
              <w:t>1.50</w:t>
            </w:r>
          </w:p>
        </w:tc>
      </w:tr>
      <w:tr>
        <w:trPr>
          <w:trHeight w:val="230"/>
        </w:trPr>
        <w:tc>
          <w:tcPr>
            <w:tcW w:w="2980" w:type="dxa"/>
            <w:vAlign w:val="bottom"/>
            <w:shd w:val="clear" w:color="auto" w:fill="D7F5C4"/>
          </w:tcPr>
          <w:p>
            <w:pPr>
              <w:spacing w:after="0"/>
              <w:rPr>
                <w:sz w:val="20"/>
                <w:szCs w:val="20"/>
                <w:color w:val="auto"/>
              </w:rPr>
            </w:pPr>
            <w:r>
              <w:rPr>
                <w:rFonts w:ascii="Arial" w:cs="Arial" w:eastAsia="Arial" w:hAnsi="Arial"/>
                <w:sz w:val="18"/>
                <w:szCs w:val="18"/>
                <w:color w:val="auto"/>
              </w:rPr>
              <w:t>Maximum</w:t>
            </w:r>
          </w:p>
        </w:tc>
        <w:tc>
          <w:tcPr>
            <w:tcW w:w="3160" w:type="dxa"/>
            <w:vAlign w:val="bottom"/>
            <w:shd w:val="clear" w:color="auto" w:fill="D7F5C4"/>
          </w:tcPr>
          <w:p>
            <w:pPr>
              <w:jc w:val="center"/>
              <w:ind w:left="193"/>
              <w:spacing w:after="0"/>
              <w:rPr>
                <w:sz w:val="20"/>
                <w:szCs w:val="20"/>
                <w:color w:val="auto"/>
              </w:rPr>
            </w:pPr>
            <w:r>
              <w:rPr>
                <w:rFonts w:ascii="Arial" w:cs="Arial" w:eastAsia="Arial" w:hAnsi="Arial"/>
                <w:sz w:val="18"/>
                <w:szCs w:val="18"/>
                <w:color w:val="auto"/>
                <w:w w:val="99"/>
              </w:rPr>
              <w:t>90th percentile of Peer Group</w:t>
            </w:r>
          </w:p>
        </w:tc>
        <w:tc>
          <w:tcPr>
            <w:tcW w:w="2260" w:type="dxa"/>
            <w:vAlign w:val="bottom"/>
            <w:shd w:val="clear" w:color="auto" w:fill="D7F5C4"/>
          </w:tcPr>
          <w:p>
            <w:pPr>
              <w:jc w:val="center"/>
              <w:spacing w:after="0"/>
              <w:rPr>
                <w:sz w:val="20"/>
                <w:szCs w:val="20"/>
                <w:color w:val="auto"/>
              </w:rPr>
            </w:pPr>
            <w:r>
              <w:rPr>
                <w:rFonts w:ascii="Arial" w:cs="Arial" w:eastAsia="Arial" w:hAnsi="Arial"/>
                <w:sz w:val="18"/>
                <w:szCs w:val="18"/>
                <w:color w:val="auto"/>
              </w:rPr>
              <w:t>2.00</w:t>
            </w:r>
          </w:p>
        </w:tc>
      </w:tr>
    </w:tbl>
    <w:p>
      <w:pPr>
        <w:spacing w:after="0" w:line="94" w:lineRule="exact"/>
        <w:rPr>
          <w:sz w:val="20"/>
          <w:szCs w:val="20"/>
          <w:color w:val="auto"/>
        </w:rPr>
      </w:pPr>
    </w:p>
    <w:p>
      <w:pPr>
        <w:spacing w:after="0" w:line="198" w:lineRule="auto"/>
        <w:rPr>
          <w:sz w:val="20"/>
          <w:szCs w:val="20"/>
          <w:color w:val="auto"/>
        </w:rPr>
      </w:pPr>
      <w:r>
        <w:rPr>
          <w:rFonts w:ascii="Arial" w:cs="Arial" w:eastAsia="Arial" w:hAnsi="Arial"/>
          <w:sz w:val="18"/>
          <w:szCs w:val="18"/>
          <w:color w:val="auto"/>
        </w:rPr>
        <w:t>In the event the Company achieves a relative TSR in excess of the 75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but the actual TSR of the Company is less than zero, the Named Executive Officers will receive 1.5 shares for each performance unit.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607187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The peer group for the fiscal 2019 performance unit award was as follows:</w:t>
      </w:r>
    </w:p>
    <w:p>
      <w:pPr>
        <w:spacing w:after="0" w:line="63" w:lineRule="exact"/>
        <w:rPr>
          <w:sz w:val="20"/>
          <w:szCs w:val="20"/>
          <w:color w:val="auto"/>
        </w:rPr>
      </w:pPr>
    </w:p>
    <w:tbl>
      <w:tblPr>
        <w:tblLayout w:type="fixed"/>
        <w:tblInd w:w="380" w:type="dxa"/>
        <w:tblCellMar>
          <w:top w:w="0" w:type="dxa"/>
          <w:left w:w="0" w:type="dxa"/>
          <w:bottom w:w="0" w:type="dxa"/>
          <w:right w:w="0" w:type="dxa"/>
        </w:tblCellMar>
      </w:tblPr>
      <w:tr>
        <w:trPr>
          <w:trHeight w:val="217"/>
        </w:trPr>
        <w:tc>
          <w:tcPr>
            <w:tcW w:w="3960" w:type="dxa"/>
            <w:vAlign w:val="bottom"/>
          </w:tcPr>
          <w:p>
            <w:pPr>
              <w:spacing w:after="0"/>
              <w:rPr>
                <w:sz w:val="20"/>
                <w:szCs w:val="20"/>
                <w:color w:val="auto"/>
              </w:rPr>
            </w:pPr>
            <w:r>
              <w:rPr>
                <w:rFonts w:ascii="Arial" w:cs="Arial" w:eastAsia="Arial" w:hAnsi="Arial"/>
                <w:sz w:val="18"/>
                <w:szCs w:val="18"/>
                <w:color w:val="auto"/>
              </w:rPr>
              <w:t>Aegion Corporation</w:t>
            </w:r>
          </w:p>
        </w:tc>
        <w:tc>
          <w:tcPr>
            <w:tcW w:w="5020" w:type="dxa"/>
            <w:vAlign w:val="bottom"/>
          </w:tcPr>
          <w:p>
            <w:pPr>
              <w:ind w:left="540"/>
              <w:spacing w:after="0"/>
              <w:rPr>
                <w:sz w:val="20"/>
                <w:szCs w:val="20"/>
                <w:color w:val="auto"/>
              </w:rPr>
            </w:pPr>
            <w:r>
              <w:rPr>
                <w:rFonts w:ascii="Arial" w:cs="Arial" w:eastAsia="Arial" w:hAnsi="Arial"/>
                <w:sz w:val="18"/>
                <w:szCs w:val="18"/>
                <w:color w:val="auto"/>
              </w:rPr>
              <w:t>KBR Inc.</w:t>
            </w:r>
          </w:p>
        </w:tc>
      </w:tr>
      <w:tr>
        <w:trPr>
          <w:trHeight w:val="230"/>
        </w:trPr>
        <w:tc>
          <w:tcPr>
            <w:tcW w:w="3960" w:type="dxa"/>
            <w:vAlign w:val="bottom"/>
            <w:shd w:val="clear" w:color="auto" w:fill="D7F5C4"/>
          </w:tcPr>
          <w:p>
            <w:pPr>
              <w:spacing w:after="0"/>
              <w:rPr>
                <w:sz w:val="20"/>
                <w:szCs w:val="20"/>
                <w:color w:val="auto"/>
              </w:rPr>
            </w:pPr>
            <w:r>
              <w:rPr>
                <w:rFonts w:ascii="Arial" w:cs="Arial" w:eastAsia="Arial" w:hAnsi="Arial"/>
                <w:sz w:val="18"/>
                <w:szCs w:val="18"/>
                <w:color w:val="auto"/>
              </w:rPr>
              <w:t>Argan Inc.</w:t>
            </w:r>
          </w:p>
        </w:tc>
        <w:tc>
          <w:tcPr>
            <w:tcW w:w="5020" w:type="dxa"/>
            <w:vAlign w:val="bottom"/>
            <w:shd w:val="clear" w:color="auto" w:fill="D7F5C4"/>
          </w:tcPr>
          <w:p>
            <w:pPr>
              <w:ind w:left="540"/>
              <w:spacing w:after="0"/>
              <w:rPr>
                <w:sz w:val="20"/>
                <w:szCs w:val="20"/>
                <w:color w:val="auto"/>
              </w:rPr>
            </w:pPr>
            <w:r>
              <w:rPr>
                <w:rFonts w:ascii="Arial" w:cs="Arial" w:eastAsia="Arial" w:hAnsi="Arial"/>
                <w:sz w:val="18"/>
                <w:szCs w:val="18"/>
                <w:color w:val="auto"/>
              </w:rPr>
              <w:t>MasTec Inc.</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Babcock and Wilcox Enterprises Inc.</w:t>
            </w:r>
          </w:p>
        </w:tc>
        <w:tc>
          <w:tcPr>
            <w:tcW w:w="5020" w:type="dxa"/>
            <w:vAlign w:val="bottom"/>
          </w:tcPr>
          <w:p>
            <w:pPr>
              <w:ind w:left="540"/>
              <w:spacing w:after="0"/>
              <w:rPr>
                <w:sz w:val="20"/>
                <w:szCs w:val="20"/>
                <w:color w:val="auto"/>
              </w:rPr>
            </w:pPr>
            <w:r>
              <w:rPr>
                <w:rFonts w:ascii="Arial" w:cs="Arial" w:eastAsia="Arial" w:hAnsi="Arial"/>
                <w:sz w:val="18"/>
                <w:szCs w:val="18"/>
                <w:color w:val="auto"/>
              </w:rPr>
              <w:t>McDermott International Inc.</w:t>
            </w:r>
          </w:p>
        </w:tc>
      </w:tr>
      <w:tr>
        <w:trPr>
          <w:trHeight w:val="230"/>
        </w:trPr>
        <w:tc>
          <w:tcPr>
            <w:tcW w:w="3960" w:type="dxa"/>
            <w:vAlign w:val="bottom"/>
            <w:shd w:val="clear" w:color="auto" w:fill="D7F5C4"/>
          </w:tcPr>
          <w:p>
            <w:pPr>
              <w:spacing w:after="0"/>
              <w:rPr>
                <w:sz w:val="20"/>
                <w:szCs w:val="20"/>
                <w:color w:val="auto"/>
              </w:rPr>
            </w:pPr>
            <w:r>
              <w:rPr>
                <w:rFonts w:ascii="Arial" w:cs="Arial" w:eastAsia="Arial" w:hAnsi="Arial"/>
                <w:sz w:val="18"/>
                <w:szCs w:val="18"/>
                <w:color w:val="auto"/>
              </w:rPr>
              <w:t>Dycom Industries Inc.</w:t>
            </w:r>
          </w:p>
        </w:tc>
        <w:tc>
          <w:tcPr>
            <w:tcW w:w="5020" w:type="dxa"/>
            <w:vAlign w:val="bottom"/>
            <w:shd w:val="clear" w:color="auto" w:fill="D7F5C4"/>
          </w:tcPr>
          <w:p>
            <w:pPr>
              <w:ind w:left="540"/>
              <w:spacing w:after="0"/>
              <w:rPr>
                <w:sz w:val="20"/>
                <w:szCs w:val="20"/>
                <w:color w:val="auto"/>
              </w:rPr>
            </w:pPr>
            <w:r>
              <w:rPr>
                <w:rFonts w:ascii="Arial" w:cs="Arial" w:eastAsia="Arial" w:hAnsi="Arial"/>
                <w:sz w:val="18"/>
                <w:szCs w:val="18"/>
                <w:color w:val="auto"/>
              </w:rPr>
              <w:t>Mistras Group Inc.</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EMCOR Group Inc.</w:t>
            </w:r>
          </w:p>
        </w:tc>
        <w:tc>
          <w:tcPr>
            <w:tcW w:w="5020" w:type="dxa"/>
            <w:vAlign w:val="bottom"/>
          </w:tcPr>
          <w:p>
            <w:pPr>
              <w:ind w:left="540"/>
              <w:spacing w:after="0"/>
              <w:rPr>
                <w:sz w:val="20"/>
                <w:szCs w:val="20"/>
                <w:color w:val="auto"/>
              </w:rPr>
            </w:pPr>
            <w:r>
              <w:rPr>
                <w:rFonts w:ascii="Arial" w:cs="Arial" w:eastAsia="Arial" w:hAnsi="Arial"/>
                <w:sz w:val="18"/>
                <w:szCs w:val="18"/>
                <w:color w:val="auto"/>
              </w:rPr>
              <w:t>MYR Group Inc.</w:t>
            </w:r>
          </w:p>
        </w:tc>
      </w:tr>
      <w:tr>
        <w:trPr>
          <w:trHeight w:val="230"/>
        </w:trPr>
        <w:tc>
          <w:tcPr>
            <w:tcW w:w="3960" w:type="dxa"/>
            <w:vAlign w:val="bottom"/>
            <w:shd w:val="clear" w:color="auto" w:fill="D7F5C4"/>
          </w:tcPr>
          <w:p>
            <w:pPr>
              <w:spacing w:after="0"/>
              <w:rPr>
                <w:sz w:val="20"/>
                <w:szCs w:val="20"/>
                <w:color w:val="auto"/>
              </w:rPr>
            </w:pPr>
            <w:r>
              <w:rPr>
                <w:rFonts w:ascii="Arial" w:cs="Arial" w:eastAsia="Arial" w:hAnsi="Arial"/>
                <w:sz w:val="18"/>
                <w:szCs w:val="18"/>
                <w:color w:val="auto"/>
              </w:rPr>
              <w:t>Granite Construction Inc.</w:t>
            </w:r>
          </w:p>
        </w:tc>
        <w:tc>
          <w:tcPr>
            <w:tcW w:w="5020" w:type="dxa"/>
            <w:vAlign w:val="bottom"/>
            <w:shd w:val="clear" w:color="auto" w:fill="D7F5C4"/>
          </w:tcPr>
          <w:p>
            <w:pPr>
              <w:ind w:left="540"/>
              <w:spacing w:after="0"/>
              <w:rPr>
                <w:sz w:val="20"/>
                <w:szCs w:val="20"/>
                <w:color w:val="auto"/>
              </w:rPr>
            </w:pPr>
            <w:r>
              <w:rPr>
                <w:rFonts w:ascii="Arial" w:cs="Arial" w:eastAsia="Arial" w:hAnsi="Arial"/>
                <w:sz w:val="18"/>
                <w:szCs w:val="18"/>
                <w:color w:val="auto"/>
              </w:rPr>
              <w:t>Primoris Services Corporation</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Great Lakes Dredge and Dock Corporation</w:t>
            </w:r>
          </w:p>
        </w:tc>
        <w:tc>
          <w:tcPr>
            <w:tcW w:w="5020" w:type="dxa"/>
            <w:vAlign w:val="bottom"/>
          </w:tcPr>
          <w:p>
            <w:pPr>
              <w:ind w:left="540"/>
              <w:spacing w:after="0"/>
              <w:rPr>
                <w:sz w:val="20"/>
                <w:szCs w:val="20"/>
                <w:color w:val="auto"/>
              </w:rPr>
            </w:pPr>
            <w:r>
              <w:rPr>
                <w:rFonts w:ascii="Arial" w:cs="Arial" w:eastAsia="Arial" w:hAnsi="Arial"/>
                <w:sz w:val="18"/>
                <w:szCs w:val="18"/>
                <w:color w:val="auto"/>
              </w:rPr>
              <w:t>Quanta Services Inc.</w:t>
            </w:r>
          </w:p>
        </w:tc>
      </w:tr>
      <w:tr>
        <w:trPr>
          <w:trHeight w:val="230"/>
        </w:trPr>
        <w:tc>
          <w:tcPr>
            <w:tcW w:w="3960" w:type="dxa"/>
            <w:vAlign w:val="bottom"/>
            <w:shd w:val="clear" w:color="auto" w:fill="D7F5C4"/>
          </w:tcPr>
          <w:p>
            <w:pPr>
              <w:spacing w:after="0"/>
              <w:rPr>
                <w:sz w:val="20"/>
                <w:szCs w:val="20"/>
                <w:color w:val="auto"/>
              </w:rPr>
            </w:pPr>
            <w:r>
              <w:rPr>
                <w:rFonts w:ascii="Arial" w:cs="Arial" w:eastAsia="Arial" w:hAnsi="Arial"/>
                <w:sz w:val="18"/>
                <w:szCs w:val="18"/>
                <w:color w:val="auto"/>
              </w:rPr>
              <w:t>IES Holdings Inc.</w:t>
            </w:r>
          </w:p>
        </w:tc>
        <w:tc>
          <w:tcPr>
            <w:tcW w:w="5020" w:type="dxa"/>
            <w:vAlign w:val="bottom"/>
            <w:shd w:val="clear" w:color="auto" w:fill="D7F5C4"/>
          </w:tcPr>
          <w:p>
            <w:pPr>
              <w:ind w:left="540"/>
              <w:spacing w:after="0"/>
              <w:rPr>
                <w:sz w:val="20"/>
                <w:szCs w:val="20"/>
                <w:color w:val="auto"/>
              </w:rPr>
            </w:pPr>
            <w:r>
              <w:rPr>
                <w:rFonts w:ascii="Arial" w:cs="Arial" w:eastAsia="Arial" w:hAnsi="Arial"/>
                <w:sz w:val="18"/>
                <w:szCs w:val="18"/>
                <w:color w:val="auto"/>
              </w:rPr>
              <w:t>Sterling Construction Company Inc.</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Jacobs Engineering Group Inc.</w:t>
            </w:r>
          </w:p>
        </w:tc>
        <w:tc>
          <w:tcPr>
            <w:tcW w:w="5020" w:type="dxa"/>
            <w:vAlign w:val="bottom"/>
          </w:tcPr>
          <w:p>
            <w:pPr>
              <w:ind w:left="540"/>
              <w:spacing w:after="0"/>
              <w:rPr>
                <w:sz w:val="20"/>
                <w:szCs w:val="20"/>
                <w:color w:val="auto"/>
              </w:rPr>
            </w:pPr>
            <w:r>
              <w:rPr>
                <w:rFonts w:ascii="Arial" w:cs="Arial" w:eastAsia="Arial" w:hAnsi="Arial"/>
                <w:sz w:val="18"/>
                <w:szCs w:val="18"/>
                <w:color w:val="auto"/>
              </w:rPr>
              <w:t>Team Inc.</w:t>
            </w:r>
          </w:p>
        </w:tc>
      </w:tr>
    </w:tbl>
    <w:p>
      <w:pPr>
        <w:spacing w:after="0" w:line="107" w:lineRule="exact"/>
        <w:rPr>
          <w:sz w:val="20"/>
          <w:szCs w:val="20"/>
          <w:color w:val="auto"/>
        </w:rPr>
      </w:pPr>
    </w:p>
    <w:p>
      <w:pPr>
        <w:ind w:left="700" w:hanging="356"/>
        <w:spacing w:after="0" w:line="238"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remaining one-third of the grant was a performance-based award which is payable in cash. The award cliff vests after two years and is based on the Average Return on Invested Capital (“AROIC”) achieved by the Company over fiscal years 2019 and 2020. The threshold AROIC goal is 6%, the target AROIC goal is 9% and the maximum AROIC goal is 12%. At these performance levels, the payouts would be 50%, 100% and 150% of the target award.</w:t>
      </w:r>
    </w:p>
    <w:p>
      <w:pPr>
        <w:spacing w:after="0" w:line="9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Grants made during fiscal 2019 to our Named Executive Officers are shown in the Grants of Plan-Based Awards table under the caption “Executive Officer Compensation”.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Perquisites and Other Benefits</w:t>
      </w:r>
    </w:p>
    <w:p>
      <w:pPr>
        <w:spacing w:after="0" w:line="122"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Our executive officers do not receive significant compensation in the form of perquisites or supplemental benefits. In general, our executive officers are eligible to participate in the same retirement and health and welfare plans as all of our other eligible employees. We offer the following benefits to executive officers.</w:t>
      </w:r>
    </w:p>
    <w:p>
      <w:pPr>
        <w:spacing w:after="0" w:line="94" w:lineRule="exact"/>
        <w:rPr>
          <w:sz w:val="20"/>
          <w:szCs w:val="20"/>
          <w:color w:val="auto"/>
        </w:rPr>
      </w:pPr>
    </w:p>
    <w:p>
      <w:pPr>
        <w:ind w:left="700" w:right="60" w:hanging="356"/>
        <w:spacing w:after="0" w:line="237"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sponsor the Matrix Service Company 401(k) Savings Plan, which allows executive officers and other employees to contribute up to 100% of their salary (up to the annual IRS maximum). The Company’s safe harbor matching contribution is a 100% matching contribution on salary deferrals up to the first 3% of compensation and 50% on the next 2% of compensation deferred. All matching contributions are 100% vested at all times. Executive officers participate and receive benefits under the plan in the same manner as all other eligible participants. We do not sponsor or maintain any other pension, deferred compensation or other supplemental retirement plans for executive officers.</w:t>
      </w:r>
    </w:p>
    <w:p>
      <w:pPr>
        <w:spacing w:after="0" w:line="95" w:lineRule="exact"/>
        <w:rPr>
          <w:rFonts w:ascii="Arial" w:cs="Arial" w:eastAsia="Arial" w:hAnsi="Arial"/>
          <w:sz w:val="18"/>
          <w:szCs w:val="18"/>
          <w:color w:val="auto"/>
        </w:rPr>
      </w:pPr>
    </w:p>
    <w:p>
      <w:pPr>
        <w:ind w:left="700" w:right="280" w:hanging="356"/>
        <w:spacing w:after="0" w:line="238"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addition to the group term life insurance policy offered to all eligible employees, we provide additional life insurance to our executive officers, at no cost to the officer. Specifically, the Company provides a term life insurance policy equal to two times base salary up to a maximum of $1.5 million. For the CEO, additional corporate term life insurance policies of $500,000 with the Company as the beneficiary and $500,000 with a designee of the CEO as the beneficiary are provided.</w:t>
      </w:r>
    </w:p>
    <w:p>
      <w:pPr>
        <w:spacing w:after="0" w:line="94" w:lineRule="exact"/>
        <w:rPr>
          <w:rFonts w:ascii="Arial" w:cs="Arial" w:eastAsia="Arial" w:hAnsi="Arial"/>
          <w:sz w:val="18"/>
          <w:szCs w:val="18"/>
          <w:color w:val="auto"/>
        </w:rPr>
      </w:pPr>
    </w:p>
    <w:p>
      <w:pPr>
        <w:jc w:val="both"/>
        <w:ind w:left="700" w:right="40" w:hanging="356"/>
        <w:spacing w:after="0" w:line="248" w:lineRule="auto"/>
        <w:tabs>
          <w:tab w:leader="none" w:pos="7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Company provides long-term disability to all administrative employees. Under this plan, the employee may receive disability payments of up to 60% of their base salary subject to a maximum of $12,000 per month. The Company also provides a supplemental executive long-term disability plan to the Named Executive Officers.</w:t>
      </w:r>
    </w:p>
    <w:p>
      <w:pPr>
        <w:spacing w:after="0" w:line="1" w:lineRule="exact"/>
        <w:rPr>
          <w:rFonts w:ascii="Arial" w:cs="Arial" w:eastAsia="Arial" w:hAnsi="Arial"/>
          <w:sz w:val="17"/>
          <w:szCs w:val="17"/>
          <w:color w:val="auto"/>
        </w:rPr>
      </w:pPr>
    </w:p>
    <w:p>
      <w:pPr>
        <w:jc w:val="both"/>
        <w:ind w:left="700" w:right="20"/>
        <w:spacing w:after="0"/>
        <w:rPr>
          <w:rFonts w:ascii="Arial" w:cs="Arial" w:eastAsia="Arial" w:hAnsi="Arial"/>
          <w:sz w:val="17"/>
          <w:szCs w:val="17"/>
          <w:color w:val="auto"/>
        </w:rPr>
      </w:pPr>
      <w:r>
        <w:rPr>
          <w:rFonts w:ascii="Arial" w:cs="Arial" w:eastAsia="Arial" w:hAnsi="Arial"/>
          <w:sz w:val="18"/>
          <w:szCs w:val="18"/>
          <w:color w:val="auto"/>
        </w:rPr>
        <w:t>Under the plan, the Named Executive Officers may receive disability payments of up to 60% of the sum of their base salary and the average of their prior two years short-term incentive cash bonuses. The supplemental plan also increases the benefit up to a maximum of $20,000 per month.</w:t>
      </w:r>
    </w:p>
    <w:p>
      <w:pPr>
        <w:spacing w:after="0" w:line="95"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In addition to the company-provided life insurance policies described above, all executive officers, along with other eligible employees and managers, have the option to purchase supplemental life insurance for themselves, their spouses and dependents.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607187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of Control/Severance Agreements</w:t>
      </w:r>
    </w:p>
    <w:p>
      <w:pPr>
        <w:spacing w:after="0" w:line="12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have entered into Change of Control/Severance Agreements with each of our Named Executive Officers. These agreements are designed to promote stability, continuity and focus for key members of leadership during periods of uncertainty that may be created by change of control situations. Additionally, the use of such agreements is a competitive practice that enhances our ability to attract and retain leadership talent. For further details regarding our Change of Control/Severance Agreements, see the discussion under the caption “Potential Payments Upon Termination or Change of Control.”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61DA16"/>
        </w:rPr>
        <w:t>Clawback Policy</w:t>
      </w:r>
    </w:p>
    <w:p>
      <w:pPr>
        <w:spacing w:after="0" w:line="12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Consistent with the principles of responsible oversight, the Company’s Board has adopted a clawback policy, and the Company’s equity award agreements also include a clawback provision. The clawback policy provides that, to the extent permitted by law, if the Board, with the recommendation of the Committee, determines that:</w:t>
      </w:r>
    </w:p>
    <w:p>
      <w:pPr>
        <w:spacing w:after="0" w:line="94" w:lineRule="exact"/>
        <w:rPr>
          <w:sz w:val="20"/>
          <w:szCs w:val="20"/>
          <w:color w:val="auto"/>
        </w:rPr>
      </w:pPr>
    </w:p>
    <w:p>
      <w:pPr>
        <w:ind w:left="700" w:right="80" w:hanging="356"/>
        <w:spacing w:after="0" w:line="239"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bonus, equity award, equity equivalent award or other incentive compensation has been awarded or received by an executive officer, and such compensation was based on the achievement of any financial results that were subsequently the subject of any material restatement of our financial statements filed with the SEC;</w:t>
      </w:r>
    </w:p>
    <w:p>
      <w:pPr>
        <w:spacing w:after="0" w:line="93" w:lineRule="exact"/>
        <w:rPr>
          <w:rFonts w:ascii="Arial" w:cs="Arial" w:eastAsia="Arial" w:hAnsi="Arial"/>
          <w:sz w:val="18"/>
          <w:szCs w:val="18"/>
          <w:color w:val="auto"/>
        </w:rPr>
      </w:pPr>
    </w:p>
    <w:p>
      <w:pPr>
        <w:ind w:left="700" w:right="20" w:hanging="356"/>
        <w:spacing w:after="0" w:line="246"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executive officer engaged in grossly negligent or intentional misconduct that caused or substantially caused the material restatement; and</w:t>
      </w:r>
    </w:p>
    <w:p>
      <w:pPr>
        <w:spacing w:after="0" w:line="88" w:lineRule="exact"/>
        <w:rPr>
          <w:rFonts w:ascii="Arial" w:cs="Arial" w:eastAsia="Arial" w:hAnsi="Arial"/>
          <w:sz w:val="18"/>
          <w:szCs w:val="18"/>
          <w:color w:val="auto"/>
        </w:rPr>
      </w:pPr>
    </w:p>
    <w:p>
      <w:pPr>
        <w:ind w:left="700" w:hanging="35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amount of the compensation would have been less had the financial statements been correct,</w:t>
      </w:r>
    </w:p>
    <w:p>
      <w:pPr>
        <w:spacing w:after="0" w:line="10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will seek to recover from the executive officer such compensation, in whole or in part, as we deem appropriate under the circumstances. The Board has sole discretion in determining whether an officer’s conduct has or has not met any particular standard of conduct under law or Company policy.</w:t>
      </w:r>
    </w:p>
    <w:p>
      <w:pPr>
        <w:spacing w:after="0" w:line="9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Pursuant to the Dodd-Frank Wall Street Reform and Consumer Protection Act, which was signed into law on July 21, 2010, the SEC was directed to issue rules requiring the national securities exchanges to amend their listing standards to require listed companies to adopt mandatory clawback policies. The Company anticipates that it will modify its clawback policy to conform to the requirements of any such rules or listing requirements upon their adoption.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61DA16"/>
        </w:rPr>
        <w:t>Policy on Hedging and Pledging of Company Securities</w:t>
      </w:r>
    </w:p>
    <w:p>
      <w:pPr>
        <w:spacing w:after="0" w:line="12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Hedging transactions may permit a director, officer or employee to continue to own our securities obtained through employee benefit plans or otherwise, but without the full risks and rewards of ownership. When that occurs, the director, officer or employee may no longer have the same objectives as our other stockholders. Our Insider Trading Policy specifically prohibits our directors, Named Executive Officers and other employees from purchasing any securities or other financial instruments or engaging in transactions that hedge or offset, or that are designed to hedge or offset, any decrease in the value of any equity securities of the Company that are held by any such person, directly or indirectly. This hedging policy also applies to family members and entities controlled by our directors, Named Executive Officers and other employees.</w:t>
      </w:r>
    </w:p>
    <w:p>
      <w:pPr>
        <w:spacing w:after="0" w:line="98"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Securities held in a margin account as collateral for a margin loan may be sold by the broker without the customer’s consent if the customer fails to meet a margin call. Similarly, securities pledged as collateral for a loan may be sold in foreclosure if the borrower defaults on the loan. Because a margin sale or foreclosure sale may occur at a time when the pledgor is aware of material non-public information or otherwise is not permitted to trade in the Company’s securities, our Insider Trading Policy prohibits directors, Named Executive Officers and other employees from holding our securities in a margin account or otherwise pledging our securities.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607187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61DA16"/>
        </w:rPr>
        <w:t>Compensation Program as it Relates to Risk</w:t>
      </w:r>
    </w:p>
    <w:p>
      <w:pPr>
        <w:spacing w:after="0" w:line="12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reviewed our compensation policies and practices for both executives and non-executives as they relate to risk and have determined that they are not reasonably likely to have a material adverse effect on the Company. In reaching this conclusion, we considered the various elements of our compensation program that are designed to help mitigate excessive risk taking, including:</w:t>
      </w:r>
    </w:p>
    <w:p>
      <w:pPr>
        <w:spacing w:after="0" w:line="96" w:lineRule="exact"/>
        <w:rPr>
          <w:sz w:val="20"/>
          <w:szCs w:val="20"/>
          <w:color w:val="auto"/>
        </w:rPr>
      </w:pPr>
    </w:p>
    <w:p>
      <w:pPr>
        <w:ind w:left="700" w:right="460" w:hanging="35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Components of Compensation: We use a mix of compensation elements including base salary, short-term incentives and long-term incentives to avoid placing too much emphasis on any one component of compensation.</w:t>
      </w:r>
    </w:p>
    <w:p>
      <w:pPr>
        <w:spacing w:after="0" w:line="94" w:lineRule="exact"/>
        <w:rPr>
          <w:rFonts w:ascii="Arial" w:cs="Arial" w:eastAsia="Arial" w:hAnsi="Arial"/>
          <w:sz w:val="18"/>
          <w:szCs w:val="18"/>
          <w:color w:val="auto"/>
        </w:rPr>
      </w:pPr>
    </w:p>
    <w:p>
      <w:pPr>
        <w:ind w:left="700" w:right="220" w:hanging="356"/>
        <w:spacing w:after="0" w:line="246"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Short-term Incentive Compensation: Our short-term incentive compensation plan does not allow for unlimited payouts. For fiscal 2019, short-term incentive payments cannot exceed 200% of target levels.</w:t>
      </w:r>
    </w:p>
    <w:p>
      <w:pPr>
        <w:spacing w:after="0" w:line="88" w:lineRule="exact"/>
        <w:rPr>
          <w:rFonts w:ascii="Arial" w:cs="Arial" w:eastAsia="Arial" w:hAnsi="Arial"/>
          <w:sz w:val="18"/>
          <w:szCs w:val="18"/>
          <w:color w:val="auto"/>
        </w:rPr>
      </w:pPr>
    </w:p>
    <w:p>
      <w:pPr>
        <w:ind w:left="700" w:right="60" w:hanging="35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Long-term Incentive Awards: Our long-term incentive awards drive a long-term perspective and vest over a period of four years. Our performance-based long-term incentive awards are capped and cannot exceed 200% of target levels.</w:t>
      </w:r>
    </w:p>
    <w:p>
      <w:pPr>
        <w:spacing w:after="0" w:line="94" w:lineRule="exact"/>
        <w:rPr>
          <w:rFonts w:ascii="Arial" w:cs="Arial" w:eastAsia="Arial" w:hAnsi="Arial"/>
          <w:sz w:val="18"/>
          <w:szCs w:val="18"/>
          <w:color w:val="auto"/>
        </w:rPr>
      </w:pPr>
    </w:p>
    <w:p>
      <w:pPr>
        <w:ind w:left="700" w:right="60" w:hanging="35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Committee Oversight: The Committee reviews and administers all awards under short- and long-term incentive plans and engages a compensation consultant on a bi-annual basis to ensure that our compensation package is consistent with that of our competitors.</w:t>
      </w:r>
    </w:p>
    <w:p>
      <w:pPr>
        <w:spacing w:after="0" w:line="94" w:lineRule="exact"/>
        <w:rPr>
          <w:rFonts w:ascii="Arial" w:cs="Arial" w:eastAsia="Arial" w:hAnsi="Arial"/>
          <w:sz w:val="18"/>
          <w:szCs w:val="18"/>
          <w:color w:val="auto"/>
        </w:rPr>
      </w:pPr>
    </w:p>
    <w:p>
      <w:pPr>
        <w:ind w:left="700" w:right="300" w:hanging="356"/>
        <w:spacing w:after="0" w:line="246"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Performance Measures: Our performance goal setting process is aligned with our business strategy and the interests of our stockholders.</w:t>
      </w:r>
    </w:p>
    <w:p>
      <w:pPr>
        <w:spacing w:after="0" w:line="88" w:lineRule="exact"/>
        <w:rPr>
          <w:rFonts w:ascii="Arial" w:cs="Arial" w:eastAsia="Arial" w:hAnsi="Arial"/>
          <w:sz w:val="18"/>
          <w:szCs w:val="18"/>
          <w:color w:val="auto"/>
        </w:rPr>
      </w:pPr>
    </w:p>
    <w:p>
      <w:pPr>
        <w:jc w:val="both"/>
        <w:ind w:left="700" w:right="200" w:hanging="35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Clawback Policy: We have the ability to recover excess incentive-based compensation awarded to any of our executive officers as a result of an accounting restatement due to material non-compliance with the reporting requirements under federal securities laws in certain circumstances.</w:t>
      </w:r>
    </w:p>
    <w:p>
      <w:pPr>
        <w:spacing w:after="0" w:line="94" w:lineRule="exact"/>
        <w:rPr>
          <w:rFonts w:ascii="Arial" w:cs="Arial" w:eastAsia="Arial" w:hAnsi="Arial"/>
          <w:sz w:val="18"/>
          <w:szCs w:val="18"/>
          <w:color w:val="auto"/>
        </w:rPr>
      </w:pPr>
    </w:p>
    <w:p>
      <w:pPr>
        <w:ind w:left="700" w:right="280" w:hanging="35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Stock Ownership Guidelines: Our stock ownership guidelines require our senior management to maintain a significant portion of their personal wealth in our common stock for the duration of their employment with our Company.</w:t>
      </w:r>
    </w:p>
    <w:p>
      <w:pPr>
        <w:spacing w:after="0" w:line="94" w:lineRule="exact"/>
        <w:rPr>
          <w:rFonts w:ascii="Arial" w:cs="Arial" w:eastAsia="Arial" w:hAnsi="Arial"/>
          <w:sz w:val="18"/>
          <w:szCs w:val="18"/>
          <w:color w:val="auto"/>
        </w:rPr>
      </w:pPr>
    </w:p>
    <w:p>
      <w:pPr>
        <w:jc w:val="both"/>
        <w:ind w:left="700" w:right="760" w:hanging="356"/>
        <w:spacing w:after="0" w:line="275" w:lineRule="auto"/>
        <w:tabs>
          <w:tab w:leader="none" w:pos="7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Hedging Policy: Our hedging policy requires our senior management to retain the full risks and reward associated with owning our common stock with respect to all of the shares they are required to retain.</w:t>
      </w:r>
    </w:p>
    <w:p>
      <w:pPr>
        <w:spacing w:after="0" w:line="65"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Our compensation program is designed to motivate our Named Executive Officers and other Company officers to achieve business objectives that generate strong stockholder returns and to encourage ethical behaviors.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61DA16"/>
        </w:rPr>
        <w:t>Equity Ownership Guidelines</w:t>
      </w:r>
    </w:p>
    <w:p>
      <w:pPr>
        <w:spacing w:after="0" w:line="12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Board believes that our executive officers should demonstrate their commitment to, and belief in, the Company’s long-term profitability. Stock ownership more closely aligns our executive officers’ interests and actions with the interests of the Company’s stockholders. Accordingly, each officer is expected to maintain a significant investment in the Company through the ownership of our common stock. See the discussion under the caption “Security Ownership of Certain Beneficial Owners and Management—Equity Ownership Guidelines” for a description of our guidelines.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607187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61DA16"/>
        </w:rPr>
        <w:t>Report of the Compensation Committee of the Board</w:t>
      </w:r>
    </w:p>
    <w:p>
      <w:pPr>
        <w:spacing w:after="0" w:line="12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Compensation Committee of the Board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Compensation Committee:</w:t>
      </w:r>
    </w:p>
    <w:p>
      <w:pPr>
        <w:spacing w:after="0" w:line="10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John W. Gibson, Chairman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James H. Miller, Member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John D. Chandler, Member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Martha Z. Carnes, Member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Liane K. Hinrichs, Member</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607187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320"/>
          </w:cols>
          <w:pgMar w:left="1180" w:top="279" w:right="1399" w:bottom="1440" w:gutter="0" w:footer="0" w:header="0"/>
        </w:sectPr>
      </w:pPr>
    </w:p>
    <w:bookmarkStart w:id="41" w:name="page42"/>
    <w:bookmarkEnd w:id="41"/>
    <w:p>
      <w:pPr>
        <w:ind w:left="7"/>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63"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61DA16"/>
        </w:rPr>
        <w:t>EXECUTIVE OFFICER COMPENSATION</w:t>
      </w:r>
    </w:p>
    <w:p>
      <w:pPr>
        <w:spacing w:after="0" w:line="126" w:lineRule="exact"/>
        <w:rPr>
          <w:sz w:val="20"/>
          <w:szCs w:val="20"/>
          <w:color w:val="auto"/>
        </w:rPr>
      </w:pPr>
    </w:p>
    <w:p>
      <w:pPr>
        <w:ind w:left="7" w:right="100"/>
        <w:spacing w:after="0" w:line="254" w:lineRule="auto"/>
        <w:rPr>
          <w:sz w:val="20"/>
          <w:szCs w:val="20"/>
          <w:color w:val="auto"/>
        </w:rPr>
      </w:pPr>
      <w:r>
        <w:rPr>
          <w:rFonts w:ascii="Arial" w:cs="Arial" w:eastAsia="Arial" w:hAnsi="Arial"/>
          <w:sz w:val="18"/>
          <w:szCs w:val="18"/>
          <w:color w:val="auto"/>
        </w:rPr>
        <w:t>The following tables set forth certain information regarding compensation of the Chief Executive Officer, the Chief Financial Officer, and each of the Company’s three other most highly compensated executive officers who were serving as executive officers at June 30, 2019 for services in all capacities to the Company and its subsidiaries. The executive officers listed below are referred to collectively as the Named Executive Officers, or “NEOs”.</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61DA16"/>
        </w:rPr>
        <w:t>Summary Compensation Table</w:t>
      </w:r>
    </w:p>
    <w:p>
      <w:pPr>
        <w:spacing w:after="0" w:line="126" w:lineRule="exact"/>
        <w:rPr>
          <w:sz w:val="20"/>
          <w:szCs w:val="20"/>
          <w:color w:val="auto"/>
        </w:rPr>
      </w:pPr>
    </w:p>
    <w:p>
      <w:pPr>
        <w:ind w:left="7" w:right="440"/>
        <w:spacing w:after="0" w:line="262" w:lineRule="auto"/>
        <w:rPr>
          <w:sz w:val="20"/>
          <w:szCs w:val="20"/>
          <w:color w:val="auto"/>
        </w:rPr>
      </w:pPr>
      <w:r>
        <w:rPr>
          <w:rFonts w:ascii="Arial" w:cs="Arial" w:eastAsia="Arial" w:hAnsi="Arial"/>
          <w:sz w:val="18"/>
          <w:szCs w:val="18"/>
          <w:color w:val="auto"/>
        </w:rPr>
        <w:t>The following table sets forth information with respect to the total compensation of the Named Executive Officers in fiscal 2019, 2018, and 2017:</w:t>
      </w:r>
    </w:p>
    <w:p>
      <w:pPr>
        <w:spacing w:after="0" w:line="12" w:lineRule="exact"/>
        <w:rPr>
          <w:sz w:val="20"/>
          <w:szCs w:val="20"/>
          <w:color w:val="auto"/>
        </w:rPr>
      </w:pPr>
    </w:p>
    <w:tbl>
      <w:tblPr>
        <w:tblLayout w:type="fixed"/>
        <w:tblInd w:w="7" w:type="dxa"/>
        <w:tblCellMar>
          <w:top w:w="0" w:type="dxa"/>
          <w:left w:w="0" w:type="dxa"/>
          <w:bottom w:w="0" w:type="dxa"/>
          <w:right w:w="0" w:type="dxa"/>
        </w:tblCellMar>
      </w:tblPr>
      <w:tr>
        <w:trPr>
          <w:trHeight w:val="149"/>
        </w:trPr>
        <w:tc>
          <w:tcPr>
            <w:tcW w:w="1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5"/>
              </w:rPr>
              <w:t>Change in</w:t>
            </w:r>
          </w:p>
        </w:tc>
        <w:tc>
          <w:tcPr>
            <w:tcW w:w="1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Pension Value</w:t>
            </w: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and</w:t>
            </w: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Nonqualified</w:t>
            </w: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Non-Equity</w:t>
            </w: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Deferred</w:t>
            </w: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Stock</w:t>
            </w: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Option</w:t>
            </w: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Incentive Plan</w:t>
            </w: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Compensation</w:t>
            </w:r>
          </w:p>
        </w:tc>
        <w:tc>
          <w:tcPr>
            <w:tcW w:w="116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4"/>
              </w:rPr>
              <w:t>All Other</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820" w:type="dxa"/>
            <w:vAlign w:val="bottom"/>
          </w:tcPr>
          <w:p>
            <w:pPr>
              <w:ind w:left="580"/>
              <w:spacing w:after="0" w:line="131" w:lineRule="exact"/>
              <w:rPr>
                <w:sz w:val="20"/>
                <w:szCs w:val="20"/>
                <w:color w:val="auto"/>
              </w:rPr>
            </w:pPr>
            <w:r>
              <w:rPr>
                <w:rFonts w:ascii="Arial" w:cs="Arial" w:eastAsia="Arial" w:hAnsi="Arial"/>
                <w:sz w:val="13"/>
                <w:szCs w:val="13"/>
                <w:b w:val="1"/>
                <w:bCs w:val="1"/>
                <w:color w:val="auto"/>
              </w:rPr>
              <w:t>Name and</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ind w:left="300"/>
              <w:spacing w:after="0" w:line="131" w:lineRule="exact"/>
              <w:rPr>
                <w:sz w:val="20"/>
                <w:szCs w:val="20"/>
                <w:color w:val="auto"/>
              </w:rPr>
            </w:pPr>
            <w:r>
              <w:rPr>
                <w:rFonts w:ascii="Arial" w:cs="Arial" w:eastAsia="Arial" w:hAnsi="Arial"/>
                <w:sz w:val="13"/>
                <w:szCs w:val="13"/>
                <w:b w:val="1"/>
                <w:bCs w:val="1"/>
                <w:color w:val="auto"/>
              </w:rPr>
              <w:t>Salary</w:t>
            </w:r>
          </w:p>
        </w:tc>
        <w:tc>
          <w:tcPr>
            <w:tcW w:w="640" w:type="dxa"/>
            <w:vAlign w:val="bottom"/>
          </w:tcPr>
          <w:p>
            <w:pPr>
              <w:ind w:left="100"/>
              <w:spacing w:after="0" w:line="131" w:lineRule="exact"/>
              <w:rPr>
                <w:sz w:val="20"/>
                <w:szCs w:val="20"/>
                <w:color w:val="auto"/>
              </w:rPr>
            </w:pPr>
            <w:r>
              <w:rPr>
                <w:rFonts w:ascii="Arial" w:cs="Arial" w:eastAsia="Arial" w:hAnsi="Arial"/>
                <w:sz w:val="13"/>
                <w:szCs w:val="13"/>
                <w:b w:val="1"/>
                <w:bCs w:val="1"/>
                <w:color w:val="auto"/>
              </w:rPr>
              <w:t>Bonus</w:t>
            </w:r>
          </w:p>
        </w:tc>
        <w:tc>
          <w:tcPr>
            <w:tcW w:w="80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3"/>
              </w:rPr>
              <w:t>Awards</w:t>
            </w:r>
          </w:p>
        </w:tc>
        <w:tc>
          <w:tcPr>
            <w:tcW w:w="68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7"/>
              </w:rPr>
              <w:t>Awards</w:t>
            </w:r>
          </w:p>
        </w:tc>
        <w:tc>
          <w:tcPr>
            <w:tcW w:w="112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7"/>
              </w:rPr>
              <w:t>Compensation</w:t>
            </w:r>
          </w:p>
        </w:tc>
        <w:tc>
          <w:tcPr>
            <w:tcW w:w="112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6"/>
              </w:rPr>
              <w:t>Earnings</w:t>
            </w:r>
          </w:p>
        </w:tc>
        <w:tc>
          <w:tcPr>
            <w:tcW w:w="1160" w:type="dxa"/>
            <w:vAlign w:val="bottom"/>
          </w:tcPr>
          <w:p>
            <w:pPr>
              <w:jc w:val="center"/>
              <w:ind w:right="17"/>
              <w:spacing w:after="0" w:line="131" w:lineRule="exact"/>
              <w:rPr>
                <w:sz w:val="20"/>
                <w:szCs w:val="20"/>
                <w:color w:val="auto"/>
              </w:rPr>
            </w:pPr>
            <w:r>
              <w:rPr>
                <w:rFonts w:ascii="Arial" w:cs="Arial" w:eastAsia="Arial" w:hAnsi="Arial"/>
                <w:sz w:val="13"/>
                <w:szCs w:val="13"/>
                <w:b w:val="1"/>
                <w:bCs w:val="1"/>
                <w:color w:val="auto"/>
                <w:w w:val="97"/>
              </w:rPr>
              <w:t>Compensation</w:t>
            </w:r>
          </w:p>
        </w:tc>
        <w:tc>
          <w:tcPr>
            <w:tcW w:w="800" w:type="dxa"/>
            <w:vAlign w:val="bottom"/>
          </w:tcPr>
          <w:p>
            <w:pPr>
              <w:jc w:val="right"/>
              <w:ind w:right="197"/>
              <w:spacing w:after="0" w:line="131"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4"/>
        </w:trPr>
        <w:tc>
          <w:tcPr>
            <w:tcW w:w="1820" w:type="dxa"/>
            <w:vAlign w:val="bottom"/>
          </w:tcPr>
          <w:p>
            <w:pPr>
              <w:ind w:left="360"/>
              <w:spacing w:after="0"/>
              <w:rPr>
                <w:sz w:val="20"/>
                <w:szCs w:val="20"/>
                <w:color w:val="auto"/>
              </w:rPr>
            </w:pPr>
            <w:r>
              <w:rPr>
                <w:rFonts w:ascii="Arial" w:cs="Arial" w:eastAsia="Arial" w:hAnsi="Arial"/>
                <w:sz w:val="13"/>
                <w:szCs w:val="13"/>
                <w:b w:val="1"/>
                <w:bCs w:val="1"/>
                <w:color w:val="auto"/>
              </w:rPr>
              <w:t>Principal Position</w:t>
            </w:r>
          </w:p>
        </w:tc>
        <w:tc>
          <w:tcPr>
            <w:tcW w:w="460" w:type="dxa"/>
            <w:vAlign w:val="bottom"/>
            <w:gridSpan w:val="2"/>
          </w:tcPr>
          <w:p>
            <w:pPr>
              <w:jc w:val="right"/>
              <w:spacing w:after="0"/>
              <w:rPr>
                <w:sz w:val="20"/>
                <w:szCs w:val="20"/>
                <w:color w:val="auto"/>
              </w:rPr>
            </w:pPr>
            <w:r>
              <w:rPr>
                <w:rFonts w:ascii="Arial" w:cs="Arial" w:eastAsia="Arial" w:hAnsi="Arial"/>
                <w:sz w:val="13"/>
                <w:szCs w:val="13"/>
                <w:b w:val="1"/>
                <w:bCs w:val="1"/>
                <w:color w:val="auto"/>
              </w:rPr>
              <w:t>Year</w:t>
            </w:r>
          </w:p>
        </w:tc>
        <w:tc>
          <w:tcPr>
            <w:tcW w:w="960" w:type="dxa"/>
            <w:vAlign w:val="bottom"/>
          </w:tcPr>
          <w:p>
            <w:pPr>
              <w:ind w:left="420"/>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ind w:left="220"/>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center"/>
              <w:spacing w:after="0" w:line="175"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(1)</w:t>
            </w:r>
          </w:p>
        </w:tc>
        <w:tc>
          <w:tcPr>
            <w:tcW w:w="680" w:type="dxa"/>
            <w:vAlign w:val="bottom"/>
          </w:tcPr>
          <w:p>
            <w:pPr>
              <w:jc w:val="center"/>
              <w:spacing w:after="0" w:line="175" w:lineRule="exact"/>
              <w:rPr>
                <w:sz w:val="20"/>
                <w:szCs w:val="20"/>
                <w:color w:val="auto"/>
              </w:rPr>
            </w:pPr>
            <w:r>
              <w:rPr>
                <w:rFonts w:ascii="Arial" w:cs="Arial" w:eastAsia="Arial" w:hAnsi="Arial"/>
                <w:sz w:val="13"/>
                <w:szCs w:val="13"/>
                <w:b w:val="1"/>
                <w:bCs w:val="1"/>
                <w:color w:val="auto"/>
                <w:w w:val="93"/>
              </w:rPr>
              <w:t>($)</w:t>
            </w:r>
            <w:r>
              <w:rPr>
                <w:rFonts w:ascii="Arial" w:cs="Arial" w:eastAsia="Arial" w:hAnsi="Arial"/>
                <w:sz w:val="20"/>
                <w:szCs w:val="20"/>
                <w:b w:val="1"/>
                <w:bCs w:val="1"/>
                <w:color w:val="auto"/>
                <w:w w:val="93"/>
                <w:vertAlign w:val="superscript"/>
              </w:rPr>
              <w:t>(1)</w:t>
            </w:r>
          </w:p>
        </w:tc>
        <w:tc>
          <w:tcPr>
            <w:tcW w:w="1120" w:type="dxa"/>
            <w:vAlign w:val="bottom"/>
          </w:tcPr>
          <w:p>
            <w:pPr>
              <w:jc w:val="center"/>
              <w:spacing w:after="0" w:line="175"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(2)</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160" w:type="dxa"/>
            <w:vAlign w:val="bottom"/>
          </w:tcPr>
          <w:p>
            <w:pPr>
              <w:jc w:val="center"/>
              <w:ind w:right="17"/>
              <w:spacing w:after="0" w:line="175"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(3)</w:t>
            </w:r>
          </w:p>
        </w:tc>
        <w:tc>
          <w:tcPr>
            <w:tcW w:w="800" w:type="dxa"/>
            <w:vAlign w:val="bottom"/>
          </w:tcPr>
          <w:p>
            <w:pPr>
              <w:jc w:val="right"/>
              <w:ind w:right="277"/>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43"/>
        </w:trPr>
        <w:tc>
          <w:tcPr>
            <w:tcW w:w="1820" w:type="dxa"/>
            <w:vAlign w:val="bottom"/>
            <w:shd w:val="clear" w:color="auto" w:fill="D7F5C4"/>
          </w:tcPr>
          <w:p>
            <w:pPr>
              <w:spacing w:after="0" w:line="143" w:lineRule="exact"/>
              <w:rPr>
                <w:sz w:val="20"/>
                <w:szCs w:val="20"/>
                <w:color w:val="auto"/>
              </w:rPr>
            </w:pPr>
            <w:r>
              <w:rPr>
                <w:rFonts w:ascii="Arial" w:cs="Arial" w:eastAsia="Arial" w:hAnsi="Arial"/>
                <w:sz w:val="13"/>
                <w:szCs w:val="13"/>
                <w:color w:val="auto"/>
              </w:rPr>
              <w:t>John R. Hewitt</w:t>
            </w:r>
          </w:p>
        </w:tc>
        <w:tc>
          <w:tcPr>
            <w:tcW w:w="180" w:type="dxa"/>
            <w:vAlign w:val="bottom"/>
            <w:shd w:val="clear" w:color="auto" w:fill="D7F5C4"/>
          </w:tcPr>
          <w:p>
            <w:pPr>
              <w:spacing w:after="0"/>
              <w:rPr>
                <w:sz w:val="12"/>
                <w:szCs w:val="12"/>
                <w:color w:val="auto"/>
              </w:rPr>
            </w:pPr>
          </w:p>
        </w:tc>
        <w:tc>
          <w:tcPr>
            <w:tcW w:w="280" w:type="dxa"/>
            <w:vAlign w:val="bottom"/>
            <w:shd w:val="clear" w:color="auto" w:fill="D7F5C4"/>
          </w:tcPr>
          <w:p>
            <w:pPr>
              <w:jc w:val="right"/>
              <w:spacing w:after="0" w:line="143" w:lineRule="exact"/>
              <w:rPr>
                <w:sz w:val="20"/>
                <w:szCs w:val="20"/>
                <w:color w:val="auto"/>
              </w:rPr>
            </w:pPr>
            <w:r>
              <w:rPr>
                <w:rFonts w:ascii="Arial" w:cs="Arial" w:eastAsia="Arial" w:hAnsi="Arial"/>
                <w:sz w:val="13"/>
                <w:szCs w:val="13"/>
                <w:color w:val="auto"/>
                <w:w w:val="89"/>
              </w:rPr>
              <w:t>2019</w:t>
            </w:r>
          </w:p>
        </w:tc>
        <w:tc>
          <w:tcPr>
            <w:tcW w:w="960" w:type="dxa"/>
            <w:vAlign w:val="bottom"/>
            <w:shd w:val="clear" w:color="auto" w:fill="D7F5C4"/>
          </w:tcPr>
          <w:p>
            <w:pPr>
              <w:ind w:left="260"/>
              <w:spacing w:after="0" w:line="142" w:lineRule="exact"/>
              <w:rPr>
                <w:sz w:val="20"/>
                <w:szCs w:val="20"/>
                <w:color w:val="auto"/>
              </w:rPr>
            </w:pPr>
            <w:r>
              <w:rPr>
                <w:rFonts w:ascii="Arial" w:cs="Arial" w:eastAsia="Arial" w:hAnsi="Arial"/>
                <w:sz w:val="10"/>
                <w:szCs w:val="10"/>
                <w:color w:val="auto"/>
              </w:rPr>
              <w:t>790,385</w:t>
            </w:r>
            <w:r>
              <w:rPr>
                <w:rFonts w:ascii="Arial" w:cs="Arial" w:eastAsia="Arial" w:hAnsi="Arial"/>
                <w:sz w:val="16"/>
                <w:szCs w:val="16"/>
                <w:color w:val="auto"/>
                <w:vertAlign w:val="superscript"/>
              </w:rPr>
              <w:t>(4)</w:t>
            </w:r>
          </w:p>
        </w:tc>
        <w:tc>
          <w:tcPr>
            <w:tcW w:w="640" w:type="dxa"/>
            <w:vAlign w:val="bottom"/>
            <w:shd w:val="clear" w:color="auto" w:fill="D7F5C4"/>
          </w:tcPr>
          <w:p>
            <w:pPr>
              <w:ind w:left="380"/>
              <w:spacing w:after="0" w:line="143" w:lineRule="exact"/>
              <w:rPr>
                <w:sz w:val="20"/>
                <w:szCs w:val="20"/>
                <w:color w:val="auto"/>
              </w:rPr>
            </w:pPr>
            <w:r>
              <w:rPr>
                <w:rFonts w:ascii="Arial" w:cs="Arial" w:eastAsia="Arial" w:hAnsi="Arial"/>
                <w:sz w:val="13"/>
                <w:szCs w:val="13"/>
                <w:color w:val="auto"/>
              </w:rPr>
              <w:t>—</w:t>
            </w:r>
          </w:p>
        </w:tc>
        <w:tc>
          <w:tcPr>
            <w:tcW w:w="800" w:type="dxa"/>
            <w:vAlign w:val="bottom"/>
            <w:shd w:val="clear" w:color="auto" w:fill="D7F5C4"/>
          </w:tcPr>
          <w:p>
            <w:pPr>
              <w:jc w:val="right"/>
              <w:ind w:right="37"/>
              <w:spacing w:after="0" w:line="143" w:lineRule="exact"/>
              <w:rPr>
                <w:sz w:val="20"/>
                <w:szCs w:val="20"/>
                <w:color w:val="auto"/>
              </w:rPr>
            </w:pPr>
            <w:r>
              <w:rPr>
                <w:rFonts w:ascii="Arial" w:cs="Arial" w:eastAsia="Arial" w:hAnsi="Arial"/>
                <w:sz w:val="13"/>
                <w:szCs w:val="13"/>
                <w:color w:val="auto"/>
              </w:rPr>
              <w:t>1,942,043</w:t>
            </w:r>
          </w:p>
        </w:tc>
        <w:tc>
          <w:tcPr>
            <w:tcW w:w="680" w:type="dxa"/>
            <w:vAlign w:val="bottom"/>
            <w:shd w:val="clear" w:color="auto" w:fill="D7F5C4"/>
          </w:tcPr>
          <w:p>
            <w:pPr>
              <w:ind w:left="440"/>
              <w:spacing w:after="0" w:line="143" w:lineRule="exact"/>
              <w:rPr>
                <w:sz w:val="20"/>
                <w:szCs w:val="20"/>
                <w:color w:val="auto"/>
              </w:rPr>
            </w:pPr>
            <w:r>
              <w:rPr>
                <w:rFonts w:ascii="Arial" w:cs="Arial" w:eastAsia="Arial" w:hAnsi="Arial"/>
                <w:sz w:val="13"/>
                <w:szCs w:val="13"/>
                <w:color w:val="auto"/>
              </w:rPr>
              <w:t>—</w:t>
            </w:r>
          </w:p>
        </w:tc>
        <w:tc>
          <w:tcPr>
            <w:tcW w:w="1120" w:type="dxa"/>
            <w:vAlign w:val="bottom"/>
            <w:shd w:val="clear" w:color="auto" w:fill="D7F5C4"/>
          </w:tcPr>
          <w:p>
            <w:pPr>
              <w:jc w:val="right"/>
              <w:ind w:right="57"/>
              <w:spacing w:after="0" w:line="143" w:lineRule="exact"/>
              <w:rPr>
                <w:sz w:val="20"/>
                <w:szCs w:val="20"/>
                <w:color w:val="auto"/>
              </w:rPr>
            </w:pPr>
            <w:r>
              <w:rPr>
                <w:rFonts w:ascii="Arial" w:cs="Arial" w:eastAsia="Arial" w:hAnsi="Arial"/>
                <w:sz w:val="13"/>
                <w:szCs w:val="13"/>
                <w:color w:val="auto"/>
              </w:rPr>
              <w:t>486,509</w:t>
            </w:r>
          </w:p>
        </w:tc>
        <w:tc>
          <w:tcPr>
            <w:tcW w:w="1120" w:type="dxa"/>
            <w:vAlign w:val="bottom"/>
            <w:shd w:val="clear" w:color="auto" w:fill="D7F5C4"/>
          </w:tcPr>
          <w:p>
            <w:pPr>
              <w:ind w:left="880"/>
              <w:spacing w:after="0" w:line="143" w:lineRule="exact"/>
              <w:rPr>
                <w:sz w:val="20"/>
                <w:szCs w:val="20"/>
                <w:color w:val="auto"/>
              </w:rPr>
            </w:pPr>
            <w:r>
              <w:rPr>
                <w:rFonts w:ascii="Arial" w:cs="Arial" w:eastAsia="Arial" w:hAnsi="Arial"/>
                <w:sz w:val="13"/>
                <w:szCs w:val="13"/>
                <w:color w:val="auto"/>
              </w:rPr>
              <w:t>—</w:t>
            </w:r>
          </w:p>
        </w:tc>
        <w:tc>
          <w:tcPr>
            <w:tcW w:w="1160" w:type="dxa"/>
            <w:vAlign w:val="bottom"/>
            <w:shd w:val="clear" w:color="auto" w:fill="D7F5C4"/>
          </w:tcPr>
          <w:p>
            <w:pPr>
              <w:jc w:val="right"/>
              <w:ind w:right="97"/>
              <w:spacing w:after="0" w:line="143" w:lineRule="exact"/>
              <w:rPr>
                <w:sz w:val="20"/>
                <w:szCs w:val="20"/>
                <w:color w:val="auto"/>
              </w:rPr>
            </w:pPr>
            <w:r>
              <w:rPr>
                <w:rFonts w:ascii="Arial" w:cs="Arial" w:eastAsia="Arial" w:hAnsi="Arial"/>
                <w:sz w:val="13"/>
                <w:szCs w:val="13"/>
                <w:color w:val="auto"/>
              </w:rPr>
              <w:t>32,537</w:t>
            </w:r>
          </w:p>
        </w:tc>
        <w:tc>
          <w:tcPr>
            <w:tcW w:w="800" w:type="dxa"/>
            <w:vAlign w:val="bottom"/>
            <w:shd w:val="clear" w:color="auto" w:fill="D7F5C4"/>
          </w:tcPr>
          <w:p>
            <w:pPr>
              <w:jc w:val="right"/>
              <w:ind w:right="37"/>
              <w:spacing w:after="0" w:line="143" w:lineRule="exact"/>
              <w:rPr>
                <w:sz w:val="20"/>
                <w:szCs w:val="20"/>
                <w:color w:val="auto"/>
              </w:rPr>
            </w:pPr>
            <w:r>
              <w:rPr>
                <w:rFonts w:ascii="Arial" w:cs="Arial" w:eastAsia="Arial" w:hAnsi="Arial"/>
                <w:sz w:val="13"/>
                <w:szCs w:val="13"/>
                <w:color w:val="auto"/>
              </w:rPr>
              <w:t>3,251,474</w:t>
            </w:r>
          </w:p>
        </w:tc>
        <w:tc>
          <w:tcPr>
            <w:tcW w:w="0" w:type="dxa"/>
            <w:vAlign w:val="bottom"/>
          </w:tcPr>
          <w:p>
            <w:pPr>
              <w:spacing w:after="0"/>
              <w:rPr>
                <w:sz w:val="1"/>
                <w:szCs w:val="1"/>
                <w:color w:val="auto"/>
              </w:rPr>
            </w:pPr>
          </w:p>
        </w:tc>
      </w:tr>
      <w:tr>
        <w:trPr>
          <w:trHeight w:val="179"/>
        </w:trPr>
        <w:tc>
          <w:tcPr>
            <w:tcW w:w="1820" w:type="dxa"/>
            <w:vAlign w:val="bottom"/>
            <w:shd w:val="clear" w:color="auto" w:fill="D7F5C4"/>
          </w:tcPr>
          <w:p>
            <w:pPr>
              <w:spacing w:after="0"/>
              <w:rPr>
                <w:sz w:val="20"/>
                <w:szCs w:val="20"/>
                <w:color w:val="auto"/>
              </w:rPr>
            </w:pPr>
            <w:r>
              <w:rPr>
                <w:rFonts w:ascii="Arial" w:cs="Arial" w:eastAsia="Arial" w:hAnsi="Arial"/>
                <w:sz w:val="13"/>
                <w:szCs w:val="13"/>
                <w:color w:val="auto"/>
              </w:rPr>
              <w:t>Chief Executive Officer</w:t>
            </w:r>
          </w:p>
        </w:tc>
        <w:tc>
          <w:tcPr>
            <w:tcW w:w="180" w:type="dxa"/>
            <w:vAlign w:val="bottom"/>
            <w:shd w:val="clear" w:color="auto" w:fill="D7F5C4"/>
          </w:tcPr>
          <w:p>
            <w:pPr>
              <w:spacing w:after="0"/>
              <w:rPr>
                <w:sz w:val="15"/>
                <w:szCs w:val="15"/>
                <w:color w:val="auto"/>
              </w:rPr>
            </w:pPr>
          </w:p>
        </w:tc>
        <w:tc>
          <w:tcPr>
            <w:tcW w:w="280" w:type="dxa"/>
            <w:vAlign w:val="bottom"/>
            <w:shd w:val="clear" w:color="auto" w:fill="D7F5C4"/>
          </w:tcPr>
          <w:p>
            <w:pPr>
              <w:jc w:val="right"/>
              <w:spacing w:after="0"/>
              <w:rPr>
                <w:sz w:val="20"/>
                <w:szCs w:val="20"/>
                <w:color w:val="auto"/>
              </w:rPr>
            </w:pPr>
            <w:r>
              <w:rPr>
                <w:rFonts w:ascii="Arial" w:cs="Arial" w:eastAsia="Arial" w:hAnsi="Arial"/>
                <w:sz w:val="13"/>
                <w:szCs w:val="13"/>
                <w:color w:val="auto"/>
                <w:w w:val="89"/>
              </w:rPr>
              <w:t>2018</w:t>
            </w:r>
          </w:p>
        </w:tc>
        <w:tc>
          <w:tcPr>
            <w:tcW w:w="960" w:type="dxa"/>
            <w:vAlign w:val="bottom"/>
            <w:shd w:val="clear" w:color="auto" w:fill="D7F5C4"/>
          </w:tcPr>
          <w:p>
            <w:pPr>
              <w:ind w:left="260"/>
              <w:spacing w:after="0"/>
              <w:rPr>
                <w:sz w:val="20"/>
                <w:szCs w:val="20"/>
                <w:color w:val="auto"/>
              </w:rPr>
            </w:pPr>
            <w:r>
              <w:rPr>
                <w:rFonts w:ascii="Arial" w:cs="Arial" w:eastAsia="Arial" w:hAnsi="Arial"/>
                <w:sz w:val="13"/>
                <w:szCs w:val="13"/>
                <w:color w:val="auto"/>
              </w:rPr>
              <w:t>750,000</w:t>
            </w:r>
          </w:p>
        </w:tc>
        <w:tc>
          <w:tcPr>
            <w:tcW w:w="640" w:type="dxa"/>
            <w:vAlign w:val="bottom"/>
            <w:shd w:val="clear" w:color="auto" w:fill="D7F5C4"/>
          </w:tcPr>
          <w:p>
            <w:pPr>
              <w:ind w:left="380"/>
              <w:spacing w:after="0"/>
              <w:rPr>
                <w:sz w:val="20"/>
                <w:szCs w:val="20"/>
                <w:color w:val="auto"/>
              </w:rPr>
            </w:pPr>
            <w:r>
              <w:rPr>
                <w:rFonts w:ascii="Arial" w:cs="Arial" w:eastAsia="Arial" w:hAnsi="Arial"/>
                <w:sz w:val="13"/>
                <w:szCs w:val="13"/>
                <w:color w:val="auto"/>
              </w:rPr>
              <w:t>—</w:t>
            </w:r>
          </w:p>
        </w:tc>
        <w:tc>
          <w:tcPr>
            <w:tcW w:w="800" w:type="dxa"/>
            <w:vAlign w:val="bottom"/>
            <w:shd w:val="clear" w:color="auto" w:fill="D7F5C4"/>
          </w:tcPr>
          <w:p>
            <w:pPr>
              <w:jc w:val="right"/>
              <w:ind w:right="37"/>
              <w:spacing w:after="0"/>
              <w:rPr>
                <w:sz w:val="20"/>
                <w:szCs w:val="20"/>
                <w:color w:val="auto"/>
              </w:rPr>
            </w:pPr>
            <w:r>
              <w:rPr>
                <w:rFonts w:ascii="Arial" w:cs="Arial" w:eastAsia="Arial" w:hAnsi="Arial"/>
                <w:sz w:val="13"/>
                <w:szCs w:val="13"/>
                <w:color w:val="auto"/>
              </w:rPr>
              <w:t>1,595,449</w:t>
            </w:r>
          </w:p>
        </w:tc>
        <w:tc>
          <w:tcPr>
            <w:tcW w:w="680" w:type="dxa"/>
            <w:vAlign w:val="bottom"/>
            <w:shd w:val="clear" w:color="auto" w:fill="D7F5C4"/>
          </w:tcPr>
          <w:p>
            <w:pPr>
              <w:ind w:left="440"/>
              <w:spacing w:after="0"/>
              <w:rPr>
                <w:sz w:val="20"/>
                <w:szCs w:val="20"/>
                <w:color w:val="auto"/>
              </w:rPr>
            </w:pPr>
            <w:r>
              <w:rPr>
                <w:rFonts w:ascii="Arial" w:cs="Arial" w:eastAsia="Arial" w:hAnsi="Arial"/>
                <w:sz w:val="13"/>
                <w:szCs w:val="13"/>
                <w:color w:val="auto"/>
              </w:rPr>
              <w:t>—</w:t>
            </w:r>
          </w:p>
        </w:tc>
        <w:tc>
          <w:tcPr>
            <w:tcW w:w="1120" w:type="dxa"/>
            <w:vAlign w:val="bottom"/>
            <w:shd w:val="clear" w:color="auto" w:fill="D7F5C4"/>
          </w:tcPr>
          <w:p>
            <w:pPr>
              <w:jc w:val="right"/>
              <w:ind w:right="57"/>
              <w:spacing w:after="0"/>
              <w:rPr>
                <w:sz w:val="20"/>
                <w:szCs w:val="20"/>
                <w:color w:val="auto"/>
              </w:rPr>
            </w:pPr>
            <w:r>
              <w:rPr>
                <w:rFonts w:ascii="Arial" w:cs="Arial" w:eastAsia="Arial" w:hAnsi="Arial"/>
                <w:sz w:val="13"/>
                <w:szCs w:val="13"/>
                <w:color w:val="auto"/>
              </w:rPr>
              <w:t>—</w:t>
            </w:r>
          </w:p>
        </w:tc>
        <w:tc>
          <w:tcPr>
            <w:tcW w:w="1120" w:type="dxa"/>
            <w:vAlign w:val="bottom"/>
            <w:shd w:val="clear" w:color="auto" w:fill="D7F5C4"/>
          </w:tcPr>
          <w:p>
            <w:pPr>
              <w:ind w:left="880"/>
              <w:spacing w:after="0"/>
              <w:rPr>
                <w:sz w:val="20"/>
                <w:szCs w:val="20"/>
                <w:color w:val="auto"/>
              </w:rPr>
            </w:pPr>
            <w:r>
              <w:rPr>
                <w:rFonts w:ascii="Arial" w:cs="Arial" w:eastAsia="Arial" w:hAnsi="Arial"/>
                <w:sz w:val="13"/>
                <w:szCs w:val="13"/>
                <w:color w:val="auto"/>
              </w:rPr>
              <w:t>—</w:t>
            </w:r>
          </w:p>
        </w:tc>
        <w:tc>
          <w:tcPr>
            <w:tcW w:w="1160" w:type="dxa"/>
            <w:vAlign w:val="bottom"/>
            <w:shd w:val="clear" w:color="auto" w:fill="D7F5C4"/>
          </w:tcPr>
          <w:p>
            <w:pPr>
              <w:jc w:val="right"/>
              <w:ind w:right="97"/>
              <w:spacing w:after="0"/>
              <w:rPr>
                <w:sz w:val="20"/>
                <w:szCs w:val="20"/>
                <w:color w:val="auto"/>
              </w:rPr>
            </w:pPr>
            <w:r>
              <w:rPr>
                <w:rFonts w:ascii="Arial" w:cs="Arial" w:eastAsia="Arial" w:hAnsi="Arial"/>
                <w:sz w:val="13"/>
                <w:szCs w:val="13"/>
                <w:color w:val="auto"/>
              </w:rPr>
              <w:t>29,536</w:t>
            </w:r>
          </w:p>
        </w:tc>
        <w:tc>
          <w:tcPr>
            <w:tcW w:w="800" w:type="dxa"/>
            <w:vAlign w:val="bottom"/>
            <w:shd w:val="clear" w:color="auto" w:fill="D7F5C4"/>
          </w:tcPr>
          <w:p>
            <w:pPr>
              <w:jc w:val="right"/>
              <w:ind w:right="37"/>
              <w:spacing w:after="0"/>
              <w:rPr>
                <w:sz w:val="20"/>
                <w:szCs w:val="20"/>
                <w:color w:val="auto"/>
              </w:rPr>
            </w:pPr>
            <w:r>
              <w:rPr>
                <w:rFonts w:ascii="Arial" w:cs="Arial" w:eastAsia="Arial" w:hAnsi="Arial"/>
                <w:sz w:val="13"/>
                <w:szCs w:val="13"/>
                <w:color w:val="auto"/>
              </w:rPr>
              <w:t>2,374,985</w:t>
            </w:r>
          </w:p>
        </w:tc>
        <w:tc>
          <w:tcPr>
            <w:tcW w:w="0" w:type="dxa"/>
            <w:vAlign w:val="bottom"/>
          </w:tcPr>
          <w:p>
            <w:pPr>
              <w:spacing w:after="0"/>
              <w:rPr>
                <w:sz w:val="1"/>
                <w:szCs w:val="1"/>
                <w:color w:val="auto"/>
              </w:rPr>
            </w:pPr>
          </w:p>
        </w:tc>
      </w:tr>
      <w:tr>
        <w:trPr>
          <w:trHeight w:val="165"/>
        </w:trPr>
        <w:tc>
          <w:tcPr>
            <w:tcW w:w="1820" w:type="dxa"/>
            <w:vAlign w:val="bottom"/>
            <w:shd w:val="clear" w:color="auto" w:fill="D7F5C4"/>
          </w:tcPr>
          <w:p>
            <w:pPr>
              <w:spacing w:after="0"/>
              <w:rPr>
                <w:sz w:val="14"/>
                <w:szCs w:val="14"/>
                <w:color w:val="auto"/>
              </w:rPr>
            </w:pPr>
          </w:p>
        </w:tc>
        <w:tc>
          <w:tcPr>
            <w:tcW w:w="180" w:type="dxa"/>
            <w:vAlign w:val="bottom"/>
            <w:shd w:val="clear" w:color="auto" w:fill="D7F5C4"/>
          </w:tcPr>
          <w:p>
            <w:pPr>
              <w:spacing w:after="0"/>
              <w:rPr>
                <w:sz w:val="14"/>
                <w:szCs w:val="14"/>
                <w:color w:val="auto"/>
              </w:rPr>
            </w:pPr>
          </w:p>
        </w:tc>
        <w:tc>
          <w:tcPr>
            <w:tcW w:w="280" w:type="dxa"/>
            <w:vAlign w:val="bottom"/>
            <w:shd w:val="clear" w:color="auto" w:fill="D7F5C4"/>
          </w:tcPr>
          <w:p>
            <w:pPr>
              <w:jc w:val="right"/>
              <w:spacing w:after="0"/>
              <w:rPr>
                <w:sz w:val="20"/>
                <w:szCs w:val="20"/>
                <w:color w:val="auto"/>
              </w:rPr>
            </w:pPr>
            <w:r>
              <w:rPr>
                <w:rFonts w:ascii="Arial" w:cs="Arial" w:eastAsia="Arial" w:hAnsi="Arial"/>
                <w:sz w:val="13"/>
                <w:szCs w:val="13"/>
                <w:color w:val="auto"/>
                <w:w w:val="89"/>
              </w:rPr>
              <w:t>2017</w:t>
            </w:r>
          </w:p>
        </w:tc>
        <w:tc>
          <w:tcPr>
            <w:tcW w:w="960" w:type="dxa"/>
            <w:vAlign w:val="bottom"/>
            <w:shd w:val="clear" w:color="auto" w:fill="D7F5C4"/>
          </w:tcPr>
          <w:p>
            <w:pPr>
              <w:ind w:left="260"/>
              <w:spacing w:after="0"/>
              <w:rPr>
                <w:sz w:val="20"/>
                <w:szCs w:val="20"/>
                <w:color w:val="auto"/>
              </w:rPr>
            </w:pPr>
            <w:r>
              <w:rPr>
                <w:rFonts w:ascii="Arial" w:cs="Arial" w:eastAsia="Arial" w:hAnsi="Arial"/>
                <w:sz w:val="13"/>
                <w:szCs w:val="13"/>
                <w:color w:val="auto"/>
              </w:rPr>
              <w:t>750,000</w:t>
            </w:r>
          </w:p>
        </w:tc>
        <w:tc>
          <w:tcPr>
            <w:tcW w:w="640" w:type="dxa"/>
            <w:vAlign w:val="bottom"/>
            <w:shd w:val="clear" w:color="auto" w:fill="D7F5C4"/>
          </w:tcPr>
          <w:p>
            <w:pPr>
              <w:ind w:left="380"/>
              <w:spacing w:after="0"/>
              <w:rPr>
                <w:sz w:val="20"/>
                <w:szCs w:val="20"/>
                <w:color w:val="auto"/>
              </w:rPr>
            </w:pPr>
            <w:r>
              <w:rPr>
                <w:rFonts w:ascii="Arial" w:cs="Arial" w:eastAsia="Arial" w:hAnsi="Arial"/>
                <w:sz w:val="13"/>
                <w:szCs w:val="13"/>
                <w:color w:val="auto"/>
              </w:rPr>
              <w:t>—</w:t>
            </w:r>
          </w:p>
        </w:tc>
        <w:tc>
          <w:tcPr>
            <w:tcW w:w="800" w:type="dxa"/>
            <w:vAlign w:val="bottom"/>
            <w:shd w:val="clear" w:color="auto" w:fill="D7F5C4"/>
          </w:tcPr>
          <w:p>
            <w:pPr>
              <w:jc w:val="right"/>
              <w:ind w:right="37"/>
              <w:spacing w:after="0"/>
              <w:rPr>
                <w:sz w:val="20"/>
                <w:szCs w:val="20"/>
                <w:color w:val="auto"/>
              </w:rPr>
            </w:pPr>
            <w:r>
              <w:rPr>
                <w:rFonts w:ascii="Arial" w:cs="Arial" w:eastAsia="Arial" w:hAnsi="Arial"/>
                <w:sz w:val="13"/>
                <w:szCs w:val="13"/>
                <w:color w:val="auto"/>
              </w:rPr>
              <w:t>1,462,103</w:t>
            </w:r>
          </w:p>
        </w:tc>
        <w:tc>
          <w:tcPr>
            <w:tcW w:w="680" w:type="dxa"/>
            <w:vAlign w:val="bottom"/>
            <w:shd w:val="clear" w:color="auto" w:fill="D7F5C4"/>
          </w:tcPr>
          <w:p>
            <w:pPr>
              <w:ind w:left="440"/>
              <w:spacing w:after="0"/>
              <w:rPr>
                <w:sz w:val="20"/>
                <w:szCs w:val="20"/>
                <w:color w:val="auto"/>
              </w:rPr>
            </w:pPr>
            <w:r>
              <w:rPr>
                <w:rFonts w:ascii="Arial" w:cs="Arial" w:eastAsia="Arial" w:hAnsi="Arial"/>
                <w:sz w:val="13"/>
                <w:szCs w:val="13"/>
                <w:color w:val="auto"/>
              </w:rPr>
              <w:t>—</w:t>
            </w:r>
          </w:p>
        </w:tc>
        <w:tc>
          <w:tcPr>
            <w:tcW w:w="1120" w:type="dxa"/>
            <w:vAlign w:val="bottom"/>
            <w:shd w:val="clear" w:color="auto" w:fill="D7F5C4"/>
          </w:tcPr>
          <w:p>
            <w:pPr>
              <w:jc w:val="right"/>
              <w:ind w:right="57"/>
              <w:spacing w:after="0"/>
              <w:rPr>
                <w:sz w:val="20"/>
                <w:szCs w:val="20"/>
                <w:color w:val="auto"/>
              </w:rPr>
            </w:pPr>
            <w:r>
              <w:rPr>
                <w:rFonts w:ascii="Arial" w:cs="Arial" w:eastAsia="Arial" w:hAnsi="Arial"/>
                <w:sz w:val="13"/>
                <w:szCs w:val="13"/>
                <w:color w:val="auto"/>
              </w:rPr>
              <w:t>—</w:t>
            </w:r>
          </w:p>
        </w:tc>
        <w:tc>
          <w:tcPr>
            <w:tcW w:w="1120" w:type="dxa"/>
            <w:vAlign w:val="bottom"/>
            <w:shd w:val="clear" w:color="auto" w:fill="D7F5C4"/>
          </w:tcPr>
          <w:p>
            <w:pPr>
              <w:ind w:left="880"/>
              <w:spacing w:after="0"/>
              <w:rPr>
                <w:sz w:val="20"/>
                <w:szCs w:val="20"/>
                <w:color w:val="auto"/>
              </w:rPr>
            </w:pPr>
            <w:r>
              <w:rPr>
                <w:rFonts w:ascii="Arial" w:cs="Arial" w:eastAsia="Arial" w:hAnsi="Arial"/>
                <w:sz w:val="13"/>
                <w:szCs w:val="13"/>
                <w:color w:val="auto"/>
              </w:rPr>
              <w:t>—</w:t>
            </w:r>
          </w:p>
        </w:tc>
        <w:tc>
          <w:tcPr>
            <w:tcW w:w="1160" w:type="dxa"/>
            <w:vAlign w:val="bottom"/>
            <w:shd w:val="clear" w:color="auto" w:fill="D7F5C4"/>
          </w:tcPr>
          <w:p>
            <w:pPr>
              <w:jc w:val="right"/>
              <w:ind w:right="97"/>
              <w:spacing w:after="0"/>
              <w:rPr>
                <w:sz w:val="20"/>
                <w:szCs w:val="20"/>
                <w:color w:val="auto"/>
              </w:rPr>
            </w:pPr>
            <w:r>
              <w:rPr>
                <w:rFonts w:ascii="Arial" w:cs="Arial" w:eastAsia="Arial" w:hAnsi="Arial"/>
                <w:sz w:val="13"/>
                <w:szCs w:val="13"/>
                <w:color w:val="auto"/>
              </w:rPr>
              <w:t>27,260</w:t>
            </w:r>
          </w:p>
        </w:tc>
        <w:tc>
          <w:tcPr>
            <w:tcW w:w="800" w:type="dxa"/>
            <w:vAlign w:val="bottom"/>
            <w:shd w:val="clear" w:color="auto" w:fill="D7F5C4"/>
          </w:tcPr>
          <w:p>
            <w:pPr>
              <w:jc w:val="right"/>
              <w:ind w:right="37"/>
              <w:spacing w:after="0"/>
              <w:rPr>
                <w:sz w:val="20"/>
                <w:szCs w:val="20"/>
                <w:color w:val="auto"/>
              </w:rPr>
            </w:pPr>
            <w:r>
              <w:rPr>
                <w:rFonts w:ascii="Arial" w:cs="Arial" w:eastAsia="Arial" w:hAnsi="Arial"/>
                <w:sz w:val="13"/>
                <w:szCs w:val="13"/>
                <w:color w:val="auto"/>
              </w:rPr>
              <w:t>2,239,363</w:t>
            </w:r>
          </w:p>
        </w:tc>
        <w:tc>
          <w:tcPr>
            <w:tcW w:w="0" w:type="dxa"/>
            <w:vAlign w:val="bottom"/>
          </w:tcPr>
          <w:p>
            <w:pPr>
              <w:spacing w:after="0"/>
              <w:rPr>
                <w:sz w:val="1"/>
                <w:szCs w:val="1"/>
                <w:color w:val="auto"/>
              </w:rPr>
            </w:pPr>
          </w:p>
        </w:tc>
      </w:tr>
      <w:tr>
        <w:trPr>
          <w:trHeight w:val="143"/>
        </w:trPr>
        <w:tc>
          <w:tcPr>
            <w:tcW w:w="1820" w:type="dxa"/>
            <w:vAlign w:val="bottom"/>
          </w:tcPr>
          <w:p>
            <w:pPr>
              <w:spacing w:after="0" w:line="143" w:lineRule="exact"/>
              <w:rPr>
                <w:sz w:val="20"/>
                <w:szCs w:val="20"/>
                <w:color w:val="auto"/>
              </w:rPr>
            </w:pPr>
            <w:r>
              <w:rPr>
                <w:rFonts w:ascii="Arial" w:cs="Arial" w:eastAsia="Arial" w:hAnsi="Arial"/>
                <w:sz w:val="13"/>
                <w:szCs w:val="13"/>
                <w:color w:val="auto"/>
              </w:rPr>
              <w:t>Joseph F. Montalbano</w:t>
            </w:r>
          </w:p>
        </w:tc>
        <w:tc>
          <w:tcPr>
            <w:tcW w:w="46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2019</w:t>
            </w:r>
          </w:p>
        </w:tc>
        <w:tc>
          <w:tcPr>
            <w:tcW w:w="960" w:type="dxa"/>
            <w:vAlign w:val="bottom"/>
          </w:tcPr>
          <w:p>
            <w:pPr>
              <w:ind w:left="260"/>
              <w:spacing w:after="0" w:line="142" w:lineRule="exact"/>
              <w:rPr>
                <w:sz w:val="20"/>
                <w:szCs w:val="20"/>
                <w:color w:val="auto"/>
              </w:rPr>
            </w:pPr>
            <w:r>
              <w:rPr>
                <w:rFonts w:ascii="Arial" w:cs="Arial" w:eastAsia="Arial" w:hAnsi="Arial"/>
                <w:sz w:val="10"/>
                <w:szCs w:val="10"/>
                <w:color w:val="auto"/>
              </w:rPr>
              <w:t>516,161</w:t>
            </w:r>
            <w:r>
              <w:rPr>
                <w:rFonts w:ascii="Arial" w:cs="Arial" w:eastAsia="Arial" w:hAnsi="Arial"/>
                <w:sz w:val="16"/>
                <w:szCs w:val="16"/>
                <w:color w:val="auto"/>
                <w:vertAlign w:val="superscript"/>
              </w:rPr>
              <w:t>(4)</w:t>
            </w:r>
          </w:p>
        </w:tc>
        <w:tc>
          <w:tcPr>
            <w:tcW w:w="640" w:type="dxa"/>
            <w:vAlign w:val="bottom"/>
          </w:tcPr>
          <w:p>
            <w:pPr>
              <w:ind w:left="380"/>
              <w:spacing w:after="0" w:line="143"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line="143" w:lineRule="exact"/>
              <w:rPr>
                <w:sz w:val="20"/>
                <w:szCs w:val="20"/>
                <w:color w:val="auto"/>
              </w:rPr>
            </w:pPr>
            <w:r>
              <w:rPr>
                <w:rFonts w:ascii="Arial" w:cs="Arial" w:eastAsia="Arial" w:hAnsi="Arial"/>
                <w:sz w:val="13"/>
                <w:szCs w:val="13"/>
                <w:color w:val="auto"/>
              </w:rPr>
              <w:t>725,431</w:t>
            </w:r>
          </w:p>
        </w:tc>
        <w:tc>
          <w:tcPr>
            <w:tcW w:w="680" w:type="dxa"/>
            <w:vAlign w:val="bottom"/>
          </w:tcPr>
          <w:p>
            <w:pPr>
              <w:ind w:left="440"/>
              <w:spacing w:after="0" w:line="143"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57"/>
              <w:spacing w:after="0" w:line="143" w:lineRule="exact"/>
              <w:rPr>
                <w:sz w:val="20"/>
                <w:szCs w:val="20"/>
                <w:color w:val="auto"/>
              </w:rPr>
            </w:pPr>
            <w:r>
              <w:rPr>
                <w:rFonts w:ascii="Arial" w:cs="Arial" w:eastAsia="Arial" w:hAnsi="Arial"/>
                <w:sz w:val="13"/>
                <w:szCs w:val="13"/>
                <w:color w:val="auto"/>
              </w:rPr>
              <w:t>237,598</w:t>
            </w:r>
          </w:p>
        </w:tc>
        <w:tc>
          <w:tcPr>
            <w:tcW w:w="1120" w:type="dxa"/>
            <w:vAlign w:val="bottom"/>
          </w:tcPr>
          <w:p>
            <w:pPr>
              <w:ind w:left="880"/>
              <w:spacing w:after="0" w:line="143"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97"/>
              <w:spacing w:after="0" w:line="143" w:lineRule="exact"/>
              <w:rPr>
                <w:sz w:val="20"/>
                <w:szCs w:val="20"/>
                <w:color w:val="auto"/>
              </w:rPr>
            </w:pPr>
            <w:r>
              <w:rPr>
                <w:rFonts w:ascii="Arial" w:cs="Arial" w:eastAsia="Arial" w:hAnsi="Arial"/>
                <w:sz w:val="13"/>
                <w:szCs w:val="13"/>
                <w:color w:val="auto"/>
              </w:rPr>
              <w:t>35,324</w:t>
            </w:r>
          </w:p>
        </w:tc>
        <w:tc>
          <w:tcPr>
            <w:tcW w:w="800" w:type="dxa"/>
            <w:vAlign w:val="bottom"/>
          </w:tcPr>
          <w:p>
            <w:pPr>
              <w:jc w:val="right"/>
              <w:ind w:right="37"/>
              <w:spacing w:after="0" w:line="143" w:lineRule="exact"/>
              <w:rPr>
                <w:sz w:val="20"/>
                <w:szCs w:val="20"/>
                <w:color w:val="auto"/>
              </w:rPr>
            </w:pPr>
            <w:r>
              <w:rPr>
                <w:rFonts w:ascii="Arial" w:cs="Arial" w:eastAsia="Arial" w:hAnsi="Arial"/>
                <w:sz w:val="13"/>
                <w:szCs w:val="13"/>
                <w:color w:val="auto"/>
              </w:rPr>
              <w:t>1,514,514</w:t>
            </w:r>
          </w:p>
        </w:tc>
        <w:tc>
          <w:tcPr>
            <w:tcW w:w="0" w:type="dxa"/>
            <w:vAlign w:val="bottom"/>
          </w:tcPr>
          <w:p>
            <w:pPr>
              <w:spacing w:after="0"/>
              <w:rPr>
                <w:sz w:val="1"/>
                <w:szCs w:val="1"/>
                <w:color w:val="auto"/>
              </w:rPr>
            </w:pPr>
          </w:p>
        </w:tc>
      </w:tr>
      <w:tr>
        <w:trPr>
          <w:trHeight w:val="182"/>
        </w:trPr>
        <w:tc>
          <w:tcPr>
            <w:tcW w:w="1820" w:type="dxa"/>
            <w:vAlign w:val="bottom"/>
          </w:tcPr>
          <w:p>
            <w:pPr>
              <w:spacing w:after="0"/>
              <w:rPr>
                <w:sz w:val="20"/>
                <w:szCs w:val="20"/>
                <w:color w:val="auto"/>
              </w:rPr>
            </w:pPr>
            <w:r>
              <w:rPr>
                <w:rFonts w:ascii="Arial" w:cs="Arial" w:eastAsia="Arial" w:hAnsi="Arial"/>
                <w:sz w:val="13"/>
                <w:szCs w:val="13"/>
                <w:color w:val="auto"/>
              </w:rPr>
              <w:t>Chief Operating Officer</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2018</w:t>
            </w:r>
          </w:p>
        </w:tc>
        <w:tc>
          <w:tcPr>
            <w:tcW w:w="9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496,125</w:t>
            </w:r>
          </w:p>
        </w:tc>
        <w:tc>
          <w:tcPr>
            <w:tcW w:w="64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591,028</w:t>
            </w:r>
          </w:p>
        </w:tc>
        <w:tc>
          <w:tcPr>
            <w:tcW w:w="680" w:type="dxa"/>
            <w:vAlign w:val="bottom"/>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ind w:left="880"/>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30,665</w:t>
            </w: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1,117,818</w:t>
            </w:r>
          </w:p>
        </w:tc>
        <w:tc>
          <w:tcPr>
            <w:tcW w:w="0" w:type="dxa"/>
            <w:vAlign w:val="bottom"/>
          </w:tcPr>
          <w:p>
            <w:pPr>
              <w:spacing w:after="0"/>
              <w:rPr>
                <w:sz w:val="1"/>
                <w:szCs w:val="1"/>
                <w:color w:val="auto"/>
              </w:rPr>
            </w:pPr>
          </w:p>
        </w:tc>
      </w:tr>
      <w:tr>
        <w:trPr>
          <w:trHeight w:val="161"/>
        </w:trPr>
        <w:tc>
          <w:tcPr>
            <w:tcW w:w="182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2017</w:t>
            </w:r>
          </w:p>
        </w:tc>
        <w:tc>
          <w:tcPr>
            <w:tcW w:w="960" w:type="dxa"/>
            <w:vAlign w:val="bottom"/>
          </w:tcPr>
          <w:p>
            <w:pPr>
              <w:ind w:left="260"/>
              <w:spacing w:after="0"/>
              <w:rPr>
                <w:sz w:val="20"/>
                <w:szCs w:val="20"/>
                <w:color w:val="auto"/>
              </w:rPr>
            </w:pPr>
            <w:r>
              <w:rPr>
                <w:rFonts w:ascii="Arial" w:cs="Arial" w:eastAsia="Arial" w:hAnsi="Arial"/>
                <w:sz w:val="13"/>
                <w:szCs w:val="13"/>
                <w:color w:val="auto"/>
              </w:rPr>
              <w:t>491,127</w:t>
            </w:r>
          </w:p>
        </w:tc>
        <w:tc>
          <w:tcPr>
            <w:tcW w:w="640" w:type="dxa"/>
            <w:vAlign w:val="bottom"/>
          </w:tcPr>
          <w:p>
            <w:pPr>
              <w:ind w:left="38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541,619</w:t>
            </w:r>
          </w:p>
        </w:tc>
        <w:tc>
          <w:tcPr>
            <w:tcW w:w="680" w:type="dxa"/>
            <w:vAlign w:val="bottom"/>
          </w:tcPr>
          <w:p>
            <w:pPr>
              <w:ind w:left="440"/>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120" w:type="dxa"/>
            <w:vAlign w:val="bottom"/>
          </w:tcPr>
          <w:p>
            <w:pPr>
              <w:ind w:left="880"/>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97"/>
              <w:spacing w:after="0"/>
              <w:rPr>
                <w:sz w:val="20"/>
                <w:szCs w:val="20"/>
                <w:color w:val="auto"/>
              </w:rPr>
            </w:pPr>
            <w:r>
              <w:rPr>
                <w:rFonts w:ascii="Arial" w:cs="Arial" w:eastAsia="Arial" w:hAnsi="Arial"/>
                <w:sz w:val="13"/>
                <w:szCs w:val="13"/>
                <w:color w:val="auto"/>
              </w:rPr>
              <w:t>32,917</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1,065,663</w:t>
            </w:r>
          </w:p>
        </w:tc>
        <w:tc>
          <w:tcPr>
            <w:tcW w:w="0" w:type="dxa"/>
            <w:vAlign w:val="bottom"/>
          </w:tcPr>
          <w:p>
            <w:pPr>
              <w:spacing w:after="0"/>
              <w:rPr>
                <w:sz w:val="1"/>
                <w:szCs w:val="1"/>
                <w:color w:val="auto"/>
              </w:rPr>
            </w:pPr>
          </w:p>
        </w:tc>
      </w:tr>
      <w:tr>
        <w:trPr>
          <w:trHeight w:val="144"/>
        </w:trPr>
        <w:tc>
          <w:tcPr>
            <w:tcW w:w="1820" w:type="dxa"/>
            <w:vAlign w:val="bottom"/>
            <w:shd w:val="clear" w:color="auto" w:fill="D7F5C4"/>
          </w:tcPr>
          <w:p>
            <w:pPr>
              <w:spacing w:after="0" w:line="144" w:lineRule="exact"/>
              <w:rPr>
                <w:sz w:val="20"/>
                <w:szCs w:val="20"/>
                <w:color w:val="auto"/>
              </w:rPr>
            </w:pPr>
            <w:r>
              <w:rPr>
                <w:rFonts w:ascii="Arial" w:cs="Arial" w:eastAsia="Arial" w:hAnsi="Arial"/>
                <w:sz w:val="13"/>
                <w:szCs w:val="13"/>
                <w:color w:val="auto"/>
              </w:rPr>
              <w:t>Kevin S. Cavanah</w:t>
            </w:r>
          </w:p>
        </w:tc>
        <w:tc>
          <w:tcPr>
            <w:tcW w:w="180" w:type="dxa"/>
            <w:vAlign w:val="bottom"/>
            <w:shd w:val="clear" w:color="auto" w:fill="D7F5C4"/>
          </w:tcPr>
          <w:p>
            <w:pPr>
              <w:spacing w:after="0"/>
              <w:rPr>
                <w:sz w:val="12"/>
                <w:szCs w:val="12"/>
                <w:color w:val="auto"/>
              </w:rPr>
            </w:pPr>
          </w:p>
        </w:tc>
        <w:tc>
          <w:tcPr>
            <w:tcW w:w="280" w:type="dxa"/>
            <w:vAlign w:val="bottom"/>
            <w:shd w:val="clear" w:color="auto" w:fill="D7F5C4"/>
          </w:tcPr>
          <w:p>
            <w:pPr>
              <w:jc w:val="right"/>
              <w:spacing w:after="0" w:line="144" w:lineRule="exact"/>
              <w:rPr>
                <w:sz w:val="20"/>
                <w:szCs w:val="20"/>
                <w:color w:val="auto"/>
              </w:rPr>
            </w:pPr>
            <w:r>
              <w:rPr>
                <w:rFonts w:ascii="Arial" w:cs="Arial" w:eastAsia="Arial" w:hAnsi="Arial"/>
                <w:sz w:val="13"/>
                <w:szCs w:val="13"/>
                <w:color w:val="auto"/>
                <w:w w:val="89"/>
              </w:rPr>
              <w:t>2019</w:t>
            </w:r>
          </w:p>
        </w:tc>
        <w:tc>
          <w:tcPr>
            <w:tcW w:w="960" w:type="dxa"/>
            <w:vAlign w:val="bottom"/>
            <w:shd w:val="clear" w:color="auto" w:fill="D7F5C4"/>
          </w:tcPr>
          <w:p>
            <w:pPr>
              <w:ind w:left="260"/>
              <w:spacing w:after="0" w:line="144" w:lineRule="exact"/>
              <w:rPr>
                <w:sz w:val="20"/>
                <w:szCs w:val="20"/>
                <w:color w:val="auto"/>
              </w:rPr>
            </w:pPr>
            <w:r>
              <w:rPr>
                <w:rFonts w:ascii="Arial" w:cs="Arial" w:eastAsia="Arial" w:hAnsi="Arial"/>
                <w:sz w:val="10"/>
                <w:szCs w:val="10"/>
                <w:color w:val="auto"/>
              </w:rPr>
              <w:t>467,145</w:t>
            </w:r>
            <w:r>
              <w:rPr>
                <w:rFonts w:ascii="Arial" w:cs="Arial" w:eastAsia="Arial" w:hAnsi="Arial"/>
                <w:sz w:val="16"/>
                <w:szCs w:val="16"/>
                <w:color w:val="auto"/>
                <w:vertAlign w:val="superscript"/>
              </w:rPr>
              <w:t>(4)</w:t>
            </w:r>
          </w:p>
        </w:tc>
        <w:tc>
          <w:tcPr>
            <w:tcW w:w="640" w:type="dxa"/>
            <w:vAlign w:val="bottom"/>
            <w:shd w:val="clear" w:color="auto" w:fill="D7F5C4"/>
          </w:tcPr>
          <w:p>
            <w:pPr>
              <w:ind w:left="380"/>
              <w:spacing w:after="0" w:line="144" w:lineRule="exact"/>
              <w:rPr>
                <w:sz w:val="20"/>
                <w:szCs w:val="20"/>
                <w:color w:val="auto"/>
              </w:rPr>
            </w:pPr>
            <w:r>
              <w:rPr>
                <w:rFonts w:ascii="Arial" w:cs="Arial" w:eastAsia="Arial" w:hAnsi="Arial"/>
                <w:sz w:val="13"/>
                <w:szCs w:val="13"/>
                <w:color w:val="auto"/>
              </w:rPr>
              <w:t>—</w:t>
            </w:r>
          </w:p>
        </w:tc>
        <w:tc>
          <w:tcPr>
            <w:tcW w:w="800" w:type="dxa"/>
            <w:vAlign w:val="bottom"/>
            <w:shd w:val="clear" w:color="auto" w:fill="D7F5C4"/>
          </w:tcPr>
          <w:p>
            <w:pPr>
              <w:jc w:val="right"/>
              <w:ind w:right="37"/>
              <w:spacing w:after="0" w:line="144" w:lineRule="exact"/>
              <w:rPr>
                <w:sz w:val="20"/>
                <w:szCs w:val="20"/>
                <w:color w:val="auto"/>
              </w:rPr>
            </w:pPr>
            <w:r>
              <w:rPr>
                <w:rFonts w:ascii="Arial" w:cs="Arial" w:eastAsia="Arial" w:hAnsi="Arial"/>
                <w:sz w:val="13"/>
                <w:szCs w:val="13"/>
                <w:color w:val="auto"/>
              </w:rPr>
              <w:t>659,088</w:t>
            </w:r>
          </w:p>
        </w:tc>
        <w:tc>
          <w:tcPr>
            <w:tcW w:w="680" w:type="dxa"/>
            <w:vAlign w:val="bottom"/>
            <w:shd w:val="clear" w:color="auto" w:fill="D7F5C4"/>
          </w:tcPr>
          <w:p>
            <w:pPr>
              <w:ind w:left="440"/>
              <w:spacing w:after="0" w:line="144" w:lineRule="exact"/>
              <w:rPr>
                <w:sz w:val="20"/>
                <w:szCs w:val="20"/>
                <w:color w:val="auto"/>
              </w:rPr>
            </w:pPr>
            <w:r>
              <w:rPr>
                <w:rFonts w:ascii="Arial" w:cs="Arial" w:eastAsia="Arial" w:hAnsi="Arial"/>
                <w:sz w:val="13"/>
                <w:szCs w:val="13"/>
                <w:color w:val="auto"/>
              </w:rPr>
              <w:t>—</w:t>
            </w:r>
          </w:p>
        </w:tc>
        <w:tc>
          <w:tcPr>
            <w:tcW w:w="1120" w:type="dxa"/>
            <w:vAlign w:val="bottom"/>
            <w:shd w:val="clear" w:color="auto" w:fill="D7F5C4"/>
          </w:tcPr>
          <w:p>
            <w:pPr>
              <w:jc w:val="right"/>
              <w:ind w:right="57"/>
              <w:spacing w:after="0" w:line="144" w:lineRule="exact"/>
              <w:rPr>
                <w:sz w:val="20"/>
                <w:szCs w:val="20"/>
                <w:color w:val="auto"/>
              </w:rPr>
            </w:pPr>
            <w:r>
              <w:rPr>
                <w:rFonts w:ascii="Arial" w:cs="Arial" w:eastAsia="Arial" w:hAnsi="Arial"/>
                <w:sz w:val="13"/>
                <w:szCs w:val="13"/>
                <w:color w:val="auto"/>
              </w:rPr>
              <w:t>216,649</w:t>
            </w:r>
          </w:p>
        </w:tc>
        <w:tc>
          <w:tcPr>
            <w:tcW w:w="1120" w:type="dxa"/>
            <w:vAlign w:val="bottom"/>
            <w:shd w:val="clear" w:color="auto" w:fill="D7F5C4"/>
          </w:tcPr>
          <w:p>
            <w:pPr>
              <w:ind w:left="880"/>
              <w:spacing w:after="0" w:line="144" w:lineRule="exact"/>
              <w:rPr>
                <w:sz w:val="20"/>
                <w:szCs w:val="20"/>
                <w:color w:val="auto"/>
              </w:rPr>
            </w:pPr>
            <w:r>
              <w:rPr>
                <w:rFonts w:ascii="Arial" w:cs="Arial" w:eastAsia="Arial" w:hAnsi="Arial"/>
                <w:sz w:val="13"/>
                <w:szCs w:val="13"/>
                <w:color w:val="auto"/>
              </w:rPr>
              <w:t>—</w:t>
            </w:r>
          </w:p>
        </w:tc>
        <w:tc>
          <w:tcPr>
            <w:tcW w:w="1160" w:type="dxa"/>
            <w:vAlign w:val="bottom"/>
            <w:shd w:val="clear" w:color="auto" w:fill="D7F5C4"/>
          </w:tcPr>
          <w:p>
            <w:pPr>
              <w:jc w:val="right"/>
              <w:ind w:right="97"/>
              <w:spacing w:after="0" w:line="144" w:lineRule="exact"/>
              <w:rPr>
                <w:sz w:val="20"/>
                <w:szCs w:val="20"/>
                <w:color w:val="auto"/>
              </w:rPr>
            </w:pPr>
            <w:r>
              <w:rPr>
                <w:rFonts w:ascii="Arial" w:cs="Arial" w:eastAsia="Arial" w:hAnsi="Arial"/>
                <w:sz w:val="13"/>
                <w:szCs w:val="13"/>
                <w:color w:val="auto"/>
              </w:rPr>
              <w:t>25,904</w:t>
            </w:r>
          </w:p>
        </w:tc>
        <w:tc>
          <w:tcPr>
            <w:tcW w:w="800" w:type="dxa"/>
            <w:vAlign w:val="bottom"/>
            <w:shd w:val="clear" w:color="auto" w:fill="D7F5C4"/>
          </w:tcPr>
          <w:p>
            <w:pPr>
              <w:jc w:val="right"/>
              <w:ind w:right="37"/>
              <w:spacing w:after="0" w:line="144" w:lineRule="exact"/>
              <w:rPr>
                <w:sz w:val="20"/>
                <w:szCs w:val="20"/>
                <w:color w:val="auto"/>
              </w:rPr>
            </w:pPr>
            <w:r>
              <w:rPr>
                <w:rFonts w:ascii="Arial" w:cs="Arial" w:eastAsia="Arial" w:hAnsi="Arial"/>
                <w:sz w:val="13"/>
                <w:szCs w:val="13"/>
                <w:color w:val="auto"/>
              </w:rPr>
              <w:t>1,368,786</w:t>
            </w:r>
          </w:p>
        </w:tc>
        <w:tc>
          <w:tcPr>
            <w:tcW w:w="0" w:type="dxa"/>
            <w:vAlign w:val="bottom"/>
          </w:tcPr>
          <w:p>
            <w:pPr>
              <w:spacing w:after="0"/>
              <w:rPr>
                <w:sz w:val="1"/>
                <w:szCs w:val="1"/>
                <w:color w:val="auto"/>
              </w:rPr>
            </w:pPr>
          </w:p>
        </w:tc>
      </w:tr>
      <w:tr>
        <w:trPr>
          <w:trHeight w:val="179"/>
        </w:trPr>
        <w:tc>
          <w:tcPr>
            <w:tcW w:w="1820" w:type="dxa"/>
            <w:vAlign w:val="bottom"/>
            <w:shd w:val="clear" w:color="auto" w:fill="D7F5C4"/>
          </w:tcPr>
          <w:p>
            <w:pPr>
              <w:spacing w:after="0"/>
              <w:rPr>
                <w:sz w:val="20"/>
                <w:szCs w:val="20"/>
                <w:color w:val="auto"/>
              </w:rPr>
            </w:pPr>
            <w:r>
              <w:rPr>
                <w:rFonts w:ascii="Arial" w:cs="Arial" w:eastAsia="Arial" w:hAnsi="Arial"/>
                <w:sz w:val="13"/>
                <w:szCs w:val="13"/>
                <w:color w:val="auto"/>
              </w:rPr>
              <w:t>Chief Financial Officer</w:t>
            </w:r>
          </w:p>
        </w:tc>
        <w:tc>
          <w:tcPr>
            <w:tcW w:w="180" w:type="dxa"/>
            <w:vAlign w:val="bottom"/>
            <w:shd w:val="clear" w:color="auto" w:fill="D7F5C4"/>
          </w:tcPr>
          <w:p>
            <w:pPr>
              <w:spacing w:after="0"/>
              <w:rPr>
                <w:sz w:val="15"/>
                <w:szCs w:val="15"/>
                <w:color w:val="auto"/>
              </w:rPr>
            </w:pPr>
          </w:p>
        </w:tc>
        <w:tc>
          <w:tcPr>
            <w:tcW w:w="280" w:type="dxa"/>
            <w:vAlign w:val="bottom"/>
            <w:shd w:val="clear" w:color="auto" w:fill="D7F5C4"/>
          </w:tcPr>
          <w:p>
            <w:pPr>
              <w:jc w:val="right"/>
              <w:spacing w:after="0"/>
              <w:rPr>
                <w:sz w:val="20"/>
                <w:szCs w:val="20"/>
                <w:color w:val="auto"/>
              </w:rPr>
            </w:pPr>
            <w:r>
              <w:rPr>
                <w:rFonts w:ascii="Arial" w:cs="Arial" w:eastAsia="Arial" w:hAnsi="Arial"/>
                <w:sz w:val="13"/>
                <w:szCs w:val="13"/>
                <w:color w:val="auto"/>
                <w:w w:val="89"/>
              </w:rPr>
              <w:t>2018</w:t>
            </w:r>
          </w:p>
        </w:tc>
        <w:tc>
          <w:tcPr>
            <w:tcW w:w="960" w:type="dxa"/>
            <w:vAlign w:val="bottom"/>
            <w:shd w:val="clear" w:color="auto" w:fill="D7F5C4"/>
          </w:tcPr>
          <w:p>
            <w:pPr>
              <w:ind w:left="260"/>
              <w:spacing w:after="0"/>
              <w:rPr>
                <w:sz w:val="20"/>
                <w:szCs w:val="20"/>
                <w:color w:val="auto"/>
              </w:rPr>
            </w:pPr>
            <w:r>
              <w:rPr>
                <w:rFonts w:ascii="Arial" w:cs="Arial" w:eastAsia="Arial" w:hAnsi="Arial"/>
                <w:sz w:val="13"/>
                <w:szCs w:val="13"/>
                <w:color w:val="auto"/>
              </w:rPr>
              <w:t>434,148</w:t>
            </w:r>
          </w:p>
        </w:tc>
        <w:tc>
          <w:tcPr>
            <w:tcW w:w="640" w:type="dxa"/>
            <w:vAlign w:val="bottom"/>
            <w:shd w:val="clear" w:color="auto" w:fill="D7F5C4"/>
          </w:tcPr>
          <w:p>
            <w:pPr>
              <w:ind w:left="380"/>
              <w:spacing w:after="0"/>
              <w:rPr>
                <w:sz w:val="20"/>
                <w:szCs w:val="20"/>
                <w:color w:val="auto"/>
              </w:rPr>
            </w:pPr>
            <w:r>
              <w:rPr>
                <w:rFonts w:ascii="Arial" w:cs="Arial" w:eastAsia="Arial" w:hAnsi="Arial"/>
                <w:sz w:val="13"/>
                <w:szCs w:val="13"/>
                <w:color w:val="auto"/>
              </w:rPr>
              <w:t>—</w:t>
            </w:r>
          </w:p>
        </w:tc>
        <w:tc>
          <w:tcPr>
            <w:tcW w:w="800" w:type="dxa"/>
            <w:vAlign w:val="bottom"/>
            <w:shd w:val="clear" w:color="auto" w:fill="D7F5C4"/>
          </w:tcPr>
          <w:p>
            <w:pPr>
              <w:jc w:val="right"/>
              <w:ind w:right="37"/>
              <w:spacing w:after="0"/>
              <w:rPr>
                <w:sz w:val="20"/>
                <w:szCs w:val="20"/>
                <w:color w:val="auto"/>
              </w:rPr>
            </w:pPr>
            <w:r>
              <w:rPr>
                <w:rFonts w:ascii="Arial" w:cs="Arial" w:eastAsia="Arial" w:hAnsi="Arial"/>
                <w:sz w:val="13"/>
                <w:szCs w:val="13"/>
                <w:color w:val="auto"/>
              </w:rPr>
              <w:t>517,177</w:t>
            </w:r>
          </w:p>
        </w:tc>
        <w:tc>
          <w:tcPr>
            <w:tcW w:w="680" w:type="dxa"/>
            <w:vAlign w:val="bottom"/>
            <w:shd w:val="clear" w:color="auto" w:fill="D7F5C4"/>
          </w:tcPr>
          <w:p>
            <w:pPr>
              <w:ind w:left="440"/>
              <w:spacing w:after="0"/>
              <w:rPr>
                <w:sz w:val="20"/>
                <w:szCs w:val="20"/>
                <w:color w:val="auto"/>
              </w:rPr>
            </w:pPr>
            <w:r>
              <w:rPr>
                <w:rFonts w:ascii="Arial" w:cs="Arial" w:eastAsia="Arial" w:hAnsi="Arial"/>
                <w:sz w:val="13"/>
                <w:szCs w:val="13"/>
                <w:color w:val="auto"/>
              </w:rPr>
              <w:t>—</w:t>
            </w:r>
          </w:p>
        </w:tc>
        <w:tc>
          <w:tcPr>
            <w:tcW w:w="1120" w:type="dxa"/>
            <w:vAlign w:val="bottom"/>
            <w:shd w:val="clear" w:color="auto" w:fill="D7F5C4"/>
          </w:tcPr>
          <w:p>
            <w:pPr>
              <w:jc w:val="right"/>
              <w:ind w:right="57"/>
              <w:spacing w:after="0"/>
              <w:rPr>
                <w:sz w:val="20"/>
                <w:szCs w:val="20"/>
                <w:color w:val="auto"/>
              </w:rPr>
            </w:pPr>
            <w:r>
              <w:rPr>
                <w:rFonts w:ascii="Arial" w:cs="Arial" w:eastAsia="Arial" w:hAnsi="Arial"/>
                <w:sz w:val="13"/>
                <w:szCs w:val="13"/>
                <w:color w:val="auto"/>
              </w:rPr>
              <w:t>—</w:t>
            </w:r>
          </w:p>
        </w:tc>
        <w:tc>
          <w:tcPr>
            <w:tcW w:w="1120" w:type="dxa"/>
            <w:vAlign w:val="bottom"/>
            <w:shd w:val="clear" w:color="auto" w:fill="D7F5C4"/>
          </w:tcPr>
          <w:p>
            <w:pPr>
              <w:ind w:left="880"/>
              <w:spacing w:after="0"/>
              <w:rPr>
                <w:sz w:val="20"/>
                <w:szCs w:val="20"/>
                <w:color w:val="auto"/>
              </w:rPr>
            </w:pPr>
            <w:r>
              <w:rPr>
                <w:rFonts w:ascii="Arial" w:cs="Arial" w:eastAsia="Arial" w:hAnsi="Arial"/>
                <w:sz w:val="13"/>
                <w:szCs w:val="13"/>
                <w:color w:val="auto"/>
              </w:rPr>
              <w:t>—</w:t>
            </w:r>
          </w:p>
        </w:tc>
        <w:tc>
          <w:tcPr>
            <w:tcW w:w="1160" w:type="dxa"/>
            <w:vAlign w:val="bottom"/>
            <w:shd w:val="clear" w:color="auto" w:fill="D7F5C4"/>
          </w:tcPr>
          <w:p>
            <w:pPr>
              <w:jc w:val="right"/>
              <w:ind w:right="97"/>
              <w:spacing w:after="0"/>
              <w:rPr>
                <w:sz w:val="20"/>
                <w:szCs w:val="20"/>
                <w:color w:val="auto"/>
              </w:rPr>
            </w:pPr>
            <w:r>
              <w:rPr>
                <w:rFonts w:ascii="Arial" w:cs="Arial" w:eastAsia="Arial" w:hAnsi="Arial"/>
                <w:sz w:val="13"/>
                <w:szCs w:val="13"/>
                <w:color w:val="auto"/>
              </w:rPr>
              <w:t>23,437</w:t>
            </w:r>
          </w:p>
        </w:tc>
        <w:tc>
          <w:tcPr>
            <w:tcW w:w="800" w:type="dxa"/>
            <w:vAlign w:val="bottom"/>
            <w:shd w:val="clear" w:color="auto" w:fill="D7F5C4"/>
          </w:tcPr>
          <w:p>
            <w:pPr>
              <w:jc w:val="right"/>
              <w:ind w:right="37"/>
              <w:spacing w:after="0"/>
              <w:rPr>
                <w:sz w:val="20"/>
                <w:szCs w:val="20"/>
                <w:color w:val="auto"/>
              </w:rPr>
            </w:pPr>
            <w:r>
              <w:rPr>
                <w:rFonts w:ascii="Arial" w:cs="Arial" w:eastAsia="Arial" w:hAnsi="Arial"/>
                <w:sz w:val="13"/>
                <w:szCs w:val="13"/>
                <w:color w:val="auto"/>
              </w:rPr>
              <w:t>974,762</w:t>
            </w:r>
          </w:p>
        </w:tc>
        <w:tc>
          <w:tcPr>
            <w:tcW w:w="0" w:type="dxa"/>
            <w:vAlign w:val="bottom"/>
          </w:tcPr>
          <w:p>
            <w:pPr>
              <w:spacing w:after="0"/>
              <w:rPr>
                <w:sz w:val="1"/>
                <w:szCs w:val="1"/>
                <w:color w:val="auto"/>
              </w:rPr>
            </w:pPr>
          </w:p>
        </w:tc>
      </w:tr>
      <w:tr>
        <w:trPr>
          <w:trHeight w:val="165"/>
        </w:trPr>
        <w:tc>
          <w:tcPr>
            <w:tcW w:w="1820" w:type="dxa"/>
            <w:vAlign w:val="bottom"/>
            <w:shd w:val="clear" w:color="auto" w:fill="D7F5C4"/>
          </w:tcPr>
          <w:p>
            <w:pPr>
              <w:spacing w:after="0"/>
              <w:rPr>
                <w:sz w:val="14"/>
                <w:szCs w:val="14"/>
                <w:color w:val="auto"/>
              </w:rPr>
            </w:pPr>
          </w:p>
        </w:tc>
        <w:tc>
          <w:tcPr>
            <w:tcW w:w="180" w:type="dxa"/>
            <w:vAlign w:val="bottom"/>
            <w:shd w:val="clear" w:color="auto" w:fill="D7F5C4"/>
          </w:tcPr>
          <w:p>
            <w:pPr>
              <w:spacing w:after="0"/>
              <w:rPr>
                <w:sz w:val="14"/>
                <w:szCs w:val="14"/>
                <w:color w:val="auto"/>
              </w:rPr>
            </w:pPr>
          </w:p>
        </w:tc>
        <w:tc>
          <w:tcPr>
            <w:tcW w:w="280" w:type="dxa"/>
            <w:vAlign w:val="bottom"/>
            <w:shd w:val="clear" w:color="auto" w:fill="D7F5C4"/>
          </w:tcPr>
          <w:p>
            <w:pPr>
              <w:jc w:val="right"/>
              <w:spacing w:after="0"/>
              <w:rPr>
                <w:sz w:val="20"/>
                <w:szCs w:val="20"/>
                <w:color w:val="auto"/>
              </w:rPr>
            </w:pPr>
            <w:r>
              <w:rPr>
                <w:rFonts w:ascii="Arial" w:cs="Arial" w:eastAsia="Arial" w:hAnsi="Arial"/>
                <w:sz w:val="13"/>
                <w:szCs w:val="13"/>
                <w:color w:val="auto"/>
                <w:w w:val="89"/>
              </w:rPr>
              <w:t>2017</w:t>
            </w:r>
          </w:p>
        </w:tc>
        <w:tc>
          <w:tcPr>
            <w:tcW w:w="960" w:type="dxa"/>
            <w:vAlign w:val="bottom"/>
            <w:shd w:val="clear" w:color="auto" w:fill="D7F5C4"/>
          </w:tcPr>
          <w:p>
            <w:pPr>
              <w:ind w:left="260"/>
              <w:spacing w:after="0"/>
              <w:rPr>
                <w:sz w:val="20"/>
                <w:szCs w:val="20"/>
                <w:color w:val="auto"/>
              </w:rPr>
            </w:pPr>
            <w:r>
              <w:rPr>
                <w:rFonts w:ascii="Arial" w:cs="Arial" w:eastAsia="Arial" w:hAnsi="Arial"/>
                <w:sz w:val="13"/>
                <w:szCs w:val="13"/>
                <w:color w:val="auto"/>
              </w:rPr>
              <w:t>430,616</w:t>
            </w:r>
          </w:p>
        </w:tc>
        <w:tc>
          <w:tcPr>
            <w:tcW w:w="640" w:type="dxa"/>
            <w:vAlign w:val="bottom"/>
            <w:shd w:val="clear" w:color="auto" w:fill="D7F5C4"/>
          </w:tcPr>
          <w:p>
            <w:pPr>
              <w:ind w:left="380"/>
              <w:spacing w:after="0"/>
              <w:rPr>
                <w:sz w:val="20"/>
                <w:szCs w:val="20"/>
                <w:color w:val="auto"/>
              </w:rPr>
            </w:pPr>
            <w:r>
              <w:rPr>
                <w:rFonts w:ascii="Arial" w:cs="Arial" w:eastAsia="Arial" w:hAnsi="Arial"/>
                <w:sz w:val="13"/>
                <w:szCs w:val="13"/>
                <w:color w:val="auto"/>
              </w:rPr>
              <w:t>—</w:t>
            </w:r>
          </w:p>
        </w:tc>
        <w:tc>
          <w:tcPr>
            <w:tcW w:w="800" w:type="dxa"/>
            <w:vAlign w:val="bottom"/>
            <w:shd w:val="clear" w:color="auto" w:fill="D7F5C4"/>
          </w:tcPr>
          <w:p>
            <w:pPr>
              <w:jc w:val="right"/>
              <w:ind w:right="37"/>
              <w:spacing w:after="0"/>
              <w:rPr>
                <w:sz w:val="20"/>
                <w:szCs w:val="20"/>
                <w:color w:val="auto"/>
              </w:rPr>
            </w:pPr>
            <w:r>
              <w:rPr>
                <w:rFonts w:ascii="Arial" w:cs="Arial" w:eastAsia="Arial" w:hAnsi="Arial"/>
                <w:sz w:val="13"/>
                <w:szCs w:val="13"/>
                <w:color w:val="auto"/>
              </w:rPr>
              <w:t>473,971</w:t>
            </w:r>
          </w:p>
        </w:tc>
        <w:tc>
          <w:tcPr>
            <w:tcW w:w="680" w:type="dxa"/>
            <w:vAlign w:val="bottom"/>
            <w:shd w:val="clear" w:color="auto" w:fill="D7F5C4"/>
          </w:tcPr>
          <w:p>
            <w:pPr>
              <w:ind w:left="440"/>
              <w:spacing w:after="0"/>
              <w:rPr>
                <w:sz w:val="20"/>
                <w:szCs w:val="20"/>
                <w:color w:val="auto"/>
              </w:rPr>
            </w:pPr>
            <w:r>
              <w:rPr>
                <w:rFonts w:ascii="Arial" w:cs="Arial" w:eastAsia="Arial" w:hAnsi="Arial"/>
                <w:sz w:val="13"/>
                <w:szCs w:val="13"/>
                <w:color w:val="auto"/>
              </w:rPr>
              <w:t>—</w:t>
            </w:r>
          </w:p>
        </w:tc>
        <w:tc>
          <w:tcPr>
            <w:tcW w:w="1120" w:type="dxa"/>
            <w:vAlign w:val="bottom"/>
            <w:shd w:val="clear" w:color="auto" w:fill="D7F5C4"/>
          </w:tcPr>
          <w:p>
            <w:pPr>
              <w:jc w:val="right"/>
              <w:ind w:right="57"/>
              <w:spacing w:after="0"/>
              <w:rPr>
                <w:sz w:val="20"/>
                <w:szCs w:val="20"/>
                <w:color w:val="auto"/>
              </w:rPr>
            </w:pPr>
            <w:r>
              <w:rPr>
                <w:rFonts w:ascii="Arial" w:cs="Arial" w:eastAsia="Arial" w:hAnsi="Arial"/>
                <w:sz w:val="13"/>
                <w:szCs w:val="13"/>
                <w:color w:val="auto"/>
              </w:rPr>
              <w:t>—</w:t>
            </w:r>
          </w:p>
        </w:tc>
        <w:tc>
          <w:tcPr>
            <w:tcW w:w="1120" w:type="dxa"/>
            <w:vAlign w:val="bottom"/>
            <w:shd w:val="clear" w:color="auto" w:fill="D7F5C4"/>
          </w:tcPr>
          <w:p>
            <w:pPr>
              <w:ind w:left="880"/>
              <w:spacing w:after="0"/>
              <w:rPr>
                <w:sz w:val="20"/>
                <w:szCs w:val="20"/>
                <w:color w:val="auto"/>
              </w:rPr>
            </w:pPr>
            <w:r>
              <w:rPr>
                <w:rFonts w:ascii="Arial" w:cs="Arial" w:eastAsia="Arial" w:hAnsi="Arial"/>
                <w:sz w:val="13"/>
                <w:szCs w:val="13"/>
                <w:color w:val="auto"/>
              </w:rPr>
              <w:t>—</w:t>
            </w:r>
          </w:p>
        </w:tc>
        <w:tc>
          <w:tcPr>
            <w:tcW w:w="1160" w:type="dxa"/>
            <w:vAlign w:val="bottom"/>
            <w:shd w:val="clear" w:color="auto" w:fill="D7F5C4"/>
          </w:tcPr>
          <w:p>
            <w:pPr>
              <w:jc w:val="right"/>
              <w:ind w:right="97"/>
              <w:spacing w:after="0"/>
              <w:rPr>
                <w:sz w:val="20"/>
                <w:szCs w:val="20"/>
                <w:color w:val="auto"/>
              </w:rPr>
            </w:pPr>
            <w:r>
              <w:rPr>
                <w:rFonts w:ascii="Arial" w:cs="Arial" w:eastAsia="Arial" w:hAnsi="Arial"/>
                <w:sz w:val="13"/>
                <w:szCs w:val="13"/>
                <w:color w:val="auto"/>
              </w:rPr>
              <w:t>24,746</w:t>
            </w:r>
          </w:p>
        </w:tc>
        <w:tc>
          <w:tcPr>
            <w:tcW w:w="800" w:type="dxa"/>
            <w:vAlign w:val="bottom"/>
            <w:shd w:val="clear" w:color="auto" w:fill="D7F5C4"/>
          </w:tcPr>
          <w:p>
            <w:pPr>
              <w:jc w:val="right"/>
              <w:ind w:right="37"/>
              <w:spacing w:after="0"/>
              <w:rPr>
                <w:sz w:val="20"/>
                <w:szCs w:val="20"/>
                <w:color w:val="auto"/>
              </w:rPr>
            </w:pPr>
            <w:r>
              <w:rPr>
                <w:rFonts w:ascii="Arial" w:cs="Arial" w:eastAsia="Arial" w:hAnsi="Arial"/>
                <w:sz w:val="13"/>
                <w:szCs w:val="13"/>
                <w:color w:val="auto"/>
              </w:rPr>
              <w:t>929,333</w:t>
            </w:r>
          </w:p>
        </w:tc>
        <w:tc>
          <w:tcPr>
            <w:tcW w:w="0" w:type="dxa"/>
            <w:vAlign w:val="bottom"/>
          </w:tcPr>
          <w:p>
            <w:pPr>
              <w:spacing w:after="0"/>
              <w:rPr>
                <w:sz w:val="1"/>
                <w:szCs w:val="1"/>
                <w:color w:val="auto"/>
              </w:rPr>
            </w:pPr>
          </w:p>
        </w:tc>
      </w:tr>
      <w:tr>
        <w:trPr>
          <w:trHeight w:val="143"/>
        </w:trPr>
        <w:tc>
          <w:tcPr>
            <w:tcW w:w="1820" w:type="dxa"/>
            <w:vAlign w:val="bottom"/>
          </w:tcPr>
          <w:p>
            <w:pPr>
              <w:spacing w:after="0" w:line="143" w:lineRule="exact"/>
              <w:rPr>
                <w:sz w:val="20"/>
                <w:szCs w:val="20"/>
                <w:color w:val="auto"/>
              </w:rPr>
            </w:pPr>
            <w:r>
              <w:rPr>
                <w:rFonts w:ascii="Arial" w:cs="Arial" w:eastAsia="Arial" w:hAnsi="Arial"/>
                <w:sz w:val="13"/>
                <w:szCs w:val="13"/>
                <w:color w:val="auto"/>
              </w:rPr>
              <w:t>Alan R. Updyke</w:t>
            </w:r>
          </w:p>
        </w:tc>
        <w:tc>
          <w:tcPr>
            <w:tcW w:w="46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2019</w:t>
            </w:r>
          </w:p>
        </w:tc>
        <w:tc>
          <w:tcPr>
            <w:tcW w:w="960" w:type="dxa"/>
            <w:vAlign w:val="bottom"/>
          </w:tcPr>
          <w:p>
            <w:pPr>
              <w:ind w:left="260"/>
              <w:spacing w:after="0" w:line="142" w:lineRule="exact"/>
              <w:rPr>
                <w:sz w:val="20"/>
                <w:szCs w:val="20"/>
                <w:color w:val="auto"/>
              </w:rPr>
            </w:pPr>
            <w:r>
              <w:rPr>
                <w:rFonts w:ascii="Arial" w:cs="Arial" w:eastAsia="Arial" w:hAnsi="Arial"/>
                <w:sz w:val="10"/>
                <w:szCs w:val="10"/>
                <w:color w:val="auto"/>
              </w:rPr>
              <w:t>395,254</w:t>
            </w:r>
            <w:r>
              <w:rPr>
                <w:rFonts w:ascii="Arial" w:cs="Arial" w:eastAsia="Arial" w:hAnsi="Arial"/>
                <w:sz w:val="16"/>
                <w:szCs w:val="16"/>
                <w:color w:val="auto"/>
                <w:vertAlign w:val="superscript"/>
              </w:rPr>
              <w:t>(4)</w:t>
            </w:r>
          </w:p>
        </w:tc>
        <w:tc>
          <w:tcPr>
            <w:tcW w:w="640" w:type="dxa"/>
            <w:vAlign w:val="bottom"/>
          </w:tcPr>
          <w:p>
            <w:pPr>
              <w:ind w:left="380"/>
              <w:spacing w:after="0" w:line="143"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line="143" w:lineRule="exact"/>
              <w:rPr>
                <w:sz w:val="20"/>
                <w:szCs w:val="20"/>
                <w:color w:val="auto"/>
              </w:rPr>
            </w:pPr>
            <w:r>
              <w:rPr>
                <w:rFonts w:ascii="Arial" w:cs="Arial" w:eastAsia="Arial" w:hAnsi="Arial"/>
                <w:sz w:val="13"/>
                <w:szCs w:val="13"/>
                <w:color w:val="auto"/>
              </w:rPr>
              <w:t>400,642</w:t>
            </w:r>
          </w:p>
        </w:tc>
        <w:tc>
          <w:tcPr>
            <w:tcW w:w="680" w:type="dxa"/>
            <w:vAlign w:val="bottom"/>
          </w:tcPr>
          <w:p>
            <w:pPr>
              <w:ind w:left="440"/>
              <w:spacing w:after="0" w:line="143"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57"/>
              <w:spacing w:after="0" w:line="143" w:lineRule="exact"/>
              <w:rPr>
                <w:sz w:val="20"/>
                <w:szCs w:val="20"/>
                <w:color w:val="auto"/>
              </w:rPr>
            </w:pPr>
            <w:r>
              <w:rPr>
                <w:rFonts w:ascii="Arial" w:cs="Arial" w:eastAsia="Arial" w:hAnsi="Arial"/>
                <w:sz w:val="13"/>
                <w:szCs w:val="13"/>
                <w:color w:val="auto"/>
              </w:rPr>
              <w:t>299,161</w:t>
            </w:r>
          </w:p>
        </w:tc>
        <w:tc>
          <w:tcPr>
            <w:tcW w:w="1120" w:type="dxa"/>
            <w:vAlign w:val="bottom"/>
          </w:tcPr>
          <w:p>
            <w:pPr>
              <w:ind w:left="880"/>
              <w:spacing w:after="0" w:line="143"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97"/>
              <w:spacing w:after="0" w:line="143" w:lineRule="exact"/>
              <w:rPr>
                <w:sz w:val="20"/>
                <w:szCs w:val="20"/>
                <w:color w:val="auto"/>
              </w:rPr>
            </w:pPr>
            <w:r>
              <w:rPr>
                <w:rFonts w:ascii="Arial" w:cs="Arial" w:eastAsia="Arial" w:hAnsi="Arial"/>
                <w:sz w:val="13"/>
                <w:szCs w:val="13"/>
                <w:color w:val="auto"/>
              </w:rPr>
              <w:t>26,786</w:t>
            </w:r>
          </w:p>
        </w:tc>
        <w:tc>
          <w:tcPr>
            <w:tcW w:w="800" w:type="dxa"/>
            <w:vAlign w:val="bottom"/>
          </w:tcPr>
          <w:p>
            <w:pPr>
              <w:jc w:val="right"/>
              <w:ind w:right="37"/>
              <w:spacing w:after="0" w:line="143" w:lineRule="exact"/>
              <w:rPr>
                <w:sz w:val="20"/>
                <w:szCs w:val="20"/>
                <w:color w:val="auto"/>
              </w:rPr>
            </w:pPr>
            <w:r>
              <w:rPr>
                <w:rFonts w:ascii="Arial" w:cs="Arial" w:eastAsia="Arial" w:hAnsi="Arial"/>
                <w:sz w:val="13"/>
                <w:szCs w:val="13"/>
                <w:color w:val="auto"/>
              </w:rPr>
              <w:t>1,121,843</w:t>
            </w:r>
          </w:p>
        </w:tc>
        <w:tc>
          <w:tcPr>
            <w:tcW w:w="0" w:type="dxa"/>
            <w:vAlign w:val="bottom"/>
          </w:tcPr>
          <w:p>
            <w:pPr>
              <w:spacing w:after="0"/>
              <w:rPr>
                <w:sz w:val="1"/>
                <w:szCs w:val="1"/>
                <w:color w:val="auto"/>
              </w:rPr>
            </w:pP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3"/>
                <w:szCs w:val="13"/>
                <w:color w:val="auto"/>
              </w:rPr>
              <w:t>President—Matrix</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820" w:type="dxa"/>
            <w:vAlign w:val="bottom"/>
          </w:tcPr>
          <w:p>
            <w:pPr>
              <w:spacing w:after="0"/>
              <w:rPr>
                <w:sz w:val="20"/>
                <w:szCs w:val="20"/>
                <w:color w:val="auto"/>
              </w:rPr>
            </w:pPr>
            <w:r>
              <w:rPr>
                <w:rFonts w:ascii="Arial" w:cs="Arial" w:eastAsia="Arial" w:hAnsi="Arial"/>
                <w:sz w:val="13"/>
                <w:szCs w:val="13"/>
                <w:color w:val="auto"/>
              </w:rPr>
              <w:t>Service Inc.</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820" w:type="dxa"/>
            <w:vAlign w:val="bottom"/>
            <w:shd w:val="clear" w:color="auto" w:fill="D7F5C4"/>
          </w:tcPr>
          <w:p>
            <w:pPr>
              <w:spacing w:after="0" w:line="144" w:lineRule="exact"/>
              <w:rPr>
                <w:sz w:val="20"/>
                <w:szCs w:val="20"/>
                <w:color w:val="auto"/>
              </w:rPr>
            </w:pPr>
            <w:r>
              <w:rPr>
                <w:rFonts w:ascii="Arial" w:cs="Arial" w:eastAsia="Arial" w:hAnsi="Arial"/>
                <w:sz w:val="13"/>
                <w:szCs w:val="13"/>
                <w:color w:val="auto"/>
              </w:rPr>
              <w:t>Jason W. Turner</w:t>
            </w:r>
          </w:p>
        </w:tc>
        <w:tc>
          <w:tcPr>
            <w:tcW w:w="180" w:type="dxa"/>
            <w:vAlign w:val="bottom"/>
            <w:shd w:val="clear" w:color="auto" w:fill="D7F5C4"/>
          </w:tcPr>
          <w:p>
            <w:pPr>
              <w:spacing w:after="0"/>
              <w:rPr>
                <w:sz w:val="12"/>
                <w:szCs w:val="12"/>
                <w:color w:val="auto"/>
              </w:rPr>
            </w:pPr>
          </w:p>
        </w:tc>
        <w:tc>
          <w:tcPr>
            <w:tcW w:w="280" w:type="dxa"/>
            <w:vAlign w:val="bottom"/>
            <w:shd w:val="clear" w:color="auto" w:fill="D7F5C4"/>
          </w:tcPr>
          <w:p>
            <w:pPr>
              <w:jc w:val="right"/>
              <w:spacing w:after="0" w:line="144" w:lineRule="exact"/>
              <w:rPr>
                <w:sz w:val="20"/>
                <w:szCs w:val="20"/>
                <w:color w:val="auto"/>
              </w:rPr>
            </w:pPr>
            <w:r>
              <w:rPr>
                <w:rFonts w:ascii="Arial" w:cs="Arial" w:eastAsia="Arial" w:hAnsi="Arial"/>
                <w:sz w:val="13"/>
                <w:szCs w:val="13"/>
                <w:color w:val="auto"/>
                <w:w w:val="89"/>
              </w:rPr>
              <w:t>2019</w:t>
            </w:r>
          </w:p>
        </w:tc>
        <w:tc>
          <w:tcPr>
            <w:tcW w:w="960" w:type="dxa"/>
            <w:vAlign w:val="bottom"/>
            <w:shd w:val="clear" w:color="auto" w:fill="D7F5C4"/>
          </w:tcPr>
          <w:p>
            <w:pPr>
              <w:ind w:left="260"/>
              <w:spacing w:after="0" w:line="144" w:lineRule="exact"/>
              <w:rPr>
                <w:sz w:val="20"/>
                <w:szCs w:val="20"/>
                <w:color w:val="auto"/>
              </w:rPr>
            </w:pPr>
            <w:r>
              <w:rPr>
                <w:rFonts w:ascii="Arial" w:cs="Arial" w:eastAsia="Arial" w:hAnsi="Arial"/>
                <w:sz w:val="10"/>
                <w:szCs w:val="10"/>
                <w:color w:val="auto"/>
              </w:rPr>
              <w:t>411,878</w:t>
            </w:r>
            <w:r>
              <w:rPr>
                <w:rFonts w:ascii="Arial" w:cs="Arial" w:eastAsia="Arial" w:hAnsi="Arial"/>
                <w:sz w:val="16"/>
                <w:szCs w:val="16"/>
                <w:color w:val="auto"/>
                <w:vertAlign w:val="superscript"/>
              </w:rPr>
              <w:t>(4)</w:t>
            </w:r>
          </w:p>
        </w:tc>
        <w:tc>
          <w:tcPr>
            <w:tcW w:w="640" w:type="dxa"/>
            <w:vAlign w:val="bottom"/>
            <w:shd w:val="clear" w:color="auto" w:fill="D7F5C4"/>
          </w:tcPr>
          <w:p>
            <w:pPr>
              <w:ind w:left="380"/>
              <w:spacing w:after="0" w:line="144" w:lineRule="exact"/>
              <w:rPr>
                <w:sz w:val="20"/>
                <w:szCs w:val="20"/>
                <w:color w:val="auto"/>
              </w:rPr>
            </w:pPr>
            <w:r>
              <w:rPr>
                <w:rFonts w:ascii="Arial" w:cs="Arial" w:eastAsia="Arial" w:hAnsi="Arial"/>
                <w:sz w:val="13"/>
                <w:szCs w:val="13"/>
                <w:color w:val="auto"/>
              </w:rPr>
              <w:t>—</w:t>
            </w:r>
          </w:p>
        </w:tc>
        <w:tc>
          <w:tcPr>
            <w:tcW w:w="800" w:type="dxa"/>
            <w:vAlign w:val="bottom"/>
            <w:shd w:val="clear" w:color="auto" w:fill="D7F5C4"/>
          </w:tcPr>
          <w:p>
            <w:pPr>
              <w:jc w:val="right"/>
              <w:ind w:right="37"/>
              <w:spacing w:after="0" w:line="144" w:lineRule="exact"/>
              <w:rPr>
                <w:sz w:val="20"/>
                <w:szCs w:val="20"/>
                <w:color w:val="auto"/>
              </w:rPr>
            </w:pPr>
            <w:r>
              <w:rPr>
                <w:rFonts w:ascii="Arial" w:cs="Arial" w:eastAsia="Arial" w:hAnsi="Arial"/>
                <w:sz w:val="13"/>
                <w:szCs w:val="13"/>
                <w:color w:val="auto"/>
              </w:rPr>
              <w:t>418,070</w:t>
            </w:r>
          </w:p>
        </w:tc>
        <w:tc>
          <w:tcPr>
            <w:tcW w:w="680" w:type="dxa"/>
            <w:vAlign w:val="bottom"/>
            <w:shd w:val="clear" w:color="auto" w:fill="D7F5C4"/>
          </w:tcPr>
          <w:p>
            <w:pPr>
              <w:ind w:left="440"/>
              <w:spacing w:after="0" w:line="144" w:lineRule="exact"/>
              <w:rPr>
                <w:sz w:val="20"/>
                <w:szCs w:val="20"/>
                <w:color w:val="auto"/>
              </w:rPr>
            </w:pPr>
            <w:r>
              <w:rPr>
                <w:rFonts w:ascii="Arial" w:cs="Arial" w:eastAsia="Arial" w:hAnsi="Arial"/>
                <w:sz w:val="13"/>
                <w:szCs w:val="13"/>
                <w:color w:val="auto"/>
              </w:rPr>
              <w:t>—</w:t>
            </w:r>
          </w:p>
        </w:tc>
        <w:tc>
          <w:tcPr>
            <w:tcW w:w="1120" w:type="dxa"/>
            <w:vAlign w:val="bottom"/>
            <w:shd w:val="clear" w:color="auto" w:fill="D7F5C4"/>
          </w:tcPr>
          <w:p>
            <w:pPr>
              <w:jc w:val="right"/>
              <w:ind w:right="57"/>
              <w:spacing w:after="0" w:line="144" w:lineRule="exact"/>
              <w:rPr>
                <w:sz w:val="20"/>
                <w:szCs w:val="20"/>
                <w:color w:val="auto"/>
              </w:rPr>
            </w:pPr>
            <w:r>
              <w:rPr>
                <w:rFonts w:ascii="Arial" w:cs="Arial" w:eastAsia="Arial" w:hAnsi="Arial"/>
                <w:sz w:val="13"/>
                <w:szCs w:val="13"/>
                <w:color w:val="auto"/>
              </w:rPr>
              <w:t>145,070</w:t>
            </w:r>
          </w:p>
        </w:tc>
        <w:tc>
          <w:tcPr>
            <w:tcW w:w="1120" w:type="dxa"/>
            <w:vAlign w:val="bottom"/>
            <w:shd w:val="clear" w:color="auto" w:fill="D7F5C4"/>
          </w:tcPr>
          <w:p>
            <w:pPr>
              <w:ind w:left="880"/>
              <w:spacing w:after="0" w:line="144" w:lineRule="exact"/>
              <w:rPr>
                <w:sz w:val="20"/>
                <w:szCs w:val="20"/>
                <w:color w:val="auto"/>
              </w:rPr>
            </w:pPr>
            <w:r>
              <w:rPr>
                <w:rFonts w:ascii="Arial" w:cs="Arial" w:eastAsia="Arial" w:hAnsi="Arial"/>
                <w:sz w:val="13"/>
                <w:szCs w:val="13"/>
                <w:color w:val="auto"/>
              </w:rPr>
              <w:t>—</w:t>
            </w:r>
          </w:p>
        </w:tc>
        <w:tc>
          <w:tcPr>
            <w:tcW w:w="1160" w:type="dxa"/>
            <w:vAlign w:val="bottom"/>
            <w:shd w:val="clear" w:color="auto" w:fill="D7F5C4"/>
          </w:tcPr>
          <w:p>
            <w:pPr>
              <w:jc w:val="right"/>
              <w:ind w:right="97"/>
              <w:spacing w:after="0" w:line="144" w:lineRule="exact"/>
              <w:rPr>
                <w:sz w:val="20"/>
                <w:szCs w:val="20"/>
                <w:color w:val="auto"/>
              </w:rPr>
            </w:pPr>
            <w:r>
              <w:rPr>
                <w:rFonts w:ascii="Arial" w:cs="Arial" w:eastAsia="Arial" w:hAnsi="Arial"/>
                <w:sz w:val="13"/>
                <w:szCs w:val="13"/>
                <w:color w:val="auto"/>
              </w:rPr>
              <w:t>22,420</w:t>
            </w:r>
          </w:p>
        </w:tc>
        <w:tc>
          <w:tcPr>
            <w:tcW w:w="800" w:type="dxa"/>
            <w:vAlign w:val="bottom"/>
            <w:shd w:val="clear" w:color="auto" w:fill="D7F5C4"/>
          </w:tcPr>
          <w:p>
            <w:pPr>
              <w:jc w:val="right"/>
              <w:ind w:right="37"/>
              <w:spacing w:after="0" w:line="144" w:lineRule="exact"/>
              <w:rPr>
                <w:sz w:val="20"/>
                <w:szCs w:val="20"/>
                <w:color w:val="auto"/>
              </w:rPr>
            </w:pPr>
            <w:r>
              <w:rPr>
                <w:rFonts w:ascii="Arial" w:cs="Arial" w:eastAsia="Arial" w:hAnsi="Arial"/>
                <w:sz w:val="13"/>
                <w:szCs w:val="13"/>
                <w:color w:val="auto"/>
              </w:rPr>
              <w:t>997,438</w:t>
            </w:r>
          </w:p>
        </w:tc>
        <w:tc>
          <w:tcPr>
            <w:tcW w:w="0" w:type="dxa"/>
            <w:vAlign w:val="bottom"/>
          </w:tcPr>
          <w:p>
            <w:pPr>
              <w:spacing w:after="0"/>
              <w:rPr>
                <w:sz w:val="1"/>
                <w:szCs w:val="1"/>
                <w:color w:val="auto"/>
              </w:rPr>
            </w:pPr>
          </w:p>
        </w:tc>
      </w:tr>
      <w:tr>
        <w:trPr>
          <w:trHeight w:val="141"/>
        </w:trPr>
        <w:tc>
          <w:tcPr>
            <w:tcW w:w="1820" w:type="dxa"/>
            <w:vAlign w:val="bottom"/>
            <w:shd w:val="clear" w:color="auto" w:fill="D7F5C4"/>
          </w:tcPr>
          <w:p>
            <w:pPr>
              <w:spacing w:after="0" w:line="141" w:lineRule="exact"/>
              <w:rPr>
                <w:sz w:val="20"/>
                <w:szCs w:val="20"/>
                <w:color w:val="auto"/>
              </w:rPr>
            </w:pPr>
            <w:r>
              <w:rPr>
                <w:rFonts w:ascii="Arial" w:cs="Arial" w:eastAsia="Arial" w:hAnsi="Arial"/>
                <w:sz w:val="13"/>
                <w:szCs w:val="13"/>
                <w:color w:val="auto"/>
              </w:rPr>
              <w:t>President—Matrix North</w:t>
            </w:r>
          </w:p>
        </w:tc>
        <w:tc>
          <w:tcPr>
            <w:tcW w:w="180" w:type="dxa"/>
            <w:vAlign w:val="bottom"/>
            <w:shd w:val="clear" w:color="auto" w:fill="D7F5C4"/>
          </w:tcPr>
          <w:p>
            <w:pPr>
              <w:spacing w:after="0"/>
              <w:rPr>
                <w:sz w:val="12"/>
                <w:szCs w:val="12"/>
                <w:color w:val="auto"/>
              </w:rPr>
            </w:pPr>
          </w:p>
        </w:tc>
        <w:tc>
          <w:tcPr>
            <w:tcW w:w="280" w:type="dxa"/>
            <w:vAlign w:val="bottom"/>
            <w:shd w:val="clear" w:color="auto" w:fill="D7F5C4"/>
          </w:tcPr>
          <w:p>
            <w:pPr>
              <w:jc w:val="right"/>
              <w:spacing w:after="0" w:line="141" w:lineRule="exact"/>
              <w:rPr>
                <w:sz w:val="20"/>
                <w:szCs w:val="20"/>
                <w:color w:val="auto"/>
              </w:rPr>
            </w:pPr>
            <w:r>
              <w:rPr>
                <w:rFonts w:ascii="Arial" w:cs="Arial" w:eastAsia="Arial" w:hAnsi="Arial"/>
                <w:sz w:val="13"/>
                <w:szCs w:val="13"/>
                <w:color w:val="auto"/>
                <w:w w:val="89"/>
              </w:rPr>
              <w:t>2018</w:t>
            </w:r>
          </w:p>
        </w:tc>
        <w:tc>
          <w:tcPr>
            <w:tcW w:w="960" w:type="dxa"/>
            <w:vAlign w:val="bottom"/>
            <w:shd w:val="clear" w:color="auto" w:fill="D7F5C4"/>
          </w:tcPr>
          <w:p>
            <w:pPr>
              <w:ind w:left="260"/>
              <w:spacing w:after="0" w:line="141" w:lineRule="exact"/>
              <w:rPr>
                <w:sz w:val="20"/>
                <w:szCs w:val="20"/>
                <w:color w:val="auto"/>
              </w:rPr>
            </w:pPr>
            <w:r>
              <w:rPr>
                <w:rFonts w:ascii="Arial" w:cs="Arial" w:eastAsia="Arial" w:hAnsi="Arial"/>
                <w:sz w:val="13"/>
                <w:szCs w:val="13"/>
                <w:color w:val="auto"/>
              </w:rPr>
              <w:t>395,890</w:t>
            </w:r>
          </w:p>
        </w:tc>
        <w:tc>
          <w:tcPr>
            <w:tcW w:w="640" w:type="dxa"/>
            <w:vAlign w:val="bottom"/>
            <w:shd w:val="clear" w:color="auto" w:fill="D7F5C4"/>
          </w:tcPr>
          <w:p>
            <w:pPr>
              <w:ind w:left="380"/>
              <w:spacing w:after="0" w:line="141" w:lineRule="exact"/>
              <w:rPr>
                <w:sz w:val="20"/>
                <w:szCs w:val="20"/>
                <w:color w:val="auto"/>
              </w:rPr>
            </w:pPr>
            <w:r>
              <w:rPr>
                <w:rFonts w:ascii="Arial" w:cs="Arial" w:eastAsia="Arial" w:hAnsi="Arial"/>
                <w:sz w:val="13"/>
                <w:szCs w:val="13"/>
                <w:color w:val="auto"/>
              </w:rPr>
              <w:t>—</w:t>
            </w:r>
          </w:p>
        </w:tc>
        <w:tc>
          <w:tcPr>
            <w:tcW w:w="800" w:type="dxa"/>
            <w:vAlign w:val="bottom"/>
            <w:shd w:val="clear" w:color="auto" w:fill="D7F5C4"/>
          </w:tcPr>
          <w:p>
            <w:pPr>
              <w:jc w:val="right"/>
              <w:ind w:right="37"/>
              <w:spacing w:after="0" w:line="141" w:lineRule="exact"/>
              <w:rPr>
                <w:sz w:val="20"/>
                <w:szCs w:val="20"/>
                <w:color w:val="auto"/>
              </w:rPr>
            </w:pPr>
            <w:r>
              <w:rPr>
                <w:rFonts w:ascii="Arial" w:cs="Arial" w:eastAsia="Arial" w:hAnsi="Arial"/>
                <w:sz w:val="13"/>
                <w:szCs w:val="13"/>
                <w:color w:val="auto"/>
              </w:rPr>
              <w:t>336,876</w:t>
            </w:r>
          </w:p>
        </w:tc>
        <w:tc>
          <w:tcPr>
            <w:tcW w:w="680" w:type="dxa"/>
            <w:vAlign w:val="bottom"/>
            <w:shd w:val="clear" w:color="auto" w:fill="D7F5C4"/>
          </w:tcPr>
          <w:p>
            <w:pPr>
              <w:ind w:left="440"/>
              <w:spacing w:after="0" w:line="141" w:lineRule="exact"/>
              <w:rPr>
                <w:sz w:val="20"/>
                <w:szCs w:val="20"/>
                <w:color w:val="auto"/>
              </w:rPr>
            </w:pPr>
            <w:r>
              <w:rPr>
                <w:rFonts w:ascii="Arial" w:cs="Arial" w:eastAsia="Arial" w:hAnsi="Arial"/>
                <w:sz w:val="13"/>
                <w:szCs w:val="13"/>
                <w:color w:val="auto"/>
              </w:rPr>
              <w:t>—</w:t>
            </w:r>
          </w:p>
        </w:tc>
        <w:tc>
          <w:tcPr>
            <w:tcW w:w="1120" w:type="dxa"/>
            <w:vAlign w:val="bottom"/>
            <w:shd w:val="clear" w:color="auto" w:fill="D7F5C4"/>
          </w:tcPr>
          <w:p>
            <w:pPr>
              <w:jc w:val="right"/>
              <w:ind w:right="57"/>
              <w:spacing w:after="0" w:line="141" w:lineRule="exact"/>
              <w:rPr>
                <w:sz w:val="20"/>
                <w:szCs w:val="20"/>
                <w:color w:val="auto"/>
              </w:rPr>
            </w:pPr>
            <w:r>
              <w:rPr>
                <w:rFonts w:ascii="Arial" w:cs="Arial" w:eastAsia="Arial" w:hAnsi="Arial"/>
                <w:sz w:val="13"/>
                <w:szCs w:val="13"/>
                <w:color w:val="auto"/>
              </w:rPr>
              <w:t>—</w:t>
            </w:r>
          </w:p>
        </w:tc>
        <w:tc>
          <w:tcPr>
            <w:tcW w:w="1120" w:type="dxa"/>
            <w:vAlign w:val="bottom"/>
            <w:shd w:val="clear" w:color="auto" w:fill="D7F5C4"/>
          </w:tcPr>
          <w:p>
            <w:pPr>
              <w:ind w:left="880"/>
              <w:spacing w:after="0" w:line="141" w:lineRule="exact"/>
              <w:rPr>
                <w:sz w:val="20"/>
                <w:szCs w:val="20"/>
                <w:color w:val="auto"/>
              </w:rPr>
            </w:pPr>
            <w:r>
              <w:rPr>
                <w:rFonts w:ascii="Arial" w:cs="Arial" w:eastAsia="Arial" w:hAnsi="Arial"/>
                <w:sz w:val="13"/>
                <w:szCs w:val="13"/>
                <w:color w:val="auto"/>
              </w:rPr>
              <w:t>—</w:t>
            </w:r>
          </w:p>
        </w:tc>
        <w:tc>
          <w:tcPr>
            <w:tcW w:w="1160" w:type="dxa"/>
            <w:vAlign w:val="bottom"/>
            <w:shd w:val="clear" w:color="auto" w:fill="D7F5C4"/>
          </w:tcPr>
          <w:p>
            <w:pPr>
              <w:jc w:val="right"/>
              <w:ind w:right="97"/>
              <w:spacing w:after="0" w:line="141" w:lineRule="exact"/>
              <w:rPr>
                <w:sz w:val="20"/>
                <w:szCs w:val="20"/>
                <w:color w:val="auto"/>
              </w:rPr>
            </w:pPr>
            <w:r>
              <w:rPr>
                <w:rFonts w:ascii="Arial" w:cs="Arial" w:eastAsia="Arial" w:hAnsi="Arial"/>
                <w:sz w:val="13"/>
                <w:szCs w:val="13"/>
                <w:color w:val="auto"/>
              </w:rPr>
              <w:t>21,286</w:t>
            </w:r>
          </w:p>
        </w:tc>
        <w:tc>
          <w:tcPr>
            <w:tcW w:w="800" w:type="dxa"/>
            <w:vAlign w:val="bottom"/>
            <w:shd w:val="clear" w:color="auto" w:fill="D7F5C4"/>
          </w:tcPr>
          <w:p>
            <w:pPr>
              <w:jc w:val="right"/>
              <w:ind w:right="37"/>
              <w:spacing w:after="0" w:line="141" w:lineRule="exact"/>
              <w:rPr>
                <w:sz w:val="20"/>
                <w:szCs w:val="20"/>
                <w:color w:val="auto"/>
              </w:rPr>
            </w:pPr>
            <w:r>
              <w:rPr>
                <w:rFonts w:ascii="Arial" w:cs="Arial" w:eastAsia="Arial" w:hAnsi="Arial"/>
                <w:sz w:val="13"/>
                <w:szCs w:val="13"/>
                <w:color w:val="auto"/>
              </w:rPr>
              <w:t>754,052</w:t>
            </w:r>
          </w:p>
        </w:tc>
        <w:tc>
          <w:tcPr>
            <w:tcW w:w="0" w:type="dxa"/>
            <w:vAlign w:val="bottom"/>
          </w:tcPr>
          <w:p>
            <w:pPr>
              <w:spacing w:after="0"/>
              <w:rPr>
                <w:sz w:val="1"/>
                <w:szCs w:val="1"/>
                <w:color w:val="auto"/>
              </w:rPr>
            </w:pPr>
          </w:p>
        </w:tc>
      </w:tr>
      <w:tr>
        <w:trPr>
          <w:trHeight w:val="152"/>
        </w:trPr>
        <w:tc>
          <w:tcPr>
            <w:tcW w:w="1820" w:type="dxa"/>
            <w:vAlign w:val="bottom"/>
            <w:shd w:val="clear" w:color="auto" w:fill="D7F5C4"/>
          </w:tcPr>
          <w:p>
            <w:pPr>
              <w:spacing w:after="0"/>
              <w:rPr>
                <w:sz w:val="20"/>
                <w:szCs w:val="20"/>
                <w:color w:val="auto"/>
              </w:rPr>
            </w:pPr>
            <w:r>
              <w:rPr>
                <w:rFonts w:ascii="Arial" w:cs="Arial" w:eastAsia="Arial" w:hAnsi="Arial"/>
                <w:sz w:val="13"/>
                <w:szCs w:val="13"/>
                <w:color w:val="auto"/>
              </w:rPr>
              <w:t>American Construction</w:t>
            </w:r>
          </w:p>
        </w:tc>
        <w:tc>
          <w:tcPr>
            <w:tcW w:w="180" w:type="dxa"/>
            <w:vAlign w:val="bottom"/>
            <w:shd w:val="clear" w:color="auto" w:fill="D7F5C4"/>
          </w:tcPr>
          <w:p>
            <w:pPr>
              <w:spacing w:after="0"/>
              <w:rPr>
                <w:sz w:val="13"/>
                <w:szCs w:val="13"/>
                <w:color w:val="auto"/>
              </w:rPr>
            </w:pPr>
          </w:p>
        </w:tc>
        <w:tc>
          <w:tcPr>
            <w:tcW w:w="280" w:type="dxa"/>
            <w:vAlign w:val="bottom"/>
            <w:vMerge w:val="restart"/>
            <w:shd w:val="clear" w:color="auto" w:fill="D7F5C4"/>
          </w:tcPr>
          <w:p>
            <w:pPr>
              <w:jc w:val="right"/>
              <w:spacing w:after="0"/>
              <w:rPr>
                <w:sz w:val="20"/>
                <w:szCs w:val="20"/>
                <w:color w:val="auto"/>
              </w:rPr>
            </w:pPr>
            <w:r>
              <w:rPr>
                <w:rFonts w:ascii="Arial" w:cs="Arial" w:eastAsia="Arial" w:hAnsi="Arial"/>
                <w:sz w:val="13"/>
                <w:szCs w:val="13"/>
                <w:color w:val="auto"/>
                <w:w w:val="89"/>
              </w:rPr>
              <w:t>2017</w:t>
            </w:r>
          </w:p>
        </w:tc>
        <w:tc>
          <w:tcPr>
            <w:tcW w:w="960" w:type="dxa"/>
            <w:vAlign w:val="bottom"/>
            <w:vMerge w:val="restart"/>
            <w:shd w:val="clear" w:color="auto" w:fill="D7F5C4"/>
          </w:tcPr>
          <w:p>
            <w:pPr>
              <w:ind w:left="260"/>
              <w:spacing w:after="0"/>
              <w:rPr>
                <w:sz w:val="20"/>
                <w:szCs w:val="20"/>
                <w:color w:val="auto"/>
              </w:rPr>
            </w:pPr>
            <w:r>
              <w:rPr>
                <w:rFonts w:ascii="Arial" w:cs="Arial" w:eastAsia="Arial" w:hAnsi="Arial"/>
                <w:sz w:val="13"/>
                <w:szCs w:val="13"/>
                <w:color w:val="auto"/>
              </w:rPr>
              <w:t>384,935</w:t>
            </w:r>
          </w:p>
        </w:tc>
        <w:tc>
          <w:tcPr>
            <w:tcW w:w="640" w:type="dxa"/>
            <w:vAlign w:val="bottom"/>
            <w:vMerge w:val="restart"/>
            <w:shd w:val="clear" w:color="auto" w:fill="D7F5C4"/>
          </w:tcPr>
          <w:p>
            <w:pPr>
              <w:ind w:left="380"/>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D7F5C4"/>
          </w:tcPr>
          <w:p>
            <w:pPr>
              <w:jc w:val="right"/>
              <w:ind w:right="37"/>
              <w:spacing w:after="0"/>
              <w:rPr>
                <w:sz w:val="20"/>
                <w:szCs w:val="20"/>
                <w:color w:val="auto"/>
              </w:rPr>
            </w:pPr>
            <w:r>
              <w:rPr>
                <w:rFonts w:ascii="Arial" w:cs="Arial" w:eastAsia="Arial" w:hAnsi="Arial"/>
                <w:sz w:val="13"/>
                <w:szCs w:val="13"/>
                <w:color w:val="auto"/>
              </w:rPr>
              <w:t>308,584</w:t>
            </w:r>
          </w:p>
        </w:tc>
        <w:tc>
          <w:tcPr>
            <w:tcW w:w="680" w:type="dxa"/>
            <w:vAlign w:val="bottom"/>
            <w:vMerge w:val="restart"/>
            <w:shd w:val="clear" w:color="auto" w:fill="D7F5C4"/>
          </w:tcPr>
          <w:p>
            <w:pPr>
              <w:ind w:left="440"/>
              <w:spacing w:after="0"/>
              <w:rPr>
                <w:sz w:val="20"/>
                <w:szCs w:val="20"/>
                <w:color w:val="auto"/>
              </w:rPr>
            </w:pPr>
            <w:r>
              <w:rPr>
                <w:rFonts w:ascii="Arial" w:cs="Arial" w:eastAsia="Arial" w:hAnsi="Arial"/>
                <w:sz w:val="13"/>
                <w:szCs w:val="13"/>
                <w:color w:val="auto"/>
              </w:rPr>
              <w:t>—</w:t>
            </w:r>
          </w:p>
        </w:tc>
        <w:tc>
          <w:tcPr>
            <w:tcW w:w="1120" w:type="dxa"/>
            <w:vAlign w:val="bottom"/>
            <w:vMerge w:val="restart"/>
            <w:shd w:val="clear" w:color="auto" w:fill="D7F5C4"/>
          </w:tcPr>
          <w:p>
            <w:pPr>
              <w:jc w:val="right"/>
              <w:ind w:right="57"/>
              <w:spacing w:after="0"/>
              <w:rPr>
                <w:sz w:val="20"/>
                <w:szCs w:val="20"/>
                <w:color w:val="auto"/>
              </w:rPr>
            </w:pPr>
            <w:r>
              <w:rPr>
                <w:rFonts w:ascii="Arial" w:cs="Arial" w:eastAsia="Arial" w:hAnsi="Arial"/>
                <w:sz w:val="13"/>
                <w:szCs w:val="13"/>
                <w:color w:val="auto"/>
              </w:rPr>
              <w:t>—</w:t>
            </w:r>
          </w:p>
        </w:tc>
        <w:tc>
          <w:tcPr>
            <w:tcW w:w="1120" w:type="dxa"/>
            <w:vAlign w:val="bottom"/>
            <w:vMerge w:val="restart"/>
            <w:shd w:val="clear" w:color="auto" w:fill="D7F5C4"/>
          </w:tcPr>
          <w:p>
            <w:pPr>
              <w:ind w:left="880"/>
              <w:spacing w:after="0"/>
              <w:rPr>
                <w:sz w:val="20"/>
                <w:szCs w:val="20"/>
                <w:color w:val="auto"/>
              </w:rPr>
            </w:pPr>
            <w:r>
              <w:rPr>
                <w:rFonts w:ascii="Arial" w:cs="Arial" w:eastAsia="Arial" w:hAnsi="Arial"/>
                <w:sz w:val="13"/>
                <w:szCs w:val="13"/>
                <w:color w:val="auto"/>
              </w:rPr>
              <w:t>—</w:t>
            </w:r>
          </w:p>
        </w:tc>
        <w:tc>
          <w:tcPr>
            <w:tcW w:w="1160" w:type="dxa"/>
            <w:vAlign w:val="bottom"/>
            <w:vMerge w:val="restart"/>
            <w:shd w:val="clear" w:color="auto" w:fill="D7F5C4"/>
          </w:tcPr>
          <w:p>
            <w:pPr>
              <w:jc w:val="right"/>
              <w:ind w:right="97"/>
              <w:spacing w:after="0"/>
              <w:rPr>
                <w:sz w:val="20"/>
                <w:szCs w:val="20"/>
                <w:color w:val="auto"/>
              </w:rPr>
            </w:pPr>
            <w:r>
              <w:rPr>
                <w:rFonts w:ascii="Arial" w:cs="Arial" w:eastAsia="Arial" w:hAnsi="Arial"/>
                <w:sz w:val="13"/>
                <w:szCs w:val="13"/>
                <w:color w:val="auto"/>
              </w:rPr>
              <w:t>23,249</w:t>
            </w:r>
          </w:p>
        </w:tc>
        <w:tc>
          <w:tcPr>
            <w:tcW w:w="800" w:type="dxa"/>
            <w:vAlign w:val="bottom"/>
            <w:vMerge w:val="restart"/>
            <w:shd w:val="clear" w:color="auto" w:fill="D7F5C4"/>
          </w:tcPr>
          <w:p>
            <w:pPr>
              <w:jc w:val="right"/>
              <w:ind w:right="37"/>
              <w:spacing w:after="0"/>
              <w:rPr>
                <w:sz w:val="20"/>
                <w:szCs w:val="20"/>
                <w:color w:val="auto"/>
              </w:rPr>
            </w:pPr>
            <w:r>
              <w:rPr>
                <w:rFonts w:ascii="Arial" w:cs="Arial" w:eastAsia="Arial" w:hAnsi="Arial"/>
                <w:sz w:val="13"/>
                <w:szCs w:val="13"/>
                <w:color w:val="auto"/>
              </w:rPr>
              <w:t>716,768</w:t>
            </w:r>
          </w:p>
        </w:tc>
        <w:tc>
          <w:tcPr>
            <w:tcW w:w="0" w:type="dxa"/>
            <w:vAlign w:val="bottom"/>
          </w:tcPr>
          <w:p>
            <w:pPr>
              <w:spacing w:after="0"/>
              <w:rPr>
                <w:sz w:val="1"/>
                <w:szCs w:val="1"/>
                <w:color w:val="auto"/>
              </w:rPr>
            </w:pPr>
          </w:p>
        </w:tc>
      </w:tr>
      <w:tr>
        <w:trPr>
          <w:trHeight w:val="51"/>
        </w:trPr>
        <w:tc>
          <w:tcPr>
            <w:tcW w:w="1820" w:type="dxa"/>
            <w:vAlign w:val="bottom"/>
            <w:shd w:val="clear" w:color="auto" w:fill="D7F5C4"/>
          </w:tcPr>
          <w:p>
            <w:pPr>
              <w:spacing w:after="0"/>
              <w:rPr>
                <w:sz w:val="4"/>
                <w:szCs w:val="4"/>
                <w:color w:val="auto"/>
              </w:rPr>
            </w:pPr>
          </w:p>
        </w:tc>
        <w:tc>
          <w:tcPr>
            <w:tcW w:w="180" w:type="dxa"/>
            <w:vAlign w:val="bottom"/>
            <w:shd w:val="clear" w:color="auto" w:fill="D7F5C4"/>
          </w:tcPr>
          <w:p>
            <w:pPr>
              <w:spacing w:after="0"/>
              <w:rPr>
                <w:sz w:val="4"/>
                <w:szCs w:val="4"/>
                <w:color w:val="auto"/>
              </w:rPr>
            </w:pPr>
          </w:p>
        </w:tc>
        <w:tc>
          <w:tcPr>
            <w:tcW w:w="280" w:type="dxa"/>
            <w:vAlign w:val="bottom"/>
            <w:vMerge w:val="continue"/>
            <w:shd w:val="clear" w:color="auto" w:fill="D7F5C4"/>
          </w:tcPr>
          <w:p>
            <w:pPr>
              <w:spacing w:after="0"/>
              <w:rPr>
                <w:sz w:val="4"/>
                <w:szCs w:val="4"/>
                <w:color w:val="auto"/>
              </w:rPr>
            </w:pPr>
          </w:p>
        </w:tc>
        <w:tc>
          <w:tcPr>
            <w:tcW w:w="960" w:type="dxa"/>
            <w:vAlign w:val="bottom"/>
            <w:vMerge w:val="continue"/>
            <w:shd w:val="clear" w:color="auto" w:fill="D7F5C4"/>
          </w:tcPr>
          <w:p>
            <w:pPr>
              <w:spacing w:after="0"/>
              <w:rPr>
                <w:sz w:val="4"/>
                <w:szCs w:val="4"/>
                <w:color w:val="auto"/>
              </w:rPr>
            </w:pPr>
          </w:p>
        </w:tc>
        <w:tc>
          <w:tcPr>
            <w:tcW w:w="640" w:type="dxa"/>
            <w:vAlign w:val="bottom"/>
            <w:vMerge w:val="continue"/>
            <w:shd w:val="clear" w:color="auto" w:fill="D7F5C4"/>
          </w:tcPr>
          <w:p>
            <w:pPr>
              <w:spacing w:after="0"/>
              <w:rPr>
                <w:sz w:val="4"/>
                <w:szCs w:val="4"/>
                <w:color w:val="auto"/>
              </w:rPr>
            </w:pPr>
          </w:p>
        </w:tc>
        <w:tc>
          <w:tcPr>
            <w:tcW w:w="800" w:type="dxa"/>
            <w:vAlign w:val="bottom"/>
            <w:vMerge w:val="continue"/>
            <w:shd w:val="clear" w:color="auto" w:fill="D7F5C4"/>
          </w:tcPr>
          <w:p>
            <w:pPr>
              <w:spacing w:after="0"/>
              <w:rPr>
                <w:sz w:val="4"/>
                <w:szCs w:val="4"/>
                <w:color w:val="auto"/>
              </w:rPr>
            </w:pPr>
          </w:p>
        </w:tc>
        <w:tc>
          <w:tcPr>
            <w:tcW w:w="680" w:type="dxa"/>
            <w:vAlign w:val="bottom"/>
            <w:vMerge w:val="continue"/>
            <w:shd w:val="clear" w:color="auto" w:fill="D7F5C4"/>
          </w:tcPr>
          <w:p>
            <w:pPr>
              <w:spacing w:after="0"/>
              <w:rPr>
                <w:sz w:val="4"/>
                <w:szCs w:val="4"/>
                <w:color w:val="auto"/>
              </w:rPr>
            </w:pPr>
          </w:p>
        </w:tc>
        <w:tc>
          <w:tcPr>
            <w:tcW w:w="1120" w:type="dxa"/>
            <w:vAlign w:val="bottom"/>
            <w:vMerge w:val="continue"/>
            <w:shd w:val="clear" w:color="auto" w:fill="D7F5C4"/>
          </w:tcPr>
          <w:p>
            <w:pPr>
              <w:spacing w:after="0"/>
              <w:rPr>
                <w:sz w:val="4"/>
                <w:szCs w:val="4"/>
                <w:color w:val="auto"/>
              </w:rPr>
            </w:pPr>
          </w:p>
        </w:tc>
        <w:tc>
          <w:tcPr>
            <w:tcW w:w="1120" w:type="dxa"/>
            <w:vAlign w:val="bottom"/>
            <w:vMerge w:val="continue"/>
            <w:shd w:val="clear" w:color="auto" w:fill="D7F5C4"/>
          </w:tcPr>
          <w:p>
            <w:pPr>
              <w:spacing w:after="0"/>
              <w:rPr>
                <w:sz w:val="4"/>
                <w:szCs w:val="4"/>
                <w:color w:val="auto"/>
              </w:rPr>
            </w:pPr>
          </w:p>
        </w:tc>
        <w:tc>
          <w:tcPr>
            <w:tcW w:w="1160" w:type="dxa"/>
            <w:vAlign w:val="bottom"/>
            <w:vMerge w:val="continue"/>
            <w:shd w:val="clear" w:color="auto" w:fill="D7F5C4"/>
          </w:tcPr>
          <w:p>
            <w:pPr>
              <w:spacing w:after="0"/>
              <w:rPr>
                <w:sz w:val="4"/>
                <w:szCs w:val="4"/>
                <w:color w:val="auto"/>
              </w:rPr>
            </w:pPr>
          </w:p>
        </w:tc>
        <w:tc>
          <w:tcPr>
            <w:tcW w:w="800" w:type="dxa"/>
            <w:vAlign w:val="bottom"/>
            <w:vMerge w:val="continue"/>
            <w:shd w:val="clear" w:color="auto" w:fill="D7F5C4"/>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-1200150</wp:posOffset>
            </wp:positionV>
            <wp:extent cx="4913630" cy="2057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13630" cy="205740"/>
                    </a:xfrm>
                    <a:prstGeom prst="rect">
                      <a:avLst/>
                    </a:prstGeom>
                    <a:noFill/>
                  </pic:spPr>
                </pic:pic>
              </a:graphicData>
            </a:graphic>
          </wp:anchor>
        </w:drawing>
      </w:r>
    </w:p>
    <w:p>
      <w:pPr>
        <w:spacing w:after="0" w:line="93" w:lineRule="exact"/>
        <w:rPr>
          <w:sz w:val="20"/>
          <w:szCs w:val="20"/>
          <w:color w:val="auto"/>
        </w:rPr>
      </w:pPr>
    </w:p>
    <w:p>
      <w:pPr>
        <w:ind w:left="347" w:right="140" w:hanging="347"/>
        <w:spacing w:after="0" w:line="244" w:lineRule="auto"/>
        <w:tabs>
          <w:tab w:leader="none" w:pos="347"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amounts shown represent the grant date fair value for awards of RSUs and performance units granted during the period determined in accordance with FASB Accounting Standards Codification ASC Topic 718 – Compensation – Stock Compensation (“ASC718”). A portion of the awards that were granted in fiscal years 2017, 2018, and 2019 are subject to certain market conditions; accordingly, the grant date fair value of these awards is based upon the probable outcome of those conditions. Amounts for fiscal 2019 include the safety portion of the fiscal 2018 short-term incentive plan award that was achieved but paid in the form of service-based RSU grants that vest after one year. The fair value of these grants totaled $131,350, $65,167, $57,024, $40,759 and $41,753 for Messrs. Hewitt, Montalbano, Cavanah, Updyke and Turner, respectively. For further information on the assumptions used in the valuation of these awards see Note 1 and Note 10 included in the Notes to Consolidated Financial Statements included in our fiscal 2019 Annual Report on Form 10-K.</w:t>
      </w:r>
    </w:p>
    <w:p>
      <w:pPr>
        <w:spacing w:after="0" w:line="95" w:lineRule="exact"/>
        <w:rPr>
          <w:rFonts w:ascii="Arial" w:cs="Arial" w:eastAsia="Arial" w:hAnsi="Arial"/>
          <w:sz w:val="14"/>
          <w:szCs w:val="14"/>
          <w:color w:val="auto"/>
        </w:rPr>
      </w:pPr>
    </w:p>
    <w:p>
      <w:pPr>
        <w:ind w:left="347" w:right="100" w:hanging="347"/>
        <w:spacing w:after="0" w:line="247" w:lineRule="auto"/>
        <w:tabs>
          <w:tab w:leader="none" w:pos="347"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Represents amounts payable to the Named Executive Officer under the annual/short-term incentive compensation plan for the applicable fiscal year’s performance and for the cash-based portion of the long-term incentive award that was earned in the applicable fiscal year. In fiscal 2019, no amounts were earned under the cash-based portion of the long-term incentive plan. Therefore, the amounts shown for fiscal 2019 solely represent amounts earned under the annual/short-term incentive compensation plan.</w:t>
      </w:r>
    </w:p>
    <w:p>
      <w:pPr>
        <w:spacing w:after="0" w:line="93" w:lineRule="exact"/>
        <w:rPr>
          <w:rFonts w:ascii="Arial" w:cs="Arial" w:eastAsia="Arial" w:hAnsi="Arial"/>
          <w:sz w:val="14"/>
          <w:szCs w:val="14"/>
          <w:color w:val="auto"/>
        </w:rPr>
      </w:pPr>
    </w:p>
    <w:p>
      <w:pPr>
        <w:ind w:left="347" w:right="140" w:hanging="347"/>
        <w:spacing w:after="0" w:line="245" w:lineRule="auto"/>
        <w:tabs>
          <w:tab w:leader="none" w:pos="347"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Represents amounts paid by us on behalf of the Named Executive Officer for life insurance and disability premiums and matching contributions to the Named Executive Officer’s account in our qualified 401(k) plan. Life insurance and disability premiums in fiscal 2019 totaled $24,106, $23,828, $14,087, $15,296 and $11,024 for Messrs. Hewitt, Montalbano, Cavanah, Updyke and Turner, respectively. Matching contributions to our 401(k) plan in fiscal 2019 totaled $8,431, $11,496, $11,817, $11,491 and $11,396 for Messrs. Hewitt, Montalbano, Cavanah, Updyke and Turner, respectively.</w:t>
      </w:r>
    </w:p>
    <w:p>
      <w:pPr>
        <w:spacing w:after="0" w:line="96" w:lineRule="exact"/>
        <w:rPr>
          <w:rFonts w:ascii="Arial" w:cs="Arial" w:eastAsia="Arial" w:hAnsi="Arial"/>
          <w:sz w:val="14"/>
          <w:szCs w:val="14"/>
          <w:color w:val="auto"/>
        </w:rPr>
      </w:pPr>
    </w:p>
    <w:p>
      <w:pPr>
        <w:ind w:left="347" w:right="520" w:hanging="347"/>
        <w:spacing w:after="0" w:line="258" w:lineRule="auto"/>
        <w:tabs>
          <w:tab w:leader="none" w:pos="347"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base salaries of Messrs. Hewitt, Montalbano, Cavanah, Updyke and Turner for fiscal 2019 represent 10 months of their current base salaries of $800,000, $520,931, $475,000, $397,480 and $415,685, respectively, and two months of their prior base salaries.</w:t>
      </w:r>
    </w:p>
    <w:p>
      <w:pPr>
        <w:spacing w:after="0" w:line="189"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607187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42" w:name="page43"/>
    <w:bookmarkEnd w:id="42"/>
    <w:p>
      <w:pPr>
        <w:ind w:left="7"/>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63"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61DA16"/>
        </w:rPr>
        <w:t>Grants of Plan-Based Awards During Fiscal 2019</w:t>
      </w:r>
    </w:p>
    <w:p>
      <w:pPr>
        <w:spacing w:after="0" w:line="126" w:lineRule="exact"/>
        <w:rPr>
          <w:sz w:val="20"/>
          <w:szCs w:val="20"/>
          <w:color w:val="auto"/>
        </w:rPr>
      </w:pPr>
    </w:p>
    <w:p>
      <w:pPr>
        <w:ind w:left="7" w:right="580"/>
        <w:spacing w:after="0" w:line="262" w:lineRule="auto"/>
        <w:rPr>
          <w:sz w:val="20"/>
          <w:szCs w:val="20"/>
          <w:color w:val="auto"/>
        </w:rPr>
      </w:pPr>
      <w:r>
        <w:rPr>
          <w:rFonts w:ascii="Arial" w:cs="Arial" w:eastAsia="Arial" w:hAnsi="Arial"/>
          <w:sz w:val="18"/>
          <w:szCs w:val="18"/>
          <w:color w:val="auto"/>
        </w:rPr>
        <w:t>The following table sets forth information with respect to grants of plan-based awards in fiscal 2019 to the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22225</wp:posOffset>
            </wp:positionV>
            <wp:extent cx="34290" cy="4629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62915"/>
                    </a:xfrm>
                    <a:prstGeom prst="rect">
                      <a:avLst/>
                    </a:prstGeom>
                    <a:noFill/>
                  </pic:spPr>
                </pic:pic>
              </a:graphicData>
            </a:graphic>
          </wp:anchor>
        </w:drawing>
      </w:r>
    </w:p>
    <w:tbl>
      <w:tblPr>
        <w:tblLayout w:type="fixed"/>
        <w:tblInd w:w="7"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shd w:val="clear" w:color="auto" w:fill="D7F5C4"/>
          </w:tcPr>
          <w:p>
            <w:pPr>
              <w:spacing w:after="0"/>
              <w:rPr>
                <w:sz w:val="13"/>
                <w:szCs w:val="13"/>
                <w:color w:val="auto"/>
              </w:rPr>
            </w:pPr>
          </w:p>
        </w:tc>
        <w:tc>
          <w:tcPr>
            <w:tcW w:w="840" w:type="dxa"/>
            <w:vAlign w:val="bottom"/>
            <w:shd w:val="clear" w:color="auto" w:fill="D7F5C4"/>
          </w:tcPr>
          <w:p>
            <w:pPr>
              <w:spacing w:after="0"/>
              <w:rPr>
                <w:sz w:val="13"/>
                <w:szCs w:val="13"/>
                <w:color w:val="auto"/>
              </w:rPr>
            </w:pPr>
          </w:p>
        </w:tc>
        <w:tc>
          <w:tcPr>
            <w:tcW w:w="800" w:type="dxa"/>
            <w:vAlign w:val="bottom"/>
            <w:shd w:val="clear" w:color="auto" w:fill="D7F5C4"/>
          </w:tcPr>
          <w:p>
            <w:pPr>
              <w:spacing w:after="0"/>
              <w:rPr>
                <w:sz w:val="13"/>
                <w:szCs w:val="13"/>
                <w:color w:val="auto"/>
              </w:rPr>
            </w:pPr>
          </w:p>
        </w:tc>
        <w:tc>
          <w:tcPr>
            <w:tcW w:w="760" w:type="dxa"/>
            <w:vAlign w:val="bottom"/>
            <w:shd w:val="clear" w:color="auto" w:fill="D7F5C4"/>
          </w:tcPr>
          <w:p>
            <w:pPr>
              <w:spacing w:after="0"/>
              <w:rPr>
                <w:sz w:val="13"/>
                <w:szCs w:val="13"/>
                <w:color w:val="auto"/>
              </w:rPr>
            </w:pPr>
          </w:p>
        </w:tc>
        <w:tc>
          <w:tcPr>
            <w:tcW w:w="720" w:type="dxa"/>
            <w:vAlign w:val="bottom"/>
            <w:shd w:val="clear" w:color="auto" w:fill="D7F5C4"/>
          </w:tcPr>
          <w:p>
            <w:pPr>
              <w:spacing w:after="0"/>
              <w:rPr>
                <w:sz w:val="13"/>
                <w:szCs w:val="13"/>
                <w:color w:val="auto"/>
              </w:rPr>
            </w:pPr>
          </w:p>
        </w:tc>
        <w:tc>
          <w:tcPr>
            <w:tcW w:w="740" w:type="dxa"/>
            <w:vAlign w:val="bottom"/>
            <w:shd w:val="clear" w:color="auto" w:fill="D7F5C4"/>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6"/>
              </w:rPr>
              <w:t>All</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6"/>
              </w:rPr>
              <w:t>All</w:t>
            </w: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shd w:val="clear" w:color="auto" w:fill="D7F5C4"/>
          </w:tcPr>
          <w:p>
            <w:pPr>
              <w:spacing w:after="0"/>
              <w:rPr>
                <w:sz w:val="11"/>
                <w:szCs w:val="11"/>
                <w:color w:val="auto"/>
              </w:rPr>
            </w:pPr>
          </w:p>
        </w:tc>
        <w:tc>
          <w:tcPr>
            <w:tcW w:w="840" w:type="dxa"/>
            <w:vAlign w:val="bottom"/>
            <w:shd w:val="clear" w:color="auto" w:fill="D7F5C4"/>
          </w:tcPr>
          <w:p>
            <w:pPr>
              <w:spacing w:after="0"/>
              <w:rPr>
                <w:sz w:val="11"/>
                <w:szCs w:val="11"/>
                <w:color w:val="auto"/>
              </w:rPr>
            </w:pPr>
          </w:p>
        </w:tc>
        <w:tc>
          <w:tcPr>
            <w:tcW w:w="800" w:type="dxa"/>
            <w:vAlign w:val="bottom"/>
            <w:shd w:val="clear" w:color="auto" w:fill="D7F5C4"/>
          </w:tcPr>
          <w:p>
            <w:pPr>
              <w:spacing w:after="0"/>
              <w:rPr>
                <w:sz w:val="11"/>
                <w:szCs w:val="11"/>
                <w:color w:val="auto"/>
              </w:rPr>
            </w:pPr>
          </w:p>
        </w:tc>
        <w:tc>
          <w:tcPr>
            <w:tcW w:w="760" w:type="dxa"/>
            <w:vAlign w:val="bottom"/>
            <w:shd w:val="clear" w:color="auto" w:fill="D7F5C4"/>
          </w:tcPr>
          <w:p>
            <w:pPr>
              <w:spacing w:after="0"/>
              <w:rPr>
                <w:sz w:val="11"/>
                <w:szCs w:val="11"/>
                <w:color w:val="auto"/>
              </w:rPr>
            </w:pPr>
          </w:p>
        </w:tc>
        <w:tc>
          <w:tcPr>
            <w:tcW w:w="720" w:type="dxa"/>
            <w:vAlign w:val="bottom"/>
            <w:shd w:val="clear" w:color="auto" w:fill="D7F5C4"/>
          </w:tcPr>
          <w:p>
            <w:pPr>
              <w:spacing w:after="0"/>
              <w:rPr>
                <w:sz w:val="11"/>
                <w:szCs w:val="11"/>
                <w:color w:val="auto"/>
              </w:rPr>
            </w:pPr>
          </w:p>
        </w:tc>
        <w:tc>
          <w:tcPr>
            <w:tcW w:w="740" w:type="dxa"/>
            <w:vAlign w:val="bottom"/>
            <w:shd w:val="clear" w:color="auto" w:fill="D7F5C4"/>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Other</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Other</w:t>
            </w:r>
          </w:p>
        </w:tc>
        <w:tc>
          <w:tcPr>
            <w:tcW w:w="68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Grant</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380" w:type="dxa"/>
            <w:vAlign w:val="bottom"/>
            <w:gridSpan w:val="3"/>
            <w:shd w:val="clear" w:color="auto" w:fill="D7F5C4"/>
          </w:tcPr>
          <w:p>
            <w:pPr>
              <w:jc w:val="center"/>
              <w:spacing w:after="0"/>
              <w:rPr>
                <w:sz w:val="20"/>
                <w:szCs w:val="20"/>
                <w:color w:val="auto"/>
              </w:rPr>
            </w:pPr>
            <w:r>
              <w:rPr>
                <w:rFonts w:ascii="Arial" w:cs="Arial" w:eastAsia="Arial" w:hAnsi="Arial"/>
                <w:sz w:val="13"/>
                <w:szCs w:val="13"/>
                <w:b w:val="1"/>
                <w:bCs w:val="1"/>
                <w:color w:val="auto"/>
                <w:w w:val="97"/>
              </w:rPr>
              <w:t>Estimated Future Payouts</w:t>
            </w:r>
          </w:p>
        </w:tc>
        <w:tc>
          <w:tcPr>
            <w:tcW w:w="2220" w:type="dxa"/>
            <w:vAlign w:val="bottom"/>
            <w:gridSpan w:val="3"/>
            <w:shd w:val="clear" w:color="auto" w:fill="D7F5C4"/>
          </w:tcPr>
          <w:p>
            <w:pPr>
              <w:jc w:val="center"/>
              <w:spacing w:after="0"/>
              <w:rPr>
                <w:sz w:val="20"/>
                <w:szCs w:val="20"/>
                <w:color w:val="auto"/>
              </w:rPr>
            </w:pPr>
            <w:r>
              <w:rPr>
                <w:rFonts w:ascii="Arial" w:cs="Arial" w:eastAsia="Arial" w:hAnsi="Arial"/>
                <w:sz w:val="13"/>
                <w:szCs w:val="13"/>
                <w:b w:val="1"/>
                <w:bCs w:val="1"/>
                <w:color w:val="auto"/>
                <w:w w:val="97"/>
              </w:rPr>
              <w:t>Estimated Future Payouts Under</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rPr>
              <w:t>Stock</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Option</w:t>
            </w:r>
          </w:p>
        </w:tc>
        <w:tc>
          <w:tcPr>
            <w:tcW w:w="68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2"/>
              </w:rPr>
              <w:t>Date</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80" w:type="dxa"/>
            <w:vAlign w:val="bottom"/>
            <w:gridSpan w:val="3"/>
            <w:shd w:val="clear" w:color="auto" w:fill="D7F5C4"/>
          </w:tcPr>
          <w:p>
            <w:pPr>
              <w:jc w:val="center"/>
              <w:spacing w:after="0" w:line="135" w:lineRule="exact"/>
              <w:rPr>
                <w:sz w:val="20"/>
                <w:szCs w:val="20"/>
                <w:color w:val="auto"/>
              </w:rPr>
            </w:pPr>
            <w:r>
              <w:rPr>
                <w:rFonts w:ascii="Arial" w:cs="Arial" w:eastAsia="Arial" w:hAnsi="Arial"/>
                <w:sz w:val="13"/>
                <w:szCs w:val="13"/>
                <w:b w:val="1"/>
                <w:bCs w:val="1"/>
                <w:color w:val="auto"/>
                <w:w w:val="96"/>
              </w:rPr>
              <w:t>Under Non-equity Incentive</w:t>
            </w:r>
          </w:p>
        </w:tc>
        <w:tc>
          <w:tcPr>
            <w:tcW w:w="2220" w:type="dxa"/>
            <w:vAlign w:val="bottom"/>
            <w:gridSpan w:val="3"/>
            <w:shd w:val="clear" w:color="auto" w:fill="D7F5C4"/>
          </w:tcPr>
          <w:p>
            <w:pPr>
              <w:jc w:val="center"/>
              <w:spacing w:after="0" w:line="135" w:lineRule="exact"/>
              <w:rPr>
                <w:sz w:val="20"/>
                <w:szCs w:val="20"/>
                <w:color w:val="auto"/>
              </w:rPr>
            </w:pPr>
            <w:r>
              <w:rPr>
                <w:rFonts w:ascii="Arial" w:cs="Arial" w:eastAsia="Arial" w:hAnsi="Arial"/>
                <w:sz w:val="13"/>
                <w:szCs w:val="13"/>
                <w:b w:val="1"/>
                <w:bCs w:val="1"/>
                <w:color w:val="auto"/>
                <w:w w:val="97"/>
              </w:rPr>
              <w:t>Equity Incentive Plan</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Awards:</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Awards:</w:t>
            </w: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Exercise</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Fair</w:t>
            </w: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Borders>
              <w:bottom w:val="single" w:sz="8" w:color="D7F5C4"/>
            </w:tcBorders>
            <w:shd w:val="clear" w:color="auto" w:fill="D7F5C4"/>
          </w:tcPr>
          <w:p>
            <w:pPr>
              <w:spacing w:after="0"/>
              <w:rPr>
                <w:sz w:val="13"/>
                <w:szCs w:val="13"/>
                <w:color w:val="auto"/>
              </w:rPr>
            </w:pPr>
          </w:p>
        </w:tc>
        <w:tc>
          <w:tcPr>
            <w:tcW w:w="840" w:type="dxa"/>
            <w:vAlign w:val="bottom"/>
            <w:tcBorders>
              <w:bottom w:val="single" w:sz="8" w:color="D7F5C4"/>
            </w:tcBorders>
            <w:shd w:val="clear" w:color="auto" w:fill="D7F5C4"/>
          </w:tcPr>
          <w:p>
            <w:pPr>
              <w:jc w:val="center"/>
              <w:spacing w:after="0" w:line="135" w:lineRule="exact"/>
              <w:rPr>
                <w:sz w:val="20"/>
                <w:szCs w:val="20"/>
                <w:color w:val="auto"/>
              </w:rPr>
            </w:pPr>
            <w:r>
              <w:rPr>
                <w:rFonts w:ascii="Arial" w:cs="Arial" w:eastAsia="Arial" w:hAnsi="Arial"/>
                <w:sz w:val="13"/>
                <w:szCs w:val="13"/>
                <w:b w:val="1"/>
                <w:bCs w:val="1"/>
                <w:color w:val="auto"/>
                <w:w w:val="97"/>
              </w:rPr>
              <w:t>Plan Awards</w:t>
            </w:r>
          </w:p>
        </w:tc>
        <w:tc>
          <w:tcPr>
            <w:tcW w:w="800" w:type="dxa"/>
            <w:vAlign w:val="bottom"/>
            <w:tcBorders>
              <w:bottom w:val="single" w:sz="8" w:color="D7F5C4"/>
            </w:tcBorders>
            <w:shd w:val="clear" w:color="auto" w:fill="D7F5C4"/>
          </w:tcPr>
          <w:p>
            <w:pPr>
              <w:spacing w:after="0"/>
              <w:rPr>
                <w:sz w:val="13"/>
                <w:szCs w:val="13"/>
                <w:color w:val="auto"/>
              </w:rPr>
            </w:pPr>
          </w:p>
        </w:tc>
        <w:tc>
          <w:tcPr>
            <w:tcW w:w="760" w:type="dxa"/>
            <w:vAlign w:val="bottom"/>
            <w:tcBorders>
              <w:bottom w:val="single" w:sz="8" w:color="D7F5C4"/>
            </w:tcBorders>
            <w:shd w:val="clear" w:color="auto" w:fill="D7F5C4"/>
          </w:tcPr>
          <w:p>
            <w:pPr>
              <w:spacing w:after="0"/>
              <w:rPr>
                <w:sz w:val="13"/>
                <w:szCs w:val="13"/>
                <w:color w:val="auto"/>
              </w:rPr>
            </w:pPr>
          </w:p>
        </w:tc>
        <w:tc>
          <w:tcPr>
            <w:tcW w:w="720" w:type="dxa"/>
            <w:vAlign w:val="bottom"/>
            <w:tcBorders>
              <w:bottom w:val="single" w:sz="8" w:color="D7F5C4"/>
            </w:tcBorders>
            <w:shd w:val="clear" w:color="auto" w:fill="D7F5C4"/>
          </w:tcPr>
          <w:p>
            <w:pPr>
              <w:jc w:val="center"/>
              <w:spacing w:after="0" w:line="135" w:lineRule="exact"/>
              <w:rPr>
                <w:sz w:val="20"/>
                <w:szCs w:val="20"/>
                <w:color w:val="auto"/>
              </w:rPr>
            </w:pPr>
            <w:r>
              <w:rPr>
                <w:rFonts w:ascii="Arial" w:cs="Arial" w:eastAsia="Arial" w:hAnsi="Arial"/>
                <w:sz w:val="10"/>
                <w:szCs w:val="10"/>
                <w:b w:val="1"/>
                <w:bCs w:val="1"/>
                <w:color w:val="auto"/>
              </w:rPr>
              <w:t>Awards</w:t>
            </w:r>
            <w:r>
              <w:rPr>
                <w:rFonts w:ascii="Arial" w:cs="Arial" w:eastAsia="Arial" w:hAnsi="Arial"/>
                <w:sz w:val="15"/>
                <w:szCs w:val="15"/>
                <w:b w:val="1"/>
                <w:bCs w:val="1"/>
                <w:color w:val="auto"/>
                <w:vertAlign w:val="superscript"/>
              </w:rPr>
              <w:t>(1)</w:t>
            </w:r>
          </w:p>
        </w:tc>
        <w:tc>
          <w:tcPr>
            <w:tcW w:w="740" w:type="dxa"/>
            <w:vAlign w:val="bottom"/>
            <w:tcBorders>
              <w:bottom w:val="single" w:sz="8" w:color="D7F5C4"/>
            </w:tcBorders>
            <w:shd w:val="clear" w:color="auto" w:fill="D7F5C4"/>
          </w:tcPr>
          <w:p>
            <w:pPr>
              <w:spacing w:after="0"/>
              <w:rPr>
                <w:sz w:val="13"/>
                <w:szCs w:val="13"/>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Number of</w:t>
            </w:r>
          </w:p>
        </w:tc>
        <w:tc>
          <w:tcPr>
            <w:tcW w:w="800" w:type="dxa"/>
            <w:vAlign w:val="bottom"/>
          </w:tcPr>
          <w:p>
            <w:pPr>
              <w:jc w:val="right"/>
              <w:ind w:right="38"/>
              <w:spacing w:after="0" w:line="135" w:lineRule="exact"/>
              <w:rPr>
                <w:sz w:val="20"/>
                <w:szCs w:val="20"/>
                <w:color w:val="auto"/>
              </w:rPr>
            </w:pPr>
            <w:r>
              <w:rPr>
                <w:rFonts w:ascii="Arial" w:cs="Arial" w:eastAsia="Arial" w:hAnsi="Arial"/>
                <w:sz w:val="13"/>
                <w:szCs w:val="13"/>
                <w:b w:val="1"/>
                <w:bCs w:val="1"/>
                <w:color w:val="auto"/>
              </w:rPr>
              <w:t>Number of</w:t>
            </w:r>
          </w:p>
        </w:tc>
        <w:tc>
          <w:tcPr>
            <w:tcW w:w="680" w:type="dxa"/>
            <w:vAlign w:val="bottom"/>
          </w:tcPr>
          <w:p>
            <w:pPr>
              <w:jc w:val="right"/>
              <w:ind w:right="58"/>
              <w:spacing w:after="0" w:line="135" w:lineRule="exact"/>
              <w:rPr>
                <w:sz w:val="20"/>
                <w:szCs w:val="20"/>
                <w:color w:val="auto"/>
              </w:rPr>
            </w:pPr>
            <w:r>
              <w:rPr>
                <w:rFonts w:ascii="Arial" w:cs="Arial" w:eastAsia="Arial" w:hAnsi="Arial"/>
                <w:sz w:val="13"/>
                <w:szCs w:val="13"/>
                <w:b w:val="1"/>
                <w:bCs w:val="1"/>
                <w:color w:val="auto"/>
              </w:rPr>
              <w:t>or Base</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Value of</w:t>
            </w:r>
          </w:p>
        </w:tc>
        <w:tc>
          <w:tcPr>
            <w:tcW w:w="0" w:type="dxa"/>
            <w:vAlign w:val="bottom"/>
          </w:tcPr>
          <w:p>
            <w:pPr>
              <w:spacing w:after="0"/>
              <w:rPr>
                <w:sz w:val="1"/>
                <w:szCs w:val="1"/>
                <w:color w:val="auto"/>
              </w:rPr>
            </w:pPr>
          </w:p>
        </w:tc>
      </w:tr>
      <w:tr>
        <w:trPr>
          <w:trHeight w:val="73"/>
        </w:trPr>
        <w:tc>
          <w:tcPr>
            <w:tcW w:w="1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jc w:val="center"/>
              <w:spacing w:after="0" w:line="73" w:lineRule="exact"/>
              <w:rPr>
                <w:sz w:val="20"/>
                <w:szCs w:val="20"/>
                <w:color w:val="auto"/>
              </w:rPr>
            </w:pPr>
            <w:r>
              <w:rPr>
                <w:rFonts w:ascii="Arial" w:cs="Arial" w:eastAsia="Arial" w:hAnsi="Arial"/>
                <w:sz w:val="8"/>
                <w:szCs w:val="8"/>
                <w:b w:val="1"/>
                <w:bCs w:val="1"/>
                <w:color w:val="auto"/>
              </w:rPr>
              <w:t>shares</w:t>
            </w:r>
          </w:p>
        </w:tc>
        <w:tc>
          <w:tcPr>
            <w:tcW w:w="800" w:type="dxa"/>
            <w:vAlign w:val="bottom"/>
          </w:tcPr>
          <w:p>
            <w:pPr>
              <w:jc w:val="right"/>
              <w:ind w:right="38"/>
              <w:spacing w:after="0" w:line="73" w:lineRule="exact"/>
              <w:rPr>
                <w:sz w:val="20"/>
                <w:szCs w:val="20"/>
                <w:color w:val="auto"/>
              </w:rPr>
            </w:pPr>
            <w:r>
              <w:rPr>
                <w:rFonts w:ascii="Arial" w:cs="Arial" w:eastAsia="Arial" w:hAnsi="Arial"/>
                <w:sz w:val="8"/>
                <w:szCs w:val="8"/>
                <w:b w:val="1"/>
                <w:bCs w:val="1"/>
                <w:color w:val="auto"/>
              </w:rPr>
              <w:t>Securities</w:t>
            </w:r>
          </w:p>
        </w:tc>
        <w:tc>
          <w:tcPr>
            <w:tcW w:w="680" w:type="dxa"/>
            <w:vAlign w:val="bottom"/>
          </w:tcPr>
          <w:p>
            <w:pPr>
              <w:jc w:val="right"/>
              <w:ind w:right="58"/>
              <w:spacing w:after="0" w:line="73" w:lineRule="exact"/>
              <w:rPr>
                <w:sz w:val="20"/>
                <w:szCs w:val="20"/>
                <w:color w:val="auto"/>
              </w:rPr>
            </w:pPr>
            <w:r>
              <w:rPr>
                <w:rFonts w:ascii="Arial" w:cs="Arial" w:eastAsia="Arial" w:hAnsi="Arial"/>
                <w:sz w:val="8"/>
                <w:szCs w:val="8"/>
                <w:b w:val="1"/>
                <w:bCs w:val="1"/>
                <w:color w:val="auto"/>
              </w:rPr>
              <w:t>Price of</w:t>
            </w:r>
          </w:p>
        </w:tc>
        <w:tc>
          <w:tcPr>
            <w:tcW w:w="800" w:type="dxa"/>
            <w:vAlign w:val="bottom"/>
          </w:tcPr>
          <w:p>
            <w:pPr>
              <w:jc w:val="center"/>
              <w:spacing w:after="0" w:line="73" w:lineRule="exact"/>
              <w:rPr>
                <w:sz w:val="20"/>
                <w:szCs w:val="20"/>
                <w:color w:val="auto"/>
              </w:rPr>
            </w:pPr>
            <w:r>
              <w:rPr>
                <w:rFonts w:ascii="Arial" w:cs="Arial" w:eastAsia="Arial" w:hAnsi="Arial"/>
                <w:sz w:val="8"/>
                <w:szCs w:val="8"/>
                <w:b w:val="1"/>
                <w:bCs w:val="1"/>
                <w:color w:val="auto"/>
              </w:rPr>
              <w:t>Stock and</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of Stock</w:t>
            </w:r>
          </w:p>
        </w:tc>
        <w:tc>
          <w:tcPr>
            <w:tcW w:w="800" w:type="dxa"/>
            <w:vAlign w:val="bottom"/>
          </w:tcPr>
          <w:p>
            <w:pPr>
              <w:jc w:val="right"/>
              <w:ind w:right="18"/>
              <w:spacing w:after="0" w:line="135" w:lineRule="exact"/>
              <w:rPr>
                <w:sz w:val="20"/>
                <w:szCs w:val="20"/>
                <w:color w:val="auto"/>
              </w:rPr>
            </w:pPr>
            <w:r>
              <w:rPr>
                <w:rFonts w:ascii="Arial" w:cs="Arial" w:eastAsia="Arial" w:hAnsi="Arial"/>
                <w:sz w:val="13"/>
                <w:szCs w:val="13"/>
                <w:b w:val="1"/>
                <w:bCs w:val="1"/>
                <w:color w:val="auto"/>
              </w:rPr>
              <w:t>Underlying</w:t>
            </w: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Option</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Option</w:t>
            </w: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800" w:type="dxa"/>
            <w:vAlign w:val="bottom"/>
          </w:tcPr>
          <w:p>
            <w:pPr>
              <w:jc w:val="right"/>
              <w:ind w:right="177"/>
              <w:spacing w:after="0" w:line="131" w:lineRule="exact"/>
              <w:rPr>
                <w:sz w:val="20"/>
                <w:szCs w:val="20"/>
                <w:color w:val="auto"/>
              </w:rPr>
            </w:pPr>
            <w:r>
              <w:rPr>
                <w:rFonts w:ascii="Arial" w:cs="Arial" w:eastAsia="Arial" w:hAnsi="Arial"/>
                <w:sz w:val="13"/>
                <w:szCs w:val="13"/>
                <w:b w:val="1"/>
                <w:bCs w:val="1"/>
                <w:color w:val="auto"/>
              </w:rPr>
              <w:t>Grant</w:t>
            </w:r>
          </w:p>
        </w:tc>
        <w:tc>
          <w:tcPr>
            <w:tcW w:w="740" w:type="dxa"/>
            <w:vAlign w:val="bottom"/>
          </w:tcPr>
          <w:p>
            <w:pPr>
              <w:jc w:val="right"/>
              <w:spacing w:after="0" w:line="131" w:lineRule="exact"/>
              <w:rPr>
                <w:sz w:val="20"/>
                <w:szCs w:val="20"/>
                <w:color w:val="auto"/>
              </w:rPr>
            </w:pPr>
            <w:r>
              <w:rPr>
                <w:rFonts w:ascii="Arial" w:cs="Arial" w:eastAsia="Arial" w:hAnsi="Arial"/>
                <w:sz w:val="13"/>
                <w:szCs w:val="13"/>
                <w:b w:val="1"/>
                <w:bCs w:val="1"/>
                <w:color w:val="auto"/>
              </w:rPr>
              <w:t>Threshold</w:t>
            </w:r>
          </w:p>
        </w:tc>
        <w:tc>
          <w:tcPr>
            <w:tcW w:w="840" w:type="dxa"/>
            <w:vAlign w:val="bottom"/>
          </w:tcPr>
          <w:p>
            <w:pPr>
              <w:jc w:val="right"/>
              <w:ind w:right="217"/>
              <w:spacing w:after="0" w:line="131" w:lineRule="exact"/>
              <w:rPr>
                <w:sz w:val="20"/>
                <w:szCs w:val="20"/>
                <w:color w:val="auto"/>
              </w:rPr>
            </w:pPr>
            <w:r>
              <w:rPr>
                <w:rFonts w:ascii="Arial" w:cs="Arial" w:eastAsia="Arial" w:hAnsi="Arial"/>
                <w:sz w:val="13"/>
                <w:szCs w:val="13"/>
                <w:b w:val="1"/>
                <w:bCs w:val="1"/>
                <w:color w:val="auto"/>
              </w:rPr>
              <w:t>Target</w:t>
            </w:r>
          </w:p>
        </w:tc>
        <w:tc>
          <w:tcPr>
            <w:tcW w:w="800" w:type="dxa"/>
            <w:vAlign w:val="bottom"/>
          </w:tcPr>
          <w:p>
            <w:pPr>
              <w:jc w:val="right"/>
              <w:ind w:right="100"/>
              <w:spacing w:after="0" w:line="131" w:lineRule="exact"/>
              <w:rPr>
                <w:sz w:val="20"/>
                <w:szCs w:val="20"/>
                <w:color w:val="auto"/>
              </w:rPr>
            </w:pPr>
            <w:r>
              <w:rPr>
                <w:rFonts w:ascii="Arial" w:cs="Arial" w:eastAsia="Arial" w:hAnsi="Arial"/>
                <w:sz w:val="13"/>
                <w:szCs w:val="13"/>
                <w:b w:val="1"/>
                <w:bCs w:val="1"/>
                <w:color w:val="auto"/>
              </w:rPr>
              <w:t>Maximum</w:t>
            </w:r>
          </w:p>
        </w:tc>
        <w:tc>
          <w:tcPr>
            <w:tcW w:w="760" w:type="dxa"/>
            <w:vAlign w:val="bottom"/>
          </w:tcPr>
          <w:p>
            <w:pPr>
              <w:jc w:val="right"/>
              <w:spacing w:after="0" w:line="131" w:lineRule="exact"/>
              <w:rPr>
                <w:sz w:val="20"/>
                <w:szCs w:val="20"/>
                <w:color w:val="auto"/>
              </w:rPr>
            </w:pPr>
            <w:r>
              <w:rPr>
                <w:rFonts w:ascii="Arial" w:cs="Arial" w:eastAsia="Arial" w:hAnsi="Arial"/>
                <w:sz w:val="13"/>
                <w:szCs w:val="13"/>
                <w:b w:val="1"/>
                <w:bCs w:val="1"/>
                <w:color w:val="auto"/>
              </w:rPr>
              <w:t>Threshold</w:t>
            </w:r>
          </w:p>
        </w:tc>
        <w:tc>
          <w:tcPr>
            <w:tcW w:w="72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5"/>
              </w:rPr>
              <w:t>Target</w:t>
            </w:r>
          </w:p>
        </w:tc>
        <w:tc>
          <w:tcPr>
            <w:tcW w:w="740" w:type="dxa"/>
            <w:vAlign w:val="bottom"/>
          </w:tcPr>
          <w:p>
            <w:pPr>
              <w:jc w:val="right"/>
              <w:ind w:right="37"/>
              <w:spacing w:after="0" w:line="131" w:lineRule="exact"/>
              <w:rPr>
                <w:sz w:val="20"/>
                <w:szCs w:val="20"/>
                <w:color w:val="auto"/>
              </w:rPr>
            </w:pPr>
            <w:r>
              <w:rPr>
                <w:rFonts w:ascii="Arial" w:cs="Arial" w:eastAsia="Arial" w:hAnsi="Arial"/>
                <w:sz w:val="13"/>
                <w:szCs w:val="13"/>
                <w:b w:val="1"/>
                <w:bCs w:val="1"/>
                <w:color w:val="auto"/>
              </w:rPr>
              <w:t>Maximum</w:t>
            </w:r>
          </w:p>
        </w:tc>
        <w:tc>
          <w:tcPr>
            <w:tcW w:w="74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7"/>
              </w:rPr>
              <w:t>or Units</w:t>
            </w:r>
          </w:p>
        </w:tc>
        <w:tc>
          <w:tcPr>
            <w:tcW w:w="80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3"/>
              </w:rPr>
              <w:t>Options</w:t>
            </w:r>
          </w:p>
        </w:tc>
        <w:tc>
          <w:tcPr>
            <w:tcW w:w="680" w:type="dxa"/>
            <w:vAlign w:val="bottom"/>
          </w:tcPr>
          <w:p>
            <w:pPr>
              <w:jc w:val="right"/>
              <w:ind w:right="58"/>
              <w:spacing w:after="0" w:line="131" w:lineRule="exact"/>
              <w:rPr>
                <w:sz w:val="20"/>
                <w:szCs w:val="20"/>
                <w:color w:val="auto"/>
              </w:rPr>
            </w:pPr>
            <w:r>
              <w:rPr>
                <w:rFonts w:ascii="Arial" w:cs="Arial" w:eastAsia="Arial" w:hAnsi="Arial"/>
                <w:sz w:val="13"/>
                <w:szCs w:val="13"/>
                <w:b w:val="1"/>
                <w:bCs w:val="1"/>
                <w:color w:val="auto"/>
              </w:rPr>
              <w:t>Awards</w:t>
            </w:r>
          </w:p>
        </w:tc>
        <w:tc>
          <w:tcPr>
            <w:tcW w:w="80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7"/>
              </w:rPr>
              <w:t>Awards</w:t>
            </w:r>
          </w:p>
        </w:tc>
        <w:tc>
          <w:tcPr>
            <w:tcW w:w="0" w:type="dxa"/>
            <w:vAlign w:val="bottom"/>
          </w:tcPr>
          <w:p>
            <w:pPr>
              <w:spacing w:after="0"/>
              <w:rPr>
                <w:sz w:val="1"/>
                <w:szCs w:val="1"/>
                <w:color w:val="auto"/>
              </w:rPr>
            </w:pPr>
          </w:p>
        </w:tc>
      </w:tr>
      <w:tr>
        <w:trPr>
          <w:trHeight w:val="174"/>
        </w:trPr>
        <w:tc>
          <w:tcPr>
            <w:tcW w:w="1140" w:type="dxa"/>
            <w:vAlign w:val="bottom"/>
          </w:tcPr>
          <w:p>
            <w:pPr>
              <w:ind w:left="380"/>
              <w:spacing w:after="0"/>
              <w:rPr>
                <w:sz w:val="20"/>
                <w:szCs w:val="20"/>
                <w:color w:val="auto"/>
              </w:rPr>
            </w:pPr>
            <w:r>
              <w:rPr>
                <w:rFonts w:ascii="Arial" w:cs="Arial" w:eastAsia="Arial" w:hAnsi="Arial"/>
                <w:sz w:val="13"/>
                <w:szCs w:val="13"/>
                <w:b w:val="1"/>
                <w:bCs w:val="1"/>
                <w:color w:val="auto"/>
              </w:rPr>
              <w:t>Name</w:t>
            </w:r>
          </w:p>
        </w:tc>
        <w:tc>
          <w:tcPr>
            <w:tcW w:w="800" w:type="dxa"/>
            <w:vAlign w:val="bottom"/>
          </w:tcPr>
          <w:p>
            <w:pPr>
              <w:jc w:val="right"/>
              <w:ind w:right="217"/>
              <w:spacing w:after="0"/>
              <w:rPr>
                <w:sz w:val="20"/>
                <w:szCs w:val="20"/>
                <w:color w:val="auto"/>
              </w:rPr>
            </w:pPr>
            <w:r>
              <w:rPr>
                <w:rFonts w:ascii="Arial" w:cs="Arial" w:eastAsia="Arial" w:hAnsi="Arial"/>
                <w:sz w:val="13"/>
                <w:szCs w:val="13"/>
                <w:b w:val="1"/>
                <w:bCs w:val="1"/>
                <w:color w:val="auto"/>
              </w:rPr>
              <w:t>Date</w:t>
            </w:r>
          </w:p>
        </w:tc>
        <w:tc>
          <w:tcPr>
            <w:tcW w:w="740" w:type="dxa"/>
            <w:vAlign w:val="bottom"/>
          </w:tcPr>
          <w:p>
            <w:pPr>
              <w:jc w:val="right"/>
              <w:ind w:right="217"/>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ind w:right="337"/>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right"/>
              <w:ind w:right="320"/>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right"/>
              <w:ind w:right="237"/>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740" w:type="dxa"/>
            <w:vAlign w:val="bottom"/>
          </w:tcPr>
          <w:p>
            <w:pPr>
              <w:jc w:val="right"/>
              <w:ind w:right="257"/>
              <w:spacing w:after="0"/>
              <w:rPr>
                <w:sz w:val="20"/>
                <w:szCs w:val="20"/>
                <w:color w:val="auto"/>
              </w:rPr>
            </w:pPr>
            <w:r>
              <w:rPr>
                <w:rFonts w:ascii="Arial" w:cs="Arial" w:eastAsia="Arial" w:hAnsi="Arial"/>
                <w:sz w:val="13"/>
                <w:szCs w:val="13"/>
                <w:b w:val="1"/>
                <w:bCs w:val="1"/>
                <w:color w:val="auto"/>
              </w:rPr>
              <w:t>(#)</w:t>
            </w:r>
          </w:p>
        </w:tc>
        <w:tc>
          <w:tcPr>
            <w:tcW w:w="740" w:type="dxa"/>
            <w:vAlign w:val="bottom"/>
          </w:tcPr>
          <w:p>
            <w:pPr>
              <w:jc w:val="center"/>
              <w:spacing w:after="0" w:line="175"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(2)</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4"/>
              </w:rPr>
              <w:t>($/Sh)</w:t>
            </w:r>
          </w:p>
        </w:tc>
        <w:tc>
          <w:tcPr>
            <w:tcW w:w="800" w:type="dxa"/>
            <w:vAlign w:val="bottom"/>
          </w:tcPr>
          <w:p>
            <w:pPr>
              <w:jc w:val="center"/>
              <w:spacing w:after="0" w:line="175"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(3)</w:t>
            </w:r>
          </w:p>
        </w:tc>
        <w:tc>
          <w:tcPr>
            <w:tcW w:w="0" w:type="dxa"/>
            <w:vAlign w:val="bottom"/>
          </w:tcPr>
          <w:p>
            <w:pPr>
              <w:spacing w:after="0"/>
              <w:rPr>
                <w:sz w:val="1"/>
                <w:szCs w:val="1"/>
                <w:color w:val="auto"/>
              </w:rPr>
            </w:pPr>
          </w:p>
        </w:tc>
      </w:tr>
      <w:tr>
        <w:trPr>
          <w:trHeight w:val="162"/>
        </w:trPr>
        <w:tc>
          <w:tcPr>
            <w:tcW w:w="1140" w:type="dxa"/>
            <w:vAlign w:val="bottom"/>
            <w:shd w:val="clear" w:color="auto" w:fill="D7F5C4"/>
          </w:tcPr>
          <w:p>
            <w:pPr>
              <w:spacing w:after="0"/>
              <w:rPr>
                <w:sz w:val="20"/>
                <w:szCs w:val="20"/>
                <w:color w:val="auto"/>
              </w:rPr>
            </w:pPr>
            <w:r>
              <w:rPr>
                <w:rFonts w:ascii="Arial" w:cs="Arial" w:eastAsia="Arial" w:hAnsi="Arial"/>
                <w:sz w:val="13"/>
                <w:szCs w:val="13"/>
                <w:color w:val="auto"/>
              </w:rPr>
              <w:t>John R. Hewitt</w:t>
            </w:r>
          </w:p>
        </w:tc>
        <w:tc>
          <w:tcPr>
            <w:tcW w:w="800" w:type="dxa"/>
            <w:vAlign w:val="bottom"/>
            <w:shd w:val="clear" w:color="auto" w:fill="D7F5C4"/>
          </w:tcPr>
          <w:p>
            <w:pPr>
              <w:jc w:val="right"/>
              <w:ind w:right="17"/>
              <w:spacing w:after="0"/>
              <w:rPr>
                <w:sz w:val="20"/>
                <w:szCs w:val="20"/>
                <w:color w:val="auto"/>
              </w:rPr>
            </w:pPr>
            <w:r>
              <w:rPr>
                <w:rFonts w:ascii="Arial" w:cs="Arial" w:eastAsia="Arial" w:hAnsi="Arial"/>
                <w:sz w:val="13"/>
                <w:szCs w:val="13"/>
                <w:color w:val="auto"/>
              </w:rPr>
              <w:t>8/27/2018</w:t>
            </w:r>
          </w:p>
        </w:tc>
        <w:tc>
          <w:tcPr>
            <w:tcW w:w="740" w:type="dxa"/>
            <w:vAlign w:val="bottom"/>
            <w:shd w:val="clear" w:color="auto" w:fill="D7F5C4"/>
          </w:tcPr>
          <w:p>
            <w:pPr>
              <w:jc w:val="right"/>
              <w:ind w:right="17"/>
              <w:spacing w:after="0"/>
              <w:rPr>
                <w:sz w:val="20"/>
                <w:szCs w:val="20"/>
                <w:color w:val="auto"/>
              </w:rPr>
            </w:pPr>
            <w:r>
              <w:rPr>
                <w:rFonts w:ascii="Arial" w:cs="Arial" w:eastAsia="Arial" w:hAnsi="Arial"/>
                <w:sz w:val="13"/>
                <w:szCs w:val="13"/>
                <w:color w:val="auto"/>
              </w:rPr>
              <w:t>400,000</w:t>
            </w:r>
          </w:p>
        </w:tc>
        <w:tc>
          <w:tcPr>
            <w:tcW w:w="840" w:type="dxa"/>
            <w:vAlign w:val="bottom"/>
            <w:shd w:val="clear" w:color="auto" w:fill="D7F5C4"/>
          </w:tcPr>
          <w:p>
            <w:pPr>
              <w:jc w:val="right"/>
              <w:ind w:right="137"/>
              <w:spacing w:after="0"/>
              <w:rPr>
                <w:sz w:val="20"/>
                <w:szCs w:val="20"/>
                <w:color w:val="auto"/>
              </w:rPr>
            </w:pPr>
            <w:r>
              <w:rPr>
                <w:rFonts w:ascii="Arial" w:cs="Arial" w:eastAsia="Arial" w:hAnsi="Arial"/>
                <w:sz w:val="13"/>
                <w:szCs w:val="13"/>
                <w:color w:val="auto"/>
              </w:rPr>
              <w:t>800,000</w:t>
            </w:r>
          </w:p>
        </w:tc>
        <w:tc>
          <w:tcPr>
            <w:tcW w:w="800" w:type="dxa"/>
            <w:vAlign w:val="bottom"/>
            <w:shd w:val="clear" w:color="auto" w:fill="D7F5C4"/>
          </w:tcPr>
          <w:p>
            <w:pPr>
              <w:jc w:val="right"/>
              <w:spacing w:after="0" w:line="162" w:lineRule="exact"/>
              <w:rPr>
                <w:sz w:val="20"/>
                <w:szCs w:val="20"/>
                <w:color w:val="auto"/>
              </w:rPr>
            </w:pPr>
            <w:r>
              <w:rPr>
                <w:rFonts w:ascii="Arial" w:cs="Arial" w:eastAsia="Arial" w:hAnsi="Arial"/>
                <w:sz w:val="12"/>
                <w:szCs w:val="12"/>
                <w:color w:val="auto"/>
              </w:rPr>
              <w:t>1,600,000</w:t>
            </w:r>
            <w:r>
              <w:rPr>
                <w:rFonts w:ascii="Arial" w:cs="Arial" w:eastAsia="Arial" w:hAnsi="Arial"/>
                <w:sz w:val="18"/>
                <w:szCs w:val="18"/>
                <w:color w:val="auto"/>
                <w:vertAlign w:val="superscript"/>
              </w:rPr>
              <w:t>(4)</w:t>
            </w:r>
          </w:p>
        </w:tc>
        <w:tc>
          <w:tcPr>
            <w:tcW w:w="760" w:type="dxa"/>
            <w:vAlign w:val="bottom"/>
            <w:shd w:val="clear" w:color="auto" w:fill="D7F5C4"/>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D7F5C4"/>
          </w:tcPr>
          <w:p>
            <w:pPr>
              <w:jc w:val="right"/>
              <w:ind w:right="78"/>
              <w:spacing w:after="0"/>
              <w:rPr>
                <w:sz w:val="20"/>
                <w:szCs w:val="20"/>
                <w:color w:val="auto"/>
              </w:rPr>
            </w:pPr>
            <w:r>
              <w:rPr>
                <w:rFonts w:ascii="Arial" w:cs="Arial" w:eastAsia="Arial" w:hAnsi="Arial"/>
                <w:sz w:val="13"/>
                <w:szCs w:val="13"/>
                <w:color w:val="auto"/>
              </w:rPr>
              <w:t>—</w:t>
            </w:r>
          </w:p>
        </w:tc>
        <w:tc>
          <w:tcPr>
            <w:tcW w:w="740" w:type="dxa"/>
            <w:vAlign w:val="bottom"/>
            <w:shd w:val="clear" w:color="auto" w:fill="D7F5C4"/>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D7F5C4"/>
          </w:tcPr>
          <w:p>
            <w:pPr>
              <w:jc w:val="right"/>
              <w:ind w:right="38"/>
              <w:spacing w:after="0"/>
              <w:rPr>
                <w:sz w:val="20"/>
                <w:szCs w:val="20"/>
                <w:color w:val="auto"/>
              </w:rPr>
            </w:pPr>
            <w:r>
              <w:rPr>
                <w:rFonts w:ascii="Arial" w:cs="Arial" w:eastAsia="Arial" w:hAnsi="Arial"/>
                <w:sz w:val="13"/>
                <w:szCs w:val="13"/>
                <w:color w:val="auto"/>
              </w:rPr>
              <w:t>—</w:t>
            </w:r>
          </w:p>
        </w:tc>
        <w:tc>
          <w:tcPr>
            <w:tcW w:w="800" w:type="dxa"/>
            <w:vAlign w:val="bottom"/>
            <w:shd w:val="clear" w:color="auto" w:fill="D7F5C4"/>
          </w:tcPr>
          <w:p>
            <w:pPr>
              <w:jc w:val="right"/>
              <w:ind w:right="38"/>
              <w:spacing w:after="0"/>
              <w:rPr>
                <w:sz w:val="20"/>
                <w:szCs w:val="20"/>
                <w:color w:val="auto"/>
              </w:rPr>
            </w:pPr>
            <w:r>
              <w:rPr>
                <w:rFonts w:ascii="Arial" w:cs="Arial" w:eastAsia="Arial" w:hAnsi="Arial"/>
                <w:sz w:val="13"/>
                <w:szCs w:val="13"/>
                <w:color w:val="auto"/>
              </w:rPr>
              <w:t>—</w:t>
            </w:r>
          </w:p>
        </w:tc>
        <w:tc>
          <w:tcPr>
            <w:tcW w:w="680" w:type="dxa"/>
            <w:vAlign w:val="bottom"/>
            <w:shd w:val="clear" w:color="auto" w:fill="D7F5C4"/>
          </w:tcPr>
          <w:p>
            <w:pPr>
              <w:jc w:val="right"/>
              <w:ind w:right="58"/>
              <w:spacing w:after="0"/>
              <w:rPr>
                <w:sz w:val="20"/>
                <w:szCs w:val="20"/>
                <w:color w:val="auto"/>
              </w:rPr>
            </w:pPr>
            <w:r>
              <w:rPr>
                <w:rFonts w:ascii="Arial" w:cs="Arial" w:eastAsia="Arial" w:hAnsi="Arial"/>
                <w:sz w:val="13"/>
                <w:szCs w:val="13"/>
                <w:color w:val="auto"/>
              </w:rPr>
              <w:t>—</w:t>
            </w:r>
          </w:p>
        </w:tc>
        <w:tc>
          <w:tcPr>
            <w:tcW w:w="800" w:type="dxa"/>
            <w:vAlign w:val="bottom"/>
            <w:shd w:val="clear" w:color="auto" w:fill="D7F5C4"/>
          </w:tcPr>
          <w:p>
            <w:pPr>
              <w:jc w:val="right"/>
              <w:ind w:right="1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140" w:type="dxa"/>
            <w:vAlign w:val="bottom"/>
            <w:shd w:val="clear" w:color="auto" w:fill="D7F5C4"/>
          </w:tcPr>
          <w:p>
            <w:pPr>
              <w:spacing w:after="0"/>
              <w:rPr>
                <w:sz w:val="14"/>
                <w:szCs w:val="14"/>
                <w:color w:val="auto"/>
              </w:rPr>
            </w:pPr>
          </w:p>
        </w:tc>
        <w:tc>
          <w:tcPr>
            <w:tcW w:w="800" w:type="dxa"/>
            <w:vAlign w:val="bottom"/>
            <w:shd w:val="clear" w:color="auto" w:fill="D7F5C4"/>
          </w:tcPr>
          <w:p>
            <w:pPr>
              <w:jc w:val="right"/>
              <w:ind w:right="17"/>
              <w:spacing w:after="0"/>
              <w:rPr>
                <w:sz w:val="20"/>
                <w:szCs w:val="20"/>
                <w:color w:val="auto"/>
              </w:rPr>
            </w:pPr>
            <w:r>
              <w:rPr>
                <w:rFonts w:ascii="Arial" w:cs="Arial" w:eastAsia="Arial" w:hAnsi="Arial"/>
                <w:sz w:val="13"/>
                <w:szCs w:val="13"/>
                <w:color w:val="auto"/>
              </w:rPr>
              <w:t>8/27/2018</w:t>
            </w:r>
          </w:p>
        </w:tc>
        <w:tc>
          <w:tcPr>
            <w:tcW w:w="740" w:type="dxa"/>
            <w:vAlign w:val="bottom"/>
            <w:shd w:val="clear" w:color="auto" w:fill="D7F5C4"/>
          </w:tcPr>
          <w:p>
            <w:pPr>
              <w:jc w:val="right"/>
              <w:ind w:right="17"/>
              <w:spacing w:after="0"/>
              <w:rPr>
                <w:sz w:val="20"/>
                <w:szCs w:val="20"/>
                <w:color w:val="auto"/>
              </w:rPr>
            </w:pPr>
            <w:r>
              <w:rPr>
                <w:rFonts w:ascii="Arial" w:cs="Arial" w:eastAsia="Arial" w:hAnsi="Arial"/>
                <w:sz w:val="13"/>
                <w:szCs w:val="13"/>
                <w:color w:val="auto"/>
              </w:rPr>
              <w:t>333,330</w:t>
            </w:r>
          </w:p>
        </w:tc>
        <w:tc>
          <w:tcPr>
            <w:tcW w:w="840" w:type="dxa"/>
            <w:vAlign w:val="bottom"/>
            <w:shd w:val="clear" w:color="auto" w:fill="D7F5C4"/>
          </w:tcPr>
          <w:p>
            <w:pPr>
              <w:jc w:val="right"/>
              <w:ind w:right="137"/>
              <w:spacing w:after="0"/>
              <w:rPr>
                <w:sz w:val="20"/>
                <w:szCs w:val="20"/>
                <w:color w:val="auto"/>
              </w:rPr>
            </w:pPr>
            <w:r>
              <w:rPr>
                <w:rFonts w:ascii="Arial" w:cs="Arial" w:eastAsia="Arial" w:hAnsi="Arial"/>
                <w:sz w:val="13"/>
                <w:szCs w:val="13"/>
                <w:color w:val="auto"/>
              </w:rPr>
              <w:t>666,660</w:t>
            </w:r>
          </w:p>
        </w:tc>
        <w:tc>
          <w:tcPr>
            <w:tcW w:w="800" w:type="dxa"/>
            <w:vAlign w:val="bottom"/>
            <w:shd w:val="clear" w:color="auto" w:fill="D7F5C4"/>
          </w:tcPr>
          <w:p>
            <w:pPr>
              <w:jc w:val="right"/>
              <w:spacing w:after="0" w:line="163" w:lineRule="exact"/>
              <w:rPr>
                <w:sz w:val="20"/>
                <w:szCs w:val="20"/>
                <w:color w:val="auto"/>
              </w:rPr>
            </w:pPr>
            <w:r>
              <w:rPr>
                <w:rFonts w:ascii="Arial" w:cs="Arial" w:eastAsia="Arial" w:hAnsi="Arial"/>
                <w:sz w:val="12"/>
                <w:szCs w:val="12"/>
                <w:color w:val="auto"/>
              </w:rPr>
              <w:t>999,990</w:t>
            </w:r>
            <w:r>
              <w:rPr>
                <w:rFonts w:ascii="Arial" w:cs="Arial" w:eastAsia="Arial" w:hAnsi="Arial"/>
                <w:sz w:val="18"/>
                <w:szCs w:val="18"/>
                <w:color w:val="auto"/>
                <w:vertAlign w:val="superscript"/>
              </w:rPr>
              <w:t>(5)</w:t>
            </w:r>
          </w:p>
        </w:tc>
        <w:tc>
          <w:tcPr>
            <w:tcW w:w="760" w:type="dxa"/>
            <w:vAlign w:val="bottom"/>
            <w:shd w:val="clear" w:color="auto" w:fill="D7F5C4"/>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D7F5C4"/>
          </w:tcPr>
          <w:p>
            <w:pPr>
              <w:jc w:val="right"/>
              <w:ind w:right="78"/>
              <w:spacing w:after="0"/>
              <w:rPr>
                <w:sz w:val="20"/>
                <w:szCs w:val="20"/>
                <w:color w:val="auto"/>
              </w:rPr>
            </w:pPr>
            <w:r>
              <w:rPr>
                <w:rFonts w:ascii="Arial" w:cs="Arial" w:eastAsia="Arial" w:hAnsi="Arial"/>
                <w:sz w:val="13"/>
                <w:szCs w:val="13"/>
                <w:color w:val="auto"/>
              </w:rPr>
              <w:t>—</w:t>
            </w:r>
          </w:p>
        </w:tc>
        <w:tc>
          <w:tcPr>
            <w:tcW w:w="740" w:type="dxa"/>
            <w:vAlign w:val="bottom"/>
            <w:shd w:val="clear" w:color="auto" w:fill="D7F5C4"/>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D7F5C4"/>
          </w:tcPr>
          <w:p>
            <w:pPr>
              <w:jc w:val="right"/>
              <w:ind w:right="38"/>
              <w:spacing w:after="0"/>
              <w:rPr>
                <w:sz w:val="20"/>
                <w:szCs w:val="20"/>
                <w:color w:val="auto"/>
              </w:rPr>
            </w:pPr>
            <w:r>
              <w:rPr>
                <w:rFonts w:ascii="Arial" w:cs="Arial" w:eastAsia="Arial" w:hAnsi="Arial"/>
                <w:sz w:val="13"/>
                <w:szCs w:val="13"/>
                <w:color w:val="auto"/>
              </w:rPr>
              <w:t>—</w:t>
            </w:r>
          </w:p>
        </w:tc>
        <w:tc>
          <w:tcPr>
            <w:tcW w:w="800" w:type="dxa"/>
            <w:vAlign w:val="bottom"/>
            <w:shd w:val="clear" w:color="auto" w:fill="D7F5C4"/>
          </w:tcPr>
          <w:p>
            <w:pPr>
              <w:jc w:val="right"/>
              <w:ind w:right="38"/>
              <w:spacing w:after="0"/>
              <w:rPr>
                <w:sz w:val="20"/>
                <w:szCs w:val="20"/>
                <w:color w:val="auto"/>
              </w:rPr>
            </w:pPr>
            <w:r>
              <w:rPr>
                <w:rFonts w:ascii="Arial" w:cs="Arial" w:eastAsia="Arial" w:hAnsi="Arial"/>
                <w:sz w:val="13"/>
                <w:szCs w:val="13"/>
                <w:color w:val="auto"/>
              </w:rPr>
              <w:t>—</w:t>
            </w:r>
          </w:p>
        </w:tc>
        <w:tc>
          <w:tcPr>
            <w:tcW w:w="680" w:type="dxa"/>
            <w:vAlign w:val="bottom"/>
            <w:shd w:val="clear" w:color="auto" w:fill="D7F5C4"/>
          </w:tcPr>
          <w:p>
            <w:pPr>
              <w:jc w:val="right"/>
              <w:ind w:right="58"/>
              <w:spacing w:after="0"/>
              <w:rPr>
                <w:sz w:val="20"/>
                <w:szCs w:val="20"/>
                <w:color w:val="auto"/>
              </w:rPr>
            </w:pPr>
            <w:r>
              <w:rPr>
                <w:rFonts w:ascii="Arial" w:cs="Arial" w:eastAsia="Arial" w:hAnsi="Arial"/>
                <w:sz w:val="13"/>
                <w:szCs w:val="13"/>
                <w:color w:val="auto"/>
              </w:rPr>
              <w:t>—</w:t>
            </w:r>
          </w:p>
        </w:tc>
        <w:tc>
          <w:tcPr>
            <w:tcW w:w="800" w:type="dxa"/>
            <w:vAlign w:val="bottom"/>
            <w:shd w:val="clear" w:color="auto" w:fill="D7F5C4"/>
          </w:tcPr>
          <w:p>
            <w:pPr>
              <w:jc w:val="right"/>
              <w:ind w:right="1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140" w:type="dxa"/>
            <w:vAlign w:val="bottom"/>
            <w:shd w:val="clear" w:color="auto" w:fill="D7F5C4"/>
          </w:tcPr>
          <w:p>
            <w:pPr>
              <w:spacing w:after="0"/>
              <w:rPr>
                <w:sz w:val="14"/>
                <w:szCs w:val="14"/>
                <w:color w:val="auto"/>
              </w:rPr>
            </w:pPr>
          </w:p>
        </w:tc>
        <w:tc>
          <w:tcPr>
            <w:tcW w:w="800" w:type="dxa"/>
            <w:vAlign w:val="bottom"/>
            <w:shd w:val="clear" w:color="auto" w:fill="D7F5C4"/>
          </w:tcPr>
          <w:p>
            <w:pPr>
              <w:jc w:val="right"/>
              <w:ind w:right="17"/>
              <w:spacing w:after="0"/>
              <w:rPr>
                <w:sz w:val="20"/>
                <w:szCs w:val="20"/>
                <w:color w:val="auto"/>
              </w:rPr>
            </w:pPr>
            <w:r>
              <w:rPr>
                <w:rFonts w:ascii="Arial" w:cs="Arial" w:eastAsia="Arial" w:hAnsi="Arial"/>
                <w:sz w:val="13"/>
                <w:szCs w:val="13"/>
                <w:color w:val="auto"/>
              </w:rPr>
              <w:t>8/27/2018</w:t>
            </w:r>
          </w:p>
        </w:tc>
        <w:tc>
          <w:tcPr>
            <w:tcW w:w="740" w:type="dxa"/>
            <w:vAlign w:val="bottom"/>
            <w:shd w:val="clear" w:color="auto" w:fill="D7F5C4"/>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shd w:val="clear" w:color="auto" w:fill="D7F5C4"/>
          </w:tcPr>
          <w:p>
            <w:pPr>
              <w:jc w:val="right"/>
              <w:ind w:right="137"/>
              <w:spacing w:after="0"/>
              <w:rPr>
                <w:sz w:val="20"/>
                <w:szCs w:val="20"/>
                <w:color w:val="auto"/>
              </w:rPr>
            </w:pPr>
            <w:r>
              <w:rPr>
                <w:rFonts w:ascii="Arial" w:cs="Arial" w:eastAsia="Arial" w:hAnsi="Arial"/>
                <w:sz w:val="13"/>
                <w:szCs w:val="13"/>
                <w:color w:val="auto"/>
              </w:rPr>
              <w:t>—</w:t>
            </w:r>
          </w:p>
        </w:tc>
        <w:tc>
          <w:tcPr>
            <w:tcW w:w="800" w:type="dxa"/>
            <w:vAlign w:val="bottom"/>
            <w:shd w:val="clear" w:color="auto" w:fill="D7F5C4"/>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shd w:val="clear" w:color="auto" w:fill="D7F5C4"/>
          </w:tcPr>
          <w:p>
            <w:pPr>
              <w:jc w:val="right"/>
              <w:spacing w:after="0"/>
              <w:rPr>
                <w:sz w:val="20"/>
                <w:szCs w:val="20"/>
                <w:color w:val="auto"/>
              </w:rPr>
            </w:pPr>
            <w:r>
              <w:rPr>
                <w:rFonts w:ascii="Arial" w:cs="Arial" w:eastAsia="Arial" w:hAnsi="Arial"/>
                <w:sz w:val="13"/>
                <w:szCs w:val="13"/>
                <w:color w:val="auto"/>
              </w:rPr>
              <w:t>8,346</w:t>
            </w:r>
          </w:p>
        </w:tc>
        <w:tc>
          <w:tcPr>
            <w:tcW w:w="720" w:type="dxa"/>
            <w:vAlign w:val="bottom"/>
            <w:shd w:val="clear" w:color="auto" w:fill="D7F5C4"/>
          </w:tcPr>
          <w:p>
            <w:pPr>
              <w:jc w:val="right"/>
              <w:ind w:right="78"/>
              <w:spacing w:after="0"/>
              <w:rPr>
                <w:sz w:val="20"/>
                <w:szCs w:val="20"/>
                <w:color w:val="auto"/>
              </w:rPr>
            </w:pPr>
            <w:r>
              <w:rPr>
                <w:rFonts w:ascii="Arial" w:cs="Arial" w:eastAsia="Arial" w:hAnsi="Arial"/>
                <w:sz w:val="13"/>
                <w:szCs w:val="13"/>
                <w:color w:val="auto"/>
              </w:rPr>
              <w:t>33,383</w:t>
            </w:r>
          </w:p>
        </w:tc>
        <w:tc>
          <w:tcPr>
            <w:tcW w:w="740" w:type="dxa"/>
            <w:vAlign w:val="bottom"/>
            <w:shd w:val="clear" w:color="auto" w:fill="D7F5C4"/>
          </w:tcPr>
          <w:p>
            <w:pPr>
              <w:jc w:val="right"/>
              <w:ind w:right="37"/>
              <w:spacing w:after="0"/>
              <w:rPr>
                <w:sz w:val="20"/>
                <w:szCs w:val="20"/>
                <w:color w:val="auto"/>
              </w:rPr>
            </w:pPr>
            <w:r>
              <w:rPr>
                <w:rFonts w:ascii="Arial" w:cs="Arial" w:eastAsia="Arial" w:hAnsi="Arial"/>
                <w:sz w:val="13"/>
                <w:szCs w:val="13"/>
                <w:color w:val="auto"/>
              </w:rPr>
              <w:t>66,766</w:t>
            </w:r>
          </w:p>
        </w:tc>
        <w:tc>
          <w:tcPr>
            <w:tcW w:w="740" w:type="dxa"/>
            <w:vAlign w:val="bottom"/>
            <w:shd w:val="clear" w:color="auto" w:fill="D7F5C4"/>
          </w:tcPr>
          <w:p>
            <w:pPr>
              <w:jc w:val="right"/>
              <w:ind w:right="38"/>
              <w:spacing w:after="0"/>
              <w:rPr>
                <w:sz w:val="20"/>
                <w:szCs w:val="20"/>
                <w:color w:val="auto"/>
              </w:rPr>
            </w:pPr>
            <w:r>
              <w:rPr>
                <w:rFonts w:ascii="Arial" w:cs="Arial" w:eastAsia="Arial" w:hAnsi="Arial"/>
                <w:sz w:val="13"/>
                <w:szCs w:val="13"/>
                <w:color w:val="auto"/>
              </w:rPr>
              <w:t>39,464</w:t>
            </w:r>
          </w:p>
        </w:tc>
        <w:tc>
          <w:tcPr>
            <w:tcW w:w="800" w:type="dxa"/>
            <w:vAlign w:val="bottom"/>
            <w:shd w:val="clear" w:color="auto" w:fill="D7F5C4"/>
          </w:tcPr>
          <w:p>
            <w:pPr>
              <w:jc w:val="right"/>
              <w:ind w:right="38"/>
              <w:spacing w:after="0"/>
              <w:rPr>
                <w:sz w:val="20"/>
                <w:szCs w:val="20"/>
                <w:color w:val="auto"/>
              </w:rPr>
            </w:pPr>
            <w:r>
              <w:rPr>
                <w:rFonts w:ascii="Arial" w:cs="Arial" w:eastAsia="Arial" w:hAnsi="Arial"/>
                <w:sz w:val="13"/>
                <w:szCs w:val="13"/>
                <w:color w:val="auto"/>
              </w:rPr>
              <w:t>—</w:t>
            </w:r>
          </w:p>
        </w:tc>
        <w:tc>
          <w:tcPr>
            <w:tcW w:w="680" w:type="dxa"/>
            <w:vAlign w:val="bottom"/>
            <w:shd w:val="clear" w:color="auto" w:fill="D7F5C4"/>
          </w:tcPr>
          <w:p>
            <w:pPr>
              <w:jc w:val="right"/>
              <w:ind w:right="58"/>
              <w:spacing w:after="0"/>
              <w:rPr>
                <w:sz w:val="20"/>
                <w:szCs w:val="20"/>
                <w:color w:val="auto"/>
              </w:rPr>
            </w:pPr>
            <w:r>
              <w:rPr>
                <w:rFonts w:ascii="Arial" w:cs="Arial" w:eastAsia="Arial" w:hAnsi="Arial"/>
                <w:sz w:val="13"/>
                <w:szCs w:val="13"/>
                <w:color w:val="auto"/>
              </w:rPr>
              <w:t>—</w:t>
            </w:r>
          </w:p>
        </w:tc>
        <w:tc>
          <w:tcPr>
            <w:tcW w:w="800" w:type="dxa"/>
            <w:vAlign w:val="bottom"/>
            <w:shd w:val="clear" w:color="auto" w:fill="D7F5C4"/>
          </w:tcPr>
          <w:p>
            <w:pPr>
              <w:jc w:val="right"/>
              <w:ind w:right="18"/>
              <w:spacing w:after="0"/>
              <w:rPr>
                <w:sz w:val="20"/>
                <w:szCs w:val="20"/>
                <w:color w:val="auto"/>
              </w:rPr>
            </w:pPr>
            <w:r>
              <w:rPr>
                <w:rFonts w:ascii="Arial" w:cs="Arial" w:eastAsia="Arial" w:hAnsi="Arial"/>
                <w:sz w:val="13"/>
                <w:szCs w:val="13"/>
                <w:color w:val="auto"/>
              </w:rPr>
              <w:t>1,942,043</w:t>
            </w:r>
          </w:p>
        </w:tc>
        <w:tc>
          <w:tcPr>
            <w:tcW w:w="0" w:type="dxa"/>
            <w:vAlign w:val="bottom"/>
          </w:tcPr>
          <w:p>
            <w:pPr>
              <w:spacing w:after="0"/>
              <w:rPr>
                <w:sz w:val="1"/>
                <w:szCs w:val="1"/>
                <w:color w:val="auto"/>
              </w:rPr>
            </w:pPr>
          </w:p>
        </w:tc>
      </w:tr>
      <w:tr>
        <w:trPr>
          <w:trHeight w:val="143"/>
        </w:trPr>
        <w:tc>
          <w:tcPr>
            <w:tcW w:w="1140" w:type="dxa"/>
            <w:vAlign w:val="bottom"/>
          </w:tcPr>
          <w:p>
            <w:pPr>
              <w:spacing w:after="0" w:line="143" w:lineRule="exact"/>
              <w:rPr>
                <w:sz w:val="20"/>
                <w:szCs w:val="20"/>
                <w:color w:val="auto"/>
              </w:rPr>
            </w:pPr>
            <w:r>
              <w:rPr>
                <w:rFonts w:ascii="Arial" w:cs="Arial" w:eastAsia="Arial" w:hAnsi="Arial"/>
                <w:sz w:val="13"/>
                <w:szCs w:val="13"/>
                <w:color w:val="auto"/>
              </w:rPr>
              <w:t>Joseph F.</w:t>
            </w: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781,396</w:t>
            </w:r>
            <w:r>
              <w:rPr>
                <w:rFonts w:ascii="Arial" w:cs="Arial" w:eastAsia="Arial" w:hAnsi="Arial"/>
                <w:sz w:val="20"/>
                <w:szCs w:val="20"/>
                <w:color w:val="auto"/>
                <w:vertAlign w:val="superscript"/>
              </w:rPr>
              <w:t>(4)</w:t>
            </w: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20"/>
                <w:szCs w:val="20"/>
                <w:color w:val="auto"/>
              </w:rPr>
            </w:pPr>
            <w:r>
              <w:rPr>
                <w:rFonts w:ascii="Arial" w:cs="Arial" w:eastAsia="Arial" w:hAnsi="Arial"/>
                <w:sz w:val="13"/>
                <w:szCs w:val="13"/>
                <w:color w:val="auto"/>
              </w:rPr>
              <w:t>Montalbano</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8/27/2018</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195,349</w:t>
            </w:r>
          </w:p>
        </w:tc>
        <w:tc>
          <w:tcPr>
            <w:tcW w:w="840" w:type="dxa"/>
            <w:vAlign w:val="bottom"/>
          </w:tcPr>
          <w:p>
            <w:pPr>
              <w:jc w:val="right"/>
              <w:ind w:right="137"/>
              <w:spacing w:after="0"/>
              <w:rPr>
                <w:sz w:val="20"/>
                <w:szCs w:val="20"/>
                <w:color w:val="auto"/>
              </w:rPr>
            </w:pPr>
            <w:r>
              <w:rPr>
                <w:rFonts w:ascii="Arial" w:cs="Arial" w:eastAsia="Arial" w:hAnsi="Arial"/>
                <w:sz w:val="13"/>
                <w:szCs w:val="13"/>
                <w:color w:val="auto"/>
              </w:rPr>
              <w:t>390,698</w:t>
            </w:r>
          </w:p>
        </w:tc>
        <w:tc>
          <w:tcPr>
            <w:tcW w:w="800" w:type="dxa"/>
            <w:vAlign w:val="bottom"/>
            <w:vMerge w:val="continue"/>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1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8/27/2018</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121,550</w:t>
            </w:r>
          </w:p>
        </w:tc>
        <w:tc>
          <w:tcPr>
            <w:tcW w:w="8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243,099</w:t>
            </w: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2"/>
                <w:szCs w:val="12"/>
                <w:color w:val="auto"/>
              </w:rPr>
              <w:t>364,649</w:t>
            </w:r>
            <w:r>
              <w:rPr>
                <w:rFonts w:ascii="Arial" w:cs="Arial" w:eastAsia="Arial" w:hAnsi="Arial"/>
                <w:sz w:val="18"/>
                <w:szCs w:val="18"/>
                <w:color w:val="auto"/>
                <w:vertAlign w:val="superscript"/>
              </w:rPr>
              <w:t>(5)</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3"/>
                <w:szCs w:val="13"/>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8/27/2018</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3,043</w:t>
            </w:r>
          </w:p>
        </w:tc>
        <w:tc>
          <w:tcPr>
            <w:tcW w:w="720" w:type="dxa"/>
            <w:vAlign w:val="bottom"/>
          </w:tcPr>
          <w:p>
            <w:pPr>
              <w:jc w:val="right"/>
              <w:ind w:right="78"/>
              <w:spacing w:after="0"/>
              <w:rPr>
                <w:sz w:val="20"/>
                <w:szCs w:val="20"/>
                <w:color w:val="auto"/>
              </w:rPr>
            </w:pPr>
            <w:r>
              <w:rPr>
                <w:rFonts w:ascii="Arial" w:cs="Arial" w:eastAsia="Arial" w:hAnsi="Arial"/>
                <w:sz w:val="13"/>
                <w:szCs w:val="13"/>
                <w:color w:val="auto"/>
              </w:rPr>
              <w:t>12,173</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24,346</w:t>
            </w:r>
          </w:p>
        </w:tc>
        <w:tc>
          <w:tcPr>
            <w:tcW w:w="740" w:type="dxa"/>
            <w:vAlign w:val="bottom"/>
          </w:tcPr>
          <w:p>
            <w:pPr>
              <w:jc w:val="right"/>
              <w:ind w:right="38"/>
              <w:spacing w:after="0"/>
              <w:rPr>
                <w:sz w:val="20"/>
                <w:szCs w:val="20"/>
                <w:color w:val="auto"/>
              </w:rPr>
            </w:pPr>
            <w:r>
              <w:rPr>
                <w:rFonts w:ascii="Arial" w:cs="Arial" w:eastAsia="Arial" w:hAnsi="Arial"/>
                <w:sz w:val="13"/>
                <w:szCs w:val="13"/>
                <w:color w:val="auto"/>
              </w:rPr>
              <w:t>15,190</w:t>
            </w:r>
          </w:p>
        </w:tc>
        <w:tc>
          <w:tcPr>
            <w:tcW w:w="80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8"/>
              <w:spacing w:after="0"/>
              <w:rPr>
                <w:sz w:val="20"/>
                <w:szCs w:val="20"/>
                <w:color w:val="auto"/>
              </w:rPr>
            </w:pPr>
            <w:r>
              <w:rPr>
                <w:rFonts w:ascii="Arial" w:cs="Arial" w:eastAsia="Arial" w:hAnsi="Arial"/>
                <w:sz w:val="13"/>
                <w:szCs w:val="13"/>
                <w:color w:val="auto"/>
              </w:rPr>
              <w:t>725,431</w:t>
            </w:r>
          </w:p>
        </w:tc>
        <w:tc>
          <w:tcPr>
            <w:tcW w:w="0" w:type="dxa"/>
            <w:vAlign w:val="bottom"/>
          </w:tcPr>
          <w:p>
            <w:pPr>
              <w:spacing w:after="0"/>
              <w:rPr>
                <w:sz w:val="1"/>
                <w:szCs w:val="1"/>
                <w:color w:val="auto"/>
              </w:rPr>
            </w:pPr>
          </w:p>
        </w:tc>
      </w:tr>
      <w:tr>
        <w:trPr>
          <w:trHeight w:val="163"/>
        </w:trPr>
        <w:tc>
          <w:tcPr>
            <w:tcW w:w="1140" w:type="dxa"/>
            <w:vAlign w:val="bottom"/>
            <w:shd w:val="clear" w:color="auto" w:fill="D7F5C4"/>
          </w:tcPr>
          <w:p>
            <w:pPr>
              <w:spacing w:after="0"/>
              <w:rPr>
                <w:sz w:val="20"/>
                <w:szCs w:val="20"/>
                <w:color w:val="auto"/>
              </w:rPr>
            </w:pPr>
            <w:r>
              <w:rPr>
                <w:rFonts w:ascii="Arial" w:cs="Arial" w:eastAsia="Arial" w:hAnsi="Arial"/>
                <w:sz w:val="13"/>
                <w:szCs w:val="13"/>
                <w:color w:val="auto"/>
              </w:rPr>
              <w:t>Kevin S. Cavanah</w:t>
            </w:r>
          </w:p>
        </w:tc>
        <w:tc>
          <w:tcPr>
            <w:tcW w:w="800" w:type="dxa"/>
            <w:vAlign w:val="bottom"/>
            <w:shd w:val="clear" w:color="auto" w:fill="D7F5C4"/>
          </w:tcPr>
          <w:p>
            <w:pPr>
              <w:jc w:val="right"/>
              <w:ind w:right="17"/>
              <w:spacing w:after="0"/>
              <w:rPr>
                <w:sz w:val="20"/>
                <w:szCs w:val="20"/>
                <w:color w:val="auto"/>
              </w:rPr>
            </w:pPr>
            <w:r>
              <w:rPr>
                <w:rFonts w:ascii="Arial" w:cs="Arial" w:eastAsia="Arial" w:hAnsi="Arial"/>
                <w:sz w:val="13"/>
                <w:szCs w:val="13"/>
                <w:color w:val="auto"/>
              </w:rPr>
              <w:t>8/27/2018</w:t>
            </w:r>
          </w:p>
        </w:tc>
        <w:tc>
          <w:tcPr>
            <w:tcW w:w="740" w:type="dxa"/>
            <w:vAlign w:val="bottom"/>
            <w:shd w:val="clear" w:color="auto" w:fill="D7F5C4"/>
          </w:tcPr>
          <w:p>
            <w:pPr>
              <w:jc w:val="right"/>
              <w:ind w:right="17"/>
              <w:spacing w:after="0"/>
              <w:rPr>
                <w:sz w:val="20"/>
                <w:szCs w:val="20"/>
                <w:color w:val="auto"/>
              </w:rPr>
            </w:pPr>
            <w:r>
              <w:rPr>
                <w:rFonts w:ascii="Arial" w:cs="Arial" w:eastAsia="Arial" w:hAnsi="Arial"/>
                <w:sz w:val="13"/>
                <w:szCs w:val="13"/>
                <w:color w:val="auto"/>
              </w:rPr>
              <w:t>178,126</w:t>
            </w:r>
          </w:p>
        </w:tc>
        <w:tc>
          <w:tcPr>
            <w:tcW w:w="840" w:type="dxa"/>
            <w:vAlign w:val="bottom"/>
            <w:shd w:val="clear" w:color="auto" w:fill="D7F5C4"/>
          </w:tcPr>
          <w:p>
            <w:pPr>
              <w:jc w:val="right"/>
              <w:ind w:right="137"/>
              <w:spacing w:after="0"/>
              <w:rPr>
                <w:sz w:val="20"/>
                <w:szCs w:val="20"/>
                <w:color w:val="auto"/>
              </w:rPr>
            </w:pPr>
            <w:r>
              <w:rPr>
                <w:rFonts w:ascii="Arial" w:cs="Arial" w:eastAsia="Arial" w:hAnsi="Arial"/>
                <w:sz w:val="13"/>
                <w:szCs w:val="13"/>
                <w:color w:val="auto"/>
              </w:rPr>
              <w:t>356,251</w:t>
            </w:r>
          </w:p>
        </w:tc>
        <w:tc>
          <w:tcPr>
            <w:tcW w:w="800" w:type="dxa"/>
            <w:vAlign w:val="bottom"/>
            <w:shd w:val="clear" w:color="auto" w:fill="D7F5C4"/>
          </w:tcPr>
          <w:p>
            <w:pPr>
              <w:jc w:val="right"/>
              <w:spacing w:after="0" w:line="163" w:lineRule="exact"/>
              <w:rPr>
                <w:sz w:val="20"/>
                <w:szCs w:val="20"/>
                <w:color w:val="auto"/>
              </w:rPr>
            </w:pPr>
            <w:r>
              <w:rPr>
                <w:rFonts w:ascii="Arial" w:cs="Arial" w:eastAsia="Arial" w:hAnsi="Arial"/>
                <w:sz w:val="12"/>
                <w:szCs w:val="12"/>
                <w:color w:val="auto"/>
              </w:rPr>
              <w:t>712,502</w:t>
            </w:r>
            <w:r>
              <w:rPr>
                <w:rFonts w:ascii="Arial" w:cs="Arial" w:eastAsia="Arial" w:hAnsi="Arial"/>
                <w:sz w:val="18"/>
                <w:szCs w:val="18"/>
                <w:color w:val="auto"/>
                <w:vertAlign w:val="superscript"/>
              </w:rPr>
              <w:t>(4)</w:t>
            </w:r>
          </w:p>
        </w:tc>
        <w:tc>
          <w:tcPr>
            <w:tcW w:w="760" w:type="dxa"/>
            <w:vAlign w:val="bottom"/>
            <w:shd w:val="clear" w:color="auto" w:fill="D7F5C4"/>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D7F5C4"/>
          </w:tcPr>
          <w:p>
            <w:pPr>
              <w:jc w:val="right"/>
              <w:ind w:right="78"/>
              <w:spacing w:after="0"/>
              <w:rPr>
                <w:sz w:val="20"/>
                <w:szCs w:val="20"/>
                <w:color w:val="auto"/>
              </w:rPr>
            </w:pPr>
            <w:r>
              <w:rPr>
                <w:rFonts w:ascii="Arial" w:cs="Arial" w:eastAsia="Arial" w:hAnsi="Arial"/>
                <w:sz w:val="13"/>
                <w:szCs w:val="13"/>
                <w:color w:val="auto"/>
              </w:rPr>
              <w:t>—</w:t>
            </w:r>
          </w:p>
        </w:tc>
        <w:tc>
          <w:tcPr>
            <w:tcW w:w="740" w:type="dxa"/>
            <w:vAlign w:val="bottom"/>
            <w:shd w:val="clear" w:color="auto" w:fill="D7F5C4"/>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D7F5C4"/>
          </w:tcPr>
          <w:p>
            <w:pPr>
              <w:jc w:val="right"/>
              <w:ind w:right="38"/>
              <w:spacing w:after="0"/>
              <w:rPr>
                <w:sz w:val="20"/>
                <w:szCs w:val="20"/>
                <w:color w:val="auto"/>
              </w:rPr>
            </w:pPr>
            <w:r>
              <w:rPr>
                <w:rFonts w:ascii="Arial" w:cs="Arial" w:eastAsia="Arial" w:hAnsi="Arial"/>
                <w:sz w:val="13"/>
                <w:szCs w:val="13"/>
                <w:color w:val="auto"/>
              </w:rPr>
              <w:t>—</w:t>
            </w:r>
          </w:p>
        </w:tc>
        <w:tc>
          <w:tcPr>
            <w:tcW w:w="800" w:type="dxa"/>
            <w:vAlign w:val="bottom"/>
            <w:shd w:val="clear" w:color="auto" w:fill="D7F5C4"/>
          </w:tcPr>
          <w:p>
            <w:pPr>
              <w:jc w:val="right"/>
              <w:ind w:right="38"/>
              <w:spacing w:after="0"/>
              <w:rPr>
                <w:sz w:val="20"/>
                <w:szCs w:val="20"/>
                <w:color w:val="auto"/>
              </w:rPr>
            </w:pPr>
            <w:r>
              <w:rPr>
                <w:rFonts w:ascii="Arial" w:cs="Arial" w:eastAsia="Arial" w:hAnsi="Arial"/>
                <w:sz w:val="13"/>
                <w:szCs w:val="13"/>
                <w:color w:val="auto"/>
              </w:rPr>
              <w:t>—</w:t>
            </w:r>
          </w:p>
        </w:tc>
        <w:tc>
          <w:tcPr>
            <w:tcW w:w="680" w:type="dxa"/>
            <w:vAlign w:val="bottom"/>
            <w:shd w:val="clear" w:color="auto" w:fill="D7F5C4"/>
          </w:tcPr>
          <w:p>
            <w:pPr>
              <w:jc w:val="right"/>
              <w:ind w:right="58"/>
              <w:spacing w:after="0"/>
              <w:rPr>
                <w:sz w:val="20"/>
                <w:szCs w:val="20"/>
                <w:color w:val="auto"/>
              </w:rPr>
            </w:pPr>
            <w:r>
              <w:rPr>
                <w:rFonts w:ascii="Arial" w:cs="Arial" w:eastAsia="Arial" w:hAnsi="Arial"/>
                <w:sz w:val="13"/>
                <w:szCs w:val="13"/>
                <w:color w:val="auto"/>
              </w:rPr>
              <w:t>—</w:t>
            </w:r>
          </w:p>
        </w:tc>
        <w:tc>
          <w:tcPr>
            <w:tcW w:w="800" w:type="dxa"/>
            <w:vAlign w:val="bottom"/>
            <w:shd w:val="clear" w:color="auto" w:fill="D7F5C4"/>
          </w:tcPr>
          <w:p>
            <w:pPr>
              <w:jc w:val="right"/>
              <w:ind w:right="1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140" w:type="dxa"/>
            <w:vAlign w:val="bottom"/>
            <w:shd w:val="clear" w:color="auto" w:fill="D7F5C4"/>
          </w:tcPr>
          <w:p>
            <w:pPr>
              <w:spacing w:after="0"/>
              <w:rPr>
                <w:sz w:val="14"/>
                <w:szCs w:val="14"/>
                <w:color w:val="auto"/>
              </w:rPr>
            </w:pPr>
          </w:p>
        </w:tc>
        <w:tc>
          <w:tcPr>
            <w:tcW w:w="800" w:type="dxa"/>
            <w:vAlign w:val="bottom"/>
            <w:shd w:val="clear" w:color="auto" w:fill="D7F5C4"/>
          </w:tcPr>
          <w:p>
            <w:pPr>
              <w:jc w:val="right"/>
              <w:ind w:right="17"/>
              <w:spacing w:after="0"/>
              <w:rPr>
                <w:sz w:val="20"/>
                <w:szCs w:val="20"/>
                <w:color w:val="auto"/>
              </w:rPr>
            </w:pPr>
            <w:r>
              <w:rPr>
                <w:rFonts w:ascii="Arial" w:cs="Arial" w:eastAsia="Arial" w:hAnsi="Arial"/>
                <w:sz w:val="13"/>
                <w:szCs w:val="13"/>
                <w:color w:val="auto"/>
              </w:rPr>
              <w:t>8/27/2018</w:t>
            </w:r>
          </w:p>
        </w:tc>
        <w:tc>
          <w:tcPr>
            <w:tcW w:w="740" w:type="dxa"/>
            <w:vAlign w:val="bottom"/>
            <w:shd w:val="clear" w:color="auto" w:fill="D7F5C4"/>
          </w:tcPr>
          <w:p>
            <w:pPr>
              <w:jc w:val="right"/>
              <w:ind w:right="17"/>
              <w:spacing w:after="0"/>
              <w:rPr>
                <w:sz w:val="20"/>
                <w:szCs w:val="20"/>
                <w:color w:val="auto"/>
              </w:rPr>
            </w:pPr>
            <w:r>
              <w:rPr>
                <w:rFonts w:ascii="Arial" w:cs="Arial" w:eastAsia="Arial" w:hAnsi="Arial"/>
                <w:sz w:val="13"/>
                <w:szCs w:val="13"/>
                <w:color w:val="auto"/>
              </w:rPr>
              <w:t>110,832</w:t>
            </w:r>
          </w:p>
        </w:tc>
        <w:tc>
          <w:tcPr>
            <w:tcW w:w="840" w:type="dxa"/>
            <w:vAlign w:val="bottom"/>
            <w:shd w:val="clear" w:color="auto" w:fill="D7F5C4"/>
          </w:tcPr>
          <w:p>
            <w:pPr>
              <w:jc w:val="right"/>
              <w:ind w:right="137"/>
              <w:spacing w:after="0"/>
              <w:rPr>
                <w:sz w:val="20"/>
                <w:szCs w:val="20"/>
                <w:color w:val="auto"/>
              </w:rPr>
            </w:pPr>
            <w:r>
              <w:rPr>
                <w:rFonts w:ascii="Arial" w:cs="Arial" w:eastAsia="Arial" w:hAnsi="Arial"/>
                <w:sz w:val="13"/>
                <w:szCs w:val="13"/>
                <w:color w:val="auto"/>
              </w:rPr>
              <w:t>221,664</w:t>
            </w:r>
          </w:p>
        </w:tc>
        <w:tc>
          <w:tcPr>
            <w:tcW w:w="800" w:type="dxa"/>
            <w:vAlign w:val="bottom"/>
            <w:shd w:val="clear" w:color="auto" w:fill="D7F5C4"/>
          </w:tcPr>
          <w:p>
            <w:pPr>
              <w:jc w:val="right"/>
              <w:spacing w:after="0" w:line="163" w:lineRule="exact"/>
              <w:rPr>
                <w:sz w:val="20"/>
                <w:szCs w:val="20"/>
                <w:color w:val="auto"/>
              </w:rPr>
            </w:pPr>
            <w:r>
              <w:rPr>
                <w:rFonts w:ascii="Arial" w:cs="Arial" w:eastAsia="Arial" w:hAnsi="Arial"/>
                <w:sz w:val="12"/>
                <w:szCs w:val="12"/>
                <w:color w:val="auto"/>
              </w:rPr>
              <w:t>332,496</w:t>
            </w:r>
            <w:r>
              <w:rPr>
                <w:rFonts w:ascii="Arial" w:cs="Arial" w:eastAsia="Arial" w:hAnsi="Arial"/>
                <w:sz w:val="18"/>
                <w:szCs w:val="18"/>
                <w:color w:val="auto"/>
                <w:vertAlign w:val="superscript"/>
              </w:rPr>
              <w:t>(5)</w:t>
            </w:r>
          </w:p>
        </w:tc>
        <w:tc>
          <w:tcPr>
            <w:tcW w:w="760" w:type="dxa"/>
            <w:vAlign w:val="bottom"/>
            <w:shd w:val="clear" w:color="auto" w:fill="D7F5C4"/>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D7F5C4"/>
          </w:tcPr>
          <w:p>
            <w:pPr>
              <w:jc w:val="right"/>
              <w:ind w:right="78"/>
              <w:spacing w:after="0"/>
              <w:rPr>
                <w:sz w:val="20"/>
                <w:szCs w:val="20"/>
                <w:color w:val="auto"/>
              </w:rPr>
            </w:pPr>
            <w:r>
              <w:rPr>
                <w:rFonts w:ascii="Arial" w:cs="Arial" w:eastAsia="Arial" w:hAnsi="Arial"/>
                <w:sz w:val="13"/>
                <w:szCs w:val="13"/>
                <w:color w:val="auto"/>
              </w:rPr>
              <w:t>—</w:t>
            </w:r>
          </w:p>
        </w:tc>
        <w:tc>
          <w:tcPr>
            <w:tcW w:w="740" w:type="dxa"/>
            <w:vAlign w:val="bottom"/>
            <w:shd w:val="clear" w:color="auto" w:fill="D7F5C4"/>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D7F5C4"/>
          </w:tcPr>
          <w:p>
            <w:pPr>
              <w:jc w:val="right"/>
              <w:ind w:right="38"/>
              <w:spacing w:after="0"/>
              <w:rPr>
                <w:sz w:val="20"/>
                <w:szCs w:val="20"/>
                <w:color w:val="auto"/>
              </w:rPr>
            </w:pPr>
            <w:r>
              <w:rPr>
                <w:rFonts w:ascii="Arial" w:cs="Arial" w:eastAsia="Arial" w:hAnsi="Arial"/>
                <w:sz w:val="13"/>
                <w:szCs w:val="13"/>
                <w:color w:val="auto"/>
              </w:rPr>
              <w:t>—</w:t>
            </w:r>
          </w:p>
        </w:tc>
        <w:tc>
          <w:tcPr>
            <w:tcW w:w="800" w:type="dxa"/>
            <w:vAlign w:val="bottom"/>
            <w:shd w:val="clear" w:color="auto" w:fill="D7F5C4"/>
          </w:tcPr>
          <w:p>
            <w:pPr>
              <w:jc w:val="right"/>
              <w:ind w:right="38"/>
              <w:spacing w:after="0"/>
              <w:rPr>
                <w:sz w:val="20"/>
                <w:szCs w:val="20"/>
                <w:color w:val="auto"/>
              </w:rPr>
            </w:pPr>
            <w:r>
              <w:rPr>
                <w:rFonts w:ascii="Arial" w:cs="Arial" w:eastAsia="Arial" w:hAnsi="Arial"/>
                <w:sz w:val="13"/>
                <w:szCs w:val="13"/>
                <w:color w:val="auto"/>
              </w:rPr>
              <w:t>—</w:t>
            </w:r>
          </w:p>
        </w:tc>
        <w:tc>
          <w:tcPr>
            <w:tcW w:w="680" w:type="dxa"/>
            <w:vAlign w:val="bottom"/>
            <w:shd w:val="clear" w:color="auto" w:fill="D7F5C4"/>
          </w:tcPr>
          <w:p>
            <w:pPr>
              <w:jc w:val="right"/>
              <w:ind w:right="58"/>
              <w:spacing w:after="0"/>
              <w:rPr>
                <w:sz w:val="20"/>
                <w:szCs w:val="20"/>
                <w:color w:val="auto"/>
              </w:rPr>
            </w:pPr>
            <w:r>
              <w:rPr>
                <w:rFonts w:ascii="Arial" w:cs="Arial" w:eastAsia="Arial" w:hAnsi="Arial"/>
                <w:sz w:val="13"/>
                <w:szCs w:val="13"/>
                <w:color w:val="auto"/>
              </w:rPr>
              <w:t>—</w:t>
            </w:r>
          </w:p>
        </w:tc>
        <w:tc>
          <w:tcPr>
            <w:tcW w:w="800" w:type="dxa"/>
            <w:vAlign w:val="bottom"/>
            <w:shd w:val="clear" w:color="auto" w:fill="D7F5C4"/>
          </w:tcPr>
          <w:p>
            <w:pPr>
              <w:jc w:val="right"/>
              <w:ind w:right="1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140" w:type="dxa"/>
            <w:vAlign w:val="bottom"/>
            <w:shd w:val="clear" w:color="auto" w:fill="D7F5C4"/>
          </w:tcPr>
          <w:p>
            <w:pPr>
              <w:spacing w:after="0"/>
              <w:rPr>
                <w:sz w:val="14"/>
                <w:szCs w:val="14"/>
                <w:color w:val="auto"/>
              </w:rPr>
            </w:pPr>
          </w:p>
        </w:tc>
        <w:tc>
          <w:tcPr>
            <w:tcW w:w="800" w:type="dxa"/>
            <w:vAlign w:val="bottom"/>
            <w:shd w:val="clear" w:color="auto" w:fill="D7F5C4"/>
          </w:tcPr>
          <w:p>
            <w:pPr>
              <w:jc w:val="right"/>
              <w:ind w:right="17"/>
              <w:spacing w:after="0"/>
              <w:rPr>
                <w:sz w:val="20"/>
                <w:szCs w:val="20"/>
                <w:color w:val="auto"/>
              </w:rPr>
            </w:pPr>
            <w:r>
              <w:rPr>
                <w:rFonts w:ascii="Arial" w:cs="Arial" w:eastAsia="Arial" w:hAnsi="Arial"/>
                <w:sz w:val="13"/>
                <w:szCs w:val="13"/>
                <w:color w:val="auto"/>
              </w:rPr>
              <w:t>8/27/2018</w:t>
            </w:r>
          </w:p>
        </w:tc>
        <w:tc>
          <w:tcPr>
            <w:tcW w:w="740" w:type="dxa"/>
            <w:vAlign w:val="bottom"/>
            <w:shd w:val="clear" w:color="auto" w:fill="D7F5C4"/>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shd w:val="clear" w:color="auto" w:fill="D7F5C4"/>
          </w:tcPr>
          <w:p>
            <w:pPr>
              <w:jc w:val="right"/>
              <w:ind w:right="137"/>
              <w:spacing w:after="0"/>
              <w:rPr>
                <w:sz w:val="20"/>
                <w:szCs w:val="20"/>
                <w:color w:val="auto"/>
              </w:rPr>
            </w:pPr>
            <w:r>
              <w:rPr>
                <w:rFonts w:ascii="Arial" w:cs="Arial" w:eastAsia="Arial" w:hAnsi="Arial"/>
                <w:sz w:val="13"/>
                <w:szCs w:val="13"/>
                <w:color w:val="auto"/>
              </w:rPr>
              <w:t>—</w:t>
            </w:r>
          </w:p>
        </w:tc>
        <w:tc>
          <w:tcPr>
            <w:tcW w:w="800" w:type="dxa"/>
            <w:vAlign w:val="bottom"/>
            <w:shd w:val="clear" w:color="auto" w:fill="D7F5C4"/>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shd w:val="clear" w:color="auto" w:fill="D7F5C4"/>
          </w:tcPr>
          <w:p>
            <w:pPr>
              <w:jc w:val="right"/>
              <w:spacing w:after="0"/>
              <w:rPr>
                <w:sz w:val="20"/>
                <w:szCs w:val="20"/>
                <w:color w:val="auto"/>
              </w:rPr>
            </w:pPr>
            <w:r>
              <w:rPr>
                <w:rFonts w:ascii="Arial" w:cs="Arial" w:eastAsia="Arial" w:hAnsi="Arial"/>
                <w:sz w:val="13"/>
                <w:szCs w:val="13"/>
                <w:color w:val="auto"/>
              </w:rPr>
              <w:t>2,775</w:t>
            </w:r>
          </w:p>
        </w:tc>
        <w:tc>
          <w:tcPr>
            <w:tcW w:w="720" w:type="dxa"/>
            <w:vAlign w:val="bottom"/>
            <w:shd w:val="clear" w:color="auto" w:fill="D7F5C4"/>
          </w:tcPr>
          <w:p>
            <w:pPr>
              <w:jc w:val="right"/>
              <w:ind w:right="78"/>
              <w:spacing w:after="0"/>
              <w:rPr>
                <w:sz w:val="20"/>
                <w:szCs w:val="20"/>
                <w:color w:val="auto"/>
              </w:rPr>
            </w:pPr>
            <w:r>
              <w:rPr>
                <w:rFonts w:ascii="Arial" w:cs="Arial" w:eastAsia="Arial" w:hAnsi="Arial"/>
                <w:sz w:val="13"/>
                <w:szCs w:val="13"/>
                <w:color w:val="auto"/>
              </w:rPr>
              <w:t>11,100</w:t>
            </w:r>
          </w:p>
        </w:tc>
        <w:tc>
          <w:tcPr>
            <w:tcW w:w="740" w:type="dxa"/>
            <w:vAlign w:val="bottom"/>
            <w:shd w:val="clear" w:color="auto" w:fill="D7F5C4"/>
          </w:tcPr>
          <w:p>
            <w:pPr>
              <w:jc w:val="right"/>
              <w:ind w:right="37"/>
              <w:spacing w:after="0"/>
              <w:rPr>
                <w:sz w:val="20"/>
                <w:szCs w:val="20"/>
                <w:color w:val="auto"/>
              </w:rPr>
            </w:pPr>
            <w:r>
              <w:rPr>
                <w:rFonts w:ascii="Arial" w:cs="Arial" w:eastAsia="Arial" w:hAnsi="Arial"/>
                <w:sz w:val="13"/>
                <w:szCs w:val="13"/>
                <w:color w:val="auto"/>
              </w:rPr>
              <w:t>22,200</w:t>
            </w:r>
          </w:p>
        </w:tc>
        <w:tc>
          <w:tcPr>
            <w:tcW w:w="740" w:type="dxa"/>
            <w:vAlign w:val="bottom"/>
            <w:shd w:val="clear" w:color="auto" w:fill="D7F5C4"/>
          </w:tcPr>
          <w:p>
            <w:pPr>
              <w:jc w:val="right"/>
              <w:ind w:right="38"/>
              <w:spacing w:after="0"/>
              <w:rPr>
                <w:sz w:val="20"/>
                <w:szCs w:val="20"/>
                <w:color w:val="auto"/>
              </w:rPr>
            </w:pPr>
            <w:r>
              <w:rPr>
                <w:rFonts w:ascii="Arial" w:cs="Arial" w:eastAsia="Arial" w:hAnsi="Arial"/>
                <w:sz w:val="13"/>
                <w:szCs w:val="13"/>
                <w:color w:val="auto"/>
              </w:rPr>
              <w:t>13,740</w:t>
            </w:r>
          </w:p>
        </w:tc>
        <w:tc>
          <w:tcPr>
            <w:tcW w:w="800" w:type="dxa"/>
            <w:vAlign w:val="bottom"/>
            <w:shd w:val="clear" w:color="auto" w:fill="D7F5C4"/>
          </w:tcPr>
          <w:p>
            <w:pPr>
              <w:jc w:val="right"/>
              <w:ind w:right="38"/>
              <w:spacing w:after="0"/>
              <w:rPr>
                <w:sz w:val="20"/>
                <w:szCs w:val="20"/>
                <w:color w:val="auto"/>
              </w:rPr>
            </w:pPr>
            <w:r>
              <w:rPr>
                <w:rFonts w:ascii="Arial" w:cs="Arial" w:eastAsia="Arial" w:hAnsi="Arial"/>
                <w:sz w:val="13"/>
                <w:szCs w:val="13"/>
                <w:color w:val="auto"/>
              </w:rPr>
              <w:t>—</w:t>
            </w:r>
          </w:p>
        </w:tc>
        <w:tc>
          <w:tcPr>
            <w:tcW w:w="680" w:type="dxa"/>
            <w:vAlign w:val="bottom"/>
            <w:shd w:val="clear" w:color="auto" w:fill="D7F5C4"/>
          </w:tcPr>
          <w:p>
            <w:pPr>
              <w:jc w:val="right"/>
              <w:ind w:right="58"/>
              <w:spacing w:after="0"/>
              <w:rPr>
                <w:sz w:val="20"/>
                <w:szCs w:val="20"/>
                <w:color w:val="auto"/>
              </w:rPr>
            </w:pPr>
            <w:r>
              <w:rPr>
                <w:rFonts w:ascii="Arial" w:cs="Arial" w:eastAsia="Arial" w:hAnsi="Arial"/>
                <w:sz w:val="13"/>
                <w:szCs w:val="13"/>
                <w:color w:val="auto"/>
              </w:rPr>
              <w:t>—</w:t>
            </w:r>
          </w:p>
        </w:tc>
        <w:tc>
          <w:tcPr>
            <w:tcW w:w="800" w:type="dxa"/>
            <w:vAlign w:val="bottom"/>
            <w:shd w:val="clear" w:color="auto" w:fill="D7F5C4"/>
          </w:tcPr>
          <w:p>
            <w:pPr>
              <w:jc w:val="right"/>
              <w:ind w:right="18"/>
              <w:spacing w:after="0"/>
              <w:rPr>
                <w:sz w:val="20"/>
                <w:szCs w:val="20"/>
                <w:color w:val="auto"/>
              </w:rPr>
            </w:pPr>
            <w:r>
              <w:rPr>
                <w:rFonts w:ascii="Arial" w:cs="Arial" w:eastAsia="Arial" w:hAnsi="Arial"/>
                <w:sz w:val="13"/>
                <w:szCs w:val="13"/>
                <w:color w:val="auto"/>
              </w:rPr>
              <w:t>659,088</w:t>
            </w:r>
          </w:p>
        </w:tc>
        <w:tc>
          <w:tcPr>
            <w:tcW w:w="0" w:type="dxa"/>
            <w:vAlign w:val="bottom"/>
          </w:tcPr>
          <w:p>
            <w:pPr>
              <w:spacing w:after="0"/>
              <w:rPr>
                <w:sz w:val="1"/>
                <w:szCs w:val="1"/>
                <w:color w:val="auto"/>
              </w:rPr>
            </w:pPr>
          </w:p>
        </w:tc>
      </w:tr>
      <w:tr>
        <w:trPr>
          <w:trHeight w:val="162"/>
        </w:trPr>
        <w:tc>
          <w:tcPr>
            <w:tcW w:w="1140" w:type="dxa"/>
            <w:vAlign w:val="bottom"/>
          </w:tcPr>
          <w:p>
            <w:pPr>
              <w:spacing w:after="0"/>
              <w:rPr>
                <w:sz w:val="20"/>
                <w:szCs w:val="20"/>
                <w:color w:val="auto"/>
              </w:rPr>
            </w:pPr>
            <w:r>
              <w:rPr>
                <w:rFonts w:ascii="Arial" w:cs="Arial" w:eastAsia="Arial" w:hAnsi="Arial"/>
                <w:sz w:val="13"/>
                <w:szCs w:val="13"/>
                <w:color w:val="auto"/>
              </w:rPr>
              <w:t>Alan R. Updyke</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8/27/2018</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149,055</w:t>
            </w:r>
          </w:p>
        </w:tc>
        <w:tc>
          <w:tcPr>
            <w:tcW w:w="840" w:type="dxa"/>
            <w:vAlign w:val="bottom"/>
          </w:tcPr>
          <w:p>
            <w:pPr>
              <w:jc w:val="right"/>
              <w:ind w:right="137"/>
              <w:spacing w:after="0"/>
              <w:rPr>
                <w:sz w:val="20"/>
                <w:szCs w:val="20"/>
                <w:color w:val="auto"/>
              </w:rPr>
            </w:pPr>
            <w:r>
              <w:rPr>
                <w:rFonts w:ascii="Arial" w:cs="Arial" w:eastAsia="Arial" w:hAnsi="Arial"/>
                <w:sz w:val="13"/>
                <w:szCs w:val="13"/>
                <w:color w:val="auto"/>
              </w:rPr>
              <w:t>298,110</w:t>
            </w:r>
          </w:p>
        </w:tc>
        <w:tc>
          <w:tcPr>
            <w:tcW w:w="800" w:type="dxa"/>
            <w:vAlign w:val="bottom"/>
          </w:tcPr>
          <w:p>
            <w:pPr>
              <w:jc w:val="right"/>
              <w:spacing w:after="0" w:line="162" w:lineRule="exact"/>
              <w:rPr>
                <w:sz w:val="20"/>
                <w:szCs w:val="20"/>
                <w:color w:val="auto"/>
              </w:rPr>
            </w:pPr>
            <w:r>
              <w:rPr>
                <w:rFonts w:ascii="Arial" w:cs="Arial" w:eastAsia="Arial" w:hAnsi="Arial"/>
                <w:sz w:val="12"/>
                <w:szCs w:val="12"/>
                <w:color w:val="auto"/>
              </w:rPr>
              <w:t>596,220</w:t>
            </w:r>
            <w:r>
              <w:rPr>
                <w:rFonts w:ascii="Arial" w:cs="Arial" w:eastAsia="Arial" w:hAnsi="Arial"/>
                <w:sz w:val="18"/>
                <w:szCs w:val="18"/>
                <w:color w:val="auto"/>
                <w:vertAlign w:val="superscript"/>
              </w:rPr>
              <w:t>(4)</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1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8/27/2018</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66,246</w:t>
            </w:r>
          </w:p>
        </w:tc>
        <w:tc>
          <w:tcPr>
            <w:tcW w:w="8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132,492</w:t>
            </w: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2"/>
                <w:szCs w:val="12"/>
                <w:color w:val="auto"/>
              </w:rPr>
              <w:t>198,738</w:t>
            </w:r>
            <w:r>
              <w:rPr>
                <w:rFonts w:ascii="Arial" w:cs="Arial" w:eastAsia="Arial" w:hAnsi="Arial"/>
                <w:sz w:val="18"/>
                <w:szCs w:val="18"/>
                <w:color w:val="auto"/>
                <w:vertAlign w:val="superscript"/>
              </w:rPr>
              <w:t>(5)</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3"/>
                <w:szCs w:val="13"/>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8/27/2018</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1,659</w:t>
            </w:r>
          </w:p>
        </w:tc>
        <w:tc>
          <w:tcPr>
            <w:tcW w:w="720" w:type="dxa"/>
            <w:vAlign w:val="bottom"/>
          </w:tcPr>
          <w:p>
            <w:pPr>
              <w:jc w:val="right"/>
              <w:ind w:right="78"/>
              <w:spacing w:after="0"/>
              <w:rPr>
                <w:sz w:val="20"/>
                <w:szCs w:val="20"/>
                <w:color w:val="auto"/>
              </w:rPr>
            </w:pPr>
            <w:r>
              <w:rPr>
                <w:rFonts w:ascii="Arial" w:cs="Arial" w:eastAsia="Arial" w:hAnsi="Arial"/>
                <w:sz w:val="13"/>
                <w:szCs w:val="13"/>
                <w:color w:val="auto"/>
              </w:rPr>
              <w:t>6,635</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13,270</w:t>
            </w:r>
          </w:p>
        </w:tc>
        <w:tc>
          <w:tcPr>
            <w:tcW w:w="740" w:type="dxa"/>
            <w:vAlign w:val="bottom"/>
          </w:tcPr>
          <w:p>
            <w:pPr>
              <w:jc w:val="right"/>
              <w:ind w:right="38"/>
              <w:spacing w:after="0"/>
              <w:rPr>
                <w:sz w:val="20"/>
                <w:szCs w:val="20"/>
                <w:color w:val="auto"/>
              </w:rPr>
            </w:pPr>
            <w:r>
              <w:rPr>
                <w:rFonts w:ascii="Arial" w:cs="Arial" w:eastAsia="Arial" w:hAnsi="Arial"/>
                <w:sz w:val="13"/>
                <w:szCs w:val="13"/>
                <w:color w:val="auto"/>
              </w:rPr>
              <w:t>8,522</w:t>
            </w:r>
          </w:p>
        </w:tc>
        <w:tc>
          <w:tcPr>
            <w:tcW w:w="80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8"/>
              <w:spacing w:after="0"/>
              <w:rPr>
                <w:sz w:val="20"/>
                <w:szCs w:val="20"/>
                <w:color w:val="auto"/>
              </w:rPr>
            </w:pPr>
            <w:r>
              <w:rPr>
                <w:rFonts w:ascii="Arial" w:cs="Arial" w:eastAsia="Arial" w:hAnsi="Arial"/>
                <w:sz w:val="13"/>
                <w:szCs w:val="13"/>
                <w:color w:val="auto"/>
              </w:rPr>
              <w:t>400,642</w:t>
            </w:r>
          </w:p>
        </w:tc>
        <w:tc>
          <w:tcPr>
            <w:tcW w:w="0" w:type="dxa"/>
            <w:vAlign w:val="bottom"/>
          </w:tcPr>
          <w:p>
            <w:pPr>
              <w:spacing w:after="0"/>
              <w:rPr>
                <w:sz w:val="1"/>
                <w:szCs w:val="1"/>
                <w:color w:val="auto"/>
              </w:rPr>
            </w:pPr>
          </w:p>
        </w:tc>
      </w:tr>
      <w:tr>
        <w:trPr>
          <w:trHeight w:val="163"/>
        </w:trPr>
        <w:tc>
          <w:tcPr>
            <w:tcW w:w="1140" w:type="dxa"/>
            <w:vAlign w:val="bottom"/>
            <w:shd w:val="clear" w:color="auto" w:fill="D7F5C4"/>
          </w:tcPr>
          <w:p>
            <w:pPr>
              <w:spacing w:after="0"/>
              <w:rPr>
                <w:sz w:val="20"/>
                <w:szCs w:val="20"/>
                <w:color w:val="auto"/>
              </w:rPr>
            </w:pPr>
            <w:r>
              <w:rPr>
                <w:rFonts w:ascii="Arial" w:cs="Arial" w:eastAsia="Arial" w:hAnsi="Arial"/>
                <w:sz w:val="13"/>
                <w:szCs w:val="13"/>
                <w:color w:val="auto"/>
              </w:rPr>
              <w:t>Jason W. Turner</w:t>
            </w:r>
          </w:p>
        </w:tc>
        <w:tc>
          <w:tcPr>
            <w:tcW w:w="800" w:type="dxa"/>
            <w:vAlign w:val="bottom"/>
            <w:shd w:val="clear" w:color="auto" w:fill="D7F5C4"/>
          </w:tcPr>
          <w:p>
            <w:pPr>
              <w:jc w:val="right"/>
              <w:ind w:right="17"/>
              <w:spacing w:after="0"/>
              <w:rPr>
                <w:sz w:val="20"/>
                <w:szCs w:val="20"/>
                <w:color w:val="auto"/>
              </w:rPr>
            </w:pPr>
            <w:r>
              <w:rPr>
                <w:rFonts w:ascii="Arial" w:cs="Arial" w:eastAsia="Arial" w:hAnsi="Arial"/>
                <w:sz w:val="13"/>
                <w:szCs w:val="13"/>
                <w:color w:val="auto"/>
              </w:rPr>
              <w:t>8/27/2018</w:t>
            </w:r>
          </w:p>
        </w:tc>
        <w:tc>
          <w:tcPr>
            <w:tcW w:w="740" w:type="dxa"/>
            <w:vAlign w:val="bottom"/>
            <w:shd w:val="clear" w:color="auto" w:fill="D7F5C4"/>
          </w:tcPr>
          <w:p>
            <w:pPr>
              <w:jc w:val="right"/>
              <w:ind w:right="17"/>
              <w:spacing w:after="0"/>
              <w:rPr>
                <w:sz w:val="20"/>
                <w:szCs w:val="20"/>
                <w:color w:val="auto"/>
              </w:rPr>
            </w:pPr>
            <w:r>
              <w:rPr>
                <w:rFonts w:ascii="Arial" w:cs="Arial" w:eastAsia="Arial" w:hAnsi="Arial"/>
                <w:sz w:val="13"/>
                <w:szCs w:val="13"/>
                <w:color w:val="auto"/>
              </w:rPr>
              <w:t>155,882</w:t>
            </w:r>
          </w:p>
        </w:tc>
        <w:tc>
          <w:tcPr>
            <w:tcW w:w="840" w:type="dxa"/>
            <w:vAlign w:val="bottom"/>
            <w:shd w:val="clear" w:color="auto" w:fill="D7F5C4"/>
          </w:tcPr>
          <w:p>
            <w:pPr>
              <w:jc w:val="right"/>
              <w:ind w:right="137"/>
              <w:spacing w:after="0"/>
              <w:rPr>
                <w:sz w:val="20"/>
                <w:szCs w:val="20"/>
                <w:color w:val="auto"/>
              </w:rPr>
            </w:pPr>
            <w:r>
              <w:rPr>
                <w:rFonts w:ascii="Arial" w:cs="Arial" w:eastAsia="Arial" w:hAnsi="Arial"/>
                <w:sz w:val="13"/>
                <w:szCs w:val="13"/>
                <w:color w:val="auto"/>
              </w:rPr>
              <w:t>311,764</w:t>
            </w:r>
          </w:p>
        </w:tc>
        <w:tc>
          <w:tcPr>
            <w:tcW w:w="800" w:type="dxa"/>
            <w:vAlign w:val="bottom"/>
            <w:shd w:val="clear" w:color="auto" w:fill="D7F5C4"/>
          </w:tcPr>
          <w:p>
            <w:pPr>
              <w:jc w:val="right"/>
              <w:spacing w:after="0" w:line="163" w:lineRule="exact"/>
              <w:rPr>
                <w:sz w:val="20"/>
                <w:szCs w:val="20"/>
                <w:color w:val="auto"/>
              </w:rPr>
            </w:pPr>
            <w:r>
              <w:rPr>
                <w:rFonts w:ascii="Arial" w:cs="Arial" w:eastAsia="Arial" w:hAnsi="Arial"/>
                <w:sz w:val="12"/>
                <w:szCs w:val="12"/>
                <w:color w:val="auto"/>
              </w:rPr>
              <w:t>623,528</w:t>
            </w:r>
            <w:r>
              <w:rPr>
                <w:rFonts w:ascii="Arial" w:cs="Arial" w:eastAsia="Arial" w:hAnsi="Arial"/>
                <w:sz w:val="18"/>
                <w:szCs w:val="18"/>
                <w:color w:val="auto"/>
                <w:vertAlign w:val="superscript"/>
              </w:rPr>
              <w:t>(4)</w:t>
            </w:r>
          </w:p>
        </w:tc>
        <w:tc>
          <w:tcPr>
            <w:tcW w:w="760" w:type="dxa"/>
            <w:vAlign w:val="bottom"/>
            <w:shd w:val="clear" w:color="auto" w:fill="D7F5C4"/>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D7F5C4"/>
          </w:tcPr>
          <w:p>
            <w:pPr>
              <w:jc w:val="right"/>
              <w:ind w:right="78"/>
              <w:spacing w:after="0"/>
              <w:rPr>
                <w:sz w:val="20"/>
                <w:szCs w:val="20"/>
                <w:color w:val="auto"/>
              </w:rPr>
            </w:pPr>
            <w:r>
              <w:rPr>
                <w:rFonts w:ascii="Arial" w:cs="Arial" w:eastAsia="Arial" w:hAnsi="Arial"/>
                <w:sz w:val="13"/>
                <w:szCs w:val="13"/>
                <w:color w:val="auto"/>
              </w:rPr>
              <w:t>—</w:t>
            </w:r>
          </w:p>
        </w:tc>
        <w:tc>
          <w:tcPr>
            <w:tcW w:w="740" w:type="dxa"/>
            <w:vAlign w:val="bottom"/>
            <w:shd w:val="clear" w:color="auto" w:fill="D7F5C4"/>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D7F5C4"/>
          </w:tcPr>
          <w:p>
            <w:pPr>
              <w:jc w:val="right"/>
              <w:ind w:right="38"/>
              <w:spacing w:after="0"/>
              <w:rPr>
                <w:sz w:val="20"/>
                <w:szCs w:val="20"/>
                <w:color w:val="auto"/>
              </w:rPr>
            </w:pPr>
            <w:r>
              <w:rPr>
                <w:rFonts w:ascii="Arial" w:cs="Arial" w:eastAsia="Arial" w:hAnsi="Arial"/>
                <w:sz w:val="13"/>
                <w:szCs w:val="13"/>
                <w:color w:val="auto"/>
              </w:rPr>
              <w:t>—</w:t>
            </w:r>
          </w:p>
        </w:tc>
        <w:tc>
          <w:tcPr>
            <w:tcW w:w="800" w:type="dxa"/>
            <w:vAlign w:val="bottom"/>
            <w:shd w:val="clear" w:color="auto" w:fill="D7F5C4"/>
          </w:tcPr>
          <w:p>
            <w:pPr>
              <w:jc w:val="right"/>
              <w:ind w:right="38"/>
              <w:spacing w:after="0"/>
              <w:rPr>
                <w:sz w:val="20"/>
                <w:szCs w:val="20"/>
                <w:color w:val="auto"/>
              </w:rPr>
            </w:pPr>
            <w:r>
              <w:rPr>
                <w:rFonts w:ascii="Arial" w:cs="Arial" w:eastAsia="Arial" w:hAnsi="Arial"/>
                <w:sz w:val="13"/>
                <w:szCs w:val="13"/>
                <w:color w:val="auto"/>
              </w:rPr>
              <w:t>—</w:t>
            </w:r>
          </w:p>
        </w:tc>
        <w:tc>
          <w:tcPr>
            <w:tcW w:w="680" w:type="dxa"/>
            <w:vAlign w:val="bottom"/>
            <w:shd w:val="clear" w:color="auto" w:fill="D7F5C4"/>
          </w:tcPr>
          <w:p>
            <w:pPr>
              <w:jc w:val="right"/>
              <w:ind w:right="58"/>
              <w:spacing w:after="0"/>
              <w:rPr>
                <w:sz w:val="20"/>
                <w:szCs w:val="20"/>
                <w:color w:val="auto"/>
              </w:rPr>
            </w:pPr>
            <w:r>
              <w:rPr>
                <w:rFonts w:ascii="Arial" w:cs="Arial" w:eastAsia="Arial" w:hAnsi="Arial"/>
                <w:sz w:val="13"/>
                <w:szCs w:val="13"/>
                <w:color w:val="auto"/>
              </w:rPr>
              <w:t>—</w:t>
            </w:r>
          </w:p>
        </w:tc>
        <w:tc>
          <w:tcPr>
            <w:tcW w:w="800" w:type="dxa"/>
            <w:vAlign w:val="bottom"/>
            <w:shd w:val="clear" w:color="auto" w:fill="D7F5C4"/>
          </w:tcPr>
          <w:p>
            <w:pPr>
              <w:jc w:val="right"/>
              <w:ind w:right="1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140" w:type="dxa"/>
            <w:vAlign w:val="bottom"/>
            <w:shd w:val="clear" w:color="auto" w:fill="D7F5C4"/>
          </w:tcPr>
          <w:p>
            <w:pPr>
              <w:spacing w:after="0"/>
              <w:rPr>
                <w:sz w:val="14"/>
                <w:szCs w:val="14"/>
                <w:color w:val="auto"/>
              </w:rPr>
            </w:pPr>
          </w:p>
        </w:tc>
        <w:tc>
          <w:tcPr>
            <w:tcW w:w="800" w:type="dxa"/>
            <w:vAlign w:val="bottom"/>
            <w:shd w:val="clear" w:color="auto" w:fill="D7F5C4"/>
          </w:tcPr>
          <w:p>
            <w:pPr>
              <w:jc w:val="right"/>
              <w:ind w:right="17"/>
              <w:spacing w:after="0"/>
              <w:rPr>
                <w:sz w:val="20"/>
                <w:szCs w:val="20"/>
                <w:color w:val="auto"/>
              </w:rPr>
            </w:pPr>
            <w:r>
              <w:rPr>
                <w:rFonts w:ascii="Arial" w:cs="Arial" w:eastAsia="Arial" w:hAnsi="Arial"/>
                <w:sz w:val="13"/>
                <w:szCs w:val="13"/>
                <w:color w:val="auto"/>
              </w:rPr>
              <w:t>8/27/2018</w:t>
            </w:r>
          </w:p>
        </w:tc>
        <w:tc>
          <w:tcPr>
            <w:tcW w:w="740" w:type="dxa"/>
            <w:vAlign w:val="bottom"/>
            <w:shd w:val="clear" w:color="auto" w:fill="D7F5C4"/>
          </w:tcPr>
          <w:p>
            <w:pPr>
              <w:jc w:val="right"/>
              <w:ind w:right="17"/>
              <w:spacing w:after="0"/>
              <w:rPr>
                <w:sz w:val="20"/>
                <w:szCs w:val="20"/>
                <w:color w:val="auto"/>
              </w:rPr>
            </w:pPr>
            <w:r>
              <w:rPr>
                <w:rFonts w:ascii="Arial" w:cs="Arial" w:eastAsia="Arial" w:hAnsi="Arial"/>
                <w:sz w:val="13"/>
                <w:szCs w:val="13"/>
                <w:color w:val="auto"/>
              </w:rPr>
              <w:t>69,280</w:t>
            </w:r>
          </w:p>
        </w:tc>
        <w:tc>
          <w:tcPr>
            <w:tcW w:w="840" w:type="dxa"/>
            <w:vAlign w:val="bottom"/>
            <w:shd w:val="clear" w:color="auto" w:fill="D7F5C4"/>
          </w:tcPr>
          <w:p>
            <w:pPr>
              <w:jc w:val="right"/>
              <w:ind w:right="137"/>
              <w:spacing w:after="0"/>
              <w:rPr>
                <w:sz w:val="20"/>
                <w:szCs w:val="20"/>
                <w:color w:val="auto"/>
              </w:rPr>
            </w:pPr>
            <w:r>
              <w:rPr>
                <w:rFonts w:ascii="Arial" w:cs="Arial" w:eastAsia="Arial" w:hAnsi="Arial"/>
                <w:sz w:val="13"/>
                <w:szCs w:val="13"/>
                <w:color w:val="auto"/>
              </w:rPr>
              <w:t>138,560</w:t>
            </w:r>
          </w:p>
        </w:tc>
        <w:tc>
          <w:tcPr>
            <w:tcW w:w="800" w:type="dxa"/>
            <w:vAlign w:val="bottom"/>
            <w:shd w:val="clear" w:color="auto" w:fill="D7F5C4"/>
          </w:tcPr>
          <w:p>
            <w:pPr>
              <w:jc w:val="right"/>
              <w:spacing w:after="0" w:line="163" w:lineRule="exact"/>
              <w:rPr>
                <w:sz w:val="20"/>
                <w:szCs w:val="20"/>
                <w:color w:val="auto"/>
              </w:rPr>
            </w:pPr>
            <w:r>
              <w:rPr>
                <w:rFonts w:ascii="Arial" w:cs="Arial" w:eastAsia="Arial" w:hAnsi="Arial"/>
                <w:sz w:val="12"/>
                <w:szCs w:val="12"/>
                <w:color w:val="auto"/>
              </w:rPr>
              <w:t>207,840</w:t>
            </w:r>
            <w:r>
              <w:rPr>
                <w:rFonts w:ascii="Arial" w:cs="Arial" w:eastAsia="Arial" w:hAnsi="Arial"/>
                <w:sz w:val="18"/>
                <w:szCs w:val="18"/>
                <w:color w:val="auto"/>
                <w:vertAlign w:val="superscript"/>
              </w:rPr>
              <w:t>(5)</w:t>
            </w:r>
          </w:p>
        </w:tc>
        <w:tc>
          <w:tcPr>
            <w:tcW w:w="760" w:type="dxa"/>
            <w:vAlign w:val="bottom"/>
            <w:shd w:val="clear" w:color="auto" w:fill="D7F5C4"/>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D7F5C4"/>
          </w:tcPr>
          <w:p>
            <w:pPr>
              <w:jc w:val="right"/>
              <w:ind w:right="78"/>
              <w:spacing w:after="0"/>
              <w:rPr>
                <w:sz w:val="20"/>
                <w:szCs w:val="20"/>
                <w:color w:val="auto"/>
              </w:rPr>
            </w:pPr>
            <w:r>
              <w:rPr>
                <w:rFonts w:ascii="Arial" w:cs="Arial" w:eastAsia="Arial" w:hAnsi="Arial"/>
                <w:sz w:val="13"/>
                <w:szCs w:val="13"/>
                <w:color w:val="auto"/>
              </w:rPr>
              <w:t>—</w:t>
            </w:r>
          </w:p>
        </w:tc>
        <w:tc>
          <w:tcPr>
            <w:tcW w:w="740" w:type="dxa"/>
            <w:vAlign w:val="bottom"/>
            <w:shd w:val="clear" w:color="auto" w:fill="D7F5C4"/>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D7F5C4"/>
          </w:tcPr>
          <w:p>
            <w:pPr>
              <w:jc w:val="right"/>
              <w:ind w:right="38"/>
              <w:spacing w:after="0"/>
              <w:rPr>
                <w:sz w:val="20"/>
                <w:szCs w:val="20"/>
                <w:color w:val="auto"/>
              </w:rPr>
            </w:pPr>
            <w:r>
              <w:rPr>
                <w:rFonts w:ascii="Arial" w:cs="Arial" w:eastAsia="Arial" w:hAnsi="Arial"/>
                <w:sz w:val="13"/>
                <w:szCs w:val="13"/>
                <w:color w:val="auto"/>
              </w:rPr>
              <w:t>—</w:t>
            </w:r>
          </w:p>
        </w:tc>
        <w:tc>
          <w:tcPr>
            <w:tcW w:w="800" w:type="dxa"/>
            <w:vAlign w:val="bottom"/>
            <w:shd w:val="clear" w:color="auto" w:fill="D7F5C4"/>
          </w:tcPr>
          <w:p>
            <w:pPr>
              <w:jc w:val="right"/>
              <w:ind w:right="38"/>
              <w:spacing w:after="0"/>
              <w:rPr>
                <w:sz w:val="20"/>
                <w:szCs w:val="20"/>
                <w:color w:val="auto"/>
              </w:rPr>
            </w:pPr>
            <w:r>
              <w:rPr>
                <w:rFonts w:ascii="Arial" w:cs="Arial" w:eastAsia="Arial" w:hAnsi="Arial"/>
                <w:sz w:val="13"/>
                <w:szCs w:val="13"/>
                <w:color w:val="auto"/>
              </w:rPr>
              <w:t>—</w:t>
            </w:r>
          </w:p>
        </w:tc>
        <w:tc>
          <w:tcPr>
            <w:tcW w:w="680" w:type="dxa"/>
            <w:vAlign w:val="bottom"/>
            <w:shd w:val="clear" w:color="auto" w:fill="D7F5C4"/>
          </w:tcPr>
          <w:p>
            <w:pPr>
              <w:jc w:val="right"/>
              <w:ind w:right="58"/>
              <w:spacing w:after="0"/>
              <w:rPr>
                <w:sz w:val="20"/>
                <w:szCs w:val="20"/>
                <w:color w:val="auto"/>
              </w:rPr>
            </w:pPr>
            <w:r>
              <w:rPr>
                <w:rFonts w:ascii="Arial" w:cs="Arial" w:eastAsia="Arial" w:hAnsi="Arial"/>
                <w:sz w:val="13"/>
                <w:szCs w:val="13"/>
                <w:color w:val="auto"/>
              </w:rPr>
              <w:t>—</w:t>
            </w:r>
          </w:p>
        </w:tc>
        <w:tc>
          <w:tcPr>
            <w:tcW w:w="800" w:type="dxa"/>
            <w:vAlign w:val="bottom"/>
            <w:shd w:val="clear" w:color="auto" w:fill="D7F5C4"/>
          </w:tcPr>
          <w:p>
            <w:pPr>
              <w:jc w:val="right"/>
              <w:ind w:right="1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140" w:type="dxa"/>
            <w:vAlign w:val="bottom"/>
            <w:shd w:val="clear" w:color="auto" w:fill="D7F5C4"/>
          </w:tcPr>
          <w:p>
            <w:pPr>
              <w:spacing w:after="0"/>
              <w:rPr>
                <w:sz w:val="14"/>
                <w:szCs w:val="14"/>
                <w:color w:val="auto"/>
              </w:rPr>
            </w:pPr>
          </w:p>
        </w:tc>
        <w:tc>
          <w:tcPr>
            <w:tcW w:w="800" w:type="dxa"/>
            <w:vAlign w:val="bottom"/>
            <w:shd w:val="clear" w:color="auto" w:fill="D7F5C4"/>
          </w:tcPr>
          <w:p>
            <w:pPr>
              <w:jc w:val="right"/>
              <w:ind w:right="17"/>
              <w:spacing w:after="0"/>
              <w:rPr>
                <w:sz w:val="20"/>
                <w:szCs w:val="20"/>
                <w:color w:val="auto"/>
              </w:rPr>
            </w:pPr>
            <w:r>
              <w:rPr>
                <w:rFonts w:ascii="Arial" w:cs="Arial" w:eastAsia="Arial" w:hAnsi="Arial"/>
                <w:sz w:val="13"/>
                <w:szCs w:val="13"/>
                <w:color w:val="auto"/>
              </w:rPr>
              <w:t>8/27/2018</w:t>
            </w:r>
          </w:p>
        </w:tc>
        <w:tc>
          <w:tcPr>
            <w:tcW w:w="740" w:type="dxa"/>
            <w:vAlign w:val="bottom"/>
            <w:shd w:val="clear" w:color="auto" w:fill="D7F5C4"/>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shd w:val="clear" w:color="auto" w:fill="D7F5C4"/>
          </w:tcPr>
          <w:p>
            <w:pPr>
              <w:jc w:val="right"/>
              <w:ind w:right="137"/>
              <w:spacing w:after="0"/>
              <w:rPr>
                <w:sz w:val="20"/>
                <w:szCs w:val="20"/>
                <w:color w:val="auto"/>
              </w:rPr>
            </w:pPr>
            <w:r>
              <w:rPr>
                <w:rFonts w:ascii="Arial" w:cs="Arial" w:eastAsia="Arial" w:hAnsi="Arial"/>
                <w:sz w:val="13"/>
                <w:szCs w:val="13"/>
                <w:color w:val="auto"/>
              </w:rPr>
              <w:t>—</w:t>
            </w:r>
          </w:p>
        </w:tc>
        <w:tc>
          <w:tcPr>
            <w:tcW w:w="800" w:type="dxa"/>
            <w:vAlign w:val="bottom"/>
            <w:shd w:val="clear" w:color="auto" w:fill="D7F5C4"/>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shd w:val="clear" w:color="auto" w:fill="D7F5C4"/>
          </w:tcPr>
          <w:p>
            <w:pPr>
              <w:jc w:val="right"/>
              <w:spacing w:after="0"/>
              <w:rPr>
                <w:sz w:val="20"/>
                <w:szCs w:val="20"/>
                <w:color w:val="auto"/>
              </w:rPr>
            </w:pPr>
            <w:r>
              <w:rPr>
                <w:rFonts w:ascii="Arial" w:cs="Arial" w:eastAsia="Arial" w:hAnsi="Arial"/>
                <w:sz w:val="13"/>
                <w:szCs w:val="13"/>
                <w:color w:val="auto"/>
              </w:rPr>
              <w:t>1,735</w:t>
            </w:r>
          </w:p>
        </w:tc>
        <w:tc>
          <w:tcPr>
            <w:tcW w:w="720" w:type="dxa"/>
            <w:vAlign w:val="bottom"/>
            <w:shd w:val="clear" w:color="auto" w:fill="D7F5C4"/>
          </w:tcPr>
          <w:p>
            <w:pPr>
              <w:jc w:val="right"/>
              <w:ind w:right="78"/>
              <w:spacing w:after="0"/>
              <w:rPr>
                <w:sz w:val="20"/>
                <w:szCs w:val="20"/>
                <w:color w:val="auto"/>
              </w:rPr>
            </w:pPr>
            <w:r>
              <w:rPr>
                <w:rFonts w:ascii="Arial" w:cs="Arial" w:eastAsia="Arial" w:hAnsi="Arial"/>
                <w:sz w:val="13"/>
                <w:szCs w:val="13"/>
                <w:color w:val="auto"/>
              </w:rPr>
              <w:t>6,938</w:t>
            </w:r>
          </w:p>
        </w:tc>
        <w:tc>
          <w:tcPr>
            <w:tcW w:w="740" w:type="dxa"/>
            <w:vAlign w:val="bottom"/>
            <w:shd w:val="clear" w:color="auto" w:fill="D7F5C4"/>
          </w:tcPr>
          <w:p>
            <w:pPr>
              <w:jc w:val="right"/>
              <w:ind w:right="37"/>
              <w:spacing w:after="0"/>
              <w:rPr>
                <w:sz w:val="20"/>
                <w:szCs w:val="20"/>
                <w:color w:val="auto"/>
              </w:rPr>
            </w:pPr>
            <w:r>
              <w:rPr>
                <w:rFonts w:ascii="Arial" w:cs="Arial" w:eastAsia="Arial" w:hAnsi="Arial"/>
                <w:sz w:val="13"/>
                <w:szCs w:val="13"/>
                <w:color w:val="auto"/>
              </w:rPr>
              <w:t>13,876</w:t>
            </w:r>
          </w:p>
        </w:tc>
        <w:tc>
          <w:tcPr>
            <w:tcW w:w="740" w:type="dxa"/>
            <w:vAlign w:val="bottom"/>
            <w:shd w:val="clear" w:color="auto" w:fill="D7F5C4"/>
          </w:tcPr>
          <w:p>
            <w:pPr>
              <w:jc w:val="right"/>
              <w:ind w:right="38"/>
              <w:spacing w:after="0"/>
              <w:rPr>
                <w:sz w:val="20"/>
                <w:szCs w:val="20"/>
                <w:color w:val="auto"/>
              </w:rPr>
            </w:pPr>
            <w:r>
              <w:rPr>
                <w:rFonts w:ascii="Arial" w:cs="Arial" w:eastAsia="Arial" w:hAnsi="Arial"/>
                <w:sz w:val="13"/>
                <w:szCs w:val="13"/>
                <w:color w:val="auto"/>
              </w:rPr>
              <w:t>8,871</w:t>
            </w:r>
          </w:p>
        </w:tc>
        <w:tc>
          <w:tcPr>
            <w:tcW w:w="800" w:type="dxa"/>
            <w:vAlign w:val="bottom"/>
            <w:shd w:val="clear" w:color="auto" w:fill="D7F5C4"/>
          </w:tcPr>
          <w:p>
            <w:pPr>
              <w:jc w:val="right"/>
              <w:ind w:right="38"/>
              <w:spacing w:after="0"/>
              <w:rPr>
                <w:sz w:val="20"/>
                <w:szCs w:val="20"/>
                <w:color w:val="auto"/>
              </w:rPr>
            </w:pPr>
            <w:r>
              <w:rPr>
                <w:rFonts w:ascii="Arial" w:cs="Arial" w:eastAsia="Arial" w:hAnsi="Arial"/>
                <w:sz w:val="13"/>
                <w:szCs w:val="13"/>
                <w:color w:val="auto"/>
              </w:rPr>
              <w:t>—</w:t>
            </w:r>
          </w:p>
        </w:tc>
        <w:tc>
          <w:tcPr>
            <w:tcW w:w="680" w:type="dxa"/>
            <w:vAlign w:val="bottom"/>
            <w:shd w:val="clear" w:color="auto" w:fill="D7F5C4"/>
          </w:tcPr>
          <w:p>
            <w:pPr>
              <w:jc w:val="right"/>
              <w:ind w:right="58"/>
              <w:spacing w:after="0"/>
              <w:rPr>
                <w:sz w:val="20"/>
                <w:szCs w:val="20"/>
                <w:color w:val="auto"/>
              </w:rPr>
            </w:pPr>
            <w:r>
              <w:rPr>
                <w:rFonts w:ascii="Arial" w:cs="Arial" w:eastAsia="Arial" w:hAnsi="Arial"/>
                <w:sz w:val="13"/>
                <w:szCs w:val="13"/>
                <w:color w:val="auto"/>
              </w:rPr>
              <w:t>—</w:t>
            </w:r>
          </w:p>
        </w:tc>
        <w:tc>
          <w:tcPr>
            <w:tcW w:w="800" w:type="dxa"/>
            <w:vAlign w:val="bottom"/>
            <w:shd w:val="clear" w:color="auto" w:fill="D7F5C4"/>
          </w:tcPr>
          <w:p>
            <w:pPr>
              <w:jc w:val="right"/>
              <w:ind w:right="18"/>
              <w:spacing w:after="0"/>
              <w:rPr>
                <w:sz w:val="20"/>
                <w:szCs w:val="20"/>
                <w:color w:val="auto"/>
              </w:rPr>
            </w:pPr>
            <w:r>
              <w:rPr>
                <w:rFonts w:ascii="Arial" w:cs="Arial" w:eastAsia="Arial" w:hAnsi="Arial"/>
                <w:sz w:val="13"/>
                <w:szCs w:val="13"/>
                <w:color w:val="auto"/>
              </w:rPr>
              <w:t>418,070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-1131570</wp:posOffset>
            </wp:positionV>
            <wp:extent cx="6071870" cy="1028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71870" cy="10287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-513715</wp:posOffset>
            </wp:positionV>
            <wp:extent cx="6071870" cy="1028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71870" cy="102870"/>
                    </a:xfrm>
                    <a:prstGeom prst="rect">
                      <a:avLst/>
                    </a:prstGeom>
                    <a:noFill/>
                  </pic:spPr>
                </pic:pic>
              </a:graphicData>
            </a:graphic>
          </wp:anchor>
        </w:drawing>
      </w:r>
    </w:p>
    <w:p>
      <w:pPr>
        <w:spacing w:after="0" w:line="93" w:lineRule="exact"/>
        <w:rPr>
          <w:sz w:val="20"/>
          <w:szCs w:val="20"/>
          <w:color w:val="auto"/>
        </w:rPr>
      </w:pPr>
    </w:p>
    <w:p>
      <w:pPr>
        <w:ind w:left="347" w:right="100" w:hanging="347"/>
        <w:spacing w:after="0" w:line="244" w:lineRule="auto"/>
        <w:tabs>
          <w:tab w:leader="none" w:pos="347"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the number of shares which may be issued pursuant to fiscal 2019 performance unit awards to the Named Executive Officers that cliff vest three years after the grant date. The number of shares of common stock received upon vesting of the performance units will range between 0% and 200% of the number of performance units awarded as determined by the three-year Total Shareholder Return on the Company’s common stock when compared to the Total Shareholder Return on the common stock of a group of peer companies selected by the Compensation Committee of the Board. The fiscal 2019 performance unit awards are described above under the caption “Compensation Discussion and Analysis”.</w:t>
      </w:r>
    </w:p>
    <w:p>
      <w:pPr>
        <w:spacing w:after="0" w:line="98" w:lineRule="exact"/>
        <w:rPr>
          <w:rFonts w:ascii="Arial" w:cs="Arial" w:eastAsia="Arial" w:hAnsi="Arial"/>
          <w:sz w:val="14"/>
          <w:szCs w:val="14"/>
          <w:color w:val="auto"/>
        </w:rPr>
      </w:pPr>
    </w:p>
    <w:p>
      <w:pPr>
        <w:ind w:left="347" w:right="60" w:hanging="347"/>
        <w:spacing w:after="0" w:line="245" w:lineRule="auto"/>
        <w:tabs>
          <w:tab w:leader="none" w:pos="347" w:val="left"/>
        </w:tabs>
        <w:numPr>
          <w:ilvl w:val="0"/>
          <w:numId w:val="33"/>
        </w:numPr>
        <w:rPr>
          <w:rFonts w:ascii="Arial" w:cs="Arial" w:eastAsia="Arial" w:hAnsi="Arial"/>
          <w:sz w:val="14"/>
          <w:szCs w:val="14"/>
          <w:color w:val="auto"/>
        </w:rPr>
      </w:pPr>
      <w:r>
        <w:rPr>
          <w:rFonts w:ascii="Arial" w:cs="Arial" w:eastAsia="Arial" w:hAnsi="Arial"/>
          <w:sz w:val="14"/>
          <w:szCs w:val="14"/>
          <w:color w:val="auto"/>
        </w:rPr>
        <w:t>Amounts shown represent service-based RSUs granted to the Named Executive Officers in fiscal 2019. The number of shares shown includes RSUs awarded in lieu of cash in respect of safety incentives achieved under the fiscal 2018 annual/short-term incentive compensation plan. The number of RSUs awarded in lieu of cash for Messrs. Hewitt, Montalbano, Cavanah, Updyke and Turner were 6,081, 3,017, 2,640, 1,887 and 1,933, respectively. These RSUs vest in full on the one-year anniversary of the grant date. The remaining awards vest in four equal annual installments beginning one year after the grant date subject to the Named Executive Officer’s continued employment with the Company.</w:t>
      </w:r>
    </w:p>
    <w:p>
      <w:pPr>
        <w:spacing w:after="0" w:line="96" w:lineRule="exact"/>
        <w:rPr>
          <w:rFonts w:ascii="Arial" w:cs="Arial" w:eastAsia="Arial" w:hAnsi="Arial"/>
          <w:sz w:val="14"/>
          <w:szCs w:val="14"/>
          <w:color w:val="auto"/>
        </w:rPr>
      </w:pPr>
    </w:p>
    <w:p>
      <w:pPr>
        <w:ind w:left="347" w:right="40" w:hanging="347"/>
        <w:spacing w:after="0" w:line="244" w:lineRule="auto"/>
        <w:tabs>
          <w:tab w:leader="none" w:pos="347" w:val="left"/>
        </w:tabs>
        <w:numPr>
          <w:ilvl w:val="0"/>
          <w:numId w:val="33"/>
        </w:numPr>
        <w:rPr>
          <w:rFonts w:ascii="Arial" w:cs="Arial" w:eastAsia="Arial" w:hAnsi="Arial"/>
          <w:sz w:val="14"/>
          <w:szCs w:val="14"/>
          <w:color w:val="auto"/>
        </w:rPr>
      </w:pPr>
      <w:r>
        <w:rPr>
          <w:rFonts w:ascii="Arial" w:cs="Arial" w:eastAsia="Arial" w:hAnsi="Arial"/>
          <w:sz w:val="14"/>
          <w:szCs w:val="14"/>
          <w:color w:val="auto"/>
        </w:rPr>
        <w:t>Amounts shown are calculated based upon the grant date fair value calculated in accordance with ASC718. The grant date fair value of the service-based RSUs is calculated by multiplying the number of RSUs awarded by the closing stock price on the date of grant. The grant date fair value of the performance units is calculated using a Monte Carlo model. The model estimated the fair value of the award based on approximately 100,000 simulations of the future prices of the Company’s common stock compared to the future prices of its peer companies based on historical volatilities. The model also took into account the expected dividends over the performance period for the peer companies which pay cash dividends. See Notes 1 and 10 of the Notes to the Consolidated Financial Statements included in the Company’s fiscal 2019 Annual Report on Form 10-K for a full discussion of the Company’s stock based compensation accounting policies. The specific grant date fair values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3511550</wp:posOffset>
            </wp:positionH>
            <wp:positionV relativeFrom="paragraph">
              <wp:posOffset>127000</wp:posOffset>
            </wp:positionV>
            <wp:extent cx="34290" cy="1028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102870"/>
                    </a:xfrm>
                    <a:prstGeom prst="rect">
                      <a:avLst/>
                    </a:prstGeom>
                    <a:noFill/>
                  </pic:spPr>
                </pic:pic>
              </a:graphicData>
            </a:graphic>
          </wp:anchor>
        </w:drawing>
      </w:r>
    </w:p>
    <w:p>
      <w:pPr>
        <w:spacing w:after="0" w:line="180" w:lineRule="exact"/>
        <w:rPr>
          <w:sz w:val="20"/>
          <w:szCs w:val="20"/>
          <w:color w:val="auto"/>
        </w:rPr>
      </w:pPr>
    </w:p>
    <w:tbl>
      <w:tblPr>
        <w:tblLayout w:type="fixed"/>
        <w:tblInd w:w="387"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900" w:type="dxa"/>
            <w:vAlign w:val="bottom"/>
            <w:shd w:val="clear" w:color="auto" w:fill="D7F5C4"/>
          </w:tcPr>
          <w:p>
            <w:pPr>
              <w:spacing w:after="0"/>
              <w:rPr>
                <w:sz w:val="14"/>
                <w:szCs w:val="14"/>
                <w:color w:val="auto"/>
              </w:rPr>
            </w:pPr>
          </w:p>
        </w:tc>
        <w:tc>
          <w:tcPr>
            <w:tcW w:w="1580" w:type="dxa"/>
            <w:vAlign w:val="bottom"/>
            <w:gridSpan w:val="2"/>
            <w:shd w:val="clear" w:color="auto" w:fill="D7F5C4"/>
          </w:tcPr>
          <w:p>
            <w:pPr>
              <w:jc w:val="right"/>
              <w:ind w:right="17"/>
              <w:spacing w:after="0"/>
              <w:rPr>
                <w:sz w:val="20"/>
                <w:szCs w:val="20"/>
                <w:color w:val="auto"/>
              </w:rPr>
            </w:pPr>
            <w:r>
              <w:rPr>
                <w:rFonts w:ascii="Arial" w:cs="Arial" w:eastAsia="Arial" w:hAnsi="Arial"/>
                <w:sz w:val="13"/>
                <w:szCs w:val="13"/>
                <w:b w:val="1"/>
                <w:bCs w:val="1"/>
                <w:color w:val="auto"/>
              </w:rPr>
              <w:t>Service-Based Awards</w:t>
            </w:r>
          </w:p>
        </w:tc>
        <w:tc>
          <w:tcPr>
            <w:tcW w:w="980" w:type="dxa"/>
            <w:vAlign w:val="bottom"/>
            <w:shd w:val="clear" w:color="auto" w:fill="D7F5C4"/>
          </w:tcPr>
          <w:p>
            <w:pPr>
              <w:spacing w:after="0"/>
              <w:rPr>
                <w:sz w:val="14"/>
                <w:szCs w:val="14"/>
                <w:color w:val="auto"/>
              </w:rPr>
            </w:pPr>
          </w:p>
        </w:tc>
        <w:tc>
          <w:tcPr>
            <w:tcW w:w="2540" w:type="dxa"/>
            <w:vAlign w:val="bottom"/>
            <w:gridSpan w:val="3"/>
            <w:shd w:val="clear" w:color="auto" w:fill="D7F5C4"/>
          </w:tcPr>
          <w:p>
            <w:pPr>
              <w:jc w:val="right"/>
              <w:ind w:right="357"/>
              <w:spacing w:after="0"/>
              <w:rPr>
                <w:sz w:val="20"/>
                <w:szCs w:val="20"/>
                <w:color w:val="auto"/>
              </w:rPr>
            </w:pPr>
            <w:r>
              <w:rPr>
                <w:rFonts w:ascii="Arial" w:cs="Arial" w:eastAsia="Arial" w:hAnsi="Arial"/>
                <w:sz w:val="13"/>
                <w:szCs w:val="13"/>
                <w:b w:val="1"/>
                <w:bCs w:val="1"/>
                <w:color w:val="auto"/>
              </w:rPr>
              <w:t>Performance-Based Awards</w:t>
            </w:r>
          </w:p>
        </w:tc>
        <w:tc>
          <w:tcPr>
            <w:tcW w:w="1280" w:type="dxa"/>
            <w:vAlign w:val="bottom"/>
          </w:tcPr>
          <w:p>
            <w:pPr>
              <w:spacing w:after="0"/>
              <w:rPr>
                <w:sz w:val="14"/>
                <w:szCs w:val="14"/>
                <w:color w:val="auto"/>
              </w:rPr>
            </w:pPr>
          </w:p>
        </w:tc>
      </w:tr>
      <w:tr>
        <w:trPr>
          <w:trHeight w:val="127"/>
        </w:trPr>
        <w:tc>
          <w:tcPr>
            <w:tcW w:w="1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jc w:val="right"/>
              <w:ind w:right="157"/>
              <w:spacing w:after="0" w:line="127" w:lineRule="exact"/>
              <w:rPr>
                <w:sz w:val="20"/>
                <w:szCs w:val="20"/>
                <w:color w:val="auto"/>
              </w:rPr>
            </w:pPr>
            <w:r>
              <w:rPr>
                <w:rFonts w:ascii="Arial" w:cs="Arial" w:eastAsia="Arial" w:hAnsi="Arial"/>
                <w:sz w:val="13"/>
                <w:szCs w:val="13"/>
                <w:b w:val="1"/>
                <w:bCs w:val="1"/>
                <w:color w:val="auto"/>
              </w:rPr>
              <w:t>Safety</w:t>
            </w: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35"/>
        </w:trPr>
        <w:tc>
          <w:tcPr>
            <w:tcW w:w="1700" w:type="dxa"/>
            <w:vAlign w:val="bottom"/>
          </w:tcPr>
          <w:p>
            <w:pPr>
              <w:spacing w:after="0"/>
              <w:rPr>
                <w:sz w:val="11"/>
                <w:szCs w:val="11"/>
                <w:color w:val="auto"/>
              </w:rPr>
            </w:pPr>
          </w:p>
        </w:tc>
        <w:tc>
          <w:tcPr>
            <w:tcW w:w="90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Time-Based</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rPr>
              <w:t>Incentive</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rPr>
              <w:t>Value per</w:t>
            </w:r>
          </w:p>
        </w:tc>
        <w:tc>
          <w:tcPr>
            <w:tcW w:w="98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Grant Date</w:t>
            </w:r>
          </w:p>
        </w:tc>
        <w:tc>
          <w:tcPr>
            <w:tcW w:w="76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Shares at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rPr>
              <w:t>Value per</w:t>
            </w:r>
          </w:p>
        </w:tc>
        <w:tc>
          <w:tcPr>
            <w:tcW w:w="102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Grant Date</w:t>
            </w:r>
          </w:p>
        </w:tc>
        <w:tc>
          <w:tcPr>
            <w:tcW w:w="128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rPr>
              <w:t>Total Grant Date</w:t>
            </w:r>
          </w:p>
        </w:tc>
      </w:tr>
      <w:tr>
        <w:trPr>
          <w:trHeight w:val="169"/>
        </w:trPr>
        <w:tc>
          <w:tcPr>
            <w:tcW w:w="1700" w:type="dxa"/>
            <w:vAlign w:val="bottom"/>
          </w:tcPr>
          <w:p>
            <w:pPr>
              <w:ind w:left="660"/>
              <w:spacing w:after="0"/>
              <w:rPr>
                <w:sz w:val="20"/>
                <w:szCs w:val="20"/>
                <w:color w:val="auto"/>
              </w:rPr>
            </w:pPr>
            <w:r>
              <w:rPr>
                <w:rFonts w:ascii="Arial" w:cs="Arial" w:eastAsia="Arial" w:hAnsi="Arial"/>
                <w:sz w:val="13"/>
                <w:szCs w:val="13"/>
                <w:b w:val="1"/>
                <w:bCs w:val="1"/>
                <w:color w:val="auto"/>
              </w:rPr>
              <w:t>Name</w:t>
            </w:r>
          </w:p>
        </w:tc>
        <w:tc>
          <w:tcPr>
            <w:tcW w:w="900" w:type="dxa"/>
            <w:vAlign w:val="bottom"/>
          </w:tcPr>
          <w:p>
            <w:pPr>
              <w:jc w:val="right"/>
              <w:ind w:right="57"/>
              <w:spacing w:after="0"/>
              <w:rPr>
                <w:sz w:val="20"/>
                <w:szCs w:val="20"/>
                <w:color w:val="auto"/>
              </w:rPr>
            </w:pPr>
            <w:r>
              <w:rPr>
                <w:rFonts w:ascii="Arial" w:cs="Arial" w:eastAsia="Arial" w:hAnsi="Arial"/>
                <w:sz w:val="13"/>
                <w:szCs w:val="13"/>
                <w:b w:val="1"/>
                <w:bCs w:val="1"/>
                <w:color w:val="auto"/>
              </w:rPr>
              <w:t>Awards (#)</w:t>
            </w:r>
          </w:p>
        </w:tc>
        <w:tc>
          <w:tcPr>
            <w:tcW w:w="820" w:type="dxa"/>
            <w:vAlign w:val="bottom"/>
          </w:tcPr>
          <w:p>
            <w:pPr>
              <w:jc w:val="right"/>
              <w:ind w:right="37"/>
              <w:spacing w:after="0"/>
              <w:rPr>
                <w:sz w:val="20"/>
                <w:szCs w:val="20"/>
                <w:color w:val="auto"/>
              </w:rPr>
            </w:pPr>
            <w:r>
              <w:rPr>
                <w:rFonts w:ascii="Arial" w:cs="Arial" w:eastAsia="Arial" w:hAnsi="Arial"/>
                <w:sz w:val="13"/>
                <w:szCs w:val="13"/>
                <w:b w:val="1"/>
                <w:bCs w:val="1"/>
                <w:color w:val="auto"/>
              </w:rPr>
              <w:t>Awards (#)</w:t>
            </w:r>
          </w:p>
        </w:tc>
        <w:tc>
          <w:tcPr>
            <w:tcW w:w="760" w:type="dxa"/>
            <w:vAlign w:val="bottom"/>
          </w:tcPr>
          <w:p>
            <w:pPr>
              <w:jc w:val="right"/>
              <w:ind w:right="77"/>
              <w:spacing w:after="0"/>
              <w:rPr>
                <w:sz w:val="20"/>
                <w:szCs w:val="20"/>
                <w:color w:val="auto"/>
              </w:rPr>
            </w:pPr>
            <w:r>
              <w:rPr>
                <w:rFonts w:ascii="Arial" w:cs="Arial" w:eastAsia="Arial" w:hAnsi="Arial"/>
                <w:sz w:val="13"/>
                <w:szCs w:val="13"/>
                <w:b w:val="1"/>
                <w:bCs w:val="1"/>
                <w:color w:val="auto"/>
              </w:rPr>
              <w:t>Share ($)</w:t>
            </w:r>
          </w:p>
        </w:tc>
        <w:tc>
          <w:tcPr>
            <w:tcW w:w="980" w:type="dxa"/>
            <w:vAlign w:val="bottom"/>
          </w:tcPr>
          <w:p>
            <w:pPr>
              <w:jc w:val="right"/>
              <w:ind w:right="37"/>
              <w:spacing w:after="0"/>
              <w:rPr>
                <w:sz w:val="20"/>
                <w:szCs w:val="20"/>
                <w:color w:val="auto"/>
              </w:rPr>
            </w:pPr>
            <w:r>
              <w:rPr>
                <w:rFonts w:ascii="Arial" w:cs="Arial" w:eastAsia="Arial" w:hAnsi="Arial"/>
                <w:sz w:val="13"/>
                <w:szCs w:val="13"/>
                <w:b w:val="1"/>
                <w:bCs w:val="1"/>
                <w:color w:val="auto"/>
              </w:rPr>
              <w:t>Fair Value ($)</w:t>
            </w:r>
          </w:p>
        </w:tc>
        <w:tc>
          <w:tcPr>
            <w:tcW w:w="760" w:type="dxa"/>
            <w:vAlign w:val="bottom"/>
          </w:tcPr>
          <w:p>
            <w:pPr>
              <w:jc w:val="right"/>
              <w:ind w:right="37"/>
              <w:spacing w:after="0"/>
              <w:rPr>
                <w:sz w:val="20"/>
                <w:szCs w:val="20"/>
                <w:color w:val="auto"/>
              </w:rPr>
            </w:pPr>
            <w:r>
              <w:rPr>
                <w:rFonts w:ascii="Arial" w:cs="Arial" w:eastAsia="Arial" w:hAnsi="Arial"/>
                <w:sz w:val="13"/>
                <w:szCs w:val="13"/>
                <w:b w:val="1"/>
                <w:bCs w:val="1"/>
                <w:color w:val="auto"/>
              </w:rPr>
              <w:t>Target (#)</w:t>
            </w:r>
          </w:p>
        </w:tc>
        <w:tc>
          <w:tcPr>
            <w:tcW w:w="760" w:type="dxa"/>
            <w:vAlign w:val="bottom"/>
          </w:tcPr>
          <w:p>
            <w:pPr>
              <w:jc w:val="right"/>
              <w:ind w:right="57"/>
              <w:spacing w:after="0"/>
              <w:rPr>
                <w:sz w:val="20"/>
                <w:szCs w:val="20"/>
                <w:color w:val="auto"/>
              </w:rPr>
            </w:pPr>
            <w:r>
              <w:rPr>
                <w:rFonts w:ascii="Arial" w:cs="Arial" w:eastAsia="Arial" w:hAnsi="Arial"/>
                <w:sz w:val="13"/>
                <w:szCs w:val="13"/>
                <w:b w:val="1"/>
                <w:bCs w:val="1"/>
                <w:color w:val="auto"/>
              </w:rPr>
              <w:t>Share ($)</w:t>
            </w:r>
          </w:p>
        </w:tc>
        <w:tc>
          <w:tcPr>
            <w:tcW w:w="1020" w:type="dxa"/>
            <w:vAlign w:val="bottom"/>
          </w:tcPr>
          <w:p>
            <w:pPr>
              <w:jc w:val="right"/>
              <w:ind w:right="57"/>
              <w:spacing w:after="0"/>
              <w:rPr>
                <w:sz w:val="20"/>
                <w:szCs w:val="20"/>
                <w:color w:val="auto"/>
              </w:rPr>
            </w:pPr>
            <w:r>
              <w:rPr>
                <w:rFonts w:ascii="Arial" w:cs="Arial" w:eastAsia="Arial" w:hAnsi="Arial"/>
                <w:sz w:val="13"/>
                <w:szCs w:val="13"/>
                <w:b w:val="1"/>
                <w:bCs w:val="1"/>
                <w:color w:val="auto"/>
              </w:rPr>
              <w:t>Fair Value ($)</w:t>
            </w:r>
          </w:p>
        </w:tc>
        <w:tc>
          <w:tcPr>
            <w:tcW w:w="1280" w:type="dxa"/>
            <w:vAlign w:val="bottom"/>
          </w:tcPr>
          <w:p>
            <w:pPr>
              <w:jc w:val="right"/>
              <w:ind w:right="177"/>
              <w:spacing w:after="0"/>
              <w:rPr>
                <w:sz w:val="20"/>
                <w:szCs w:val="20"/>
                <w:color w:val="auto"/>
              </w:rPr>
            </w:pPr>
            <w:r>
              <w:rPr>
                <w:rFonts w:ascii="Arial" w:cs="Arial" w:eastAsia="Arial" w:hAnsi="Arial"/>
                <w:sz w:val="13"/>
                <w:szCs w:val="13"/>
                <w:b w:val="1"/>
                <w:bCs w:val="1"/>
                <w:color w:val="auto"/>
              </w:rPr>
              <w:t>Fair Value ($)</w:t>
            </w:r>
          </w:p>
        </w:tc>
      </w:tr>
      <w:tr>
        <w:trPr>
          <w:trHeight w:val="163"/>
        </w:trPr>
        <w:tc>
          <w:tcPr>
            <w:tcW w:w="1700" w:type="dxa"/>
            <w:vAlign w:val="bottom"/>
            <w:shd w:val="clear" w:color="auto" w:fill="D7F5C4"/>
          </w:tcPr>
          <w:p>
            <w:pPr>
              <w:spacing w:after="0"/>
              <w:rPr>
                <w:sz w:val="20"/>
                <w:szCs w:val="20"/>
                <w:color w:val="auto"/>
              </w:rPr>
            </w:pPr>
            <w:r>
              <w:rPr>
                <w:rFonts w:ascii="Arial" w:cs="Arial" w:eastAsia="Arial" w:hAnsi="Arial"/>
                <w:sz w:val="13"/>
                <w:szCs w:val="13"/>
                <w:color w:val="auto"/>
              </w:rPr>
              <w:t>John R. Hewitt</w:t>
            </w:r>
          </w:p>
        </w:tc>
        <w:tc>
          <w:tcPr>
            <w:tcW w:w="900" w:type="dxa"/>
            <w:vAlign w:val="bottom"/>
            <w:shd w:val="clear" w:color="auto" w:fill="D7F5C4"/>
          </w:tcPr>
          <w:p>
            <w:pPr>
              <w:jc w:val="right"/>
              <w:ind w:right="17"/>
              <w:spacing w:after="0"/>
              <w:rPr>
                <w:sz w:val="20"/>
                <w:szCs w:val="20"/>
                <w:color w:val="auto"/>
              </w:rPr>
            </w:pPr>
            <w:r>
              <w:rPr>
                <w:rFonts w:ascii="Arial" w:cs="Arial" w:eastAsia="Arial" w:hAnsi="Arial"/>
                <w:sz w:val="13"/>
                <w:szCs w:val="13"/>
                <w:color w:val="auto"/>
              </w:rPr>
              <w:t>33,383</w:t>
            </w:r>
          </w:p>
        </w:tc>
        <w:tc>
          <w:tcPr>
            <w:tcW w:w="820" w:type="dxa"/>
            <w:vAlign w:val="bottom"/>
            <w:shd w:val="clear" w:color="auto" w:fill="D7F5C4"/>
          </w:tcPr>
          <w:p>
            <w:pPr>
              <w:jc w:val="right"/>
              <w:ind w:right="17"/>
              <w:spacing w:after="0"/>
              <w:rPr>
                <w:sz w:val="20"/>
                <w:szCs w:val="20"/>
                <w:color w:val="auto"/>
              </w:rPr>
            </w:pPr>
            <w:r>
              <w:rPr>
                <w:rFonts w:ascii="Arial" w:cs="Arial" w:eastAsia="Arial" w:hAnsi="Arial"/>
                <w:sz w:val="13"/>
                <w:szCs w:val="13"/>
                <w:color w:val="auto"/>
              </w:rPr>
              <w:t>6,081</w:t>
            </w:r>
          </w:p>
        </w:tc>
        <w:tc>
          <w:tcPr>
            <w:tcW w:w="760" w:type="dxa"/>
            <w:vAlign w:val="bottom"/>
            <w:shd w:val="clear" w:color="auto" w:fill="D7F5C4"/>
          </w:tcPr>
          <w:p>
            <w:pPr>
              <w:jc w:val="right"/>
              <w:ind w:right="57"/>
              <w:spacing w:after="0"/>
              <w:rPr>
                <w:sz w:val="20"/>
                <w:szCs w:val="20"/>
                <w:color w:val="auto"/>
              </w:rPr>
            </w:pPr>
            <w:r>
              <w:rPr>
                <w:rFonts w:ascii="Arial" w:cs="Arial" w:eastAsia="Arial" w:hAnsi="Arial"/>
                <w:sz w:val="13"/>
                <w:szCs w:val="13"/>
                <w:color w:val="auto"/>
              </w:rPr>
              <w:t>21.60</w:t>
            </w:r>
          </w:p>
        </w:tc>
        <w:tc>
          <w:tcPr>
            <w:tcW w:w="980" w:type="dxa"/>
            <w:vAlign w:val="bottom"/>
            <w:shd w:val="clear" w:color="auto" w:fill="D7F5C4"/>
          </w:tcPr>
          <w:p>
            <w:pPr>
              <w:jc w:val="right"/>
              <w:ind w:right="17"/>
              <w:spacing w:after="0"/>
              <w:rPr>
                <w:sz w:val="20"/>
                <w:szCs w:val="20"/>
                <w:color w:val="auto"/>
              </w:rPr>
            </w:pPr>
            <w:r>
              <w:rPr>
                <w:rFonts w:ascii="Arial" w:cs="Arial" w:eastAsia="Arial" w:hAnsi="Arial"/>
                <w:sz w:val="13"/>
                <w:szCs w:val="13"/>
                <w:color w:val="auto"/>
              </w:rPr>
              <w:t>852,422</w:t>
            </w:r>
          </w:p>
        </w:tc>
        <w:tc>
          <w:tcPr>
            <w:tcW w:w="760" w:type="dxa"/>
            <w:vAlign w:val="bottom"/>
            <w:shd w:val="clear" w:color="auto" w:fill="D7F5C4"/>
          </w:tcPr>
          <w:p>
            <w:pPr>
              <w:jc w:val="right"/>
              <w:ind w:right="17"/>
              <w:spacing w:after="0"/>
              <w:rPr>
                <w:sz w:val="20"/>
                <w:szCs w:val="20"/>
                <w:color w:val="auto"/>
              </w:rPr>
            </w:pPr>
            <w:r>
              <w:rPr>
                <w:rFonts w:ascii="Arial" w:cs="Arial" w:eastAsia="Arial" w:hAnsi="Arial"/>
                <w:sz w:val="13"/>
                <w:szCs w:val="13"/>
                <w:color w:val="auto"/>
              </w:rPr>
              <w:t>33,383</w:t>
            </w:r>
          </w:p>
        </w:tc>
        <w:tc>
          <w:tcPr>
            <w:tcW w:w="760" w:type="dxa"/>
            <w:vAlign w:val="bottom"/>
            <w:shd w:val="clear" w:color="auto" w:fill="D7F5C4"/>
          </w:tcPr>
          <w:p>
            <w:pPr>
              <w:jc w:val="right"/>
              <w:ind w:right="37"/>
              <w:spacing w:after="0"/>
              <w:rPr>
                <w:sz w:val="20"/>
                <w:szCs w:val="20"/>
                <w:color w:val="auto"/>
              </w:rPr>
            </w:pPr>
            <w:r>
              <w:rPr>
                <w:rFonts w:ascii="Arial" w:cs="Arial" w:eastAsia="Arial" w:hAnsi="Arial"/>
                <w:sz w:val="13"/>
                <w:szCs w:val="13"/>
                <w:color w:val="auto"/>
              </w:rPr>
              <w:t>32.64</w:t>
            </w:r>
          </w:p>
        </w:tc>
        <w:tc>
          <w:tcPr>
            <w:tcW w:w="1020" w:type="dxa"/>
            <w:vAlign w:val="bottom"/>
            <w:shd w:val="clear" w:color="auto" w:fill="D7F5C4"/>
          </w:tcPr>
          <w:p>
            <w:pPr>
              <w:jc w:val="right"/>
              <w:ind w:right="17"/>
              <w:spacing w:after="0"/>
              <w:rPr>
                <w:sz w:val="20"/>
                <w:szCs w:val="20"/>
                <w:color w:val="auto"/>
              </w:rPr>
            </w:pPr>
            <w:r>
              <w:rPr>
                <w:rFonts w:ascii="Arial" w:cs="Arial" w:eastAsia="Arial" w:hAnsi="Arial"/>
                <w:sz w:val="13"/>
                <w:szCs w:val="13"/>
                <w:color w:val="auto"/>
              </w:rPr>
              <w:t>1,089,621</w:t>
            </w:r>
          </w:p>
        </w:tc>
        <w:tc>
          <w:tcPr>
            <w:tcW w:w="1280" w:type="dxa"/>
            <w:vAlign w:val="bottom"/>
            <w:shd w:val="clear" w:color="auto" w:fill="D7F5C4"/>
          </w:tcPr>
          <w:p>
            <w:pPr>
              <w:jc w:val="right"/>
              <w:ind w:right="37"/>
              <w:spacing w:after="0"/>
              <w:rPr>
                <w:sz w:val="20"/>
                <w:szCs w:val="20"/>
                <w:color w:val="auto"/>
              </w:rPr>
            </w:pPr>
            <w:r>
              <w:rPr>
                <w:rFonts w:ascii="Arial" w:cs="Arial" w:eastAsia="Arial" w:hAnsi="Arial"/>
                <w:sz w:val="13"/>
                <w:szCs w:val="13"/>
                <w:color w:val="auto"/>
              </w:rPr>
              <w:t>1,942,043</w:t>
            </w:r>
          </w:p>
        </w:tc>
      </w:tr>
      <w:tr>
        <w:trPr>
          <w:trHeight w:val="161"/>
        </w:trPr>
        <w:tc>
          <w:tcPr>
            <w:tcW w:w="1700" w:type="dxa"/>
            <w:vAlign w:val="bottom"/>
          </w:tcPr>
          <w:p>
            <w:pPr>
              <w:spacing w:after="0"/>
              <w:rPr>
                <w:sz w:val="20"/>
                <w:szCs w:val="20"/>
                <w:color w:val="auto"/>
              </w:rPr>
            </w:pPr>
            <w:r>
              <w:rPr>
                <w:rFonts w:ascii="Arial" w:cs="Arial" w:eastAsia="Arial" w:hAnsi="Arial"/>
                <w:sz w:val="13"/>
                <w:szCs w:val="13"/>
                <w:color w:val="auto"/>
              </w:rPr>
              <w:t>Joseph F. Montalbano</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12,173</w:t>
            </w: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3,017</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21.60</w:t>
            </w: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328,104</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12,173</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32.64</w:t>
            </w: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397,327</w:t>
            </w: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725,431</w:t>
            </w:r>
          </w:p>
        </w:tc>
      </w:tr>
      <w:tr>
        <w:trPr>
          <w:trHeight w:val="163"/>
        </w:trPr>
        <w:tc>
          <w:tcPr>
            <w:tcW w:w="1700" w:type="dxa"/>
            <w:vAlign w:val="bottom"/>
            <w:shd w:val="clear" w:color="auto" w:fill="D7F5C4"/>
          </w:tcPr>
          <w:p>
            <w:pPr>
              <w:spacing w:after="0"/>
              <w:rPr>
                <w:sz w:val="20"/>
                <w:szCs w:val="20"/>
                <w:color w:val="auto"/>
              </w:rPr>
            </w:pPr>
            <w:r>
              <w:rPr>
                <w:rFonts w:ascii="Arial" w:cs="Arial" w:eastAsia="Arial" w:hAnsi="Arial"/>
                <w:sz w:val="13"/>
                <w:szCs w:val="13"/>
                <w:color w:val="auto"/>
              </w:rPr>
              <w:t>Kevin S. Cavanah</w:t>
            </w:r>
          </w:p>
        </w:tc>
        <w:tc>
          <w:tcPr>
            <w:tcW w:w="900" w:type="dxa"/>
            <w:vAlign w:val="bottom"/>
            <w:shd w:val="clear" w:color="auto" w:fill="D7F5C4"/>
          </w:tcPr>
          <w:p>
            <w:pPr>
              <w:jc w:val="right"/>
              <w:ind w:right="17"/>
              <w:spacing w:after="0"/>
              <w:rPr>
                <w:sz w:val="20"/>
                <w:szCs w:val="20"/>
                <w:color w:val="auto"/>
              </w:rPr>
            </w:pPr>
            <w:r>
              <w:rPr>
                <w:rFonts w:ascii="Arial" w:cs="Arial" w:eastAsia="Arial" w:hAnsi="Arial"/>
                <w:sz w:val="13"/>
                <w:szCs w:val="13"/>
                <w:color w:val="auto"/>
              </w:rPr>
              <w:t>11,100</w:t>
            </w:r>
          </w:p>
        </w:tc>
        <w:tc>
          <w:tcPr>
            <w:tcW w:w="820" w:type="dxa"/>
            <w:vAlign w:val="bottom"/>
            <w:shd w:val="clear" w:color="auto" w:fill="D7F5C4"/>
          </w:tcPr>
          <w:p>
            <w:pPr>
              <w:jc w:val="right"/>
              <w:ind w:right="17"/>
              <w:spacing w:after="0"/>
              <w:rPr>
                <w:sz w:val="20"/>
                <w:szCs w:val="20"/>
                <w:color w:val="auto"/>
              </w:rPr>
            </w:pPr>
            <w:r>
              <w:rPr>
                <w:rFonts w:ascii="Arial" w:cs="Arial" w:eastAsia="Arial" w:hAnsi="Arial"/>
                <w:sz w:val="13"/>
                <w:szCs w:val="13"/>
                <w:color w:val="auto"/>
              </w:rPr>
              <w:t>2,640</w:t>
            </w:r>
          </w:p>
        </w:tc>
        <w:tc>
          <w:tcPr>
            <w:tcW w:w="760" w:type="dxa"/>
            <w:vAlign w:val="bottom"/>
            <w:shd w:val="clear" w:color="auto" w:fill="D7F5C4"/>
          </w:tcPr>
          <w:p>
            <w:pPr>
              <w:jc w:val="right"/>
              <w:ind w:right="57"/>
              <w:spacing w:after="0"/>
              <w:rPr>
                <w:sz w:val="20"/>
                <w:szCs w:val="20"/>
                <w:color w:val="auto"/>
              </w:rPr>
            </w:pPr>
            <w:r>
              <w:rPr>
                <w:rFonts w:ascii="Arial" w:cs="Arial" w:eastAsia="Arial" w:hAnsi="Arial"/>
                <w:sz w:val="13"/>
                <w:szCs w:val="13"/>
                <w:color w:val="auto"/>
              </w:rPr>
              <w:t>21.60</w:t>
            </w:r>
          </w:p>
        </w:tc>
        <w:tc>
          <w:tcPr>
            <w:tcW w:w="980" w:type="dxa"/>
            <w:vAlign w:val="bottom"/>
            <w:shd w:val="clear" w:color="auto" w:fill="D7F5C4"/>
          </w:tcPr>
          <w:p>
            <w:pPr>
              <w:jc w:val="right"/>
              <w:ind w:right="17"/>
              <w:spacing w:after="0"/>
              <w:rPr>
                <w:sz w:val="20"/>
                <w:szCs w:val="20"/>
                <w:color w:val="auto"/>
              </w:rPr>
            </w:pPr>
            <w:r>
              <w:rPr>
                <w:rFonts w:ascii="Arial" w:cs="Arial" w:eastAsia="Arial" w:hAnsi="Arial"/>
                <w:sz w:val="13"/>
                <w:szCs w:val="13"/>
                <w:color w:val="auto"/>
              </w:rPr>
              <w:t>296,784</w:t>
            </w:r>
          </w:p>
        </w:tc>
        <w:tc>
          <w:tcPr>
            <w:tcW w:w="760" w:type="dxa"/>
            <w:vAlign w:val="bottom"/>
            <w:shd w:val="clear" w:color="auto" w:fill="D7F5C4"/>
          </w:tcPr>
          <w:p>
            <w:pPr>
              <w:jc w:val="right"/>
              <w:ind w:right="17"/>
              <w:spacing w:after="0"/>
              <w:rPr>
                <w:sz w:val="20"/>
                <w:szCs w:val="20"/>
                <w:color w:val="auto"/>
              </w:rPr>
            </w:pPr>
            <w:r>
              <w:rPr>
                <w:rFonts w:ascii="Arial" w:cs="Arial" w:eastAsia="Arial" w:hAnsi="Arial"/>
                <w:sz w:val="13"/>
                <w:szCs w:val="13"/>
                <w:color w:val="auto"/>
              </w:rPr>
              <w:t>11,100</w:t>
            </w:r>
          </w:p>
        </w:tc>
        <w:tc>
          <w:tcPr>
            <w:tcW w:w="760" w:type="dxa"/>
            <w:vAlign w:val="bottom"/>
            <w:shd w:val="clear" w:color="auto" w:fill="D7F5C4"/>
          </w:tcPr>
          <w:p>
            <w:pPr>
              <w:jc w:val="right"/>
              <w:ind w:right="37"/>
              <w:spacing w:after="0"/>
              <w:rPr>
                <w:sz w:val="20"/>
                <w:szCs w:val="20"/>
                <w:color w:val="auto"/>
              </w:rPr>
            </w:pPr>
            <w:r>
              <w:rPr>
                <w:rFonts w:ascii="Arial" w:cs="Arial" w:eastAsia="Arial" w:hAnsi="Arial"/>
                <w:sz w:val="13"/>
                <w:szCs w:val="13"/>
                <w:color w:val="auto"/>
              </w:rPr>
              <w:t>32.64</w:t>
            </w:r>
          </w:p>
        </w:tc>
        <w:tc>
          <w:tcPr>
            <w:tcW w:w="1020" w:type="dxa"/>
            <w:vAlign w:val="bottom"/>
            <w:shd w:val="clear" w:color="auto" w:fill="D7F5C4"/>
          </w:tcPr>
          <w:p>
            <w:pPr>
              <w:jc w:val="right"/>
              <w:ind w:right="17"/>
              <w:spacing w:after="0"/>
              <w:rPr>
                <w:sz w:val="20"/>
                <w:szCs w:val="20"/>
                <w:color w:val="auto"/>
              </w:rPr>
            </w:pPr>
            <w:r>
              <w:rPr>
                <w:rFonts w:ascii="Arial" w:cs="Arial" w:eastAsia="Arial" w:hAnsi="Arial"/>
                <w:sz w:val="13"/>
                <w:szCs w:val="13"/>
                <w:color w:val="auto"/>
              </w:rPr>
              <w:t>362,304</w:t>
            </w:r>
          </w:p>
        </w:tc>
        <w:tc>
          <w:tcPr>
            <w:tcW w:w="1280" w:type="dxa"/>
            <w:vAlign w:val="bottom"/>
            <w:shd w:val="clear" w:color="auto" w:fill="D7F5C4"/>
          </w:tcPr>
          <w:p>
            <w:pPr>
              <w:jc w:val="right"/>
              <w:ind w:right="37"/>
              <w:spacing w:after="0"/>
              <w:rPr>
                <w:sz w:val="20"/>
                <w:szCs w:val="20"/>
                <w:color w:val="auto"/>
              </w:rPr>
            </w:pPr>
            <w:r>
              <w:rPr>
                <w:rFonts w:ascii="Arial" w:cs="Arial" w:eastAsia="Arial" w:hAnsi="Arial"/>
                <w:sz w:val="13"/>
                <w:szCs w:val="13"/>
                <w:color w:val="auto"/>
              </w:rPr>
              <w:t>659,088</w:t>
            </w:r>
          </w:p>
        </w:tc>
      </w:tr>
      <w:tr>
        <w:trPr>
          <w:trHeight w:val="161"/>
        </w:trPr>
        <w:tc>
          <w:tcPr>
            <w:tcW w:w="1700" w:type="dxa"/>
            <w:vAlign w:val="bottom"/>
          </w:tcPr>
          <w:p>
            <w:pPr>
              <w:spacing w:after="0"/>
              <w:rPr>
                <w:sz w:val="20"/>
                <w:szCs w:val="20"/>
                <w:color w:val="auto"/>
              </w:rPr>
            </w:pPr>
            <w:r>
              <w:rPr>
                <w:rFonts w:ascii="Arial" w:cs="Arial" w:eastAsia="Arial" w:hAnsi="Arial"/>
                <w:sz w:val="13"/>
                <w:szCs w:val="13"/>
                <w:color w:val="auto"/>
              </w:rPr>
              <w:t>Alan R. Updyke</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6,635</w:t>
            </w: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1,887</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21.60</w:t>
            </w: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184,075</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6,635</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32.64</w:t>
            </w: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216,567</w:t>
            </w: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400,642</w:t>
            </w:r>
          </w:p>
        </w:tc>
      </w:tr>
      <w:tr>
        <w:trPr>
          <w:trHeight w:val="163"/>
        </w:trPr>
        <w:tc>
          <w:tcPr>
            <w:tcW w:w="1700" w:type="dxa"/>
            <w:vAlign w:val="bottom"/>
            <w:shd w:val="clear" w:color="auto" w:fill="D7F5C4"/>
          </w:tcPr>
          <w:p>
            <w:pPr>
              <w:spacing w:after="0"/>
              <w:rPr>
                <w:sz w:val="20"/>
                <w:szCs w:val="20"/>
                <w:color w:val="auto"/>
              </w:rPr>
            </w:pPr>
            <w:r>
              <w:rPr>
                <w:rFonts w:ascii="Arial" w:cs="Arial" w:eastAsia="Arial" w:hAnsi="Arial"/>
                <w:sz w:val="13"/>
                <w:szCs w:val="13"/>
                <w:color w:val="auto"/>
              </w:rPr>
              <w:t>Jason W. Turner</w:t>
            </w:r>
          </w:p>
        </w:tc>
        <w:tc>
          <w:tcPr>
            <w:tcW w:w="900" w:type="dxa"/>
            <w:vAlign w:val="bottom"/>
            <w:shd w:val="clear" w:color="auto" w:fill="D7F5C4"/>
          </w:tcPr>
          <w:p>
            <w:pPr>
              <w:jc w:val="right"/>
              <w:ind w:right="17"/>
              <w:spacing w:after="0"/>
              <w:rPr>
                <w:sz w:val="20"/>
                <w:szCs w:val="20"/>
                <w:color w:val="auto"/>
              </w:rPr>
            </w:pPr>
            <w:r>
              <w:rPr>
                <w:rFonts w:ascii="Arial" w:cs="Arial" w:eastAsia="Arial" w:hAnsi="Arial"/>
                <w:sz w:val="13"/>
                <w:szCs w:val="13"/>
                <w:color w:val="auto"/>
              </w:rPr>
              <w:t>6,938</w:t>
            </w:r>
          </w:p>
        </w:tc>
        <w:tc>
          <w:tcPr>
            <w:tcW w:w="820" w:type="dxa"/>
            <w:vAlign w:val="bottom"/>
            <w:shd w:val="clear" w:color="auto" w:fill="D7F5C4"/>
          </w:tcPr>
          <w:p>
            <w:pPr>
              <w:jc w:val="right"/>
              <w:ind w:right="17"/>
              <w:spacing w:after="0"/>
              <w:rPr>
                <w:sz w:val="20"/>
                <w:szCs w:val="20"/>
                <w:color w:val="auto"/>
              </w:rPr>
            </w:pPr>
            <w:r>
              <w:rPr>
                <w:rFonts w:ascii="Arial" w:cs="Arial" w:eastAsia="Arial" w:hAnsi="Arial"/>
                <w:sz w:val="13"/>
                <w:szCs w:val="13"/>
                <w:color w:val="auto"/>
              </w:rPr>
              <w:t>1,933</w:t>
            </w:r>
          </w:p>
        </w:tc>
        <w:tc>
          <w:tcPr>
            <w:tcW w:w="760" w:type="dxa"/>
            <w:vAlign w:val="bottom"/>
            <w:shd w:val="clear" w:color="auto" w:fill="D7F5C4"/>
          </w:tcPr>
          <w:p>
            <w:pPr>
              <w:jc w:val="right"/>
              <w:ind w:right="57"/>
              <w:spacing w:after="0"/>
              <w:rPr>
                <w:sz w:val="20"/>
                <w:szCs w:val="20"/>
                <w:color w:val="auto"/>
              </w:rPr>
            </w:pPr>
            <w:r>
              <w:rPr>
                <w:rFonts w:ascii="Arial" w:cs="Arial" w:eastAsia="Arial" w:hAnsi="Arial"/>
                <w:sz w:val="13"/>
                <w:szCs w:val="13"/>
                <w:color w:val="auto"/>
              </w:rPr>
              <w:t>21.60</w:t>
            </w:r>
          </w:p>
        </w:tc>
        <w:tc>
          <w:tcPr>
            <w:tcW w:w="980" w:type="dxa"/>
            <w:vAlign w:val="bottom"/>
            <w:shd w:val="clear" w:color="auto" w:fill="D7F5C4"/>
          </w:tcPr>
          <w:p>
            <w:pPr>
              <w:jc w:val="right"/>
              <w:ind w:right="17"/>
              <w:spacing w:after="0"/>
              <w:rPr>
                <w:sz w:val="20"/>
                <w:szCs w:val="20"/>
                <w:color w:val="auto"/>
              </w:rPr>
            </w:pPr>
            <w:r>
              <w:rPr>
                <w:rFonts w:ascii="Arial" w:cs="Arial" w:eastAsia="Arial" w:hAnsi="Arial"/>
                <w:sz w:val="13"/>
                <w:szCs w:val="13"/>
                <w:color w:val="auto"/>
              </w:rPr>
              <w:t>191,614</w:t>
            </w:r>
          </w:p>
        </w:tc>
        <w:tc>
          <w:tcPr>
            <w:tcW w:w="760" w:type="dxa"/>
            <w:vAlign w:val="bottom"/>
            <w:shd w:val="clear" w:color="auto" w:fill="D7F5C4"/>
          </w:tcPr>
          <w:p>
            <w:pPr>
              <w:jc w:val="right"/>
              <w:ind w:right="17"/>
              <w:spacing w:after="0"/>
              <w:rPr>
                <w:sz w:val="20"/>
                <w:szCs w:val="20"/>
                <w:color w:val="auto"/>
              </w:rPr>
            </w:pPr>
            <w:r>
              <w:rPr>
                <w:rFonts w:ascii="Arial" w:cs="Arial" w:eastAsia="Arial" w:hAnsi="Arial"/>
                <w:sz w:val="13"/>
                <w:szCs w:val="13"/>
                <w:color w:val="auto"/>
              </w:rPr>
              <w:t>6,938</w:t>
            </w:r>
          </w:p>
        </w:tc>
        <w:tc>
          <w:tcPr>
            <w:tcW w:w="760" w:type="dxa"/>
            <w:vAlign w:val="bottom"/>
            <w:shd w:val="clear" w:color="auto" w:fill="D7F5C4"/>
          </w:tcPr>
          <w:p>
            <w:pPr>
              <w:jc w:val="right"/>
              <w:ind w:right="37"/>
              <w:spacing w:after="0"/>
              <w:rPr>
                <w:sz w:val="20"/>
                <w:szCs w:val="20"/>
                <w:color w:val="auto"/>
              </w:rPr>
            </w:pPr>
            <w:r>
              <w:rPr>
                <w:rFonts w:ascii="Arial" w:cs="Arial" w:eastAsia="Arial" w:hAnsi="Arial"/>
                <w:sz w:val="13"/>
                <w:szCs w:val="13"/>
                <w:color w:val="auto"/>
              </w:rPr>
              <w:t>32.64</w:t>
            </w:r>
          </w:p>
        </w:tc>
        <w:tc>
          <w:tcPr>
            <w:tcW w:w="1020" w:type="dxa"/>
            <w:vAlign w:val="bottom"/>
            <w:shd w:val="clear" w:color="auto" w:fill="D7F5C4"/>
          </w:tcPr>
          <w:p>
            <w:pPr>
              <w:jc w:val="right"/>
              <w:ind w:right="17"/>
              <w:spacing w:after="0"/>
              <w:rPr>
                <w:sz w:val="20"/>
                <w:szCs w:val="20"/>
                <w:color w:val="auto"/>
              </w:rPr>
            </w:pPr>
            <w:r>
              <w:rPr>
                <w:rFonts w:ascii="Arial" w:cs="Arial" w:eastAsia="Arial" w:hAnsi="Arial"/>
                <w:sz w:val="13"/>
                <w:szCs w:val="13"/>
                <w:color w:val="auto"/>
              </w:rPr>
              <w:t>226,456</w:t>
            </w:r>
          </w:p>
        </w:tc>
        <w:tc>
          <w:tcPr>
            <w:tcW w:w="1280" w:type="dxa"/>
            <w:vAlign w:val="bottom"/>
            <w:shd w:val="clear" w:color="auto" w:fill="D7F5C4"/>
          </w:tcPr>
          <w:p>
            <w:pPr>
              <w:jc w:val="right"/>
              <w:ind w:right="37"/>
              <w:spacing w:after="0"/>
              <w:rPr>
                <w:sz w:val="20"/>
                <w:szCs w:val="20"/>
                <w:color w:val="auto"/>
              </w:rPr>
            </w:pPr>
            <w:r>
              <w:rPr>
                <w:rFonts w:ascii="Arial" w:cs="Arial" w:eastAsia="Arial" w:hAnsi="Arial"/>
                <w:sz w:val="13"/>
                <w:szCs w:val="13"/>
                <w:color w:val="auto"/>
              </w:rPr>
              <w:t>418,070</w:t>
            </w:r>
          </w:p>
        </w:tc>
      </w:tr>
    </w:tbl>
    <w:p>
      <w:pPr>
        <w:spacing w:after="0" w:line="113" w:lineRule="exact"/>
        <w:rPr>
          <w:sz w:val="20"/>
          <w:szCs w:val="20"/>
          <w:color w:val="auto"/>
        </w:rPr>
      </w:pPr>
    </w:p>
    <w:p>
      <w:pPr>
        <w:ind w:left="347" w:right="200" w:hanging="347"/>
        <w:spacing w:after="0" w:line="247" w:lineRule="auto"/>
        <w:tabs>
          <w:tab w:leader="none" w:pos="347"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amounts shown are the potential cash incentive compensation awards for each Named Executive Officer under our annual/short-term incentive compensation plan described above under the caption “Compensation Discussion and Analysis”. Actual payouts to the Named Executive Officers for the applicable fiscal year are reported in the Summary Compensation Table as a portion of the amount shown under the column “Non-Equity Incentive Plan Compensation.”</w:t>
      </w:r>
    </w:p>
    <w:p>
      <w:pPr>
        <w:spacing w:after="0" w:line="93" w:lineRule="exact"/>
        <w:rPr>
          <w:rFonts w:ascii="Arial" w:cs="Arial" w:eastAsia="Arial" w:hAnsi="Arial"/>
          <w:sz w:val="14"/>
          <w:szCs w:val="14"/>
          <w:color w:val="auto"/>
        </w:rPr>
      </w:pPr>
    </w:p>
    <w:p>
      <w:pPr>
        <w:ind w:left="347" w:right="420" w:hanging="347"/>
        <w:spacing w:after="0" w:line="258" w:lineRule="auto"/>
        <w:tabs>
          <w:tab w:leader="none" w:pos="347" w:val="left"/>
        </w:tabs>
        <w:numPr>
          <w:ilvl w:val="0"/>
          <w:numId w:val="34"/>
        </w:numPr>
        <w:rPr>
          <w:rFonts w:ascii="Arial" w:cs="Arial" w:eastAsia="Arial" w:hAnsi="Arial"/>
          <w:sz w:val="14"/>
          <w:szCs w:val="14"/>
          <w:color w:val="auto"/>
        </w:rPr>
      </w:pPr>
      <w:r>
        <w:rPr>
          <w:rFonts w:ascii="Arial" w:cs="Arial" w:eastAsia="Arial" w:hAnsi="Arial"/>
          <w:sz w:val="14"/>
          <w:szCs w:val="14"/>
          <w:color w:val="auto"/>
        </w:rPr>
        <w:t>Amounts shown represent the potential cash awards for each Named Executive Officer under the cash portion of our fiscal 2019 long-term incentive award described above under the caption “Compensation Discussion and Analysis”. The actual cash</w:t>
      </w:r>
    </w:p>
    <w:p>
      <w:pPr>
        <w:spacing w:after="0" w:line="189"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6071870"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43" w:name="page44"/>
    <w:bookmarkEnd w:id="43"/>
    <w:p>
      <w:pPr>
        <w:ind w:left="7"/>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ind w:left="367" w:right="40"/>
        <w:spacing w:after="0" w:line="250" w:lineRule="auto"/>
        <w:rPr>
          <w:sz w:val="20"/>
          <w:szCs w:val="20"/>
          <w:color w:val="auto"/>
        </w:rPr>
      </w:pPr>
      <w:r>
        <w:rPr>
          <w:rFonts w:ascii="Arial" w:cs="Arial" w:eastAsia="Arial" w:hAnsi="Arial"/>
          <w:sz w:val="14"/>
          <w:szCs w:val="14"/>
          <w:color w:val="auto"/>
        </w:rPr>
        <w:t>payout can range from 0% to 150% of the target payout and will be based on average Return on Invested Capital for fiscal 2019 and fiscal 2020. Actual payouts for the applicable fiscal year are reported in the Summary Compensation Table as a portion of the amount shown under the column “Non-Equity Incentive Plan Compensation.”</w:t>
      </w:r>
    </w:p>
    <w:p>
      <w:pPr>
        <w:spacing w:after="0" w:line="145"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61DA16"/>
        </w:rPr>
        <w:t>Outstanding Equity Awards at Fiscal Year-End for 2019</w:t>
      </w:r>
    </w:p>
    <w:p>
      <w:pPr>
        <w:spacing w:after="0" w:line="126" w:lineRule="exact"/>
        <w:rPr>
          <w:sz w:val="20"/>
          <w:szCs w:val="20"/>
          <w:color w:val="auto"/>
        </w:rPr>
      </w:pPr>
    </w:p>
    <w:p>
      <w:pPr>
        <w:ind w:left="7" w:right="840"/>
        <w:spacing w:after="0" w:line="262" w:lineRule="auto"/>
        <w:rPr>
          <w:sz w:val="20"/>
          <w:szCs w:val="20"/>
          <w:color w:val="auto"/>
        </w:rPr>
      </w:pPr>
      <w:r>
        <w:rPr>
          <w:rFonts w:ascii="Arial" w:cs="Arial" w:eastAsia="Arial" w:hAnsi="Arial"/>
          <w:sz w:val="18"/>
          <w:szCs w:val="18"/>
          <w:color w:val="auto"/>
        </w:rPr>
        <w:t>The following table sets forth certain information with respect to outstanding equity awards held by the Named Executive Officers as of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22225</wp:posOffset>
            </wp:positionV>
            <wp:extent cx="34290" cy="1200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120015"/>
                    </a:xfrm>
                    <a:prstGeom prst="rect">
                      <a:avLst/>
                    </a:prstGeom>
                    <a:noFill/>
                  </pic:spPr>
                </pic:pic>
              </a:graphicData>
            </a:graphic>
          </wp:anchor>
        </w:drawing>
      </w:r>
    </w:p>
    <w:p>
      <w:pPr>
        <w:spacing w:after="0" w:line="15" w:lineRule="exact"/>
        <w:rPr>
          <w:sz w:val="20"/>
          <w:szCs w:val="20"/>
          <w:color w:val="auto"/>
        </w:rPr>
      </w:pPr>
    </w:p>
    <w:tbl>
      <w:tblPr>
        <w:tblLayout w:type="fixed"/>
        <w:tblInd w:w="7" w:type="dxa"/>
        <w:tblCellMar>
          <w:top w:w="0" w:type="dxa"/>
          <w:left w:w="0" w:type="dxa"/>
          <w:bottom w:w="0" w:type="dxa"/>
          <w:right w:w="0" w:type="dxa"/>
        </w:tblCellMar>
      </w:tblPr>
      <w:tr>
        <w:trPr>
          <w:trHeight w:val="189"/>
        </w:trPr>
        <w:tc>
          <w:tcPr>
            <w:tcW w:w="1940" w:type="dxa"/>
            <w:vAlign w:val="bottom"/>
          </w:tcPr>
          <w:p>
            <w:pPr>
              <w:spacing w:after="0"/>
              <w:rPr>
                <w:sz w:val="16"/>
                <w:szCs w:val="16"/>
                <w:color w:val="auto"/>
              </w:rPr>
            </w:pPr>
          </w:p>
        </w:tc>
        <w:tc>
          <w:tcPr>
            <w:tcW w:w="1040" w:type="dxa"/>
            <w:vAlign w:val="bottom"/>
            <w:shd w:val="clear" w:color="auto" w:fill="D7F5C4"/>
          </w:tcPr>
          <w:p>
            <w:pPr>
              <w:spacing w:after="0"/>
              <w:rPr>
                <w:sz w:val="16"/>
                <w:szCs w:val="16"/>
                <w:color w:val="auto"/>
              </w:rPr>
            </w:pPr>
          </w:p>
        </w:tc>
        <w:tc>
          <w:tcPr>
            <w:tcW w:w="2000" w:type="dxa"/>
            <w:vAlign w:val="bottom"/>
            <w:gridSpan w:val="2"/>
            <w:shd w:val="clear" w:color="auto" w:fill="D7F5C4"/>
          </w:tcPr>
          <w:p>
            <w:pPr>
              <w:ind w:left="440"/>
              <w:spacing w:after="0"/>
              <w:rPr>
                <w:sz w:val="20"/>
                <w:szCs w:val="20"/>
                <w:color w:val="auto"/>
              </w:rPr>
            </w:pPr>
            <w:r>
              <w:rPr>
                <w:rFonts w:ascii="Arial" w:cs="Arial" w:eastAsia="Arial" w:hAnsi="Arial"/>
                <w:sz w:val="14"/>
                <w:szCs w:val="14"/>
                <w:b w:val="1"/>
                <w:bCs w:val="1"/>
                <w:color w:val="auto"/>
              </w:rPr>
              <w:t>Option Awards</w:t>
            </w:r>
          </w:p>
        </w:tc>
        <w:tc>
          <w:tcPr>
            <w:tcW w:w="1000" w:type="dxa"/>
            <w:vAlign w:val="bottom"/>
            <w:shd w:val="clear" w:color="auto" w:fill="D7F5C4"/>
          </w:tcPr>
          <w:p>
            <w:pPr>
              <w:spacing w:after="0"/>
              <w:rPr>
                <w:sz w:val="16"/>
                <w:szCs w:val="16"/>
                <w:color w:val="auto"/>
              </w:rPr>
            </w:pPr>
          </w:p>
        </w:tc>
        <w:tc>
          <w:tcPr>
            <w:tcW w:w="820" w:type="dxa"/>
            <w:vAlign w:val="bottom"/>
            <w:shd w:val="clear" w:color="auto" w:fill="D7F5C4"/>
          </w:tcPr>
          <w:p>
            <w:pPr>
              <w:spacing w:after="0"/>
              <w:rPr>
                <w:sz w:val="16"/>
                <w:szCs w:val="16"/>
                <w:color w:val="auto"/>
              </w:rPr>
            </w:pPr>
          </w:p>
        </w:tc>
        <w:tc>
          <w:tcPr>
            <w:tcW w:w="1880" w:type="dxa"/>
            <w:vAlign w:val="bottom"/>
            <w:gridSpan w:val="2"/>
            <w:shd w:val="clear" w:color="auto" w:fill="D7F5C4"/>
          </w:tcPr>
          <w:p>
            <w:pPr>
              <w:jc w:val="right"/>
              <w:ind w:right="348"/>
              <w:spacing w:after="0"/>
              <w:rPr>
                <w:sz w:val="20"/>
                <w:szCs w:val="20"/>
                <w:color w:val="auto"/>
              </w:rPr>
            </w:pPr>
            <w:r>
              <w:rPr>
                <w:rFonts w:ascii="Arial" w:cs="Arial" w:eastAsia="Arial" w:hAnsi="Arial"/>
                <w:sz w:val="14"/>
                <w:szCs w:val="14"/>
                <w:b w:val="1"/>
                <w:bCs w:val="1"/>
                <w:color w:val="auto"/>
              </w:rPr>
              <w:t>Stock Awards</w:t>
            </w:r>
          </w:p>
        </w:tc>
        <w:tc>
          <w:tcPr>
            <w:tcW w:w="880" w:type="dxa"/>
            <w:vAlign w:val="bottom"/>
            <w:shd w:val="clear" w:color="auto" w:fill="D7F5C4"/>
          </w:tcPr>
          <w:p>
            <w:pPr>
              <w:spacing w:after="0"/>
              <w:rPr>
                <w:sz w:val="16"/>
                <w:szCs w:val="16"/>
                <w:color w:val="auto"/>
              </w:rPr>
            </w:pPr>
          </w:p>
        </w:tc>
      </w:tr>
      <w:tr>
        <w:trPr>
          <w:trHeight w:val="162"/>
        </w:trPr>
        <w:tc>
          <w:tcPr>
            <w:tcW w:w="1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Equity</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Equity</w:t>
            </w:r>
          </w:p>
        </w:tc>
      </w:tr>
      <w:tr>
        <w:trPr>
          <w:trHeight w:val="162"/>
        </w:trPr>
        <w:tc>
          <w:tcPr>
            <w:tcW w:w="1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Incentive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Incentive</w:t>
            </w:r>
          </w:p>
        </w:tc>
      </w:tr>
      <w:tr>
        <w:trPr>
          <w:trHeight w:val="162"/>
        </w:trPr>
        <w:tc>
          <w:tcPr>
            <w:tcW w:w="1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Plan</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Plan</w:t>
            </w:r>
          </w:p>
        </w:tc>
      </w:tr>
      <w:tr>
        <w:trPr>
          <w:trHeight w:val="162"/>
        </w:trPr>
        <w:tc>
          <w:tcPr>
            <w:tcW w:w="1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r>
      <w:tr>
        <w:trPr>
          <w:trHeight w:val="162"/>
        </w:trPr>
        <w:tc>
          <w:tcPr>
            <w:tcW w:w="1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Market</w:t>
            </w:r>
          </w:p>
        </w:tc>
      </w:tr>
      <w:tr>
        <w:trPr>
          <w:trHeight w:val="162"/>
        </w:trPr>
        <w:tc>
          <w:tcPr>
            <w:tcW w:w="1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9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of</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Value of</w:t>
            </w:r>
          </w:p>
        </w:tc>
      </w:tr>
      <w:tr>
        <w:trPr>
          <w:trHeight w:val="162"/>
        </w:trPr>
        <w:tc>
          <w:tcPr>
            <w:tcW w:w="1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of</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Market</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Unearned</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Unearned</w:t>
            </w:r>
          </w:p>
        </w:tc>
      </w:tr>
      <w:tr>
        <w:trPr>
          <w:trHeight w:val="162"/>
        </w:trPr>
        <w:tc>
          <w:tcPr>
            <w:tcW w:w="1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Value of</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r>
      <w:tr>
        <w:trPr>
          <w:trHeight w:val="162"/>
        </w:trPr>
        <w:tc>
          <w:tcPr>
            <w:tcW w:w="19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or Units</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Units or</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Units or</w:t>
            </w:r>
          </w:p>
        </w:tc>
      </w:tr>
      <w:tr>
        <w:trPr>
          <w:trHeight w:val="162"/>
        </w:trPr>
        <w:tc>
          <w:tcPr>
            <w:tcW w:w="19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of Stock</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or Units</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Other</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Other</w:t>
            </w:r>
          </w:p>
        </w:tc>
      </w:tr>
      <w:tr>
        <w:trPr>
          <w:trHeight w:val="162"/>
        </w:trPr>
        <w:tc>
          <w:tcPr>
            <w:tcW w:w="19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That</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of Stock</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Rights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Rights</w:t>
            </w:r>
          </w:p>
        </w:tc>
      </w:tr>
      <w:tr>
        <w:trPr>
          <w:trHeight w:val="162"/>
        </w:trPr>
        <w:tc>
          <w:tcPr>
            <w:tcW w:w="19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Unexercised</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Unexercised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10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Have</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That Have</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That Have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That Have</w:t>
            </w:r>
          </w:p>
        </w:tc>
      </w:tr>
      <w:tr>
        <w:trPr>
          <w:trHeight w:val="162"/>
        </w:trPr>
        <w:tc>
          <w:tcPr>
            <w:tcW w:w="19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Options</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Options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Exercise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Not</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Not</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Not</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Not</w:t>
            </w:r>
          </w:p>
        </w:tc>
      </w:tr>
      <w:tr>
        <w:trPr>
          <w:trHeight w:val="148"/>
        </w:trPr>
        <w:tc>
          <w:tcPr>
            <w:tcW w:w="19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Exercisable</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Unexercisable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Price</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Expiration</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Vested</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Vested</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Vested</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Vested</w:t>
            </w:r>
          </w:p>
        </w:tc>
      </w:tr>
      <w:tr>
        <w:trPr>
          <w:trHeight w:val="203"/>
        </w:trPr>
        <w:tc>
          <w:tcPr>
            <w:tcW w:w="1940" w:type="dxa"/>
            <w:vAlign w:val="bottom"/>
          </w:tcPr>
          <w:p>
            <w:pPr>
              <w:ind w:left="740"/>
              <w:spacing w:after="0"/>
              <w:rPr>
                <w:sz w:val="20"/>
                <w:szCs w:val="20"/>
                <w:color w:val="auto"/>
              </w:rPr>
            </w:pPr>
            <w:r>
              <w:rPr>
                <w:rFonts w:ascii="Arial" w:cs="Arial" w:eastAsia="Arial" w:hAnsi="Arial"/>
                <w:sz w:val="14"/>
                <w:szCs w:val="14"/>
                <w:b w:val="1"/>
                <w:bCs w:val="1"/>
                <w:color w:val="auto"/>
              </w:rPr>
              <w:t>Name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Date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center"/>
              <w:spacing w:after="0" w:line="202"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(1)</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center"/>
              <w:spacing w:after="0" w:line="202"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(1)</w:t>
            </w:r>
          </w:p>
        </w:tc>
      </w:tr>
      <w:tr>
        <w:trPr>
          <w:trHeight w:val="189"/>
        </w:trPr>
        <w:tc>
          <w:tcPr>
            <w:tcW w:w="1940" w:type="dxa"/>
            <w:vAlign w:val="bottom"/>
            <w:shd w:val="clear" w:color="auto" w:fill="D7F5C4"/>
          </w:tcPr>
          <w:p>
            <w:pPr>
              <w:spacing w:after="0"/>
              <w:rPr>
                <w:sz w:val="20"/>
                <w:szCs w:val="20"/>
                <w:color w:val="auto"/>
              </w:rPr>
            </w:pPr>
            <w:r>
              <w:rPr>
                <w:rFonts w:ascii="Arial" w:cs="Arial" w:eastAsia="Arial" w:hAnsi="Arial"/>
                <w:sz w:val="14"/>
                <w:szCs w:val="14"/>
                <w:color w:val="auto"/>
              </w:rPr>
              <w:t>John R. Hewitt</w:t>
            </w:r>
          </w:p>
        </w:tc>
        <w:tc>
          <w:tcPr>
            <w:tcW w:w="1040" w:type="dxa"/>
            <w:vAlign w:val="bottom"/>
            <w:shd w:val="clear" w:color="auto" w:fill="D7F5C4"/>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D7F5C4"/>
          </w:tcPr>
          <w:p>
            <w:pPr>
              <w:ind w:left="980"/>
              <w:spacing w:after="0"/>
              <w:rPr>
                <w:sz w:val="20"/>
                <w:szCs w:val="20"/>
                <w:color w:val="auto"/>
              </w:rPr>
            </w:pPr>
            <w:r>
              <w:rPr>
                <w:rFonts w:ascii="Arial" w:cs="Arial" w:eastAsia="Arial" w:hAnsi="Arial"/>
                <w:sz w:val="14"/>
                <w:szCs w:val="14"/>
                <w:color w:val="auto"/>
              </w:rPr>
              <w:t>—</w:t>
            </w:r>
          </w:p>
        </w:tc>
        <w:tc>
          <w:tcPr>
            <w:tcW w:w="800" w:type="dxa"/>
            <w:vAlign w:val="bottom"/>
            <w:shd w:val="clear" w:color="auto" w:fill="D7F5C4"/>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D7F5C4"/>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D7F5C4"/>
          </w:tcPr>
          <w:p>
            <w:pPr>
              <w:jc w:val="right"/>
              <w:ind w:right="48"/>
              <w:spacing w:after="0"/>
              <w:rPr>
                <w:sz w:val="20"/>
                <w:szCs w:val="20"/>
                <w:color w:val="auto"/>
              </w:rPr>
            </w:pPr>
            <w:r>
              <w:rPr>
                <w:rFonts w:ascii="Arial" w:cs="Arial" w:eastAsia="Arial" w:hAnsi="Arial"/>
                <w:sz w:val="14"/>
                <w:szCs w:val="14"/>
                <w:color w:val="auto"/>
              </w:rPr>
              <w:t>108,370</w:t>
            </w:r>
          </w:p>
        </w:tc>
        <w:tc>
          <w:tcPr>
            <w:tcW w:w="940" w:type="dxa"/>
            <w:vAlign w:val="bottom"/>
            <w:shd w:val="clear" w:color="auto" w:fill="D7F5C4"/>
          </w:tcPr>
          <w:p>
            <w:pPr>
              <w:jc w:val="right"/>
              <w:ind w:right="48"/>
              <w:spacing w:after="0"/>
              <w:rPr>
                <w:sz w:val="20"/>
                <w:szCs w:val="20"/>
                <w:color w:val="auto"/>
              </w:rPr>
            </w:pPr>
            <w:r>
              <w:rPr>
                <w:rFonts w:ascii="Arial" w:cs="Arial" w:eastAsia="Arial" w:hAnsi="Arial"/>
                <w:sz w:val="14"/>
                <w:szCs w:val="14"/>
                <w:color w:val="auto"/>
              </w:rPr>
              <w:t>2,195,576</w:t>
            </w:r>
          </w:p>
        </w:tc>
        <w:tc>
          <w:tcPr>
            <w:tcW w:w="940" w:type="dxa"/>
            <w:vAlign w:val="bottom"/>
            <w:shd w:val="clear" w:color="auto" w:fill="D7F5C4"/>
          </w:tcPr>
          <w:p>
            <w:pPr>
              <w:jc w:val="right"/>
              <w:ind w:right="48"/>
              <w:spacing w:after="0"/>
              <w:rPr>
                <w:sz w:val="20"/>
                <w:szCs w:val="20"/>
                <w:color w:val="auto"/>
              </w:rPr>
            </w:pPr>
            <w:r>
              <w:rPr>
                <w:rFonts w:ascii="Arial" w:cs="Arial" w:eastAsia="Arial" w:hAnsi="Arial"/>
                <w:sz w:val="14"/>
                <w:szCs w:val="14"/>
                <w:color w:val="auto"/>
              </w:rPr>
              <w:t>213,007</w:t>
            </w:r>
          </w:p>
        </w:tc>
        <w:tc>
          <w:tcPr>
            <w:tcW w:w="880" w:type="dxa"/>
            <w:vAlign w:val="bottom"/>
            <w:shd w:val="clear" w:color="auto" w:fill="D7F5C4"/>
          </w:tcPr>
          <w:p>
            <w:pPr>
              <w:jc w:val="right"/>
              <w:spacing w:after="0"/>
              <w:rPr>
                <w:sz w:val="20"/>
                <w:szCs w:val="20"/>
                <w:color w:val="auto"/>
              </w:rPr>
            </w:pPr>
            <w:r>
              <w:rPr>
                <w:rFonts w:ascii="Arial" w:cs="Arial" w:eastAsia="Arial" w:hAnsi="Arial"/>
                <w:sz w:val="14"/>
                <w:szCs w:val="14"/>
                <w:color w:val="auto"/>
              </w:rPr>
              <w:t>4,315,522</w:t>
            </w:r>
          </w:p>
        </w:tc>
      </w:tr>
      <w:tr>
        <w:trPr>
          <w:trHeight w:val="189"/>
        </w:trPr>
        <w:tc>
          <w:tcPr>
            <w:tcW w:w="1940" w:type="dxa"/>
            <w:vAlign w:val="bottom"/>
          </w:tcPr>
          <w:p>
            <w:pPr>
              <w:spacing w:after="0"/>
              <w:rPr>
                <w:sz w:val="20"/>
                <w:szCs w:val="20"/>
                <w:color w:val="auto"/>
              </w:rPr>
            </w:pPr>
            <w:r>
              <w:rPr>
                <w:rFonts w:ascii="Arial" w:cs="Arial" w:eastAsia="Arial" w:hAnsi="Arial"/>
                <w:sz w:val="14"/>
                <w:szCs w:val="14"/>
                <w:color w:val="auto"/>
              </w:rPr>
              <w:t>Joseph F. Montalbano</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Pr>
          <w:p>
            <w:pPr>
              <w:ind w:left="9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40,273</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815,931</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78,520</w:t>
            </w:r>
          </w:p>
        </w:tc>
        <w:tc>
          <w:tcPr>
            <w:tcW w:w="880" w:type="dxa"/>
            <w:vAlign w:val="bottom"/>
          </w:tcPr>
          <w:p>
            <w:pPr>
              <w:jc w:val="right"/>
              <w:spacing w:after="0"/>
              <w:rPr>
                <w:sz w:val="20"/>
                <w:szCs w:val="20"/>
                <w:color w:val="auto"/>
              </w:rPr>
            </w:pPr>
            <w:r>
              <w:rPr>
                <w:rFonts w:ascii="Arial" w:cs="Arial" w:eastAsia="Arial" w:hAnsi="Arial"/>
                <w:sz w:val="14"/>
                <w:szCs w:val="14"/>
                <w:color w:val="auto"/>
              </w:rPr>
              <w:t>1,590,815</w:t>
            </w:r>
          </w:p>
        </w:tc>
      </w:tr>
      <w:tr>
        <w:trPr>
          <w:trHeight w:val="189"/>
        </w:trPr>
        <w:tc>
          <w:tcPr>
            <w:tcW w:w="1940" w:type="dxa"/>
            <w:vAlign w:val="bottom"/>
            <w:shd w:val="clear" w:color="auto" w:fill="D7F5C4"/>
          </w:tcPr>
          <w:p>
            <w:pPr>
              <w:spacing w:after="0"/>
              <w:rPr>
                <w:sz w:val="20"/>
                <w:szCs w:val="20"/>
                <w:color w:val="auto"/>
              </w:rPr>
            </w:pPr>
            <w:r>
              <w:rPr>
                <w:rFonts w:ascii="Arial" w:cs="Arial" w:eastAsia="Arial" w:hAnsi="Arial"/>
                <w:sz w:val="14"/>
                <w:szCs w:val="14"/>
                <w:color w:val="auto"/>
              </w:rPr>
              <w:t>Kevin S. Cavanah</w:t>
            </w:r>
          </w:p>
        </w:tc>
        <w:tc>
          <w:tcPr>
            <w:tcW w:w="1040" w:type="dxa"/>
            <w:vAlign w:val="bottom"/>
            <w:shd w:val="clear" w:color="auto" w:fill="D7F5C4"/>
          </w:tcPr>
          <w:p>
            <w:pPr>
              <w:jc w:val="right"/>
              <w:ind w:right="28"/>
              <w:spacing w:after="0"/>
              <w:rPr>
                <w:sz w:val="20"/>
                <w:szCs w:val="20"/>
                <w:color w:val="auto"/>
              </w:rPr>
            </w:pPr>
            <w:r>
              <w:rPr>
                <w:rFonts w:ascii="Arial" w:cs="Arial" w:eastAsia="Arial" w:hAnsi="Arial"/>
                <w:sz w:val="14"/>
                <w:szCs w:val="14"/>
                <w:color w:val="auto"/>
              </w:rPr>
              <w:t>16,850</w:t>
            </w:r>
          </w:p>
        </w:tc>
        <w:tc>
          <w:tcPr>
            <w:tcW w:w="1200" w:type="dxa"/>
            <w:vAlign w:val="bottom"/>
            <w:shd w:val="clear" w:color="auto" w:fill="D7F5C4"/>
          </w:tcPr>
          <w:p>
            <w:pPr>
              <w:ind w:left="980"/>
              <w:spacing w:after="0"/>
              <w:rPr>
                <w:sz w:val="20"/>
                <w:szCs w:val="20"/>
                <w:color w:val="auto"/>
              </w:rPr>
            </w:pPr>
            <w:r>
              <w:rPr>
                <w:rFonts w:ascii="Arial" w:cs="Arial" w:eastAsia="Arial" w:hAnsi="Arial"/>
                <w:sz w:val="14"/>
                <w:szCs w:val="14"/>
                <w:color w:val="auto"/>
              </w:rPr>
              <w:t>—</w:t>
            </w:r>
          </w:p>
        </w:tc>
        <w:tc>
          <w:tcPr>
            <w:tcW w:w="800" w:type="dxa"/>
            <w:vAlign w:val="bottom"/>
            <w:shd w:val="clear" w:color="auto" w:fill="D7F5C4"/>
          </w:tcPr>
          <w:p>
            <w:pPr>
              <w:jc w:val="right"/>
              <w:ind w:right="48"/>
              <w:spacing w:after="0"/>
              <w:rPr>
                <w:sz w:val="20"/>
                <w:szCs w:val="20"/>
                <w:color w:val="auto"/>
              </w:rPr>
            </w:pPr>
            <w:r>
              <w:rPr>
                <w:rFonts w:ascii="Arial" w:cs="Arial" w:eastAsia="Arial" w:hAnsi="Arial"/>
                <w:sz w:val="14"/>
                <w:szCs w:val="14"/>
                <w:color w:val="auto"/>
              </w:rPr>
              <w:t>10.19</w:t>
            </w:r>
          </w:p>
        </w:tc>
        <w:tc>
          <w:tcPr>
            <w:tcW w:w="1000" w:type="dxa"/>
            <w:vAlign w:val="bottom"/>
            <w:shd w:val="clear" w:color="auto" w:fill="D7F5C4"/>
          </w:tcPr>
          <w:p>
            <w:pPr>
              <w:jc w:val="right"/>
              <w:ind w:right="48"/>
              <w:spacing w:after="0"/>
              <w:rPr>
                <w:sz w:val="20"/>
                <w:szCs w:val="20"/>
                <w:color w:val="auto"/>
              </w:rPr>
            </w:pPr>
            <w:r>
              <w:rPr>
                <w:rFonts w:ascii="Arial" w:cs="Arial" w:eastAsia="Arial" w:hAnsi="Arial"/>
                <w:sz w:val="14"/>
                <w:szCs w:val="14"/>
                <w:color w:val="auto"/>
              </w:rPr>
              <w:t>11/17/2021</w:t>
            </w:r>
          </w:p>
        </w:tc>
        <w:tc>
          <w:tcPr>
            <w:tcW w:w="820" w:type="dxa"/>
            <w:vAlign w:val="bottom"/>
            <w:shd w:val="clear" w:color="auto" w:fill="D7F5C4"/>
          </w:tcPr>
          <w:p>
            <w:pPr>
              <w:jc w:val="right"/>
              <w:ind w:right="48"/>
              <w:spacing w:after="0"/>
              <w:rPr>
                <w:sz w:val="20"/>
                <w:szCs w:val="20"/>
                <w:color w:val="auto"/>
              </w:rPr>
            </w:pPr>
            <w:r>
              <w:rPr>
                <w:rFonts w:ascii="Arial" w:cs="Arial" w:eastAsia="Arial" w:hAnsi="Arial"/>
                <w:sz w:val="14"/>
                <w:szCs w:val="14"/>
                <w:color w:val="auto"/>
              </w:rPr>
              <w:t>35,710</w:t>
            </w:r>
          </w:p>
        </w:tc>
        <w:tc>
          <w:tcPr>
            <w:tcW w:w="940" w:type="dxa"/>
            <w:vAlign w:val="bottom"/>
            <w:shd w:val="clear" w:color="auto" w:fill="D7F5C4"/>
          </w:tcPr>
          <w:p>
            <w:pPr>
              <w:jc w:val="right"/>
              <w:ind w:right="48"/>
              <w:spacing w:after="0"/>
              <w:rPr>
                <w:sz w:val="20"/>
                <w:szCs w:val="20"/>
                <w:color w:val="auto"/>
              </w:rPr>
            </w:pPr>
            <w:r>
              <w:rPr>
                <w:rFonts w:ascii="Arial" w:cs="Arial" w:eastAsia="Arial" w:hAnsi="Arial"/>
                <w:sz w:val="14"/>
                <w:szCs w:val="14"/>
                <w:color w:val="auto"/>
              </w:rPr>
              <w:t>723,485</w:t>
            </w:r>
          </w:p>
        </w:tc>
        <w:tc>
          <w:tcPr>
            <w:tcW w:w="940" w:type="dxa"/>
            <w:vAlign w:val="bottom"/>
            <w:shd w:val="clear" w:color="auto" w:fill="D7F5C4"/>
          </w:tcPr>
          <w:p>
            <w:pPr>
              <w:jc w:val="right"/>
              <w:ind w:right="48"/>
              <w:spacing w:after="0"/>
              <w:rPr>
                <w:sz w:val="20"/>
                <w:szCs w:val="20"/>
                <w:color w:val="auto"/>
              </w:rPr>
            </w:pPr>
            <w:r>
              <w:rPr>
                <w:rFonts w:ascii="Arial" w:cs="Arial" w:eastAsia="Arial" w:hAnsi="Arial"/>
                <w:sz w:val="14"/>
                <w:szCs w:val="14"/>
                <w:color w:val="auto"/>
              </w:rPr>
              <w:t>69,606</w:t>
            </w:r>
          </w:p>
        </w:tc>
        <w:tc>
          <w:tcPr>
            <w:tcW w:w="880" w:type="dxa"/>
            <w:vAlign w:val="bottom"/>
            <w:shd w:val="clear" w:color="auto" w:fill="D7F5C4"/>
          </w:tcPr>
          <w:p>
            <w:pPr>
              <w:jc w:val="right"/>
              <w:spacing w:after="0"/>
              <w:rPr>
                <w:sz w:val="20"/>
                <w:szCs w:val="20"/>
                <w:color w:val="auto"/>
              </w:rPr>
            </w:pPr>
            <w:r>
              <w:rPr>
                <w:rFonts w:ascii="Arial" w:cs="Arial" w:eastAsia="Arial" w:hAnsi="Arial"/>
                <w:sz w:val="14"/>
                <w:szCs w:val="14"/>
                <w:color w:val="auto"/>
              </w:rPr>
              <w:t>1,410,218</w:t>
            </w:r>
          </w:p>
        </w:tc>
      </w:tr>
      <w:tr>
        <w:trPr>
          <w:trHeight w:val="189"/>
        </w:trPr>
        <w:tc>
          <w:tcPr>
            <w:tcW w:w="1940" w:type="dxa"/>
            <w:vAlign w:val="bottom"/>
          </w:tcPr>
          <w:p>
            <w:pPr>
              <w:spacing w:after="0"/>
              <w:rPr>
                <w:sz w:val="20"/>
                <w:szCs w:val="20"/>
                <w:color w:val="auto"/>
              </w:rPr>
            </w:pPr>
            <w:r>
              <w:rPr>
                <w:rFonts w:ascii="Arial" w:cs="Arial" w:eastAsia="Arial" w:hAnsi="Arial"/>
                <w:sz w:val="14"/>
                <w:szCs w:val="14"/>
                <w:color w:val="auto"/>
              </w:rPr>
              <w:t>Alan R. Updyke</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Pr>
          <w:p>
            <w:pPr>
              <w:ind w:left="9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20,599</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417,336</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29,086</w:t>
            </w:r>
          </w:p>
        </w:tc>
        <w:tc>
          <w:tcPr>
            <w:tcW w:w="880" w:type="dxa"/>
            <w:vAlign w:val="bottom"/>
          </w:tcPr>
          <w:p>
            <w:pPr>
              <w:jc w:val="right"/>
              <w:spacing w:after="0"/>
              <w:rPr>
                <w:sz w:val="20"/>
                <w:szCs w:val="20"/>
                <w:color w:val="auto"/>
              </w:rPr>
            </w:pPr>
            <w:r>
              <w:rPr>
                <w:rFonts w:ascii="Arial" w:cs="Arial" w:eastAsia="Arial" w:hAnsi="Arial"/>
                <w:sz w:val="14"/>
                <w:szCs w:val="14"/>
                <w:color w:val="auto"/>
              </w:rPr>
              <w:t>589,282</w:t>
            </w:r>
          </w:p>
        </w:tc>
      </w:tr>
      <w:tr>
        <w:trPr>
          <w:trHeight w:val="189"/>
        </w:trPr>
        <w:tc>
          <w:tcPr>
            <w:tcW w:w="1940" w:type="dxa"/>
            <w:vAlign w:val="bottom"/>
            <w:shd w:val="clear" w:color="auto" w:fill="D7F5C4"/>
          </w:tcPr>
          <w:p>
            <w:pPr>
              <w:spacing w:after="0"/>
              <w:rPr>
                <w:sz w:val="20"/>
                <w:szCs w:val="20"/>
                <w:color w:val="auto"/>
              </w:rPr>
            </w:pPr>
            <w:r>
              <w:rPr>
                <w:rFonts w:ascii="Arial" w:cs="Arial" w:eastAsia="Arial" w:hAnsi="Arial"/>
                <w:sz w:val="14"/>
                <w:szCs w:val="14"/>
                <w:color w:val="auto"/>
              </w:rPr>
              <w:t>Jason W. Turner</w:t>
            </w:r>
          </w:p>
        </w:tc>
        <w:tc>
          <w:tcPr>
            <w:tcW w:w="1040" w:type="dxa"/>
            <w:vAlign w:val="bottom"/>
            <w:shd w:val="clear" w:color="auto" w:fill="D7F5C4"/>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D7F5C4"/>
          </w:tcPr>
          <w:p>
            <w:pPr>
              <w:ind w:left="980"/>
              <w:spacing w:after="0"/>
              <w:rPr>
                <w:sz w:val="20"/>
                <w:szCs w:val="20"/>
                <w:color w:val="auto"/>
              </w:rPr>
            </w:pPr>
            <w:r>
              <w:rPr>
                <w:rFonts w:ascii="Arial" w:cs="Arial" w:eastAsia="Arial" w:hAnsi="Arial"/>
                <w:sz w:val="14"/>
                <w:szCs w:val="14"/>
                <w:color w:val="auto"/>
              </w:rPr>
              <w:t>—</w:t>
            </w:r>
          </w:p>
        </w:tc>
        <w:tc>
          <w:tcPr>
            <w:tcW w:w="800" w:type="dxa"/>
            <w:vAlign w:val="bottom"/>
            <w:shd w:val="clear" w:color="auto" w:fill="D7F5C4"/>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D7F5C4"/>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D7F5C4"/>
          </w:tcPr>
          <w:p>
            <w:pPr>
              <w:jc w:val="right"/>
              <w:ind w:right="48"/>
              <w:spacing w:after="0"/>
              <w:rPr>
                <w:sz w:val="20"/>
                <w:szCs w:val="20"/>
                <w:color w:val="auto"/>
              </w:rPr>
            </w:pPr>
            <w:r>
              <w:rPr>
                <w:rFonts w:ascii="Arial" w:cs="Arial" w:eastAsia="Arial" w:hAnsi="Arial"/>
                <w:sz w:val="14"/>
                <w:szCs w:val="14"/>
                <w:color w:val="auto"/>
              </w:rPr>
              <w:t>23,197</w:t>
            </w:r>
          </w:p>
        </w:tc>
        <w:tc>
          <w:tcPr>
            <w:tcW w:w="940" w:type="dxa"/>
            <w:vAlign w:val="bottom"/>
            <w:shd w:val="clear" w:color="auto" w:fill="D7F5C4"/>
          </w:tcPr>
          <w:p>
            <w:pPr>
              <w:jc w:val="right"/>
              <w:ind w:right="48"/>
              <w:spacing w:after="0"/>
              <w:rPr>
                <w:sz w:val="20"/>
                <w:szCs w:val="20"/>
                <w:color w:val="auto"/>
              </w:rPr>
            </w:pPr>
            <w:r>
              <w:rPr>
                <w:rFonts w:ascii="Arial" w:cs="Arial" w:eastAsia="Arial" w:hAnsi="Arial"/>
                <w:sz w:val="14"/>
                <w:szCs w:val="14"/>
                <w:color w:val="auto"/>
              </w:rPr>
              <w:t>469,971</w:t>
            </w:r>
          </w:p>
        </w:tc>
        <w:tc>
          <w:tcPr>
            <w:tcW w:w="940" w:type="dxa"/>
            <w:vAlign w:val="bottom"/>
            <w:shd w:val="clear" w:color="auto" w:fill="D7F5C4"/>
          </w:tcPr>
          <w:p>
            <w:pPr>
              <w:jc w:val="right"/>
              <w:ind w:right="48"/>
              <w:spacing w:after="0"/>
              <w:rPr>
                <w:sz w:val="20"/>
                <w:szCs w:val="20"/>
                <w:color w:val="auto"/>
              </w:rPr>
            </w:pPr>
            <w:r>
              <w:rPr>
                <w:rFonts w:ascii="Arial" w:cs="Arial" w:eastAsia="Arial" w:hAnsi="Arial"/>
                <w:sz w:val="14"/>
                <w:szCs w:val="14"/>
                <w:color w:val="auto"/>
              </w:rPr>
              <w:t>44,751</w:t>
            </w:r>
          </w:p>
        </w:tc>
        <w:tc>
          <w:tcPr>
            <w:tcW w:w="880" w:type="dxa"/>
            <w:vAlign w:val="bottom"/>
            <w:shd w:val="clear" w:color="auto" w:fill="D7F5C4"/>
          </w:tcPr>
          <w:p>
            <w:pPr>
              <w:jc w:val="right"/>
              <w:spacing w:after="0"/>
              <w:rPr>
                <w:sz w:val="20"/>
                <w:szCs w:val="20"/>
                <w:color w:val="auto"/>
              </w:rPr>
            </w:pPr>
            <w:r>
              <w:rPr>
                <w:rFonts w:ascii="Arial" w:cs="Arial" w:eastAsia="Arial" w:hAnsi="Arial"/>
                <w:sz w:val="14"/>
                <w:szCs w:val="14"/>
                <w:color w:val="auto"/>
              </w:rPr>
              <w:t>906,655</w:t>
            </w:r>
          </w:p>
        </w:tc>
      </w:tr>
    </w:tbl>
    <w:p>
      <w:pPr>
        <w:spacing w:after="0" w:line="113" w:lineRule="exact"/>
        <w:rPr>
          <w:sz w:val="20"/>
          <w:szCs w:val="20"/>
          <w:color w:val="auto"/>
        </w:rPr>
      </w:pPr>
    </w:p>
    <w:p>
      <w:pPr>
        <w:ind w:left="347" w:hanging="347"/>
        <w:spacing w:after="0"/>
        <w:tabs>
          <w:tab w:leader="none" w:pos="347" w:val="left"/>
        </w:tabs>
        <w:numPr>
          <w:ilvl w:val="0"/>
          <w:numId w:val="35"/>
        </w:numPr>
        <w:rPr>
          <w:rFonts w:ascii="Arial" w:cs="Arial" w:eastAsia="Arial" w:hAnsi="Arial"/>
          <w:sz w:val="14"/>
          <w:szCs w:val="14"/>
          <w:color w:val="auto"/>
        </w:rPr>
      </w:pPr>
      <w:r>
        <w:rPr>
          <w:rFonts w:ascii="Arial" w:cs="Arial" w:eastAsia="Arial" w:hAnsi="Arial"/>
          <w:sz w:val="14"/>
          <w:szCs w:val="14"/>
          <w:color w:val="auto"/>
        </w:rPr>
        <w:t>Based on the closing price of our common stock on June 28, 2019 of $20.26.</w:t>
      </w:r>
    </w:p>
    <w:p>
      <w:pPr>
        <w:spacing w:after="0" w:line="212"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6071870" cy="43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44" w:name="page45"/>
    <w:bookmarkEnd w:id="44"/>
    <w:p>
      <w:pPr>
        <w:ind w:left="7"/>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5" w:lineRule="exact"/>
        <w:rPr>
          <w:sz w:val="20"/>
          <w:szCs w:val="20"/>
          <w:color w:val="auto"/>
        </w:rPr>
      </w:pPr>
    </w:p>
    <w:p>
      <w:pPr>
        <w:ind w:left="7"/>
        <w:spacing w:after="0"/>
        <w:rPr>
          <w:sz w:val="20"/>
          <w:szCs w:val="20"/>
          <w:color w:val="auto"/>
        </w:rPr>
      </w:pPr>
      <w:r>
        <w:rPr>
          <w:rFonts w:ascii="Arial" w:cs="Arial" w:eastAsia="Arial" w:hAnsi="Arial"/>
          <w:sz w:val="18"/>
          <w:szCs w:val="18"/>
          <w:color w:val="auto"/>
        </w:rPr>
        <w:t>The stock awards vest according to the following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4480560</wp:posOffset>
            </wp:positionH>
            <wp:positionV relativeFrom="paragraph">
              <wp:posOffset>31750</wp:posOffset>
            </wp:positionV>
            <wp:extent cx="34290" cy="4286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8625"/>
                    </a:xfrm>
                    <a:prstGeom prst="rect">
                      <a:avLst/>
                    </a:prstGeom>
                    <a:noFill/>
                  </pic:spPr>
                </pic:pic>
              </a:graphicData>
            </a:graphic>
          </wp:anchor>
        </w:drawing>
      </w:r>
    </w:p>
    <w:p>
      <w:pPr>
        <w:spacing w:after="0" w:line="30"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4400" w:type="dxa"/>
            <w:vAlign w:val="bottom"/>
          </w:tcPr>
          <w:p>
            <w:pPr>
              <w:spacing w:after="0"/>
              <w:rPr>
                <w:sz w:val="14"/>
                <w:szCs w:val="14"/>
                <w:color w:val="auto"/>
              </w:rPr>
            </w:pPr>
          </w:p>
        </w:tc>
        <w:tc>
          <w:tcPr>
            <w:tcW w:w="1600" w:type="dxa"/>
            <w:vAlign w:val="bottom"/>
            <w:shd w:val="clear" w:color="auto" w:fill="D7F5C4"/>
          </w:tcPr>
          <w:p>
            <w:pPr>
              <w:spacing w:after="0"/>
              <w:rPr>
                <w:sz w:val="14"/>
                <w:szCs w:val="14"/>
                <w:color w:val="auto"/>
              </w:rPr>
            </w:pPr>
          </w:p>
        </w:tc>
        <w:tc>
          <w:tcPr>
            <w:tcW w:w="980" w:type="dxa"/>
            <w:vAlign w:val="bottom"/>
            <w:shd w:val="clear" w:color="auto" w:fill="D7F5C4"/>
          </w:tcPr>
          <w:p>
            <w:pPr>
              <w:spacing w:after="0"/>
              <w:rPr>
                <w:sz w:val="14"/>
                <w:szCs w:val="14"/>
                <w:color w:val="auto"/>
              </w:rPr>
            </w:pPr>
          </w:p>
        </w:tc>
        <w:tc>
          <w:tcPr>
            <w:tcW w:w="2580" w:type="dxa"/>
            <w:vAlign w:val="bottom"/>
            <w:gridSpan w:val="2"/>
            <w:shd w:val="clear" w:color="auto" w:fill="D7F5C4"/>
          </w:tcPr>
          <w:p>
            <w:pPr>
              <w:jc w:val="center"/>
              <w:ind w:left="65"/>
              <w:spacing w:after="0"/>
              <w:rPr>
                <w:sz w:val="20"/>
                <w:szCs w:val="20"/>
                <w:color w:val="auto"/>
              </w:rPr>
            </w:pPr>
            <w:r>
              <w:rPr>
                <w:rFonts w:ascii="Arial" w:cs="Arial" w:eastAsia="Arial" w:hAnsi="Arial"/>
                <w:sz w:val="14"/>
                <w:szCs w:val="14"/>
                <w:b w:val="1"/>
                <w:bCs w:val="1"/>
                <w:color w:val="auto"/>
              </w:rPr>
              <w:t>Equity Incentive Plan</w:t>
            </w: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2580" w:type="dxa"/>
            <w:vAlign w:val="bottom"/>
            <w:gridSpan w:val="2"/>
            <w:shd w:val="clear" w:color="auto" w:fill="D7F5C4"/>
          </w:tcPr>
          <w:p>
            <w:pPr>
              <w:jc w:val="center"/>
              <w:spacing w:after="0"/>
              <w:rPr>
                <w:sz w:val="20"/>
                <w:szCs w:val="20"/>
                <w:color w:val="auto"/>
              </w:rPr>
            </w:pPr>
            <w:r>
              <w:rPr>
                <w:rFonts w:ascii="Arial" w:cs="Arial" w:eastAsia="Arial" w:hAnsi="Arial"/>
                <w:sz w:val="14"/>
                <w:szCs w:val="14"/>
                <w:b w:val="1"/>
                <w:bCs w:val="1"/>
                <w:color w:val="auto"/>
              </w:rPr>
              <w:t>Number of Shares</w:t>
            </w:r>
          </w:p>
        </w:tc>
        <w:tc>
          <w:tcPr>
            <w:tcW w:w="2580" w:type="dxa"/>
            <w:vAlign w:val="bottom"/>
            <w:gridSpan w:val="2"/>
            <w:shd w:val="clear" w:color="auto" w:fill="D7F5C4"/>
          </w:tcPr>
          <w:p>
            <w:pPr>
              <w:jc w:val="center"/>
              <w:ind w:left="65"/>
              <w:spacing w:after="0"/>
              <w:rPr>
                <w:sz w:val="20"/>
                <w:szCs w:val="20"/>
                <w:color w:val="auto"/>
              </w:rPr>
            </w:pPr>
            <w:r>
              <w:rPr>
                <w:rFonts w:ascii="Arial" w:cs="Arial" w:eastAsia="Arial" w:hAnsi="Arial"/>
                <w:sz w:val="14"/>
                <w:szCs w:val="14"/>
                <w:b w:val="1"/>
                <w:bCs w:val="1"/>
                <w:color w:val="auto"/>
              </w:rPr>
              <w:t>Awards: Number of Unearned</w:t>
            </w: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2580" w:type="dxa"/>
            <w:vAlign w:val="bottom"/>
            <w:gridSpan w:val="2"/>
            <w:shd w:val="clear" w:color="auto" w:fill="D7F5C4"/>
          </w:tcPr>
          <w:p>
            <w:pPr>
              <w:jc w:val="center"/>
              <w:spacing w:after="0"/>
              <w:rPr>
                <w:sz w:val="20"/>
                <w:szCs w:val="20"/>
                <w:color w:val="auto"/>
              </w:rPr>
            </w:pPr>
            <w:r>
              <w:rPr>
                <w:rFonts w:ascii="Arial" w:cs="Arial" w:eastAsia="Arial" w:hAnsi="Arial"/>
                <w:sz w:val="14"/>
                <w:szCs w:val="14"/>
                <w:b w:val="1"/>
                <w:bCs w:val="1"/>
                <w:color w:val="auto"/>
              </w:rPr>
              <w:t>or Units of Stock That Have Not</w:t>
            </w:r>
          </w:p>
        </w:tc>
        <w:tc>
          <w:tcPr>
            <w:tcW w:w="2580" w:type="dxa"/>
            <w:vAlign w:val="bottom"/>
            <w:gridSpan w:val="2"/>
            <w:shd w:val="clear" w:color="auto" w:fill="D7F5C4"/>
          </w:tcPr>
          <w:p>
            <w:pPr>
              <w:jc w:val="center"/>
              <w:ind w:left="65"/>
              <w:spacing w:after="0"/>
              <w:rPr>
                <w:sz w:val="20"/>
                <w:szCs w:val="20"/>
                <w:color w:val="auto"/>
              </w:rPr>
            </w:pPr>
            <w:r>
              <w:rPr>
                <w:rFonts w:ascii="Arial" w:cs="Arial" w:eastAsia="Arial" w:hAnsi="Arial"/>
                <w:sz w:val="14"/>
                <w:szCs w:val="14"/>
                <w:b w:val="1"/>
                <w:bCs w:val="1"/>
                <w:color w:val="auto"/>
              </w:rPr>
              <w:t>Shares, Units or Other Rights</w:t>
            </w:r>
          </w:p>
        </w:tc>
        <w:tc>
          <w:tcPr>
            <w:tcW w:w="0" w:type="dxa"/>
            <w:vAlign w:val="bottom"/>
          </w:tcPr>
          <w:p>
            <w:pPr>
              <w:spacing w:after="0"/>
              <w:rPr>
                <w:sz w:val="1"/>
                <w:szCs w:val="1"/>
                <w:color w:val="auto"/>
              </w:rPr>
            </w:pPr>
          </w:p>
        </w:tc>
      </w:tr>
      <w:tr>
        <w:trPr>
          <w:trHeight w:val="189"/>
        </w:trPr>
        <w:tc>
          <w:tcPr>
            <w:tcW w:w="4400" w:type="dxa"/>
            <w:vAlign w:val="bottom"/>
            <w:vMerge w:val="restart"/>
          </w:tcPr>
          <w:p>
            <w:pPr>
              <w:ind w:left="1980"/>
              <w:spacing w:after="0"/>
              <w:rPr>
                <w:sz w:val="20"/>
                <w:szCs w:val="20"/>
                <w:color w:val="auto"/>
              </w:rPr>
            </w:pPr>
            <w:r>
              <w:rPr>
                <w:rFonts w:ascii="Arial" w:cs="Arial" w:eastAsia="Arial" w:hAnsi="Arial"/>
                <w:sz w:val="14"/>
                <w:szCs w:val="14"/>
                <w:b w:val="1"/>
                <w:bCs w:val="1"/>
                <w:color w:val="auto"/>
              </w:rPr>
              <w:t>Name</w:t>
            </w:r>
          </w:p>
        </w:tc>
        <w:tc>
          <w:tcPr>
            <w:tcW w:w="1600" w:type="dxa"/>
            <w:vAlign w:val="bottom"/>
            <w:shd w:val="clear" w:color="auto" w:fill="D7F5C4"/>
          </w:tcPr>
          <w:p>
            <w:pPr>
              <w:jc w:val="center"/>
              <w:ind w:left="980"/>
              <w:spacing w:after="0"/>
              <w:rPr>
                <w:sz w:val="20"/>
                <w:szCs w:val="20"/>
                <w:color w:val="auto"/>
              </w:rPr>
            </w:pPr>
            <w:r>
              <w:rPr>
                <w:rFonts w:ascii="Arial" w:cs="Arial" w:eastAsia="Arial" w:hAnsi="Arial"/>
                <w:sz w:val="14"/>
                <w:szCs w:val="14"/>
                <w:b w:val="1"/>
                <w:bCs w:val="1"/>
                <w:color w:val="auto"/>
              </w:rPr>
              <w:t>Vested</w:t>
            </w:r>
          </w:p>
        </w:tc>
        <w:tc>
          <w:tcPr>
            <w:tcW w:w="980" w:type="dxa"/>
            <w:vAlign w:val="bottom"/>
            <w:shd w:val="clear" w:color="auto" w:fill="D7F5C4"/>
          </w:tcPr>
          <w:p>
            <w:pPr>
              <w:spacing w:after="0"/>
              <w:rPr>
                <w:sz w:val="16"/>
                <w:szCs w:val="16"/>
                <w:color w:val="auto"/>
              </w:rPr>
            </w:pPr>
          </w:p>
        </w:tc>
        <w:tc>
          <w:tcPr>
            <w:tcW w:w="2580" w:type="dxa"/>
            <w:vAlign w:val="bottom"/>
            <w:gridSpan w:val="2"/>
            <w:shd w:val="clear" w:color="auto" w:fill="D7F5C4"/>
          </w:tcPr>
          <w:p>
            <w:pPr>
              <w:jc w:val="center"/>
              <w:ind w:left="65"/>
              <w:spacing w:after="0"/>
              <w:rPr>
                <w:sz w:val="20"/>
                <w:szCs w:val="20"/>
                <w:color w:val="auto"/>
              </w:rPr>
            </w:pPr>
            <w:r>
              <w:rPr>
                <w:rFonts w:ascii="Arial" w:cs="Arial" w:eastAsia="Arial" w:hAnsi="Arial"/>
                <w:sz w:val="14"/>
                <w:szCs w:val="14"/>
                <w:b w:val="1"/>
                <w:bCs w:val="1"/>
                <w:color w:val="auto"/>
              </w:rPr>
              <w:t>That Have Not Vested</w:t>
            </w:r>
          </w:p>
        </w:tc>
        <w:tc>
          <w:tcPr>
            <w:tcW w:w="0" w:type="dxa"/>
            <w:vAlign w:val="bottom"/>
          </w:tcPr>
          <w:p>
            <w:pPr>
              <w:spacing w:after="0"/>
              <w:rPr>
                <w:sz w:val="1"/>
                <w:szCs w:val="1"/>
                <w:color w:val="auto"/>
              </w:rPr>
            </w:pPr>
          </w:p>
        </w:tc>
      </w:tr>
      <w:tr>
        <w:trPr>
          <w:trHeight w:val="189"/>
        </w:trPr>
        <w:tc>
          <w:tcPr>
            <w:tcW w:w="4400" w:type="dxa"/>
            <w:vAlign w:val="bottom"/>
            <w:vMerge w:val="continue"/>
          </w:tcPr>
          <w:p>
            <w:pPr>
              <w:spacing w:after="0"/>
              <w:rPr>
                <w:sz w:val="16"/>
                <w:szCs w:val="16"/>
                <w:color w:val="auto"/>
              </w:rPr>
            </w:pPr>
          </w:p>
        </w:tc>
        <w:tc>
          <w:tcPr>
            <w:tcW w:w="1600" w:type="dxa"/>
            <w:vAlign w:val="bottom"/>
          </w:tcPr>
          <w:p>
            <w:pPr>
              <w:jc w:val="right"/>
              <w:ind w:right="660"/>
              <w:spacing w:after="0"/>
              <w:rPr>
                <w:sz w:val="20"/>
                <w:szCs w:val="20"/>
                <w:color w:val="auto"/>
              </w:rPr>
            </w:pPr>
            <w:r>
              <w:rPr>
                <w:rFonts w:ascii="Arial" w:cs="Arial" w:eastAsia="Arial" w:hAnsi="Arial"/>
                <w:sz w:val="14"/>
                <w:szCs w:val="14"/>
                <w:b w:val="1"/>
                <w:bCs w:val="1"/>
                <w:color w:val="auto"/>
              </w:rPr>
              <w:t>Shares</w:t>
            </w:r>
          </w:p>
        </w:tc>
        <w:tc>
          <w:tcPr>
            <w:tcW w:w="980" w:type="dxa"/>
            <w:vAlign w:val="bottom"/>
          </w:tcPr>
          <w:p>
            <w:pPr>
              <w:jc w:val="right"/>
              <w:ind w:right="219"/>
              <w:spacing w:after="0"/>
              <w:rPr>
                <w:sz w:val="20"/>
                <w:szCs w:val="20"/>
                <w:color w:val="auto"/>
              </w:rPr>
            </w:pPr>
            <w:r>
              <w:rPr>
                <w:rFonts w:ascii="Arial" w:cs="Arial" w:eastAsia="Arial" w:hAnsi="Arial"/>
                <w:sz w:val="14"/>
                <w:szCs w:val="14"/>
                <w:b w:val="1"/>
                <w:bCs w:val="1"/>
                <w:color w:val="auto"/>
              </w:rPr>
              <w:t>Vest Date</w:t>
            </w:r>
          </w:p>
        </w:tc>
        <w:tc>
          <w:tcPr>
            <w:tcW w:w="1260" w:type="dxa"/>
            <w:vAlign w:val="bottom"/>
          </w:tcPr>
          <w:p>
            <w:pPr>
              <w:jc w:val="right"/>
              <w:ind w:right="285"/>
              <w:spacing w:after="0"/>
              <w:rPr>
                <w:sz w:val="20"/>
                <w:szCs w:val="20"/>
                <w:color w:val="auto"/>
              </w:rPr>
            </w:pPr>
            <w:r>
              <w:rPr>
                <w:rFonts w:ascii="Arial" w:cs="Arial" w:eastAsia="Arial" w:hAnsi="Arial"/>
                <w:sz w:val="14"/>
                <w:szCs w:val="14"/>
                <w:b w:val="1"/>
                <w:bCs w:val="1"/>
                <w:color w:val="auto"/>
              </w:rPr>
              <w:t>Shares</w:t>
            </w:r>
          </w:p>
        </w:tc>
        <w:tc>
          <w:tcPr>
            <w:tcW w:w="1320" w:type="dxa"/>
            <w:vAlign w:val="bottom"/>
          </w:tcPr>
          <w:p>
            <w:pPr>
              <w:jc w:val="right"/>
              <w:ind w:right="240"/>
              <w:spacing w:after="0"/>
              <w:rPr>
                <w:sz w:val="20"/>
                <w:szCs w:val="20"/>
                <w:color w:val="auto"/>
              </w:rPr>
            </w:pPr>
            <w:r>
              <w:rPr>
                <w:rFonts w:ascii="Arial" w:cs="Arial" w:eastAsia="Arial" w:hAnsi="Arial"/>
                <w:sz w:val="14"/>
                <w:szCs w:val="14"/>
                <w:b w:val="1"/>
                <w:bCs w:val="1"/>
                <w:color w:val="auto"/>
              </w:rPr>
              <w:t>Vest Date</w:t>
            </w:r>
          </w:p>
        </w:tc>
        <w:tc>
          <w:tcPr>
            <w:tcW w:w="0" w:type="dxa"/>
            <w:vAlign w:val="bottom"/>
          </w:tcPr>
          <w:p>
            <w:pPr>
              <w:spacing w:after="0"/>
              <w:rPr>
                <w:sz w:val="1"/>
                <w:szCs w:val="1"/>
                <w:color w:val="auto"/>
              </w:rPr>
            </w:pPr>
          </w:p>
        </w:tc>
      </w:tr>
      <w:tr>
        <w:trPr>
          <w:trHeight w:val="215"/>
        </w:trPr>
        <w:tc>
          <w:tcPr>
            <w:tcW w:w="4400" w:type="dxa"/>
            <w:vAlign w:val="bottom"/>
            <w:shd w:val="clear" w:color="auto" w:fill="D7F5C4"/>
          </w:tcPr>
          <w:p>
            <w:pPr>
              <w:spacing w:after="0"/>
              <w:rPr>
                <w:sz w:val="20"/>
                <w:szCs w:val="20"/>
                <w:color w:val="auto"/>
              </w:rPr>
            </w:pPr>
            <w:r>
              <w:rPr>
                <w:rFonts w:ascii="Arial" w:cs="Arial" w:eastAsia="Arial" w:hAnsi="Arial"/>
                <w:sz w:val="16"/>
                <w:szCs w:val="16"/>
                <w:color w:val="auto"/>
              </w:rPr>
              <w:t>John R. Hewitt</w:t>
            </w:r>
          </w:p>
        </w:tc>
        <w:tc>
          <w:tcPr>
            <w:tcW w:w="1600" w:type="dxa"/>
            <w:vAlign w:val="bottom"/>
            <w:shd w:val="clear" w:color="auto" w:fill="D7F5C4"/>
          </w:tcPr>
          <w:p>
            <w:pPr>
              <w:jc w:val="right"/>
              <w:ind w:right="360"/>
              <w:spacing w:after="0"/>
              <w:rPr>
                <w:sz w:val="20"/>
                <w:szCs w:val="20"/>
                <w:color w:val="auto"/>
              </w:rPr>
            </w:pPr>
            <w:r>
              <w:rPr>
                <w:rFonts w:ascii="Arial" w:cs="Arial" w:eastAsia="Arial" w:hAnsi="Arial"/>
                <w:sz w:val="16"/>
                <w:szCs w:val="16"/>
                <w:color w:val="auto"/>
              </w:rPr>
              <w:t>9,159</w:t>
            </w:r>
          </w:p>
        </w:tc>
        <w:tc>
          <w:tcPr>
            <w:tcW w:w="980" w:type="dxa"/>
            <w:vAlign w:val="bottom"/>
            <w:shd w:val="clear" w:color="auto" w:fill="D7F5C4"/>
          </w:tcPr>
          <w:p>
            <w:pPr>
              <w:jc w:val="right"/>
              <w:spacing w:after="0"/>
              <w:rPr>
                <w:sz w:val="20"/>
                <w:szCs w:val="20"/>
                <w:color w:val="auto"/>
              </w:rPr>
            </w:pPr>
            <w:r>
              <w:rPr>
                <w:rFonts w:ascii="Arial" w:cs="Arial" w:eastAsia="Arial" w:hAnsi="Arial"/>
                <w:sz w:val="16"/>
                <w:szCs w:val="16"/>
                <w:color w:val="auto"/>
              </w:rPr>
              <w:t>8/23/2019</w:t>
            </w:r>
          </w:p>
        </w:tc>
        <w:tc>
          <w:tcPr>
            <w:tcW w:w="1260" w:type="dxa"/>
            <w:vAlign w:val="bottom"/>
            <w:shd w:val="clear" w:color="auto" w:fill="D7F5C4"/>
          </w:tcPr>
          <w:p>
            <w:pPr>
              <w:jc w:val="right"/>
              <w:spacing w:after="0" w:line="216" w:lineRule="exact"/>
              <w:rPr>
                <w:sz w:val="20"/>
                <w:szCs w:val="20"/>
                <w:color w:val="auto"/>
              </w:rPr>
            </w:pPr>
            <w:r>
              <w:rPr>
                <w:rFonts w:ascii="Arial" w:cs="Arial" w:eastAsia="Arial" w:hAnsi="Arial"/>
                <w:sz w:val="15"/>
                <w:szCs w:val="15"/>
                <w:color w:val="auto"/>
              </w:rPr>
              <w:t>32,605</w:t>
            </w:r>
            <w:r>
              <w:rPr>
                <w:rFonts w:ascii="Arial" w:cs="Arial" w:eastAsia="Arial" w:hAnsi="Arial"/>
                <w:sz w:val="24"/>
                <w:szCs w:val="24"/>
                <w:color w:val="auto"/>
                <w:vertAlign w:val="superscript"/>
              </w:rPr>
              <w:t>(1)</w:t>
            </w:r>
          </w:p>
        </w:tc>
        <w:tc>
          <w:tcPr>
            <w:tcW w:w="1320" w:type="dxa"/>
            <w:vAlign w:val="bottom"/>
            <w:shd w:val="clear" w:color="auto" w:fill="D7F5C4"/>
          </w:tcPr>
          <w:p>
            <w:pPr>
              <w:jc w:val="right"/>
              <w:ind w:right="20"/>
              <w:spacing w:after="0"/>
              <w:rPr>
                <w:sz w:val="20"/>
                <w:szCs w:val="20"/>
                <w:color w:val="auto"/>
              </w:rPr>
            </w:pPr>
            <w:r>
              <w:rPr>
                <w:rFonts w:ascii="Arial" w:cs="Arial" w:eastAsia="Arial" w:hAnsi="Arial"/>
                <w:sz w:val="16"/>
                <w:szCs w:val="16"/>
                <w:color w:val="auto"/>
              </w:rPr>
              <w:t>8/23/2019</w:t>
            </w:r>
          </w:p>
        </w:tc>
        <w:tc>
          <w:tcPr>
            <w:tcW w:w="0" w:type="dxa"/>
            <w:vAlign w:val="bottom"/>
          </w:tcPr>
          <w:p>
            <w:pPr>
              <w:spacing w:after="0"/>
              <w:rPr>
                <w:sz w:val="1"/>
                <w:szCs w:val="1"/>
                <w:color w:val="auto"/>
              </w:rPr>
            </w:pPr>
          </w:p>
        </w:tc>
      </w:tr>
      <w:tr>
        <w:trPr>
          <w:trHeight w:val="216"/>
        </w:trPr>
        <w:tc>
          <w:tcPr>
            <w:tcW w:w="4400" w:type="dxa"/>
            <w:vAlign w:val="bottom"/>
            <w:shd w:val="clear" w:color="auto" w:fill="D7F5C4"/>
          </w:tcPr>
          <w:p>
            <w:pPr>
              <w:spacing w:after="0"/>
              <w:rPr>
                <w:sz w:val="18"/>
                <w:szCs w:val="18"/>
                <w:color w:val="auto"/>
              </w:rPr>
            </w:pPr>
          </w:p>
        </w:tc>
        <w:tc>
          <w:tcPr>
            <w:tcW w:w="1600" w:type="dxa"/>
            <w:vAlign w:val="bottom"/>
            <w:shd w:val="clear" w:color="auto" w:fill="D7F5C4"/>
          </w:tcPr>
          <w:p>
            <w:pPr>
              <w:jc w:val="right"/>
              <w:ind w:right="360"/>
              <w:spacing w:after="0"/>
              <w:rPr>
                <w:sz w:val="20"/>
                <w:szCs w:val="20"/>
                <w:color w:val="auto"/>
              </w:rPr>
            </w:pPr>
            <w:r>
              <w:rPr>
                <w:rFonts w:ascii="Arial" w:cs="Arial" w:eastAsia="Arial" w:hAnsi="Arial"/>
                <w:sz w:val="16"/>
                <w:szCs w:val="16"/>
                <w:color w:val="auto"/>
              </w:rPr>
              <w:t>7,976</w:t>
            </w:r>
          </w:p>
        </w:tc>
        <w:tc>
          <w:tcPr>
            <w:tcW w:w="980" w:type="dxa"/>
            <w:vAlign w:val="bottom"/>
            <w:shd w:val="clear" w:color="auto" w:fill="D7F5C4"/>
          </w:tcPr>
          <w:p>
            <w:pPr>
              <w:jc w:val="right"/>
              <w:spacing w:after="0"/>
              <w:rPr>
                <w:sz w:val="20"/>
                <w:szCs w:val="20"/>
                <w:color w:val="auto"/>
              </w:rPr>
            </w:pPr>
            <w:r>
              <w:rPr>
                <w:rFonts w:ascii="Arial" w:cs="Arial" w:eastAsia="Arial" w:hAnsi="Arial"/>
                <w:sz w:val="16"/>
                <w:szCs w:val="16"/>
                <w:color w:val="auto"/>
              </w:rPr>
              <w:t>8/25/2019</w:t>
            </w:r>
          </w:p>
        </w:tc>
        <w:tc>
          <w:tcPr>
            <w:tcW w:w="1260" w:type="dxa"/>
            <w:vAlign w:val="bottom"/>
            <w:shd w:val="clear" w:color="auto" w:fill="D7F5C4"/>
          </w:tcPr>
          <w:p>
            <w:pPr>
              <w:jc w:val="right"/>
              <w:spacing w:after="0" w:line="216" w:lineRule="exact"/>
              <w:rPr>
                <w:sz w:val="20"/>
                <w:szCs w:val="20"/>
                <w:color w:val="auto"/>
              </w:rPr>
            </w:pPr>
            <w:r>
              <w:rPr>
                <w:rFonts w:ascii="Arial" w:cs="Arial" w:eastAsia="Arial" w:hAnsi="Arial"/>
                <w:sz w:val="15"/>
                <w:szCs w:val="15"/>
                <w:color w:val="auto"/>
              </w:rPr>
              <w:t>113,636</w:t>
            </w:r>
            <w:r>
              <w:rPr>
                <w:rFonts w:ascii="Arial" w:cs="Arial" w:eastAsia="Arial" w:hAnsi="Arial"/>
                <w:sz w:val="25"/>
                <w:szCs w:val="25"/>
                <w:color w:val="auto"/>
                <w:vertAlign w:val="superscript"/>
              </w:rPr>
              <w:t>(1)</w:t>
            </w:r>
          </w:p>
        </w:tc>
        <w:tc>
          <w:tcPr>
            <w:tcW w:w="1320" w:type="dxa"/>
            <w:vAlign w:val="bottom"/>
            <w:shd w:val="clear" w:color="auto" w:fill="D7F5C4"/>
          </w:tcPr>
          <w:p>
            <w:pPr>
              <w:jc w:val="right"/>
              <w:ind w:right="20"/>
              <w:spacing w:after="0"/>
              <w:rPr>
                <w:sz w:val="20"/>
                <w:szCs w:val="20"/>
                <w:color w:val="auto"/>
              </w:rPr>
            </w:pPr>
            <w:r>
              <w:rPr>
                <w:rFonts w:ascii="Arial" w:cs="Arial" w:eastAsia="Arial" w:hAnsi="Arial"/>
                <w:sz w:val="16"/>
                <w:szCs w:val="16"/>
                <w:color w:val="auto"/>
              </w:rPr>
              <w:t>8/29/2020</w:t>
            </w:r>
          </w:p>
        </w:tc>
        <w:tc>
          <w:tcPr>
            <w:tcW w:w="0" w:type="dxa"/>
            <w:vAlign w:val="bottom"/>
          </w:tcPr>
          <w:p>
            <w:pPr>
              <w:spacing w:after="0"/>
              <w:rPr>
                <w:sz w:val="1"/>
                <w:szCs w:val="1"/>
                <w:color w:val="auto"/>
              </w:rPr>
            </w:pPr>
          </w:p>
        </w:tc>
      </w:tr>
      <w:tr>
        <w:trPr>
          <w:trHeight w:val="217"/>
        </w:trPr>
        <w:tc>
          <w:tcPr>
            <w:tcW w:w="4400" w:type="dxa"/>
            <w:vAlign w:val="bottom"/>
            <w:shd w:val="clear" w:color="auto" w:fill="D7F5C4"/>
          </w:tcPr>
          <w:p>
            <w:pPr>
              <w:spacing w:after="0"/>
              <w:rPr>
                <w:sz w:val="18"/>
                <w:szCs w:val="18"/>
                <w:color w:val="auto"/>
              </w:rPr>
            </w:pPr>
          </w:p>
        </w:tc>
        <w:tc>
          <w:tcPr>
            <w:tcW w:w="1600" w:type="dxa"/>
            <w:vAlign w:val="bottom"/>
            <w:shd w:val="clear" w:color="auto" w:fill="D7F5C4"/>
          </w:tcPr>
          <w:p>
            <w:pPr>
              <w:jc w:val="right"/>
              <w:ind w:right="360"/>
              <w:spacing w:after="0"/>
              <w:rPr>
                <w:sz w:val="20"/>
                <w:szCs w:val="20"/>
                <w:color w:val="auto"/>
              </w:rPr>
            </w:pPr>
            <w:r>
              <w:rPr>
                <w:rFonts w:ascii="Arial" w:cs="Arial" w:eastAsia="Arial" w:hAnsi="Arial"/>
                <w:sz w:val="16"/>
                <w:szCs w:val="16"/>
                <w:color w:val="auto"/>
              </w:rPr>
              <w:t>8,346</w:t>
            </w:r>
          </w:p>
        </w:tc>
        <w:tc>
          <w:tcPr>
            <w:tcW w:w="980" w:type="dxa"/>
            <w:vAlign w:val="bottom"/>
            <w:shd w:val="clear" w:color="auto" w:fill="D7F5C4"/>
          </w:tcPr>
          <w:p>
            <w:pPr>
              <w:jc w:val="right"/>
              <w:spacing w:after="0"/>
              <w:rPr>
                <w:sz w:val="20"/>
                <w:szCs w:val="20"/>
                <w:color w:val="auto"/>
              </w:rPr>
            </w:pPr>
            <w:r>
              <w:rPr>
                <w:rFonts w:ascii="Arial" w:cs="Arial" w:eastAsia="Arial" w:hAnsi="Arial"/>
                <w:sz w:val="16"/>
                <w:szCs w:val="16"/>
                <w:color w:val="auto"/>
              </w:rPr>
              <w:t>8/27/2019</w:t>
            </w:r>
          </w:p>
        </w:tc>
        <w:tc>
          <w:tcPr>
            <w:tcW w:w="1260" w:type="dxa"/>
            <w:vAlign w:val="bottom"/>
            <w:shd w:val="clear" w:color="auto" w:fill="D7F5C4"/>
          </w:tcPr>
          <w:p>
            <w:pPr>
              <w:jc w:val="right"/>
              <w:spacing w:after="0" w:line="216" w:lineRule="exact"/>
              <w:rPr>
                <w:sz w:val="20"/>
                <w:szCs w:val="20"/>
                <w:color w:val="auto"/>
              </w:rPr>
            </w:pPr>
            <w:r>
              <w:rPr>
                <w:rFonts w:ascii="Arial" w:cs="Arial" w:eastAsia="Arial" w:hAnsi="Arial"/>
                <w:sz w:val="15"/>
                <w:szCs w:val="15"/>
                <w:color w:val="auto"/>
              </w:rPr>
              <w:t>66,766</w:t>
            </w:r>
            <w:r>
              <w:rPr>
                <w:rFonts w:ascii="Arial" w:cs="Arial" w:eastAsia="Arial" w:hAnsi="Arial"/>
                <w:sz w:val="25"/>
                <w:szCs w:val="25"/>
                <w:color w:val="auto"/>
                <w:vertAlign w:val="superscript"/>
              </w:rPr>
              <w:t>(1)</w:t>
            </w:r>
          </w:p>
        </w:tc>
        <w:tc>
          <w:tcPr>
            <w:tcW w:w="1320" w:type="dxa"/>
            <w:vAlign w:val="bottom"/>
            <w:shd w:val="clear" w:color="auto" w:fill="D7F5C4"/>
          </w:tcPr>
          <w:p>
            <w:pPr>
              <w:jc w:val="right"/>
              <w:ind w:right="20"/>
              <w:spacing w:after="0"/>
              <w:rPr>
                <w:sz w:val="20"/>
                <w:szCs w:val="20"/>
                <w:color w:val="auto"/>
              </w:rPr>
            </w:pPr>
            <w:r>
              <w:rPr>
                <w:rFonts w:ascii="Arial" w:cs="Arial" w:eastAsia="Arial" w:hAnsi="Arial"/>
                <w:sz w:val="16"/>
                <w:szCs w:val="16"/>
                <w:color w:val="auto"/>
              </w:rPr>
              <w:t>8/27/2021</w:t>
            </w:r>
          </w:p>
        </w:tc>
        <w:tc>
          <w:tcPr>
            <w:tcW w:w="0" w:type="dxa"/>
            <w:vAlign w:val="bottom"/>
          </w:tcPr>
          <w:p>
            <w:pPr>
              <w:spacing w:after="0"/>
              <w:rPr>
                <w:sz w:val="1"/>
                <w:szCs w:val="1"/>
                <w:color w:val="auto"/>
              </w:rPr>
            </w:pPr>
          </w:p>
        </w:tc>
      </w:tr>
      <w:tr>
        <w:trPr>
          <w:trHeight w:val="210"/>
        </w:trPr>
        <w:tc>
          <w:tcPr>
            <w:tcW w:w="4400" w:type="dxa"/>
            <w:vAlign w:val="bottom"/>
            <w:shd w:val="clear" w:color="auto" w:fill="D7F5C4"/>
          </w:tcPr>
          <w:p>
            <w:pPr>
              <w:spacing w:after="0"/>
              <w:rPr>
                <w:sz w:val="18"/>
                <w:szCs w:val="18"/>
                <w:color w:val="auto"/>
              </w:rPr>
            </w:pPr>
          </w:p>
        </w:tc>
        <w:tc>
          <w:tcPr>
            <w:tcW w:w="1600" w:type="dxa"/>
            <w:vAlign w:val="bottom"/>
            <w:shd w:val="clear" w:color="auto" w:fill="D7F5C4"/>
          </w:tcPr>
          <w:p>
            <w:pPr>
              <w:jc w:val="right"/>
              <w:ind w:right="360"/>
              <w:spacing w:after="0"/>
              <w:rPr>
                <w:sz w:val="20"/>
                <w:szCs w:val="20"/>
                <w:color w:val="auto"/>
              </w:rPr>
            </w:pPr>
            <w:r>
              <w:rPr>
                <w:rFonts w:ascii="Arial" w:cs="Arial" w:eastAsia="Arial" w:hAnsi="Arial"/>
                <w:sz w:val="16"/>
                <w:szCs w:val="16"/>
                <w:color w:val="auto"/>
              </w:rPr>
              <w:t>6,081</w:t>
            </w:r>
          </w:p>
        </w:tc>
        <w:tc>
          <w:tcPr>
            <w:tcW w:w="980" w:type="dxa"/>
            <w:vAlign w:val="bottom"/>
            <w:shd w:val="clear" w:color="auto" w:fill="D7F5C4"/>
          </w:tcPr>
          <w:p>
            <w:pPr>
              <w:jc w:val="right"/>
              <w:spacing w:after="0"/>
              <w:rPr>
                <w:sz w:val="20"/>
                <w:szCs w:val="20"/>
                <w:color w:val="auto"/>
              </w:rPr>
            </w:pPr>
            <w:r>
              <w:rPr>
                <w:rFonts w:ascii="Arial" w:cs="Arial" w:eastAsia="Arial" w:hAnsi="Arial"/>
                <w:sz w:val="16"/>
                <w:szCs w:val="16"/>
                <w:color w:val="auto"/>
              </w:rPr>
              <w:t>8/27/2019</w:t>
            </w:r>
          </w:p>
        </w:tc>
        <w:tc>
          <w:tcPr>
            <w:tcW w:w="1260" w:type="dxa"/>
            <w:vAlign w:val="bottom"/>
            <w:shd w:val="clear" w:color="auto" w:fill="D7F5C4"/>
          </w:tcPr>
          <w:p>
            <w:pPr>
              <w:spacing w:after="0"/>
              <w:rPr>
                <w:sz w:val="18"/>
                <w:szCs w:val="18"/>
                <w:color w:val="auto"/>
              </w:rPr>
            </w:pPr>
          </w:p>
        </w:tc>
        <w:tc>
          <w:tcPr>
            <w:tcW w:w="1320" w:type="dxa"/>
            <w:vAlign w:val="bottom"/>
            <w:shd w:val="clear" w:color="auto" w:fill="D7F5C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D7F5C4"/>
          </w:tcPr>
          <w:p>
            <w:pPr>
              <w:spacing w:after="0"/>
              <w:rPr>
                <w:sz w:val="18"/>
                <w:szCs w:val="18"/>
                <w:color w:val="auto"/>
              </w:rPr>
            </w:pPr>
          </w:p>
        </w:tc>
        <w:tc>
          <w:tcPr>
            <w:tcW w:w="1600" w:type="dxa"/>
            <w:vAlign w:val="bottom"/>
            <w:shd w:val="clear" w:color="auto" w:fill="D7F5C4"/>
          </w:tcPr>
          <w:p>
            <w:pPr>
              <w:jc w:val="right"/>
              <w:ind w:right="360"/>
              <w:spacing w:after="0"/>
              <w:rPr>
                <w:sz w:val="20"/>
                <w:szCs w:val="20"/>
                <w:color w:val="auto"/>
              </w:rPr>
            </w:pPr>
            <w:r>
              <w:rPr>
                <w:rFonts w:ascii="Arial" w:cs="Arial" w:eastAsia="Arial" w:hAnsi="Arial"/>
                <w:sz w:val="16"/>
                <w:szCs w:val="16"/>
                <w:color w:val="auto"/>
              </w:rPr>
              <w:t>14,205</w:t>
            </w:r>
          </w:p>
        </w:tc>
        <w:tc>
          <w:tcPr>
            <w:tcW w:w="980" w:type="dxa"/>
            <w:vAlign w:val="bottom"/>
            <w:shd w:val="clear" w:color="auto" w:fill="D7F5C4"/>
          </w:tcPr>
          <w:p>
            <w:pPr>
              <w:jc w:val="right"/>
              <w:spacing w:after="0"/>
              <w:rPr>
                <w:sz w:val="20"/>
                <w:szCs w:val="20"/>
                <w:color w:val="auto"/>
              </w:rPr>
            </w:pPr>
            <w:r>
              <w:rPr>
                <w:rFonts w:ascii="Arial" w:cs="Arial" w:eastAsia="Arial" w:hAnsi="Arial"/>
                <w:sz w:val="16"/>
                <w:szCs w:val="16"/>
                <w:color w:val="auto"/>
              </w:rPr>
              <w:t>8/29/2019</w:t>
            </w:r>
          </w:p>
        </w:tc>
        <w:tc>
          <w:tcPr>
            <w:tcW w:w="1260" w:type="dxa"/>
            <w:vAlign w:val="bottom"/>
            <w:shd w:val="clear" w:color="auto" w:fill="D7F5C4"/>
          </w:tcPr>
          <w:p>
            <w:pPr>
              <w:spacing w:after="0"/>
              <w:rPr>
                <w:sz w:val="18"/>
                <w:szCs w:val="18"/>
                <w:color w:val="auto"/>
              </w:rPr>
            </w:pPr>
          </w:p>
        </w:tc>
        <w:tc>
          <w:tcPr>
            <w:tcW w:w="1320" w:type="dxa"/>
            <w:vAlign w:val="bottom"/>
            <w:shd w:val="clear" w:color="auto" w:fill="D7F5C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D7F5C4"/>
          </w:tcPr>
          <w:p>
            <w:pPr>
              <w:spacing w:after="0"/>
              <w:rPr>
                <w:sz w:val="18"/>
                <w:szCs w:val="18"/>
                <w:color w:val="auto"/>
              </w:rPr>
            </w:pPr>
          </w:p>
        </w:tc>
        <w:tc>
          <w:tcPr>
            <w:tcW w:w="1600" w:type="dxa"/>
            <w:vAlign w:val="bottom"/>
            <w:shd w:val="clear" w:color="auto" w:fill="D7F5C4"/>
          </w:tcPr>
          <w:p>
            <w:pPr>
              <w:jc w:val="right"/>
              <w:ind w:right="360"/>
              <w:spacing w:after="0"/>
              <w:rPr>
                <w:sz w:val="20"/>
                <w:szCs w:val="20"/>
                <w:color w:val="auto"/>
              </w:rPr>
            </w:pPr>
            <w:r>
              <w:rPr>
                <w:rFonts w:ascii="Arial" w:cs="Arial" w:eastAsia="Arial" w:hAnsi="Arial"/>
                <w:sz w:val="16"/>
                <w:szCs w:val="16"/>
                <w:color w:val="auto"/>
              </w:rPr>
              <w:t>9,158</w:t>
            </w:r>
          </w:p>
        </w:tc>
        <w:tc>
          <w:tcPr>
            <w:tcW w:w="980" w:type="dxa"/>
            <w:vAlign w:val="bottom"/>
            <w:shd w:val="clear" w:color="auto" w:fill="D7F5C4"/>
          </w:tcPr>
          <w:p>
            <w:pPr>
              <w:jc w:val="right"/>
              <w:spacing w:after="0"/>
              <w:rPr>
                <w:sz w:val="20"/>
                <w:szCs w:val="20"/>
                <w:color w:val="auto"/>
              </w:rPr>
            </w:pPr>
            <w:r>
              <w:rPr>
                <w:rFonts w:ascii="Arial" w:cs="Arial" w:eastAsia="Arial" w:hAnsi="Arial"/>
                <w:sz w:val="16"/>
                <w:szCs w:val="16"/>
                <w:color w:val="auto"/>
              </w:rPr>
              <w:t>8/23/2020</w:t>
            </w:r>
          </w:p>
        </w:tc>
        <w:tc>
          <w:tcPr>
            <w:tcW w:w="1260" w:type="dxa"/>
            <w:vAlign w:val="bottom"/>
            <w:shd w:val="clear" w:color="auto" w:fill="D7F5C4"/>
          </w:tcPr>
          <w:p>
            <w:pPr>
              <w:spacing w:after="0"/>
              <w:rPr>
                <w:sz w:val="18"/>
                <w:szCs w:val="18"/>
                <w:color w:val="auto"/>
              </w:rPr>
            </w:pPr>
          </w:p>
        </w:tc>
        <w:tc>
          <w:tcPr>
            <w:tcW w:w="1320" w:type="dxa"/>
            <w:vAlign w:val="bottom"/>
            <w:shd w:val="clear" w:color="auto" w:fill="D7F5C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D7F5C4"/>
          </w:tcPr>
          <w:p>
            <w:pPr>
              <w:spacing w:after="0"/>
              <w:rPr>
                <w:sz w:val="18"/>
                <w:szCs w:val="18"/>
                <w:color w:val="auto"/>
              </w:rPr>
            </w:pPr>
          </w:p>
        </w:tc>
        <w:tc>
          <w:tcPr>
            <w:tcW w:w="1600" w:type="dxa"/>
            <w:vAlign w:val="bottom"/>
            <w:shd w:val="clear" w:color="auto" w:fill="D7F5C4"/>
          </w:tcPr>
          <w:p>
            <w:pPr>
              <w:jc w:val="right"/>
              <w:ind w:right="360"/>
              <w:spacing w:after="0"/>
              <w:rPr>
                <w:sz w:val="20"/>
                <w:szCs w:val="20"/>
                <w:color w:val="auto"/>
              </w:rPr>
            </w:pPr>
            <w:r>
              <w:rPr>
                <w:rFonts w:ascii="Arial" w:cs="Arial" w:eastAsia="Arial" w:hAnsi="Arial"/>
                <w:sz w:val="16"/>
                <w:szCs w:val="16"/>
                <w:color w:val="auto"/>
              </w:rPr>
              <w:t>8,346</w:t>
            </w:r>
          </w:p>
        </w:tc>
        <w:tc>
          <w:tcPr>
            <w:tcW w:w="980" w:type="dxa"/>
            <w:vAlign w:val="bottom"/>
            <w:shd w:val="clear" w:color="auto" w:fill="D7F5C4"/>
          </w:tcPr>
          <w:p>
            <w:pPr>
              <w:jc w:val="right"/>
              <w:spacing w:after="0"/>
              <w:rPr>
                <w:sz w:val="20"/>
                <w:szCs w:val="20"/>
                <w:color w:val="auto"/>
              </w:rPr>
            </w:pPr>
            <w:r>
              <w:rPr>
                <w:rFonts w:ascii="Arial" w:cs="Arial" w:eastAsia="Arial" w:hAnsi="Arial"/>
                <w:sz w:val="16"/>
                <w:szCs w:val="16"/>
                <w:color w:val="auto"/>
              </w:rPr>
              <w:t>8/27/2020</w:t>
            </w:r>
          </w:p>
        </w:tc>
        <w:tc>
          <w:tcPr>
            <w:tcW w:w="1260" w:type="dxa"/>
            <w:vAlign w:val="bottom"/>
            <w:shd w:val="clear" w:color="auto" w:fill="D7F5C4"/>
          </w:tcPr>
          <w:p>
            <w:pPr>
              <w:spacing w:after="0"/>
              <w:rPr>
                <w:sz w:val="18"/>
                <w:szCs w:val="18"/>
                <w:color w:val="auto"/>
              </w:rPr>
            </w:pPr>
          </w:p>
        </w:tc>
        <w:tc>
          <w:tcPr>
            <w:tcW w:w="1320" w:type="dxa"/>
            <w:vAlign w:val="bottom"/>
            <w:shd w:val="clear" w:color="auto" w:fill="D7F5C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D7F5C4"/>
          </w:tcPr>
          <w:p>
            <w:pPr>
              <w:spacing w:after="0"/>
              <w:rPr>
                <w:sz w:val="18"/>
                <w:szCs w:val="18"/>
                <w:color w:val="auto"/>
              </w:rPr>
            </w:pPr>
          </w:p>
        </w:tc>
        <w:tc>
          <w:tcPr>
            <w:tcW w:w="1600" w:type="dxa"/>
            <w:vAlign w:val="bottom"/>
            <w:shd w:val="clear" w:color="auto" w:fill="D7F5C4"/>
          </w:tcPr>
          <w:p>
            <w:pPr>
              <w:jc w:val="right"/>
              <w:ind w:right="360"/>
              <w:spacing w:after="0"/>
              <w:rPr>
                <w:sz w:val="20"/>
                <w:szCs w:val="20"/>
                <w:color w:val="auto"/>
              </w:rPr>
            </w:pPr>
            <w:r>
              <w:rPr>
                <w:rFonts w:ascii="Arial" w:cs="Arial" w:eastAsia="Arial" w:hAnsi="Arial"/>
                <w:sz w:val="16"/>
                <w:szCs w:val="16"/>
                <w:color w:val="auto"/>
              </w:rPr>
              <w:t>14,204</w:t>
            </w:r>
          </w:p>
        </w:tc>
        <w:tc>
          <w:tcPr>
            <w:tcW w:w="980" w:type="dxa"/>
            <w:vAlign w:val="bottom"/>
            <w:shd w:val="clear" w:color="auto" w:fill="D7F5C4"/>
          </w:tcPr>
          <w:p>
            <w:pPr>
              <w:jc w:val="right"/>
              <w:spacing w:after="0"/>
              <w:rPr>
                <w:sz w:val="20"/>
                <w:szCs w:val="20"/>
                <w:color w:val="auto"/>
              </w:rPr>
            </w:pPr>
            <w:r>
              <w:rPr>
                <w:rFonts w:ascii="Arial" w:cs="Arial" w:eastAsia="Arial" w:hAnsi="Arial"/>
                <w:sz w:val="16"/>
                <w:szCs w:val="16"/>
                <w:color w:val="auto"/>
              </w:rPr>
              <w:t>8/29/2020</w:t>
            </w:r>
          </w:p>
        </w:tc>
        <w:tc>
          <w:tcPr>
            <w:tcW w:w="1260" w:type="dxa"/>
            <w:vAlign w:val="bottom"/>
            <w:shd w:val="clear" w:color="auto" w:fill="D7F5C4"/>
          </w:tcPr>
          <w:p>
            <w:pPr>
              <w:spacing w:after="0"/>
              <w:rPr>
                <w:sz w:val="18"/>
                <w:szCs w:val="18"/>
                <w:color w:val="auto"/>
              </w:rPr>
            </w:pPr>
          </w:p>
        </w:tc>
        <w:tc>
          <w:tcPr>
            <w:tcW w:w="1320" w:type="dxa"/>
            <w:vAlign w:val="bottom"/>
            <w:shd w:val="clear" w:color="auto" w:fill="D7F5C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D7F5C4"/>
          </w:tcPr>
          <w:p>
            <w:pPr>
              <w:spacing w:after="0"/>
              <w:rPr>
                <w:sz w:val="18"/>
                <w:szCs w:val="18"/>
                <w:color w:val="auto"/>
              </w:rPr>
            </w:pPr>
          </w:p>
        </w:tc>
        <w:tc>
          <w:tcPr>
            <w:tcW w:w="1600" w:type="dxa"/>
            <w:vAlign w:val="bottom"/>
            <w:shd w:val="clear" w:color="auto" w:fill="D7F5C4"/>
          </w:tcPr>
          <w:p>
            <w:pPr>
              <w:jc w:val="right"/>
              <w:ind w:right="360"/>
              <w:spacing w:after="0"/>
              <w:rPr>
                <w:sz w:val="20"/>
                <w:szCs w:val="20"/>
                <w:color w:val="auto"/>
              </w:rPr>
            </w:pPr>
            <w:r>
              <w:rPr>
                <w:rFonts w:ascii="Arial" w:cs="Arial" w:eastAsia="Arial" w:hAnsi="Arial"/>
                <w:sz w:val="16"/>
                <w:szCs w:val="16"/>
                <w:color w:val="auto"/>
              </w:rPr>
              <w:t>8,346</w:t>
            </w:r>
          </w:p>
        </w:tc>
        <w:tc>
          <w:tcPr>
            <w:tcW w:w="980" w:type="dxa"/>
            <w:vAlign w:val="bottom"/>
            <w:shd w:val="clear" w:color="auto" w:fill="D7F5C4"/>
          </w:tcPr>
          <w:p>
            <w:pPr>
              <w:jc w:val="right"/>
              <w:spacing w:after="0"/>
              <w:rPr>
                <w:sz w:val="20"/>
                <w:szCs w:val="20"/>
                <w:color w:val="auto"/>
              </w:rPr>
            </w:pPr>
            <w:r>
              <w:rPr>
                <w:rFonts w:ascii="Arial" w:cs="Arial" w:eastAsia="Arial" w:hAnsi="Arial"/>
                <w:sz w:val="16"/>
                <w:szCs w:val="16"/>
                <w:color w:val="auto"/>
              </w:rPr>
              <w:t>8/27/2021</w:t>
            </w:r>
          </w:p>
        </w:tc>
        <w:tc>
          <w:tcPr>
            <w:tcW w:w="1260" w:type="dxa"/>
            <w:vAlign w:val="bottom"/>
            <w:shd w:val="clear" w:color="auto" w:fill="D7F5C4"/>
          </w:tcPr>
          <w:p>
            <w:pPr>
              <w:spacing w:after="0"/>
              <w:rPr>
                <w:sz w:val="18"/>
                <w:szCs w:val="18"/>
                <w:color w:val="auto"/>
              </w:rPr>
            </w:pPr>
          </w:p>
        </w:tc>
        <w:tc>
          <w:tcPr>
            <w:tcW w:w="1320" w:type="dxa"/>
            <w:vAlign w:val="bottom"/>
            <w:shd w:val="clear" w:color="auto" w:fill="D7F5C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D7F5C4"/>
          </w:tcPr>
          <w:p>
            <w:pPr>
              <w:spacing w:after="0"/>
              <w:rPr>
                <w:sz w:val="18"/>
                <w:szCs w:val="18"/>
                <w:color w:val="auto"/>
              </w:rPr>
            </w:pPr>
          </w:p>
        </w:tc>
        <w:tc>
          <w:tcPr>
            <w:tcW w:w="1600" w:type="dxa"/>
            <w:vAlign w:val="bottom"/>
            <w:shd w:val="clear" w:color="auto" w:fill="D7F5C4"/>
          </w:tcPr>
          <w:p>
            <w:pPr>
              <w:jc w:val="right"/>
              <w:ind w:right="360"/>
              <w:spacing w:after="0"/>
              <w:rPr>
                <w:sz w:val="20"/>
                <w:szCs w:val="20"/>
                <w:color w:val="auto"/>
              </w:rPr>
            </w:pPr>
            <w:r>
              <w:rPr>
                <w:rFonts w:ascii="Arial" w:cs="Arial" w:eastAsia="Arial" w:hAnsi="Arial"/>
                <w:sz w:val="16"/>
                <w:szCs w:val="16"/>
                <w:color w:val="auto"/>
              </w:rPr>
              <w:t>14,204</w:t>
            </w:r>
          </w:p>
        </w:tc>
        <w:tc>
          <w:tcPr>
            <w:tcW w:w="980" w:type="dxa"/>
            <w:vAlign w:val="bottom"/>
            <w:shd w:val="clear" w:color="auto" w:fill="D7F5C4"/>
          </w:tcPr>
          <w:p>
            <w:pPr>
              <w:jc w:val="right"/>
              <w:spacing w:after="0"/>
              <w:rPr>
                <w:sz w:val="20"/>
                <w:szCs w:val="20"/>
                <w:color w:val="auto"/>
              </w:rPr>
            </w:pPr>
            <w:r>
              <w:rPr>
                <w:rFonts w:ascii="Arial" w:cs="Arial" w:eastAsia="Arial" w:hAnsi="Arial"/>
                <w:sz w:val="16"/>
                <w:szCs w:val="16"/>
                <w:color w:val="auto"/>
              </w:rPr>
              <w:t>8/29/2021</w:t>
            </w:r>
          </w:p>
        </w:tc>
        <w:tc>
          <w:tcPr>
            <w:tcW w:w="1260" w:type="dxa"/>
            <w:vAlign w:val="bottom"/>
            <w:shd w:val="clear" w:color="auto" w:fill="D7F5C4"/>
          </w:tcPr>
          <w:p>
            <w:pPr>
              <w:spacing w:after="0"/>
              <w:rPr>
                <w:sz w:val="18"/>
                <w:szCs w:val="18"/>
                <w:color w:val="auto"/>
              </w:rPr>
            </w:pPr>
          </w:p>
        </w:tc>
        <w:tc>
          <w:tcPr>
            <w:tcW w:w="1320" w:type="dxa"/>
            <w:vAlign w:val="bottom"/>
            <w:shd w:val="clear" w:color="auto" w:fill="D7F5C4"/>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00" w:type="dxa"/>
            <w:vAlign w:val="bottom"/>
            <w:shd w:val="clear" w:color="auto" w:fill="D7F5C4"/>
          </w:tcPr>
          <w:p>
            <w:pPr>
              <w:spacing w:after="0"/>
              <w:rPr>
                <w:sz w:val="19"/>
                <w:szCs w:val="19"/>
                <w:color w:val="auto"/>
              </w:rPr>
            </w:pPr>
          </w:p>
        </w:tc>
        <w:tc>
          <w:tcPr>
            <w:tcW w:w="1600" w:type="dxa"/>
            <w:vAlign w:val="bottom"/>
            <w:shd w:val="clear" w:color="auto" w:fill="D7F5C4"/>
          </w:tcPr>
          <w:p>
            <w:pPr>
              <w:jc w:val="right"/>
              <w:ind w:right="360"/>
              <w:spacing w:after="0"/>
              <w:rPr>
                <w:sz w:val="20"/>
                <w:szCs w:val="20"/>
                <w:color w:val="auto"/>
              </w:rPr>
            </w:pPr>
            <w:r>
              <w:rPr>
                <w:rFonts w:ascii="Arial" w:cs="Arial" w:eastAsia="Arial" w:hAnsi="Arial"/>
                <w:sz w:val="16"/>
                <w:szCs w:val="16"/>
                <w:color w:val="auto"/>
              </w:rPr>
              <w:t>8,345</w:t>
            </w:r>
          </w:p>
        </w:tc>
        <w:tc>
          <w:tcPr>
            <w:tcW w:w="980" w:type="dxa"/>
            <w:vAlign w:val="bottom"/>
            <w:shd w:val="clear" w:color="auto" w:fill="D7F5C4"/>
          </w:tcPr>
          <w:p>
            <w:pPr>
              <w:jc w:val="right"/>
              <w:spacing w:after="0"/>
              <w:rPr>
                <w:sz w:val="20"/>
                <w:szCs w:val="20"/>
                <w:color w:val="auto"/>
              </w:rPr>
            </w:pPr>
            <w:r>
              <w:rPr>
                <w:rFonts w:ascii="Arial" w:cs="Arial" w:eastAsia="Arial" w:hAnsi="Arial"/>
                <w:sz w:val="16"/>
                <w:szCs w:val="16"/>
                <w:color w:val="auto"/>
              </w:rPr>
              <w:t>8/27/2022</w:t>
            </w:r>
          </w:p>
        </w:tc>
        <w:tc>
          <w:tcPr>
            <w:tcW w:w="1260" w:type="dxa"/>
            <w:vAlign w:val="bottom"/>
            <w:shd w:val="clear" w:color="auto" w:fill="D7F5C4"/>
          </w:tcPr>
          <w:p>
            <w:pPr>
              <w:spacing w:after="0"/>
              <w:rPr>
                <w:sz w:val="19"/>
                <w:szCs w:val="19"/>
                <w:color w:val="auto"/>
              </w:rPr>
            </w:pPr>
          </w:p>
        </w:tc>
        <w:tc>
          <w:tcPr>
            <w:tcW w:w="1320" w:type="dxa"/>
            <w:vAlign w:val="bottom"/>
            <w:shd w:val="clear" w:color="auto" w:fill="D7F5C4"/>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6"/>
                <w:szCs w:val="16"/>
                <w:color w:val="auto"/>
              </w:rPr>
              <w:t>Joseph F. Montalbano</w:t>
            </w:r>
          </w:p>
        </w:tc>
        <w:tc>
          <w:tcPr>
            <w:tcW w:w="1600" w:type="dxa"/>
            <w:vAlign w:val="bottom"/>
          </w:tcPr>
          <w:p>
            <w:pPr>
              <w:jc w:val="right"/>
              <w:ind w:right="360"/>
              <w:spacing w:after="0"/>
              <w:rPr>
                <w:sz w:val="20"/>
                <w:szCs w:val="20"/>
                <w:color w:val="auto"/>
              </w:rPr>
            </w:pPr>
            <w:r>
              <w:rPr>
                <w:rFonts w:ascii="Arial" w:cs="Arial" w:eastAsia="Arial" w:hAnsi="Arial"/>
                <w:sz w:val="16"/>
                <w:szCs w:val="16"/>
                <w:color w:val="auto"/>
              </w:rPr>
              <w:t>3,393</w:t>
            </w:r>
          </w:p>
        </w:tc>
        <w:tc>
          <w:tcPr>
            <w:tcW w:w="980" w:type="dxa"/>
            <w:vAlign w:val="bottom"/>
          </w:tcPr>
          <w:p>
            <w:pPr>
              <w:jc w:val="right"/>
              <w:spacing w:after="0"/>
              <w:rPr>
                <w:sz w:val="20"/>
                <w:szCs w:val="20"/>
                <w:color w:val="auto"/>
              </w:rPr>
            </w:pPr>
            <w:r>
              <w:rPr>
                <w:rFonts w:ascii="Arial" w:cs="Arial" w:eastAsia="Arial" w:hAnsi="Arial"/>
                <w:sz w:val="16"/>
                <w:szCs w:val="16"/>
                <w:color w:val="auto"/>
              </w:rPr>
              <w:t>8/23/2019</w:t>
            </w:r>
          </w:p>
        </w:tc>
        <w:tc>
          <w:tcPr>
            <w:tcW w:w="1260" w:type="dxa"/>
            <w:vAlign w:val="bottom"/>
          </w:tcPr>
          <w:p>
            <w:pPr>
              <w:jc w:val="right"/>
              <w:spacing w:after="0" w:line="216" w:lineRule="exact"/>
              <w:rPr>
                <w:sz w:val="20"/>
                <w:szCs w:val="20"/>
                <w:color w:val="auto"/>
              </w:rPr>
            </w:pPr>
            <w:r>
              <w:rPr>
                <w:rFonts w:ascii="Arial" w:cs="Arial" w:eastAsia="Arial" w:hAnsi="Arial"/>
                <w:sz w:val="15"/>
                <w:szCs w:val="15"/>
                <w:color w:val="auto"/>
              </w:rPr>
              <w:t>12,078</w:t>
            </w:r>
            <w:r>
              <w:rPr>
                <w:rFonts w:ascii="Arial" w:cs="Arial" w:eastAsia="Arial" w:hAnsi="Arial"/>
                <w:sz w:val="25"/>
                <w:szCs w:val="25"/>
                <w:color w:val="auto"/>
                <w:vertAlign w:val="superscript"/>
              </w:rPr>
              <w:t>(1)</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8/23/2019</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2,512</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8/25/2019</w:t>
            </w:r>
          </w:p>
        </w:tc>
        <w:tc>
          <w:tcPr>
            <w:tcW w:w="1260" w:type="dxa"/>
            <w:vAlign w:val="bottom"/>
            <w:shd w:val="clear" w:color="auto" w:fill="CCEEFF"/>
          </w:tcPr>
          <w:p>
            <w:pPr>
              <w:jc w:val="right"/>
              <w:spacing w:after="0" w:line="216" w:lineRule="exact"/>
              <w:rPr>
                <w:sz w:val="20"/>
                <w:szCs w:val="20"/>
                <w:color w:val="auto"/>
              </w:rPr>
            </w:pPr>
            <w:r>
              <w:rPr>
                <w:rFonts w:ascii="Arial" w:cs="Arial" w:eastAsia="Arial" w:hAnsi="Arial"/>
                <w:sz w:val="15"/>
                <w:szCs w:val="15"/>
                <w:color w:val="auto"/>
              </w:rPr>
              <w:t>42,096</w:t>
            </w:r>
            <w:r>
              <w:rPr>
                <w:rFonts w:ascii="Arial" w:cs="Arial" w:eastAsia="Arial" w:hAnsi="Arial"/>
                <w:sz w:val="25"/>
                <w:szCs w:val="25"/>
                <w:color w:val="auto"/>
                <w:vertAlign w:val="superscript"/>
              </w:rPr>
              <w:t>(1)</w:t>
            </w: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8/29/2020</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1600" w:type="dxa"/>
            <w:vAlign w:val="bottom"/>
          </w:tcPr>
          <w:p>
            <w:pPr>
              <w:jc w:val="right"/>
              <w:ind w:right="360"/>
              <w:spacing w:after="0"/>
              <w:rPr>
                <w:sz w:val="20"/>
                <w:szCs w:val="20"/>
                <w:color w:val="auto"/>
              </w:rPr>
            </w:pPr>
            <w:r>
              <w:rPr>
                <w:rFonts w:ascii="Arial" w:cs="Arial" w:eastAsia="Arial" w:hAnsi="Arial"/>
                <w:sz w:val="16"/>
                <w:szCs w:val="16"/>
                <w:color w:val="auto"/>
              </w:rPr>
              <w:t>3,044</w:t>
            </w:r>
          </w:p>
        </w:tc>
        <w:tc>
          <w:tcPr>
            <w:tcW w:w="980" w:type="dxa"/>
            <w:vAlign w:val="bottom"/>
          </w:tcPr>
          <w:p>
            <w:pPr>
              <w:jc w:val="right"/>
              <w:spacing w:after="0"/>
              <w:rPr>
                <w:sz w:val="20"/>
                <w:szCs w:val="20"/>
                <w:color w:val="auto"/>
              </w:rPr>
            </w:pPr>
            <w:r>
              <w:rPr>
                <w:rFonts w:ascii="Arial" w:cs="Arial" w:eastAsia="Arial" w:hAnsi="Arial"/>
                <w:sz w:val="16"/>
                <w:szCs w:val="16"/>
                <w:color w:val="auto"/>
              </w:rPr>
              <w:t>8/27/2019</w:t>
            </w:r>
          </w:p>
        </w:tc>
        <w:tc>
          <w:tcPr>
            <w:tcW w:w="1260" w:type="dxa"/>
            <w:vAlign w:val="bottom"/>
          </w:tcPr>
          <w:p>
            <w:pPr>
              <w:jc w:val="right"/>
              <w:spacing w:after="0" w:line="216" w:lineRule="exact"/>
              <w:rPr>
                <w:sz w:val="20"/>
                <w:szCs w:val="20"/>
                <w:color w:val="auto"/>
              </w:rPr>
            </w:pPr>
            <w:r>
              <w:rPr>
                <w:rFonts w:ascii="Arial" w:cs="Arial" w:eastAsia="Arial" w:hAnsi="Arial"/>
                <w:sz w:val="15"/>
                <w:szCs w:val="15"/>
                <w:color w:val="auto"/>
              </w:rPr>
              <w:t>24,346</w:t>
            </w:r>
            <w:r>
              <w:rPr>
                <w:rFonts w:ascii="Arial" w:cs="Arial" w:eastAsia="Arial" w:hAnsi="Arial"/>
                <w:sz w:val="25"/>
                <w:szCs w:val="25"/>
                <w:color w:val="auto"/>
                <w:vertAlign w:val="superscript"/>
              </w:rPr>
              <w:t>(1)</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8/27/2021</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3,017</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8/27/2019</w:t>
            </w:r>
          </w:p>
        </w:tc>
        <w:tc>
          <w:tcPr>
            <w:tcW w:w="1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00" w:type="dxa"/>
            <w:vAlign w:val="bottom"/>
          </w:tcPr>
          <w:p>
            <w:pPr>
              <w:spacing w:after="0"/>
              <w:rPr>
                <w:sz w:val="18"/>
                <w:szCs w:val="18"/>
                <w:color w:val="auto"/>
              </w:rPr>
            </w:pPr>
          </w:p>
        </w:tc>
        <w:tc>
          <w:tcPr>
            <w:tcW w:w="1600" w:type="dxa"/>
            <w:vAlign w:val="bottom"/>
          </w:tcPr>
          <w:p>
            <w:pPr>
              <w:jc w:val="right"/>
              <w:ind w:right="360"/>
              <w:spacing w:after="0"/>
              <w:rPr>
                <w:sz w:val="20"/>
                <w:szCs w:val="20"/>
                <w:color w:val="auto"/>
              </w:rPr>
            </w:pPr>
            <w:r>
              <w:rPr>
                <w:rFonts w:ascii="Arial" w:cs="Arial" w:eastAsia="Arial" w:hAnsi="Arial"/>
                <w:sz w:val="16"/>
                <w:szCs w:val="16"/>
                <w:color w:val="auto"/>
              </w:rPr>
              <w:t>5,262</w:t>
            </w:r>
          </w:p>
        </w:tc>
        <w:tc>
          <w:tcPr>
            <w:tcW w:w="980" w:type="dxa"/>
            <w:vAlign w:val="bottom"/>
          </w:tcPr>
          <w:p>
            <w:pPr>
              <w:jc w:val="right"/>
              <w:spacing w:after="0"/>
              <w:rPr>
                <w:sz w:val="20"/>
                <w:szCs w:val="20"/>
                <w:color w:val="auto"/>
              </w:rPr>
            </w:pPr>
            <w:r>
              <w:rPr>
                <w:rFonts w:ascii="Arial" w:cs="Arial" w:eastAsia="Arial" w:hAnsi="Arial"/>
                <w:sz w:val="16"/>
                <w:szCs w:val="16"/>
                <w:color w:val="auto"/>
              </w:rPr>
              <w:t>8/29/2019</w:t>
            </w:r>
          </w:p>
        </w:tc>
        <w:tc>
          <w:tcPr>
            <w:tcW w:w="1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3,392</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8/23/2020</w:t>
            </w:r>
          </w:p>
        </w:tc>
        <w:tc>
          <w:tcPr>
            <w:tcW w:w="1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00" w:type="dxa"/>
            <w:vAlign w:val="bottom"/>
          </w:tcPr>
          <w:p>
            <w:pPr>
              <w:spacing w:after="0"/>
              <w:rPr>
                <w:sz w:val="18"/>
                <w:szCs w:val="18"/>
                <w:color w:val="auto"/>
              </w:rPr>
            </w:pPr>
          </w:p>
        </w:tc>
        <w:tc>
          <w:tcPr>
            <w:tcW w:w="1600" w:type="dxa"/>
            <w:vAlign w:val="bottom"/>
          </w:tcPr>
          <w:p>
            <w:pPr>
              <w:jc w:val="right"/>
              <w:ind w:right="360"/>
              <w:spacing w:after="0"/>
              <w:rPr>
                <w:sz w:val="20"/>
                <w:szCs w:val="20"/>
                <w:color w:val="auto"/>
              </w:rPr>
            </w:pPr>
            <w:r>
              <w:rPr>
                <w:rFonts w:ascii="Arial" w:cs="Arial" w:eastAsia="Arial" w:hAnsi="Arial"/>
                <w:sz w:val="16"/>
                <w:szCs w:val="16"/>
                <w:color w:val="auto"/>
              </w:rPr>
              <w:t>3,043</w:t>
            </w:r>
          </w:p>
        </w:tc>
        <w:tc>
          <w:tcPr>
            <w:tcW w:w="980" w:type="dxa"/>
            <w:vAlign w:val="bottom"/>
          </w:tcPr>
          <w:p>
            <w:pPr>
              <w:jc w:val="right"/>
              <w:spacing w:after="0"/>
              <w:rPr>
                <w:sz w:val="20"/>
                <w:szCs w:val="20"/>
                <w:color w:val="auto"/>
              </w:rPr>
            </w:pPr>
            <w:r>
              <w:rPr>
                <w:rFonts w:ascii="Arial" w:cs="Arial" w:eastAsia="Arial" w:hAnsi="Arial"/>
                <w:sz w:val="16"/>
                <w:szCs w:val="16"/>
                <w:color w:val="auto"/>
              </w:rPr>
              <w:t>8/27/2020</w:t>
            </w:r>
          </w:p>
        </w:tc>
        <w:tc>
          <w:tcPr>
            <w:tcW w:w="1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5,262</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8/29/2020</w:t>
            </w:r>
          </w:p>
        </w:tc>
        <w:tc>
          <w:tcPr>
            <w:tcW w:w="1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00" w:type="dxa"/>
            <w:vAlign w:val="bottom"/>
          </w:tcPr>
          <w:p>
            <w:pPr>
              <w:spacing w:after="0"/>
              <w:rPr>
                <w:sz w:val="18"/>
                <w:szCs w:val="18"/>
                <w:color w:val="auto"/>
              </w:rPr>
            </w:pPr>
          </w:p>
        </w:tc>
        <w:tc>
          <w:tcPr>
            <w:tcW w:w="1600" w:type="dxa"/>
            <w:vAlign w:val="bottom"/>
          </w:tcPr>
          <w:p>
            <w:pPr>
              <w:jc w:val="right"/>
              <w:ind w:right="360"/>
              <w:spacing w:after="0"/>
              <w:rPr>
                <w:sz w:val="20"/>
                <w:szCs w:val="20"/>
                <w:color w:val="auto"/>
              </w:rPr>
            </w:pPr>
            <w:r>
              <w:rPr>
                <w:rFonts w:ascii="Arial" w:cs="Arial" w:eastAsia="Arial" w:hAnsi="Arial"/>
                <w:sz w:val="16"/>
                <w:szCs w:val="16"/>
                <w:color w:val="auto"/>
              </w:rPr>
              <w:t>3,043</w:t>
            </w:r>
          </w:p>
        </w:tc>
        <w:tc>
          <w:tcPr>
            <w:tcW w:w="980" w:type="dxa"/>
            <w:vAlign w:val="bottom"/>
          </w:tcPr>
          <w:p>
            <w:pPr>
              <w:jc w:val="right"/>
              <w:spacing w:after="0"/>
              <w:rPr>
                <w:sz w:val="20"/>
                <w:szCs w:val="20"/>
                <w:color w:val="auto"/>
              </w:rPr>
            </w:pPr>
            <w:r>
              <w:rPr>
                <w:rFonts w:ascii="Arial" w:cs="Arial" w:eastAsia="Arial" w:hAnsi="Arial"/>
                <w:sz w:val="16"/>
                <w:szCs w:val="16"/>
                <w:color w:val="auto"/>
              </w:rPr>
              <w:t>8/27/2021</w:t>
            </w:r>
          </w:p>
        </w:tc>
        <w:tc>
          <w:tcPr>
            <w:tcW w:w="1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5,262</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8/29/2021</w:t>
            </w:r>
          </w:p>
        </w:tc>
        <w:tc>
          <w:tcPr>
            <w:tcW w:w="1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00" w:type="dxa"/>
            <w:vAlign w:val="bottom"/>
          </w:tcPr>
          <w:p>
            <w:pPr>
              <w:spacing w:after="0"/>
              <w:rPr>
                <w:sz w:val="18"/>
                <w:szCs w:val="18"/>
                <w:color w:val="auto"/>
              </w:rPr>
            </w:pPr>
          </w:p>
        </w:tc>
        <w:tc>
          <w:tcPr>
            <w:tcW w:w="1600" w:type="dxa"/>
            <w:vAlign w:val="bottom"/>
          </w:tcPr>
          <w:p>
            <w:pPr>
              <w:jc w:val="right"/>
              <w:ind w:right="360"/>
              <w:spacing w:after="0"/>
              <w:rPr>
                <w:sz w:val="20"/>
                <w:szCs w:val="20"/>
                <w:color w:val="auto"/>
              </w:rPr>
            </w:pPr>
            <w:r>
              <w:rPr>
                <w:rFonts w:ascii="Arial" w:cs="Arial" w:eastAsia="Arial" w:hAnsi="Arial"/>
                <w:sz w:val="16"/>
                <w:szCs w:val="16"/>
                <w:color w:val="auto"/>
              </w:rPr>
              <w:t>3,043</w:t>
            </w:r>
          </w:p>
        </w:tc>
        <w:tc>
          <w:tcPr>
            <w:tcW w:w="980" w:type="dxa"/>
            <w:vAlign w:val="bottom"/>
          </w:tcPr>
          <w:p>
            <w:pPr>
              <w:jc w:val="right"/>
              <w:spacing w:after="0"/>
              <w:rPr>
                <w:sz w:val="20"/>
                <w:szCs w:val="20"/>
                <w:color w:val="auto"/>
              </w:rPr>
            </w:pPr>
            <w:r>
              <w:rPr>
                <w:rFonts w:ascii="Arial" w:cs="Arial" w:eastAsia="Arial" w:hAnsi="Arial"/>
                <w:sz w:val="16"/>
                <w:szCs w:val="16"/>
                <w:color w:val="auto"/>
              </w:rPr>
              <w:t>8/27/2022</w:t>
            </w:r>
          </w:p>
        </w:tc>
        <w:tc>
          <w:tcPr>
            <w:tcW w:w="1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400" w:type="dxa"/>
            <w:vAlign w:val="bottom"/>
            <w:shd w:val="clear" w:color="auto" w:fill="D7F5C4"/>
          </w:tcPr>
          <w:p>
            <w:pPr>
              <w:spacing w:after="0"/>
              <w:rPr>
                <w:sz w:val="20"/>
                <w:szCs w:val="20"/>
                <w:color w:val="auto"/>
              </w:rPr>
            </w:pPr>
            <w:r>
              <w:rPr>
                <w:rFonts w:ascii="Arial" w:cs="Arial" w:eastAsia="Arial" w:hAnsi="Arial"/>
                <w:sz w:val="16"/>
                <w:szCs w:val="16"/>
                <w:color w:val="auto"/>
              </w:rPr>
              <w:t>Kevin S. Cavanah</w:t>
            </w:r>
          </w:p>
        </w:tc>
        <w:tc>
          <w:tcPr>
            <w:tcW w:w="1600" w:type="dxa"/>
            <w:vAlign w:val="bottom"/>
            <w:shd w:val="clear" w:color="auto" w:fill="D7F5C4"/>
          </w:tcPr>
          <w:p>
            <w:pPr>
              <w:jc w:val="right"/>
              <w:ind w:right="360"/>
              <w:spacing w:after="0"/>
              <w:rPr>
                <w:sz w:val="20"/>
                <w:szCs w:val="20"/>
                <w:color w:val="auto"/>
              </w:rPr>
            </w:pPr>
            <w:r>
              <w:rPr>
                <w:rFonts w:ascii="Arial" w:cs="Arial" w:eastAsia="Arial" w:hAnsi="Arial"/>
                <w:sz w:val="16"/>
                <w:szCs w:val="16"/>
                <w:color w:val="auto"/>
              </w:rPr>
              <w:t>2,969</w:t>
            </w:r>
          </w:p>
        </w:tc>
        <w:tc>
          <w:tcPr>
            <w:tcW w:w="980" w:type="dxa"/>
            <w:vAlign w:val="bottom"/>
            <w:shd w:val="clear" w:color="auto" w:fill="D7F5C4"/>
          </w:tcPr>
          <w:p>
            <w:pPr>
              <w:jc w:val="right"/>
              <w:spacing w:after="0"/>
              <w:rPr>
                <w:sz w:val="20"/>
                <w:szCs w:val="20"/>
                <w:color w:val="auto"/>
              </w:rPr>
            </w:pPr>
            <w:r>
              <w:rPr>
                <w:rFonts w:ascii="Arial" w:cs="Arial" w:eastAsia="Arial" w:hAnsi="Arial"/>
                <w:sz w:val="16"/>
                <w:szCs w:val="16"/>
                <w:color w:val="auto"/>
              </w:rPr>
              <w:t>8/23/2019</w:t>
            </w:r>
          </w:p>
        </w:tc>
        <w:tc>
          <w:tcPr>
            <w:tcW w:w="1260" w:type="dxa"/>
            <w:vAlign w:val="bottom"/>
            <w:shd w:val="clear" w:color="auto" w:fill="D7F5C4"/>
          </w:tcPr>
          <w:p>
            <w:pPr>
              <w:jc w:val="right"/>
              <w:spacing w:after="0" w:line="218" w:lineRule="exact"/>
              <w:rPr>
                <w:sz w:val="20"/>
                <w:szCs w:val="20"/>
                <w:color w:val="auto"/>
              </w:rPr>
            </w:pPr>
            <w:r>
              <w:rPr>
                <w:rFonts w:ascii="Arial" w:cs="Arial" w:eastAsia="Arial" w:hAnsi="Arial"/>
                <w:sz w:val="15"/>
                <w:szCs w:val="15"/>
                <w:color w:val="auto"/>
              </w:rPr>
              <w:t>10,570</w:t>
            </w:r>
            <w:r>
              <w:rPr>
                <w:rFonts w:ascii="Arial" w:cs="Arial" w:eastAsia="Arial" w:hAnsi="Arial"/>
                <w:sz w:val="25"/>
                <w:szCs w:val="25"/>
                <w:color w:val="auto"/>
                <w:vertAlign w:val="superscript"/>
              </w:rPr>
              <w:t>(1)</w:t>
            </w:r>
          </w:p>
        </w:tc>
        <w:tc>
          <w:tcPr>
            <w:tcW w:w="1320" w:type="dxa"/>
            <w:vAlign w:val="bottom"/>
            <w:shd w:val="clear" w:color="auto" w:fill="D7F5C4"/>
          </w:tcPr>
          <w:p>
            <w:pPr>
              <w:jc w:val="right"/>
              <w:ind w:right="20"/>
              <w:spacing w:after="0"/>
              <w:rPr>
                <w:sz w:val="20"/>
                <w:szCs w:val="20"/>
                <w:color w:val="auto"/>
              </w:rPr>
            </w:pPr>
            <w:r>
              <w:rPr>
                <w:rFonts w:ascii="Arial" w:cs="Arial" w:eastAsia="Arial" w:hAnsi="Arial"/>
                <w:sz w:val="16"/>
                <w:szCs w:val="16"/>
                <w:color w:val="auto"/>
              </w:rPr>
              <w:t>8/23/2019</w:t>
            </w:r>
          </w:p>
        </w:tc>
        <w:tc>
          <w:tcPr>
            <w:tcW w:w="0" w:type="dxa"/>
            <w:vAlign w:val="bottom"/>
          </w:tcPr>
          <w:p>
            <w:pPr>
              <w:spacing w:after="0"/>
              <w:rPr>
                <w:sz w:val="1"/>
                <w:szCs w:val="1"/>
                <w:color w:val="auto"/>
              </w:rPr>
            </w:pPr>
          </w:p>
        </w:tc>
      </w:tr>
      <w:tr>
        <w:trPr>
          <w:trHeight w:val="216"/>
        </w:trPr>
        <w:tc>
          <w:tcPr>
            <w:tcW w:w="4400" w:type="dxa"/>
            <w:vAlign w:val="bottom"/>
            <w:shd w:val="clear" w:color="auto" w:fill="D7F5C4"/>
          </w:tcPr>
          <w:p>
            <w:pPr>
              <w:spacing w:after="0"/>
              <w:rPr>
                <w:sz w:val="18"/>
                <w:szCs w:val="18"/>
                <w:color w:val="auto"/>
              </w:rPr>
            </w:pPr>
          </w:p>
        </w:tc>
        <w:tc>
          <w:tcPr>
            <w:tcW w:w="1600" w:type="dxa"/>
            <w:vAlign w:val="bottom"/>
            <w:shd w:val="clear" w:color="auto" w:fill="D7F5C4"/>
          </w:tcPr>
          <w:p>
            <w:pPr>
              <w:jc w:val="right"/>
              <w:ind w:right="360"/>
              <w:spacing w:after="0"/>
              <w:rPr>
                <w:sz w:val="20"/>
                <w:szCs w:val="20"/>
                <w:color w:val="auto"/>
              </w:rPr>
            </w:pPr>
            <w:r>
              <w:rPr>
                <w:rFonts w:ascii="Arial" w:cs="Arial" w:eastAsia="Arial" w:hAnsi="Arial"/>
                <w:sz w:val="16"/>
                <w:szCs w:val="16"/>
                <w:color w:val="auto"/>
              </w:rPr>
              <w:t>2,219</w:t>
            </w:r>
          </w:p>
        </w:tc>
        <w:tc>
          <w:tcPr>
            <w:tcW w:w="980" w:type="dxa"/>
            <w:vAlign w:val="bottom"/>
            <w:shd w:val="clear" w:color="auto" w:fill="D7F5C4"/>
          </w:tcPr>
          <w:p>
            <w:pPr>
              <w:jc w:val="right"/>
              <w:spacing w:after="0"/>
              <w:rPr>
                <w:sz w:val="20"/>
                <w:szCs w:val="20"/>
                <w:color w:val="auto"/>
              </w:rPr>
            </w:pPr>
            <w:r>
              <w:rPr>
                <w:rFonts w:ascii="Arial" w:cs="Arial" w:eastAsia="Arial" w:hAnsi="Arial"/>
                <w:sz w:val="16"/>
                <w:szCs w:val="16"/>
                <w:color w:val="auto"/>
              </w:rPr>
              <w:t>8/25/2019</w:t>
            </w:r>
          </w:p>
        </w:tc>
        <w:tc>
          <w:tcPr>
            <w:tcW w:w="1260" w:type="dxa"/>
            <w:vAlign w:val="bottom"/>
            <w:shd w:val="clear" w:color="auto" w:fill="D7F5C4"/>
          </w:tcPr>
          <w:p>
            <w:pPr>
              <w:jc w:val="right"/>
              <w:spacing w:after="0" w:line="216" w:lineRule="exact"/>
              <w:rPr>
                <w:sz w:val="20"/>
                <w:szCs w:val="20"/>
                <w:color w:val="auto"/>
              </w:rPr>
            </w:pPr>
            <w:r>
              <w:rPr>
                <w:rFonts w:ascii="Arial" w:cs="Arial" w:eastAsia="Arial" w:hAnsi="Arial"/>
                <w:sz w:val="15"/>
                <w:szCs w:val="15"/>
                <w:color w:val="auto"/>
              </w:rPr>
              <w:t>36,836</w:t>
            </w:r>
            <w:r>
              <w:rPr>
                <w:rFonts w:ascii="Arial" w:cs="Arial" w:eastAsia="Arial" w:hAnsi="Arial"/>
                <w:sz w:val="25"/>
                <w:szCs w:val="25"/>
                <w:color w:val="auto"/>
                <w:vertAlign w:val="superscript"/>
              </w:rPr>
              <w:t>(1)</w:t>
            </w:r>
          </w:p>
        </w:tc>
        <w:tc>
          <w:tcPr>
            <w:tcW w:w="1320" w:type="dxa"/>
            <w:vAlign w:val="bottom"/>
            <w:shd w:val="clear" w:color="auto" w:fill="D7F5C4"/>
          </w:tcPr>
          <w:p>
            <w:pPr>
              <w:jc w:val="right"/>
              <w:ind w:right="20"/>
              <w:spacing w:after="0"/>
              <w:rPr>
                <w:sz w:val="20"/>
                <w:szCs w:val="20"/>
                <w:color w:val="auto"/>
              </w:rPr>
            </w:pPr>
            <w:r>
              <w:rPr>
                <w:rFonts w:ascii="Arial" w:cs="Arial" w:eastAsia="Arial" w:hAnsi="Arial"/>
                <w:sz w:val="16"/>
                <w:szCs w:val="16"/>
                <w:color w:val="auto"/>
              </w:rPr>
              <w:t>8/29/2020</w:t>
            </w:r>
          </w:p>
        </w:tc>
        <w:tc>
          <w:tcPr>
            <w:tcW w:w="0" w:type="dxa"/>
            <w:vAlign w:val="bottom"/>
          </w:tcPr>
          <w:p>
            <w:pPr>
              <w:spacing w:after="0"/>
              <w:rPr>
                <w:sz w:val="1"/>
                <w:szCs w:val="1"/>
                <w:color w:val="auto"/>
              </w:rPr>
            </w:pPr>
          </w:p>
        </w:tc>
      </w:tr>
      <w:tr>
        <w:trPr>
          <w:trHeight w:val="217"/>
        </w:trPr>
        <w:tc>
          <w:tcPr>
            <w:tcW w:w="4400" w:type="dxa"/>
            <w:vAlign w:val="bottom"/>
            <w:shd w:val="clear" w:color="auto" w:fill="D7F5C4"/>
          </w:tcPr>
          <w:p>
            <w:pPr>
              <w:spacing w:after="0"/>
              <w:rPr>
                <w:sz w:val="18"/>
                <w:szCs w:val="18"/>
                <w:color w:val="auto"/>
              </w:rPr>
            </w:pPr>
          </w:p>
        </w:tc>
        <w:tc>
          <w:tcPr>
            <w:tcW w:w="1600" w:type="dxa"/>
            <w:vAlign w:val="bottom"/>
            <w:shd w:val="clear" w:color="auto" w:fill="D7F5C4"/>
          </w:tcPr>
          <w:p>
            <w:pPr>
              <w:jc w:val="right"/>
              <w:ind w:right="360"/>
              <w:spacing w:after="0"/>
              <w:rPr>
                <w:sz w:val="20"/>
                <w:szCs w:val="20"/>
                <w:color w:val="auto"/>
              </w:rPr>
            </w:pPr>
            <w:r>
              <w:rPr>
                <w:rFonts w:ascii="Arial" w:cs="Arial" w:eastAsia="Arial" w:hAnsi="Arial"/>
                <w:sz w:val="16"/>
                <w:szCs w:val="16"/>
                <w:color w:val="auto"/>
              </w:rPr>
              <w:t>2,775</w:t>
            </w:r>
          </w:p>
        </w:tc>
        <w:tc>
          <w:tcPr>
            <w:tcW w:w="980" w:type="dxa"/>
            <w:vAlign w:val="bottom"/>
            <w:shd w:val="clear" w:color="auto" w:fill="D7F5C4"/>
          </w:tcPr>
          <w:p>
            <w:pPr>
              <w:jc w:val="right"/>
              <w:spacing w:after="0"/>
              <w:rPr>
                <w:sz w:val="20"/>
                <w:szCs w:val="20"/>
                <w:color w:val="auto"/>
              </w:rPr>
            </w:pPr>
            <w:r>
              <w:rPr>
                <w:rFonts w:ascii="Arial" w:cs="Arial" w:eastAsia="Arial" w:hAnsi="Arial"/>
                <w:sz w:val="16"/>
                <w:szCs w:val="16"/>
                <w:color w:val="auto"/>
              </w:rPr>
              <w:t>8/27/2019</w:t>
            </w:r>
          </w:p>
        </w:tc>
        <w:tc>
          <w:tcPr>
            <w:tcW w:w="1260" w:type="dxa"/>
            <w:vAlign w:val="bottom"/>
            <w:shd w:val="clear" w:color="auto" w:fill="D7F5C4"/>
          </w:tcPr>
          <w:p>
            <w:pPr>
              <w:jc w:val="right"/>
              <w:spacing w:after="0" w:line="216" w:lineRule="exact"/>
              <w:rPr>
                <w:sz w:val="20"/>
                <w:szCs w:val="20"/>
                <w:color w:val="auto"/>
              </w:rPr>
            </w:pPr>
            <w:r>
              <w:rPr>
                <w:rFonts w:ascii="Arial" w:cs="Arial" w:eastAsia="Arial" w:hAnsi="Arial"/>
                <w:sz w:val="15"/>
                <w:szCs w:val="15"/>
                <w:color w:val="auto"/>
              </w:rPr>
              <w:t>22,200</w:t>
            </w:r>
            <w:r>
              <w:rPr>
                <w:rFonts w:ascii="Arial" w:cs="Arial" w:eastAsia="Arial" w:hAnsi="Arial"/>
                <w:sz w:val="25"/>
                <w:szCs w:val="25"/>
                <w:color w:val="auto"/>
                <w:vertAlign w:val="superscript"/>
              </w:rPr>
              <w:t>(1)</w:t>
            </w:r>
          </w:p>
        </w:tc>
        <w:tc>
          <w:tcPr>
            <w:tcW w:w="1320" w:type="dxa"/>
            <w:vAlign w:val="bottom"/>
            <w:shd w:val="clear" w:color="auto" w:fill="D7F5C4"/>
          </w:tcPr>
          <w:p>
            <w:pPr>
              <w:jc w:val="right"/>
              <w:ind w:right="20"/>
              <w:spacing w:after="0"/>
              <w:rPr>
                <w:sz w:val="20"/>
                <w:szCs w:val="20"/>
                <w:color w:val="auto"/>
              </w:rPr>
            </w:pPr>
            <w:r>
              <w:rPr>
                <w:rFonts w:ascii="Arial" w:cs="Arial" w:eastAsia="Arial" w:hAnsi="Arial"/>
                <w:sz w:val="16"/>
                <w:szCs w:val="16"/>
                <w:color w:val="auto"/>
              </w:rPr>
              <w:t>8/27/2021</w:t>
            </w:r>
          </w:p>
        </w:tc>
        <w:tc>
          <w:tcPr>
            <w:tcW w:w="0" w:type="dxa"/>
            <w:vAlign w:val="bottom"/>
          </w:tcPr>
          <w:p>
            <w:pPr>
              <w:spacing w:after="0"/>
              <w:rPr>
                <w:sz w:val="1"/>
                <w:szCs w:val="1"/>
                <w:color w:val="auto"/>
              </w:rPr>
            </w:pPr>
          </w:p>
        </w:tc>
      </w:tr>
      <w:tr>
        <w:trPr>
          <w:trHeight w:val="210"/>
        </w:trPr>
        <w:tc>
          <w:tcPr>
            <w:tcW w:w="4400" w:type="dxa"/>
            <w:vAlign w:val="bottom"/>
            <w:shd w:val="clear" w:color="auto" w:fill="D7F5C4"/>
          </w:tcPr>
          <w:p>
            <w:pPr>
              <w:spacing w:after="0"/>
              <w:rPr>
                <w:sz w:val="18"/>
                <w:szCs w:val="18"/>
                <w:color w:val="auto"/>
              </w:rPr>
            </w:pPr>
          </w:p>
        </w:tc>
        <w:tc>
          <w:tcPr>
            <w:tcW w:w="1600" w:type="dxa"/>
            <w:vAlign w:val="bottom"/>
            <w:shd w:val="clear" w:color="auto" w:fill="D7F5C4"/>
          </w:tcPr>
          <w:p>
            <w:pPr>
              <w:jc w:val="right"/>
              <w:ind w:right="360"/>
              <w:spacing w:after="0"/>
              <w:rPr>
                <w:sz w:val="20"/>
                <w:szCs w:val="20"/>
                <w:color w:val="auto"/>
              </w:rPr>
            </w:pPr>
            <w:r>
              <w:rPr>
                <w:rFonts w:ascii="Arial" w:cs="Arial" w:eastAsia="Arial" w:hAnsi="Arial"/>
                <w:sz w:val="16"/>
                <w:szCs w:val="16"/>
                <w:color w:val="auto"/>
              </w:rPr>
              <w:t>2,640</w:t>
            </w:r>
          </w:p>
        </w:tc>
        <w:tc>
          <w:tcPr>
            <w:tcW w:w="980" w:type="dxa"/>
            <w:vAlign w:val="bottom"/>
            <w:shd w:val="clear" w:color="auto" w:fill="D7F5C4"/>
          </w:tcPr>
          <w:p>
            <w:pPr>
              <w:jc w:val="right"/>
              <w:spacing w:after="0"/>
              <w:rPr>
                <w:sz w:val="20"/>
                <w:szCs w:val="20"/>
                <w:color w:val="auto"/>
              </w:rPr>
            </w:pPr>
            <w:r>
              <w:rPr>
                <w:rFonts w:ascii="Arial" w:cs="Arial" w:eastAsia="Arial" w:hAnsi="Arial"/>
                <w:sz w:val="16"/>
                <w:szCs w:val="16"/>
                <w:color w:val="auto"/>
              </w:rPr>
              <w:t>8/27/2019</w:t>
            </w:r>
          </w:p>
        </w:tc>
        <w:tc>
          <w:tcPr>
            <w:tcW w:w="1260" w:type="dxa"/>
            <w:vAlign w:val="bottom"/>
            <w:shd w:val="clear" w:color="auto" w:fill="D7F5C4"/>
          </w:tcPr>
          <w:p>
            <w:pPr>
              <w:spacing w:after="0"/>
              <w:rPr>
                <w:sz w:val="18"/>
                <w:szCs w:val="18"/>
                <w:color w:val="auto"/>
              </w:rPr>
            </w:pPr>
          </w:p>
        </w:tc>
        <w:tc>
          <w:tcPr>
            <w:tcW w:w="1320" w:type="dxa"/>
            <w:vAlign w:val="bottom"/>
            <w:shd w:val="clear" w:color="auto" w:fill="D7F5C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D7F5C4"/>
          </w:tcPr>
          <w:p>
            <w:pPr>
              <w:spacing w:after="0"/>
              <w:rPr>
                <w:sz w:val="18"/>
                <w:szCs w:val="18"/>
                <w:color w:val="auto"/>
              </w:rPr>
            </w:pPr>
          </w:p>
        </w:tc>
        <w:tc>
          <w:tcPr>
            <w:tcW w:w="1600" w:type="dxa"/>
            <w:vAlign w:val="bottom"/>
            <w:shd w:val="clear" w:color="auto" w:fill="D7F5C4"/>
          </w:tcPr>
          <w:p>
            <w:pPr>
              <w:jc w:val="right"/>
              <w:ind w:right="360"/>
              <w:spacing w:after="0"/>
              <w:rPr>
                <w:sz w:val="20"/>
                <w:szCs w:val="20"/>
                <w:color w:val="auto"/>
              </w:rPr>
            </w:pPr>
            <w:r>
              <w:rPr>
                <w:rFonts w:ascii="Arial" w:cs="Arial" w:eastAsia="Arial" w:hAnsi="Arial"/>
                <w:sz w:val="16"/>
                <w:szCs w:val="16"/>
                <w:color w:val="auto"/>
              </w:rPr>
              <w:t>4,605</w:t>
            </w:r>
          </w:p>
        </w:tc>
        <w:tc>
          <w:tcPr>
            <w:tcW w:w="980" w:type="dxa"/>
            <w:vAlign w:val="bottom"/>
            <w:shd w:val="clear" w:color="auto" w:fill="D7F5C4"/>
          </w:tcPr>
          <w:p>
            <w:pPr>
              <w:jc w:val="right"/>
              <w:spacing w:after="0"/>
              <w:rPr>
                <w:sz w:val="20"/>
                <w:szCs w:val="20"/>
                <w:color w:val="auto"/>
              </w:rPr>
            </w:pPr>
            <w:r>
              <w:rPr>
                <w:rFonts w:ascii="Arial" w:cs="Arial" w:eastAsia="Arial" w:hAnsi="Arial"/>
                <w:sz w:val="16"/>
                <w:szCs w:val="16"/>
                <w:color w:val="auto"/>
              </w:rPr>
              <w:t>8/29/2019</w:t>
            </w:r>
          </w:p>
        </w:tc>
        <w:tc>
          <w:tcPr>
            <w:tcW w:w="1260" w:type="dxa"/>
            <w:vAlign w:val="bottom"/>
            <w:shd w:val="clear" w:color="auto" w:fill="D7F5C4"/>
          </w:tcPr>
          <w:p>
            <w:pPr>
              <w:spacing w:after="0"/>
              <w:rPr>
                <w:sz w:val="18"/>
                <w:szCs w:val="18"/>
                <w:color w:val="auto"/>
              </w:rPr>
            </w:pPr>
          </w:p>
        </w:tc>
        <w:tc>
          <w:tcPr>
            <w:tcW w:w="1320" w:type="dxa"/>
            <w:vAlign w:val="bottom"/>
            <w:shd w:val="clear" w:color="auto" w:fill="D7F5C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D7F5C4"/>
          </w:tcPr>
          <w:p>
            <w:pPr>
              <w:spacing w:after="0"/>
              <w:rPr>
                <w:sz w:val="18"/>
                <w:szCs w:val="18"/>
                <w:color w:val="auto"/>
              </w:rPr>
            </w:pPr>
          </w:p>
        </w:tc>
        <w:tc>
          <w:tcPr>
            <w:tcW w:w="1600" w:type="dxa"/>
            <w:vAlign w:val="bottom"/>
            <w:shd w:val="clear" w:color="auto" w:fill="D7F5C4"/>
          </w:tcPr>
          <w:p>
            <w:pPr>
              <w:jc w:val="right"/>
              <w:ind w:right="360"/>
              <w:spacing w:after="0"/>
              <w:rPr>
                <w:sz w:val="20"/>
                <w:szCs w:val="20"/>
                <w:color w:val="auto"/>
              </w:rPr>
            </w:pPr>
            <w:r>
              <w:rPr>
                <w:rFonts w:ascii="Arial" w:cs="Arial" w:eastAsia="Arial" w:hAnsi="Arial"/>
                <w:sz w:val="16"/>
                <w:szCs w:val="16"/>
                <w:color w:val="auto"/>
              </w:rPr>
              <w:t>2,969</w:t>
            </w:r>
          </w:p>
        </w:tc>
        <w:tc>
          <w:tcPr>
            <w:tcW w:w="980" w:type="dxa"/>
            <w:vAlign w:val="bottom"/>
            <w:shd w:val="clear" w:color="auto" w:fill="D7F5C4"/>
          </w:tcPr>
          <w:p>
            <w:pPr>
              <w:jc w:val="right"/>
              <w:spacing w:after="0"/>
              <w:rPr>
                <w:sz w:val="20"/>
                <w:szCs w:val="20"/>
                <w:color w:val="auto"/>
              </w:rPr>
            </w:pPr>
            <w:r>
              <w:rPr>
                <w:rFonts w:ascii="Arial" w:cs="Arial" w:eastAsia="Arial" w:hAnsi="Arial"/>
                <w:sz w:val="16"/>
                <w:szCs w:val="16"/>
                <w:color w:val="auto"/>
              </w:rPr>
              <w:t>8/23/2020</w:t>
            </w:r>
          </w:p>
        </w:tc>
        <w:tc>
          <w:tcPr>
            <w:tcW w:w="1260" w:type="dxa"/>
            <w:vAlign w:val="bottom"/>
            <w:shd w:val="clear" w:color="auto" w:fill="D7F5C4"/>
          </w:tcPr>
          <w:p>
            <w:pPr>
              <w:spacing w:after="0"/>
              <w:rPr>
                <w:sz w:val="18"/>
                <w:szCs w:val="18"/>
                <w:color w:val="auto"/>
              </w:rPr>
            </w:pPr>
          </w:p>
        </w:tc>
        <w:tc>
          <w:tcPr>
            <w:tcW w:w="1320" w:type="dxa"/>
            <w:vAlign w:val="bottom"/>
            <w:shd w:val="clear" w:color="auto" w:fill="D7F5C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D7F5C4"/>
          </w:tcPr>
          <w:p>
            <w:pPr>
              <w:spacing w:after="0"/>
              <w:rPr>
                <w:sz w:val="18"/>
                <w:szCs w:val="18"/>
                <w:color w:val="auto"/>
              </w:rPr>
            </w:pPr>
          </w:p>
        </w:tc>
        <w:tc>
          <w:tcPr>
            <w:tcW w:w="1600" w:type="dxa"/>
            <w:vAlign w:val="bottom"/>
            <w:shd w:val="clear" w:color="auto" w:fill="D7F5C4"/>
          </w:tcPr>
          <w:p>
            <w:pPr>
              <w:jc w:val="right"/>
              <w:ind w:right="360"/>
              <w:spacing w:after="0"/>
              <w:rPr>
                <w:sz w:val="20"/>
                <w:szCs w:val="20"/>
                <w:color w:val="auto"/>
              </w:rPr>
            </w:pPr>
            <w:r>
              <w:rPr>
                <w:rFonts w:ascii="Arial" w:cs="Arial" w:eastAsia="Arial" w:hAnsi="Arial"/>
                <w:sz w:val="16"/>
                <w:szCs w:val="16"/>
                <w:color w:val="auto"/>
              </w:rPr>
              <w:t>2,775</w:t>
            </w:r>
          </w:p>
        </w:tc>
        <w:tc>
          <w:tcPr>
            <w:tcW w:w="980" w:type="dxa"/>
            <w:vAlign w:val="bottom"/>
            <w:shd w:val="clear" w:color="auto" w:fill="D7F5C4"/>
          </w:tcPr>
          <w:p>
            <w:pPr>
              <w:jc w:val="right"/>
              <w:spacing w:after="0"/>
              <w:rPr>
                <w:sz w:val="20"/>
                <w:szCs w:val="20"/>
                <w:color w:val="auto"/>
              </w:rPr>
            </w:pPr>
            <w:r>
              <w:rPr>
                <w:rFonts w:ascii="Arial" w:cs="Arial" w:eastAsia="Arial" w:hAnsi="Arial"/>
                <w:sz w:val="16"/>
                <w:szCs w:val="16"/>
                <w:color w:val="auto"/>
              </w:rPr>
              <w:t>8/27/2020</w:t>
            </w:r>
          </w:p>
        </w:tc>
        <w:tc>
          <w:tcPr>
            <w:tcW w:w="1260" w:type="dxa"/>
            <w:vAlign w:val="bottom"/>
            <w:shd w:val="clear" w:color="auto" w:fill="D7F5C4"/>
          </w:tcPr>
          <w:p>
            <w:pPr>
              <w:spacing w:after="0"/>
              <w:rPr>
                <w:sz w:val="18"/>
                <w:szCs w:val="18"/>
                <w:color w:val="auto"/>
              </w:rPr>
            </w:pPr>
          </w:p>
        </w:tc>
        <w:tc>
          <w:tcPr>
            <w:tcW w:w="1320" w:type="dxa"/>
            <w:vAlign w:val="bottom"/>
            <w:shd w:val="clear" w:color="auto" w:fill="D7F5C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D7F5C4"/>
          </w:tcPr>
          <w:p>
            <w:pPr>
              <w:spacing w:after="0"/>
              <w:rPr>
                <w:sz w:val="18"/>
                <w:szCs w:val="18"/>
                <w:color w:val="auto"/>
              </w:rPr>
            </w:pPr>
          </w:p>
        </w:tc>
        <w:tc>
          <w:tcPr>
            <w:tcW w:w="1600" w:type="dxa"/>
            <w:vAlign w:val="bottom"/>
            <w:shd w:val="clear" w:color="auto" w:fill="D7F5C4"/>
          </w:tcPr>
          <w:p>
            <w:pPr>
              <w:jc w:val="right"/>
              <w:ind w:right="360"/>
              <w:spacing w:after="0"/>
              <w:rPr>
                <w:sz w:val="20"/>
                <w:szCs w:val="20"/>
                <w:color w:val="auto"/>
              </w:rPr>
            </w:pPr>
            <w:r>
              <w:rPr>
                <w:rFonts w:ascii="Arial" w:cs="Arial" w:eastAsia="Arial" w:hAnsi="Arial"/>
                <w:sz w:val="16"/>
                <w:szCs w:val="16"/>
                <w:color w:val="auto"/>
              </w:rPr>
              <w:t>4,604</w:t>
            </w:r>
          </w:p>
        </w:tc>
        <w:tc>
          <w:tcPr>
            <w:tcW w:w="980" w:type="dxa"/>
            <w:vAlign w:val="bottom"/>
            <w:shd w:val="clear" w:color="auto" w:fill="D7F5C4"/>
          </w:tcPr>
          <w:p>
            <w:pPr>
              <w:jc w:val="right"/>
              <w:spacing w:after="0"/>
              <w:rPr>
                <w:sz w:val="20"/>
                <w:szCs w:val="20"/>
                <w:color w:val="auto"/>
              </w:rPr>
            </w:pPr>
            <w:r>
              <w:rPr>
                <w:rFonts w:ascii="Arial" w:cs="Arial" w:eastAsia="Arial" w:hAnsi="Arial"/>
                <w:sz w:val="16"/>
                <w:szCs w:val="16"/>
                <w:color w:val="auto"/>
              </w:rPr>
              <w:t>8/29/2020</w:t>
            </w:r>
          </w:p>
        </w:tc>
        <w:tc>
          <w:tcPr>
            <w:tcW w:w="1260" w:type="dxa"/>
            <w:vAlign w:val="bottom"/>
            <w:shd w:val="clear" w:color="auto" w:fill="D7F5C4"/>
          </w:tcPr>
          <w:p>
            <w:pPr>
              <w:spacing w:after="0"/>
              <w:rPr>
                <w:sz w:val="18"/>
                <w:szCs w:val="18"/>
                <w:color w:val="auto"/>
              </w:rPr>
            </w:pPr>
          </w:p>
        </w:tc>
        <w:tc>
          <w:tcPr>
            <w:tcW w:w="1320" w:type="dxa"/>
            <w:vAlign w:val="bottom"/>
            <w:shd w:val="clear" w:color="auto" w:fill="D7F5C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D7F5C4"/>
          </w:tcPr>
          <w:p>
            <w:pPr>
              <w:spacing w:after="0"/>
              <w:rPr>
                <w:sz w:val="18"/>
                <w:szCs w:val="18"/>
                <w:color w:val="auto"/>
              </w:rPr>
            </w:pPr>
          </w:p>
        </w:tc>
        <w:tc>
          <w:tcPr>
            <w:tcW w:w="1600" w:type="dxa"/>
            <w:vAlign w:val="bottom"/>
            <w:shd w:val="clear" w:color="auto" w:fill="D7F5C4"/>
          </w:tcPr>
          <w:p>
            <w:pPr>
              <w:jc w:val="right"/>
              <w:ind w:right="360"/>
              <w:spacing w:after="0"/>
              <w:rPr>
                <w:sz w:val="20"/>
                <w:szCs w:val="20"/>
                <w:color w:val="auto"/>
              </w:rPr>
            </w:pPr>
            <w:r>
              <w:rPr>
                <w:rFonts w:ascii="Arial" w:cs="Arial" w:eastAsia="Arial" w:hAnsi="Arial"/>
                <w:sz w:val="16"/>
                <w:szCs w:val="16"/>
                <w:color w:val="auto"/>
              </w:rPr>
              <w:t>2,775</w:t>
            </w:r>
          </w:p>
        </w:tc>
        <w:tc>
          <w:tcPr>
            <w:tcW w:w="980" w:type="dxa"/>
            <w:vAlign w:val="bottom"/>
            <w:shd w:val="clear" w:color="auto" w:fill="D7F5C4"/>
          </w:tcPr>
          <w:p>
            <w:pPr>
              <w:jc w:val="right"/>
              <w:spacing w:after="0"/>
              <w:rPr>
                <w:sz w:val="20"/>
                <w:szCs w:val="20"/>
                <w:color w:val="auto"/>
              </w:rPr>
            </w:pPr>
            <w:r>
              <w:rPr>
                <w:rFonts w:ascii="Arial" w:cs="Arial" w:eastAsia="Arial" w:hAnsi="Arial"/>
                <w:sz w:val="16"/>
                <w:szCs w:val="16"/>
                <w:color w:val="auto"/>
              </w:rPr>
              <w:t>8/27/2021</w:t>
            </w:r>
          </w:p>
        </w:tc>
        <w:tc>
          <w:tcPr>
            <w:tcW w:w="1260" w:type="dxa"/>
            <w:vAlign w:val="bottom"/>
            <w:shd w:val="clear" w:color="auto" w:fill="D7F5C4"/>
          </w:tcPr>
          <w:p>
            <w:pPr>
              <w:spacing w:after="0"/>
              <w:rPr>
                <w:sz w:val="18"/>
                <w:szCs w:val="18"/>
                <w:color w:val="auto"/>
              </w:rPr>
            </w:pPr>
          </w:p>
        </w:tc>
        <w:tc>
          <w:tcPr>
            <w:tcW w:w="1320" w:type="dxa"/>
            <w:vAlign w:val="bottom"/>
            <w:shd w:val="clear" w:color="auto" w:fill="D7F5C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D7F5C4"/>
          </w:tcPr>
          <w:p>
            <w:pPr>
              <w:spacing w:after="0"/>
              <w:rPr>
                <w:sz w:val="18"/>
                <w:szCs w:val="18"/>
                <w:color w:val="auto"/>
              </w:rPr>
            </w:pPr>
          </w:p>
        </w:tc>
        <w:tc>
          <w:tcPr>
            <w:tcW w:w="1600" w:type="dxa"/>
            <w:vAlign w:val="bottom"/>
            <w:shd w:val="clear" w:color="auto" w:fill="D7F5C4"/>
          </w:tcPr>
          <w:p>
            <w:pPr>
              <w:jc w:val="right"/>
              <w:ind w:right="360"/>
              <w:spacing w:after="0"/>
              <w:rPr>
                <w:sz w:val="20"/>
                <w:szCs w:val="20"/>
                <w:color w:val="auto"/>
              </w:rPr>
            </w:pPr>
            <w:r>
              <w:rPr>
                <w:rFonts w:ascii="Arial" w:cs="Arial" w:eastAsia="Arial" w:hAnsi="Arial"/>
                <w:sz w:val="16"/>
                <w:szCs w:val="16"/>
                <w:color w:val="auto"/>
              </w:rPr>
              <w:t>4,604</w:t>
            </w:r>
          </w:p>
        </w:tc>
        <w:tc>
          <w:tcPr>
            <w:tcW w:w="980" w:type="dxa"/>
            <w:vAlign w:val="bottom"/>
            <w:shd w:val="clear" w:color="auto" w:fill="D7F5C4"/>
          </w:tcPr>
          <w:p>
            <w:pPr>
              <w:jc w:val="right"/>
              <w:spacing w:after="0"/>
              <w:rPr>
                <w:sz w:val="20"/>
                <w:szCs w:val="20"/>
                <w:color w:val="auto"/>
              </w:rPr>
            </w:pPr>
            <w:r>
              <w:rPr>
                <w:rFonts w:ascii="Arial" w:cs="Arial" w:eastAsia="Arial" w:hAnsi="Arial"/>
                <w:sz w:val="16"/>
                <w:szCs w:val="16"/>
                <w:color w:val="auto"/>
              </w:rPr>
              <w:t>8/29/2021</w:t>
            </w:r>
          </w:p>
        </w:tc>
        <w:tc>
          <w:tcPr>
            <w:tcW w:w="1260" w:type="dxa"/>
            <w:vAlign w:val="bottom"/>
            <w:shd w:val="clear" w:color="auto" w:fill="D7F5C4"/>
          </w:tcPr>
          <w:p>
            <w:pPr>
              <w:spacing w:after="0"/>
              <w:rPr>
                <w:sz w:val="18"/>
                <w:szCs w:val="18"/>
                <w:color w:val="auto"/>
              </w:rPr>
            </w:pPr>
          </w:p>
        </w:tc>
        <w:tc>
          <w:tcPr>
            <w:tcW w:w="1320" w:type="dxa"/>
            <w:vAlign w:val="bottom"/>
            <w:shd w:val="clear" w:color="auto" w:fill="D7F5C4"/>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00" w:type="dxa"/>
            <w:vAlign w:val="bottom"/>
            <w:shd w:val="clear" w:color="auto" w:fill="D7F5C4"/>
          </w:tcPr>
          <w:p>
            <w:pPr>
              <w:spacing w:after="0"/>
              <w:rPr>
                <w:sz w:val="19"/>
                <w:szCs w:val="19"/>
                <w:color w:val="auto"/>
              </w:rPr>
            </w:pPr>
          </w:p>
        </w:tc>
        <w:tc>
          <w:tcPr>
            <w:tcW w:w="1600" w:type="dxa"/>
            <w:vAlign w:val="bottom"/>
            <w:shd w:val="clear" w:color="auto" w:fill="D7F5C4"/>
          </w:tcPr>
          <w:p>
            <w:pPr>
              <w:jc w:val="right"/>
              <w:ind w:right="360"/>
              <w:spacing w:after="0"/>
              <w:rPr>
                <w:sz w:val="20"/>
                <w:szCs w:val="20"/>
                <w:color w:val="auto"/>
              </w:rPr>
            </w:pPr>
            <w:r>
              <w:rPr>
                <w:rFonts w:ascii="Arial" w:cs="Arial" w:eastAsia="Arial" w:hAnsi="Arial"/>
                <w:sz w:val="16"/>
                <w:szCs w:val="16"/>
                <w:color w:val="auto"/>
              </w:rPr>
              <w:t>2,775</w:t>
            </w:r>
          </w:p>
        </w:tc>
        <w:tc>
          <w:tcPr>
            <w:tcW w:w="980" w:type="dxa"/>
            <w:vAlign w:val="bottom"/>
            <w:shd w:val="clear" w:color="auto" w:fill="D7F5C4"/>
          </w:tcPr>
          <w:p>
            <w:pPr>
              <w:jc w:val="right"/>
              <w:spacing w:after="0"/>
              <w:rPr>
                <w:sz w:val="20"/>
                <w:szCs w:val="20"/>
                <w:color w:val="auto"/>
              </w:rPr>
            </w:pPr>
            <w:r>
              <w:rPr>
                <w:rFonts w:ascii="Arial" w:cs="Arial" w:eastAsia="Arial" w:hAnsi="Arial"/>
                <w:sz w:val="16"/>
                <w:szCs w:val="16"/>
                <w:color w:val="auto"/>
              </w:rPr>
              <w:t>8/27/2022</w:t>
            </w:r>
          </w:p>
        </w:tc>
        <w:tc>
          <w:tcPr>
            <w:tcW w:w="1260" w:type="dxa"/>
            <w:vAlign w:val="bottom"/>
            <w:shd w:val="clear" w:color="auto" w:fill="D7F5C4"/>
          </w:tcPr>
          <w:p>
            <w:pPr>
              <w:spacing w:after="0"/>
              <w:rPr>
                <w:sz w:val="19"/>
                <w:szCs w:val="19"/>
                <w:color w:val="auto"/>
              </w:rPr>
            </w:pPr>
          </w:p>
        </w:tc>
        <w:tc>
          <w:tcPr>
            <w:tcW w:w="1320" w:type="dxa"/>
            <w:vAlign w:val="bottom"/>
            <w:shd w:val="clear" w:color="auto" w:fill="D7F5C4"/>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6"/>
                <w:szCs w:val="16"/>
                <w:color w:val="auto"/>
              </w:rPr>
              <w:t>Alan R. Updyke</w:t>
            </w:r>
          </w:p>
        </w:tc>
        <w:tc>
          <w:tcPr>
            <w:tcW w:w="1600" w:type="dxa"/>
            <w:vAlign w:val="bottom"/>
          </w:tcPr>
          <w:p>
            <w:pPr>
              <w:jc w:val="right"/>
              <w:ind w:right="360"/>
              <w:spacing w:after="0"/>
              <w:rPr>
                <w:sz w:val="20"/>
                <w:szCs w:val="20"/>
                <w:color w:val="auto"/>
              </w:rPr>
            </w:pPr>
            <w:r>
              <w:rPr>
                <w:rFonts w:ascii="Arial" w:cs="Arial" w:eastAsia="Arial" w:hAnsi="Arial"/>
                <w:sz w:val="16"/>
                <w:szCs w:val="16"/>
                <w:color w:val="auto"/>
              </w:rPr>
              <w:t>1,229</w:t>
            </w:r>
          </w:p>
        </w:tc>
        <w:tc>
          <w:tcPr>
            <w:tcW w:w="980" w:type="dxa"/>
            <w:vAlign w:val="bottom"/>
          </w:tcPr>
          <w:p>
            <w:pPr>
              <w:jc w:val="right"/>
              <w:spacing w:after="0"/>
              <w:rPr>
                <w:sz w:val="20"/>
                <w:szCs w:val="20"/>
                <w:color w:val="auto"/>
              </w:rPr>
            </w:pPr>
            <w:r>
              <w:rPr>
                <w:rFonts w:ascii="Arial" w:cs="Arial" w:eastAsia="Arial" w:hAnsi="Arial"/>
                <w:sz w:val="16"/>
                <w:szCs w:val="16"/>
                <w:color w:val="auto"/>
              </w:rPr>
              <w:t>8/23/2019</w:t>
            </w:r>
          </w:p>
        </w:tc>
        <w:tc>
          <w:tcPr>
            <w:tcW w:w="1260" w:type="dxa"/>
            <w:vAlign w:val="bottom"/>
          </w:tcPr>
          <w:p>
            <w:pPr>
              <w:jc w:val="right"/>
              <w:spacing w:after="0" w:line="216" w:lineRule="exact"/>
              <w:rPr>
                <w:sz w:val="20"/>
                <w:szCs w:val="20"/>
                <w:color w:val="auto"/>
              </w:rPr>
            </w:pPr>
            <w:r>
              <w:rPr>
                <w:rFonts w:ascii="Arial" w:cs="Arial" w:eastAsia="Arial" w:hAnsi="Arial"/>
                <w:sz w:val="15"/>
                <w:szCs w:val="15"/>
                <w:color w:val="auto"/>
              </w:rPr>
              <w:t>4,376</w:t>
            </w:r>
            <w:r>
              <w:rPr>
                <w:rFonts w:ascii="Arial" w:cs="Arial" w:eastAsia="Arial" w:hAnsi="Arial"/>
                <w:sz w:val="25"/>
                <w:szCs w:val="25"/>
                <w:color w:val="auto"/>
                <w:vertAlign w:val="superscript"/>
              </w:rPr>
              <w:t>(1)</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8/23/2019</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1,039</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8/25/2019</w:t>
            </w:r>
          </w:p>
        </w:tc>
        <w:tc>
          <w:tcPr>
            <w:tcW w:w="1260" w:type="dxa"/>
            <w:vAlign w:val="bottom"/>
            <w:shd w:val="clear" w:color="auto" w:fill="CCEEFF"/>
          </w:tcPr>
          <w:p>
            <w:pPr>
              <w:jc w:val="right"/>
              <w:spacing w:after="0" w:line="216" w:lineRule="exact"/>
              <w:rPr>
                <w:sz w:val="20"/>
                <w:szCs w:val="20"/>
                <w:color w:val="auto"/>
              </w:rPr>
            </w:pPr>
            <w:r>
              <w:rPr>
                <w:rFonts w:ascii="Arial" w:cs="Arial" w:eastAsia="Arial" w:hAnsi="Arial"/>
                <w:sz w:val="15"/>
                <w:szCs w:val="15"/>
                <w:color w:val="auto"/>
              </w:rPr>
              <w:t>11,440</w:t>
            </w:r>
            <w:r>
              <w:rPr>
                <w:rFonts w:ascii="Arial" w:cs="Arial" w:eastAsia="Arial" w:hAnsi="Arial"/>
                <w:sz w:val="25"/>
                <w:szCs w:val="25"/>
                <w:color w:val="auto"/>
                <w:vertAlign w:val="superscript"/>
              </w:rPr>
              <w:t>(1)</w:t>
            </w: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8/29/2020</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1600" w:type="dxa"/>
            <w:vAlign w:val="bottom"/>
          </w:tcPr>
          <w:p>
            <w:pPr>
              <w:jc w:val="right"/>
              <w:ind w:right="360"/>
              <w:spacing w:after="0"/>
              <w:rPr>
                <w:sz w:val="20"/>
                <w:szCs w:val="20"/>
                <w:color w:val="auto"/>
              </w:rPr>
            </w:pPr>
            <w:r>
              <w:rPr>
                <w:rFonts w:ascii="Arial" w:cs="Arial" w:eastAsia="Arial" w:hAnsi="Arial"/>
                <w:sz w:val="16"/>
                <w:szCs w:val="16"/>
                <w:color w:val="auto"/>
              </w:rPr>
              <w:t>1,659</w:t>
            </w:r>
          </w:p>
        </w:tc>
        <w:tc>
          <w:tcPr>
            <w:tcW w:w="980" w:type="dxa"/>
            <w:vAlign w:val="bottom"/>
          </w:tcPr>
          <w:p>
            <w:pPr>
              <w:jc w:val="right"/>
              <w:spacing w:after="0"/>
              <w:rPr>
                <w:sz w:val="20"/>
                <w:szCs w:val="20"/>
                <w:color w:val="auto"/>
              </w:rPr>
            </w:pPr>
            <w:r>
              <w:rPr>
                <w:rFonts w:ascii="Arial" w:cs="Arial" w:eastAsia="Arial" w:hAnsi="Arial"/>
                <w:sz w:val="16"/>
                <w:szCs w:val="16"/>
                <w:color w:val="auto"/>
              </w:rPr>
              <w:t>8/27/2019</w:t>
            </w:r>
          </w:p>
        </w:tc>
        <w:tc>
          <w:tcPr>
            <w:tcW w:w="1260" w:type="dxa"/>
            <w:vAlign w:val="bottom"/>
          </w:tcPr>
          <w:p>
            <w:pPr>
              <w:jc w:val="right"/>
              <w:spacing w:after="0" w:line="216" w:lineRule="exact"/>
              <w:rPr>
                <w:sz w:val="20"/>
                <w:szCs w:val="20"/>
                <w:color w:val="auto"/>
              </w:rPr>
            </w:pPr>
            <w:r>
              <w:rPr>
                <w:rFonts w:ascii="Arial" w:cs="Arial" w:eastAsia="Arial" w:hAnsi="Arial"/>
                <w:sz w:val="15"/>
                <w:szCs w:val="15"/>
                <w:color w:val="auto"/>
              </w:rPr>
              <w:t>13,270</w:t>
            </w:r>
            <w:r>
              <w:rPr>
                <w:rFonts w:ascii="Arial" w:cs="Arial" w:eastAsia="Arial" w:hAnsi="Arial"/>
                <w:sz w:val="25"/>
                <w:szCs w:val="25"/>
                <w:color w:val="auto"/>
                <w:vertAlign w:val="superscript"/>
              </w:rPr>
              <w:t>(1)</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8/27/2021</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1,887</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8/27/2019</w:t>
            </w:r>
          </w:p>
        </w:tc>
        <w:tc>
          <w:tcPr>
            <w:tcW w:w="1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00" w:type="dxa"/>
            <w:vAlign w:val="bottom"/>
          </w:tcPr>
          <w:p>
            <w:pPr>
              <w:spacing w:after="0"/>
              <w:rPr>
                <w:sz w:val="18"/>
                <w:szCs w:val="18"/>
                <w:color w:val="auto"/>
              </w:rPr>
            </w:pPr>
          </w:p>
        </w:tc>
        <w:tc>
          <w:tcPr>
            <w:tcW w:w="1600" w:type="dxa"/>
            <w:vAlign w:val="bottom"/>
          </w:tcPr>
          <w:p>
            <w:pPr>
              <w:jc w:val="right"/>
              <w:ind w:right="360"/>
              <w:spacing w:after="0"/>
              <w:rPr>
                <w:sz w:val="20"/>
                <w:szCs w:val="20"/>
                <w:color w:val="auto"/>
              </w:rPr>
            </w:pPr>
            <w:r>
              <w:rPr>
                <w:rFonts w:ascii="Arial" w:cs="Arial" w:eastAsia="Arial" w:hAnsi="Arial"/>
                <w:sz w:val="16"/>
                <w:szCs w:val="16"/>
                <w:color w:val="auto"/>
              </w:rPr>
              <w:t>2,860</w:t>
            </w:r>
          </w:p>
        </w:tc>
        <w:tc>
          <w:tcPr>
            <w:tcW w:w="980" w:type="dxa"/>
            <w:vAlign w:val="bottom"/>
          </w:tcPr>
          <w:p>
            <w:pPr>
              <w:jc w:val="right"/>
              <w:spacing w:after="0"/>
              <w:rPr>
                <w:sz w:val="20"/>
                <w:szCs w:val="20"/>
                <w:color w:val="auto"/>
              </w:rPr>
            </w:pPr>
            <w:r>
              <w:rPr>
                <w:rFonts w:ascii="Arial" w:cs="Arial" w:eastAsia="Arial" w:hAnsi="Arial"/>
                <w:sz w:val="16"/>
                <w:szCs w:val="16"/>
                <w:color w:val="auto"/>
              </w:rPr>
              <w:t>8/29/2019</w:t>
            </w:r>
          </w:p>
        </w:tc>
        <w:tc>
          <w:tcPr>
            <w:tcW w:w="1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1,229</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8/23/2020</w:t>
            </w:r>
          </w:p>
        </w:tc>
        <w:tc>
          <w:tcPr>
            <w:tcW w:w="1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00" w:type="dxa"/>
            <w:vAlign w:val="bottom"/>
          </w:tcPr>
          <w:p>
            <w:pPr>
              <w:spacing w:after="0"/>
              <w:rPr>
                <w:sz w:val="18"/>
                <w:szCs w:val="18"/>
                <w:color w:val="auto"/>
              </w:rPr>
            </w:pPr>
          </w:p>
        </w:tc>
        <w:tc>
          <w:tcPr>
            <w:tcW w:w="1600" w:type="dxa"/>
            <w:vAlign w:val="bottom"/>
          </w:tcPr>
          <w:p>
            <w:pPr>
              <w:jc w:val="right"/>
              <w:ind w:right="360"/>
              <w:spacing w:after="0"/>
              <w:rPr>
                <w:sz w:val="20"/>
                <w:szCs w:val="20"/>
                <w:color w:val="auto"/>
              </w:rPr>
            </w:pPr>
            <w:r>
              <w:rPr>
                <w:rFonts w:ascii="Arial" w:cs="Arial" w:eastAsia="Arial" w:hAnsi="Arial"/>
                <w:sz w:val="16"/>
                <w:szCs w:val="16"/>
                <w:color w:val="auto"/>
              </w:rPr>
              <w:t>1,659</w:t>
            </w:r>
          </w:p>
        </w:tc>
        <w:tc>
          <w:tcPr>
            <w:tcW w:w="980" w:type="dxa"/>
            <w:vAlign w:val="bottom"/>
          </w:tcPr>
          <w:p>
            <w:pPr>
              <w:jc w:val="right"/>
              <w:spacing w:after="0"/>
              <w:rPr>
                <w:sz w:val="20"/>
                <w:szCs w:val="20"/>
                <w:color w:val="auto"/>
              </w:rPr>
            </w:pPr>
            <w:r>
              <w:rPr>
                <w:rFonts w:ascii="Arial" w:cs="Arial" w:eastAsia="Arial" w:hAnsi="Arial"/>
                <w:sz w:val="16"/>
                <w:szCs w:val="16"/>
                <w:color w:val="auto"/>
              </w:rPr>
              <w:t>8/27/2020</w:t>
            </w:r>
          </w:p>
        </w:tc>
        <w:tc>
          <w:tcPr>
            <w:tcW w:w="1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2,860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8/29/2020</w:t>
            </w:r>
          </w:p>
        </w:tc>
        <w:tc>
          <w:tcPr>
            <w:tcW w:w="1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00" w:type="dxa"/>
            <w:vAlign w:val="bottom"/>
          </w:tcPr>
          <w:p>
            <w:pPr>
              <w:spacing w:after="0"/>
              <w:rPr>
                <w:sz w:val="18"/>
                <w:szCs w:val="18"/>
                <w:color w:val="auto"/>
              </w:rPr>
            </w:pPr>
          </w:p>
        </w:tc>
        <w:tc>
          <w:tcPr>
            <w:tcW w:w="1600" w:type="dxa"/>
            <w:vAlign w:val="bottom"/>
          </w:tcPr>
          <w:p>
            <w:pPr>
              <w:jc w:val="right"/>
              <w:ind w:right="360"/>
              <w:spacing w:after="0"/>
              <w:rPr>
                <w:sz w:val="20"/>
                <w:szCs w:val="20"/>
                <w:color w:val="auto"/>
              </w:rPr>
            </w:pPr>
            <w:r>
              <w:rPr>
                <w:rFonts w:ascii="Arial" w:cs="Arial" w:eastAsia="Arial" w:hAnsi="Arial"/>
                <w:sz w:val="16"/>
                <w:szCs w:val="16"/>
                <w:color w:val="auto"/>
              </w:rPr>
              <w:t>1,659</w:t>
            </w:r>
          </w:p>
        </w:tc>
        <w:tc>
          <w:tcPr>
            <w:tcW w:w="980" w:type="dxa"/>
            <w:vAlign w:val="bottom"/>
          </w:tcPr>
          <w:p>
            <w:pPr>
              <w:jc w:val="right"/>
              <w:spacing w:after="0"/>
              <w:rPr>
                <w:sz w:val="20"/>
                <w:szCs w:val="20"/>
                <w:color w:val="auto"/>
              </w:rPr>
            </w:pPr>
            <w:r>
              <w:rPr>
                <w:rFonts w:ascii="Arial" w:cs="Arial" w:eastAsia="Arial" w:hAnsi="Arial"/>
                <w:sz w:val="16"/>
                <w:szCs w:val="16"/>
                <w:color w:val="auto"/>
              </w:rPr>
              <w:t>8/27/2021</w:t>
            </w:r>
          </w:p>
        </w:tc>
        <w:tc>
          <w:tcPr>
            <w:tcW w:w="1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2,860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8/29/2021</w:t>
            </w:r>
          </w:p>
        </w:tc>
        <w:tc>
          <w:tcPr>
            <w:tcW w:w="1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00" w:type="dxa"/>
            <w:vAlign w:val="bottom"/>
          </w:tcPr>
          <w:p>
            <w:pPr>
              <w:spacing w:after="0"/>
              <w:rPr>
                <w:sz w:val="18"/>
                <w:szCs w:val="18"/>
                <w:color w:val="auto"/>
              </w:rPr>
            </w:pPr>
          </w:p>
        </w:tc>
        <w:tc>
          <w:tcPr>
            <w:tcW w:w="1600" w:type="dxa"/>
            <w:vAlign w:val="bottom"/>
          </w:tcPr>
          <w:p>
            <w:pPr>
              <w:jc w:val="right"/>
              <w:ind w:right="360"/>
              <w:spacing w:after="0"/>
              <w:rPr>
                <w:sz w:val="20"/>
                <w:szCs w:val="20"/>
                <w:color w:val="auto"/>
              </w:rPr>
            </w:pPr>
            <w:r>
              <w:rPr>
                <w:rFonts w:ascii="Arial" w:cs="Arial" w:eastAsia="Arial" w:hAnsi="Arial"/>
                <w:sz w:val="16"/>
                <w:szCs w:val="16"/>
                <w:color w:val="auto"/>
              </w:rPr>
              <w:t>1,658</w:t>
            </w:r>
          </w:p>
        </w:tc>
        <w:tc>
          <w:tcPr>
            <w:tcW w:w="980" w:type="dxa"/>
            <w:vAlign w:val="bottom"/>
          </w:tcPr>
          <w:p>
            <w:pPr>
              <w:jc w:val="right"/>
              <w:spacing w:after="0"/>
              <w:rPr>
                <w:sz w:val="20"/>
                <w:szCs w:val="20"/>
                <w:color w:val="auto"/>
              </w:rPr>
            </w:pPr>
            <w:r>
              <w:rPr>
                <w:rFonts w:ascii="Arial" w:cs="Arial" w:eastAsia="Arial" w:hAnsi="Arial"/>
                <w:sz w:val="16"/>
                <w:szCs w:val="16"/>
                <w:color w:val="auto"/>
              </w:rPr>
              <w:t>8/27/2022</w:t>
            </w:r>
          </w:p>
        </w:tc>
        <w:tc>
          <w:tcPr>
            <w:tcW w:w="1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400" w:type="dxa"/>
            <w:vAlign w:val="bottom"/>
            <w:shd w:val="clear" w:color="auto" w:fill="D7F5C4"/>
          </w:tcPr>
          <w:p>
            <w:pPr>
              <w:spacing w:after="0"/>
              <w:rPr>
                <w:sz w:val="20"/>
                <w:szCs w:val="20"/>
                <w:color w:val="auto"/>
              </w:rPr>
            </w:pPr>
            <w:r>
              <w:rPr>
                <w:rFonts w:ascii="Arial" w:cs="Arial" w:eastAsia="Arial" w:hAnsi="Arial"/>
                <w:sz w:val="16"/>
                <w:szCs w:val="16"/>
                <w:color w:val="auto"/>
              </w:rPr>
              <w:t>Jason W. Turner</w:t>
            </w:r>
          </w:p>
        </w:tc>
        <w:tc>
          <w:tcPr>
            <w:tcW w:w="1600" w:type="dxa"/>
            <w:vAlign w:val="bottom"/>
            <w:shd w:val="clear" w:color="auto" w:fill="D7F5C4"/>
          </w:tcPr>
          <w:p>
            <w:pPr>
              <w:jc w:val="right"/>
              <w:ind w:right="360"/>
              <w:spacing w:after="0"/>
              <w:rPr>
                <w:sz w:val="20"/>
                <w:szCs w:val="20"/>
                <w:color w:val="auto"/>
              </w:rPr>
            </w:pPr>
            <w:r>
              <w:rPr>
                <w:rFonts w:ascii="Arial" w:cs="Arial" w:eastAsia="Arial" w:hAnsi="Arial"/>
                <w:sz w:val="16"/>
                <w:szCs w:val="16"/>
                <w:color w:val="auto"/>
              </w:rPr>
              <w:t>1,933</w:t>
            </w:r>
          </w:p>
        </w:tc>
        <w:tc>
          <w:tcPr>
            <w:tcW w:w="980" w:type="dxa"/>
            <w:vAlign w:val="bottom"/>
            <w:shd w:val="clear" w:color="auto" w:fill="D7F5C4"/>
          </w:tcPr>
          <w:p>
            <w:pPr>
              <w:jc w:val="right"/>
              <w:spacing w:after="0"/>
              <w:rPr>
                <w:sz w:val="20"/>
                <w:szCs w:val="20"/>
                <w:color w:val="auto"/>
              </w:rPr>
            </w:pPr>
            <w:r>
              <w:rPr>
                <w:rFonts w:ascii="Arial" w:cs="Arial" w:eastAsia="Arial" w:hAnsi="Arial"/>
                <w:sz w:val="16"/>
                <w:szCs w:val="16"/>
                <w:color w:val="auto"/>
              </w:rPr>
              <w:t>8/23/2019</w:t>
            </w:r>
          </w:p>
        </w:tc>
        <w:tc>
          <w:tcPr>
            <w:tcW w:w="1260" w:type="dxa"/>
            <w:vAlign w:val="bottom"/>
            <w:shd w:val="clear" w:color="auto" w:fill="D7F5C4"/>
          </w:tcPr>
          <w:p>
            <w:pPr>
              <w:jc w:val="right"/>
              <w:spacing w:after="0" w:line="218" w:lineRule="exact"/>
              <w:rPr>
                <w:sz w:val="20"/>
                <w:szCs w:val="20"/>
                <w:color w:val="auto"/>
              </w:rPr>
            </w:pPr>
            <w:r>
              <w:rPr>
                <w:rFonts w:ascii="Arial" w:cs="Arial" w:eastAsia="Arial" w:hAnsi="Arial"/>
                <w:sz w:val="15"/>
                <w:szCs w:val="15"/>
                <w:color w:val="auto"/>
              </w:rPr>
              <w:t>6,881</w:t>
            </w:r>
            <w:r>
              <w:rPr>
                <w:rFonts w:ascii="Arial" w:cs="Arial" w:eastAsia="Arial" w:hAnsi="Arial"/>
                <w:sz w:val="25"/>
                <w:szCs w:val="25"/>
                <w:color w:val="auto"/>
                <w:vertAlign w:val="superscript"/>
              </w:rPr>
              <w:t>(1)</w:t>
            </w:r>
          </w:p>
        </w:tc>
        <w:tc>
          <w:tcPr>
            <w:tcW w:w="1320" w:type="dxa"/>
            <w:vAlign w:val="bottom"/>
            <w:shd w:val="clear" w:color="auto" w:fill="D7F5C4"/>
          </w:tcPr>
          <w:p>
            <w:pPr>
              <w:jc w:val="right"/>
              <w:ind w:right="20"/>
              <w:spacing w:after="0"/>
              <w:rPr>
                <w:sz w:val="20"/>
                <w:szCs w:val="20"/>
                <w:color w:val="auto"/>
              </w:rPr>
            </w:pPr>
            <w:r>
              <w:rPr>
                <w:rFonts w:ascii="Arial" w:cs="Arial" w:eastAsia="Arial" w:hAnsi="Arial"/>
                <w:sz w:val="16"/>
                <w:szCs w:val="16"/>
                <w:color w:val="auto"/>
              </w:rPr>
              <w:t>8/23/2019</w:t>
            </w:r>
          </w:p>
        </w:tc>
        <w:tc>
          <w:tcPr>
            <w:tcW w:w="0" w:type="dxa"/>
            <w:vAlign w:val="bottom"/>
          </w:tcPr>
          <w:p>
            <w:pPr>
              <w:spacing w:after="0"/>
              <w:rPr>
                <w:sz w:val="1"/>
                <w:szCs w:val="1"/>
                <w:color w:val="auto"/>
              </w:rPr>
            </w:pPr>
          </w:p>
        </w:tc>
      </w:tr>
      <w:tr>
        <w:trPr>
          <w:trHeight w:val="216"/>
        </w:trPr>
        <w:tc>
          <w:tcPr>
            <w:tcW w:w="4400" w:type="dxa"/>
            <w:vAlign w:val="bottom"/>
            <w:shd w:val="clear" w:color="auto" w:fill="D7F5C4"/>
          </w:tcPr>
          <w:p>
            <w:pPr>
              <w:spacing w:after="0"/>
              <w:rPr>
                <w:sz w:val="18"/>
                <w:szCs w:val="18"/>
                <w:color w:val="auto"/>
              </w:rPr>
            </w:pPr>
          </w:p>
        </w:tc>
        <w:tc>
          <w:tcPr>
            <w:tcW w:w="1600" w:type="dxa"/>
            <w:vAlign w:val="bottom"/>
            <w:shd w:val="clear" w:color="auto" w:fill="D7F5C4"/>
          </w:tcPr>
          <w:p>
            <w:pPr>
              <w:jc w:val="right"/>
              <w:ind w:right="360"/>
              <w:spacing w:after="0"/>
              <w:rPr>
                <w:sz w:val="20"/>
                <w:szCs w:val="20"/>
                <w:color w:val="auto"/>
              </w:rPr>
            </w:pPr>
            <w:r>
              <w:rPr>
                <w:rFonts w:ascii="Arial" w:cs="Arial" w:eastAsia="Arial" w:hAnsi="Arial"/>
                <w:sz w:val="16"/>
                <w:szCs w:val="16"/>
                <w:color w:val="auto"/>
              </w:rPr>
              <w:t>1,463</w:t>
            </w:r>
          </w:p>
        </w:tc>
        <w:tc>
          <w:tcPr>
            <w:tcW w:w="980" w:type="dxa"/>
            <w:vAlign w:val="bottom"/>
            <w:shd w:val="clear" w:color="auto" w:fill="D7F5C4"/>
          </w:tcPr>
          <w:p>
            <w:pPr>
              <w:jc w:val="right"/>
              <w:spacing w:after="0"/>
              <w:rPr>
                <w:sz w:val="20"/>
                <w:szCs w:val="20"/>
                <w:color w:val="auto"/>
              </w:rPr>
            </w:pPr>
            <w:r>
              <w:rPr>
                <w:rFonts w:ascii="Arial" w:cs="Arial" w:eastAsia="Arial" w:hAnsi="Arial"/>
                <w:sz w:val="16"/>
                <w:szCs w:val="16"/>
                <w:color w:val="auto"/>
              </w:rPr>
              <w:t>8/25/2019</w:t>
            </w:r>
          </w:p>
        </w:tc>
        <w:tc>
          <w:tcPr>
            <w:tcW w:w="1260" w:type="dxa"/>
            <w:vAlign w:val="bottom"/>
            <w:shd w:val="clear" w:color="auto" w:fill="D7F5C4"/>
          </w:tcPr>
          <w:p>
            <w:pPr>
              <w:jc w:val="right"/>
              <w:spacing w:after="0" w:line="216" w:lineRule="exact"/>
              <w:rPr>
                <w:sz w:val="20"/>
                <w:szCs w:val="20"/>
                <w:color w:val="auto"/>
              </w:rPr>
            </w:pPr>
            <w:r>
              <w:rPr>
                <w:rFonts w:ascii="Arial" w:cs="Arial" w:eastAsia="Arial" w:hAnsi="Arial"/>
                <w:sz w:val="15"/>
                <w:szCs w:val="15"/>
                <w:color w:val="auto"/>
              </w:rPr>
              <w:t>23,994</w:t>
            </w:r>
            <w:r>
              <w:rPr>
                <w:rFonts w:ascii="Arial" w:cs="Arial" w:eastAsia="Arial" w:hAnsi="Arial"/>
                <w:sz w:val="25"/>
                <w:szCs w:val="25"/>
                <w:color w:val="auto"/>
                <w:vertAlign w:val="superscript"/>
              </w:rPr>
              <w:t>(1)</w:t>
            </w:r>
          </w:p>
        </w:tc>
        <w:tc>
          <w:tcPr>
            <w:tcW w:w="1320" w:type="dxa"/>
            <w:vAlign w:val="bottom"/>
            <w:shd w:val="clear" w:color="auto" w:fill="D7F5C4"/>
          </w:tcPr>
          <w:p>
            <w:pPr>
              <w:jc w:val="right"/>
              <w:ind w:right="20"/>
              <w:spacing w:after="0"/>
              <w:rPr>
                <w:sz w:val="20"/>
                <w:szCs w:val="20"/>
                <w:color w:val="auto"/>
              </w:rPr>
            </w:pPr>
            <w:r>
              <w:rPr>
                <w:rFonts w:ascii="Arial" w:cs="Arial" w:eastAsia="Arial" w:hAnsi="Arial"/>
                <w:sz w:val="16"/>
                <w:szCs w:val="16"/>
                <w:color w:val="auto"/>
              </w:rPr>
              <w:t>8/29/2020</w:t>
            </w:r>
          </w:p>
        </w:tc>
        <w:tc>
          <w:tcPr>
            <w:tcW w:w="0" w:type="dxa"/>
            <w:vAlign w:val="bottom"/>
          </w:tcPr>
          <w:p>
            <w:pPr>
              <w:spacing w:after="0"/>
              <w:rPr>
                <w:sz w:val="1"/>
                <w:szCs w:val="1"/>
                <w:color w:val="auto"/>
              </w:rPr>
            </w:pPr>
          </w:p>
        </w:tc>
      </w:tr>
      <w:tr>
        <w:trPr>
          <w:trHeight w:val="217"/>
        </w:trPr>
        <w:tc>
          <w:tcPr>
            <w:tcW w:w="4400" w:type="dxa"/>
            <w:vAlign w:val="bottom"/>
            <w:shd w:val="clear" w:color="auto" w:fill="D7F5C4"/>
          </w:tcPr>
          <w:p>
            <w:pPr>
              <w:spacing w:after="0"/>
              <w:rPr>
                <w:sz w:val="18"/>
                <w:szCs w:val="18"/>
                <w:color w:val="auto"/>
              </w:rPr>
            </w:pPr>
          </w:p>
        </w:tc>
        <w:tc>
          <w:tcPr>
            <w:tcW w:w="1600" w:type="dxa"/>
            <w:vAlign w:val="bottom"/>
            <w:shd w:val="clear" w:color="auto" w:fill="D7F5C4"/>
          </w:tcPr>
          <w:p>
            <w:pPr>
              <w:jc w:val="right"/>
              <w:ind w:right="360"/>
              <w:spacing w:after="0"/>
              <w:rPr>
                <w:sz w:val="20"/>
                <w:szCs w:val="20"/>
                <w:color w:val="auto"/>
              </w:rPr>
            </w:pPr>
            <w:r>
              <w:rPr>
                <w:rFonts w:ascii="Arial" w:cs="Arial" w:eastAsia="Arial" w:hAnsi="Arial"/>
                <w:sz w:val="16"/>
                <w:szCs w:val="16"/>
                <w:color w:val="auto"/>
              </w:rPr>
              <w:t>1,735</w:t>
            </w:r>
          </w:p>
        </w:tc>
        <w:tc>
          <w:tcPr>
            <w:tcW w:w="980" w:type="dxa"/>
            <w:vAlign w:val="bottom"/>
            <w:shd w:val="clear" w:color="auto" w:fill="D7F5C4"/>
          </w:tcPr>
          <w:p>
            <w:pPr>
              <w:jc w:val="right"/>
              <w:spacing w:after="0"/>
              <w:rPr>
                <w:sz w:val="20"/>
                <w:szCs w:val="20"/>
                <w:color w:val="auto"/>
              </w:rPr>
            </w:pPr>
            <w:r>
              <w:rPr>
                <w:rFonts w:ascii="Arial" w:cs="Arial" w:eastAsia="Arial" w:hAnsi="Arial"/>
                <w:sz w:val="16"/>
                <w:szCs w:val="16"/>
                <w:color w:val="auto"/>
              </w:rPr>
              <w:t>8/27/2019</w:t>
            </w:r>
          </w:p>
        </w:tc>
        <w:tc>
          <w:tcPr>
            <w:tcW w:w="1260" w:type="dxa"/>
            <w:vAlign w:val="bottom"/>
            <w:shd w:val="clear" w:color="auto" w:fill="D7F5C4"/>
          </w:tcPr>
          <w:p>
            <w:pPr>
              <w:jc w:val="right"/>
              <w:spacing w:after="0" w:line="216" w:lineRule="exact"/>
              <w:rPr>
                <w:sz w:val="20"/>
                <w:szCs w:val="20"/>
                <w:color w:val="auto"/>
              </w:rPr>
            </w:pPr>
            <w:r>
              <w:rPr>
                <w:rFonts w:ascii="Arial" w:cs="Arial" w:eastAsia="Arial" w:hAnsi="Arial"/>
                <w:sz w:val="15"/>
                <w:szCs w:val="15"/>
                <w:color w:val="auto"/>
              </w:rPr>
              <w:t>13,876</w:t>
            </w:r>
            <w:r>
              <w:rPr>
                <w:rFonts w:ascii="Arial" w:cs="Arial" w:eastAsia="Arial" w:hAnsi="Arial"/>
                <w:sz w:val="25"/>
                <w:szCs w:val="25"/>
                <w:color w:val="auto"/>
                <w:vertAlign w:val="superscript"/>
              </w:rPr>
              <w:t>(1)</w:t>
            </w:r>
          </w:p>
        </w:tc>
        <w:tc>
          <w:tcPr>
            <w:tcW w:w="1320" w:type="dxa"/>
            <w:vAlign w:val="bottom"/>
            <w:shd w:val="clear" w:color="auto" w:fill="D7F5C4"/>
          </w:tcPr>
          <w:p>
            <w:pPr>
              <w:jc w:val="right"/>
              <w:ind w:right="20"/>
              <w:spacing w:after="0"/>
              <w:rPr>
                <w:sz w:val="20"/>
                <w:szCs w:val="20"/>
                <w:color w:val="auto"/>
              </w:rPr>
            </w:pPr>
            <w:r>
              <w:rPr>
                <w:rFonts w:ascii="Arial" w:cs="Arial" w:eastAsia="Arial" w:hAnsi="Arial"/>
                <w:sz w:val="16"/>
                <w:szCs w:val="16"/>
                <w:color w:val="auto"/>
              </w:rPr>
              <w:t>8/27/2021</w:t>
            </w:r>
          </w:p>
        </w:tc>
        <w:tc>
          <w:tcPr>
            <w:tcW w:w="0" w:type="dxa"/>
            <w:vAlign w:val="bottom"/>
          </w:tcPr>
          <w:p>
            <w:pPr>
              <w:spacing w:after="0"/>
              <w:rPr>
                <w:sz w:val="1"/>
                <w:szCs w:val="1"/>
                <w:color w:val="auto"/>
              </w:rPr>
            </w:pPr>
          </w:p>
        </w:tc>
      </w:tr>
      <w:tr>
        <w:trPr>
          <w:trHeight w:val="210"/>
        </w:trPr>
        <w:tc>
          <w:tcPr>
            <w:tcW w:w="4400" w:type="dxa"/>
            <w:vAlign w:val="bottom"/>
            <w:shd w:val="clear" w:color="auto" w:fill="D7F5C4"/>
          </w:tcPr>
          <w:p>
            <w:pPr>
              <w:spacing w:after="0"/>
              <w:rPr>
                <w:sz w:val="18"/>
                <w:szCs w:val="18"/>
                <w:color w:val="auto"/>
              </w:rPr>
            </w:pPr>
          </w:p>
        </w:tc>
        <w:tc>
          <w:tcPr>
            <w:tcW w:w="1600" w:type="dxa"/>
            <w:vAlign w:val="bottom"/>
            <w:shd w:val="clear" w:color="auto" w:fill="D7F5C4"/>
          </w:tcPr>
          <w:p>
            <w:pPr>
              <w:jc w:val="right"/>
              <w:ind w:right="360"/>
              <w:spacing w:after="0"/>
              <w:rPr>
                <w:sz w:val="20"/>
                <w:szCs w:val="20"/>
                <w:color w:val="auto"/>
              </w:rPr>
            </w:pPr>
            <w:r>
              <w:rPr>
                <w:rFonts w:ascii="Arial" w:cs="Arial" w:eastAsia="Arial" w:hAnsi="Arial"/>
                <w:sz w:val="16"/>
                <w:szCs w:val="16"/>
                <w:color w:val="auto"/>
              </w:rPr>
              <w:t>1,933</w:t>
            </w:r>
          </w:p>
        </w:tc>
        <w:tc>
          <w:tcPr>
            <w:tcW w:w="980" w:type="dxa"/>
            <w:vAlign w:val="bottom"/>
            <w:shd w:val="clear" w:color="auto" w:fill="D7F5C4"/>
          </w:tcPr>
          <w:p>
            <w:pPr>
              <w:jc w:val="right"/>
              <w:spacing w:after="0"/>
              <w:rPr>
                <w:sz w:val="20"/>
                <w:szCs w:val="20"/>
                <w:color w:val="auto"/>
              </w:rPr>
            </w:pPr>
            <w:r>
              <w:rPr>
                <w:rFonts w:ascii="Arial" w:cs="Arial" w:eastAsia="Arial" w:hAnsi="Arial"/>
                <w:sz w:val="16"/>
                <w:szCs w:val="16"/>
                <w:color w:val="auto"/>
              </w:rPr>
              <w:t>8/27/2019</w:t>
            </w:r>
          </w:p>
        </w:tc>
        <w:tc>
          <w:tcPr>
            <w:tcW w:w="1260" w:type="dxa"/>
            <w:vAlign w:val="bottom"/>
            <w:shd w:val="clear" w:color="auto" w:fill="D7F5C4"/>
          </w:tcPr>
          <w:p>
            <w:pPr>
              <w:spacing w:after="0"/>
              <w:rPr>
                <w:sz w:val="18"/>
                <w:szCs w:val="18"/>
                <w:color w:val="auto"/>
              </w:rPr>
            </w:pPr>
          </w:p>
        </w:tc>
        <w:tc>
          <w:tcPr>
            <w:tcW w:w="1320" w:type="dxa"/>
            <w:vAlign w:val="bottom"/>
            <w:shd w:val="clear" w:color="auto" w:fill="D7F5C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D7F5C4"/>
          </w:tcPr>
          <w:p>
            <w:pPr>
              <w:spacing w:after="0"/>
              <w:rPr>
                <w:sz w:val="18"/>
                <w:szCs w:val="18"/>
                <w:color w:val="auto"/>
              </w:rPr>
            </w:pPr>
          </w:p>
        </w:tc>
        <w:tc>
          <w:tcPr>
            <w:tcW w:w="1600" w:type="dxa"/>
            <w:vAlign w:val="bottom"/>
            <w:shd w:val="clear" w:color="auto" w:fill="D7F5C4"/>
          </w:tcPr>
          <w:p>
            <w:pPr>
              <w:jc w:val="right"/>
              <w:ind w:right="360"/>
              <w:spacing w:after="0"/>
              <w:rPr>
                <w:sz w:val="20"/>
                <w:szCs w:val="20"/>
                <w:color w:val="auto"/>
              </w:rPr>
            </w:pPr>
            <w:r>
              <w:rPr>
                <w:rFonts w:ascii="Arial" w:cs="Arial" w:eastAsia="Arial" w:hAnsi="Arial"/>
                <w:sz w:val="16"/>
                <w:szCs w:val="16"/>
                <w:color w:val="auto"/>
              </w:rPr>
              <w:t>2,999</w:t>
            </w:r>
          </w:p>
        </w:tc>
        <w:tc>
          <w:tcPr>
            <w:tcW w:w="980" w:type="dxa"/>
            <w:vAlign w:val="bottom"/>
            <w:shd w:val="clear" w:color="auto" w:fill="D7F5C4"/>
          </w:tcPr>
          <w:p>
            <w:pPr>
              <w:jc w:val="right"/>
              <w:spacing w:after="0"/>
              <w:rPr>
                <w:sz w:val="20"/>
                <w:szCs w:val="20"/>
                <w:color w:val="auto"/>
              </w:rPr>
            </w:pPr>
            <w:r>
              <w:rPr>
                <w:rFonts w:ascii="Arial" w:cs="Arial" w:eastAsia="Arial" w:hAnsi="Arial"/>
                <w:sz w:val="16"/>
                <w:szCs w:val="16"/>
                <w:color w:val="auto"/>
              </w:rPr>
              <w:t>8/29/2019</w:t>
            </w:r>
          </w:p>
        </w:tc>
        <w:tc>
          <w:tcPr>
            <w:tcW w:w="1260" w:type="dxa"/>
            <w:vAlign w:val="bottom"/>
            <w:shd w:val="clear" w:color="auto" w:fill="D7F5C4"/>
          </w:tcPr>
          <w:p>
            <w:pPr>
              <w:spacing w:after="0"/>
              <w:rPr>
                <w:sz w:val="18"/>
                <w:szCs w:val="18"/>
                <w:color w:val="auto"/>
              </w:rPr>
            </w:pPr>
          </w:p>
        </w:tc>
        <w:tc>
          <w:tcPr>
            <w:tcW w:w="1320" w:type="dxa"/>
            <w:vAlign w:val="bottom"/>
            <w:shd w:val="clear" w:color="auto" w:fill="D7F5C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D7F5C4"/>
          </w:tcPr>
          <w:p>
            <w:pPr>
              <w:spacing w:after="0"/>
              <w:rPr>
                <w:sz w:val="18"/>
                <w:szCs w:val="18"/>
                <w:color w:val="auto"/>
              </w:rPr>
            </w:pPr>
          </w:p>
        </w:tc>
        <w:tc>
          <w:tcPr>
            <w:tcW w:w="1600" w:type="dxa"/>
            <w:vAlign w:val="bottom"/>
            <w:shd w:val="clear" w:color="auto" w:fill="D7F5C4"/>
          </w:tcPr>
          <w:p>
            <w:pPr>
              <w:jc w:val="right"/>
              <w:ind w:right="360"/>
              <w:spacing w:after="0"/>
              <w:rPr>
                <w:sz w:val="20"/>
                <w:szCs w:val="20"/>
                <w:color w:val="auto"/>
              </w:rPr>
            </w:pPr>
            <w:r>
              <w:rPr>
                <w:rFonts w:ascii="Arial" w:cs="Arial" w:eastAsia="Arial" w:hAnsi="Arial"/>
                <w:sz w:val="16"/>
                <w:szCs w:val="16"/>
                <w:color w:val="auto"/>
              </w:rPr>
              <w:t>1,933</w:t>
            </w:r>
          </w:p>
        </w:tc>
        <w:tc>
          <w:tcPr>
            <w:tcW w:w="980" w:type="dxa"/>
            <w:vAlign w:val="bottom"/>
            <w:shd w:val="clear" w:color="auto" w:fill="D7F5C4"/>
          </w:tcPr>
          <w:p>
            <w:pPr>
              <w:jc w:val="right"/>
              <w:spacing w:after="0"/>
              <w:rPr>
                <w:sz w:val="20"/>
                <w:szCs w:val="20"/>
                <w:color w:val="auto"/>
              </w:rPr>
            </w:pPr>
            <w:r>
              <w:rPr>
                <w:rFonts w:ascii="Arial" w:cs="Arial" w:eastAsia="Arial" w:hAnsi="Arial"/>
                <w:sz w:val="16"/>
                <w:szCs w:val="16"/>
                <w:color w:val="auto"/>
              </w:rPr>
              <w:t>8/23/2020</w:t>
            </w:r>
          </w:p>
        </w:tc>
        <w:tc>
          <w:tcPr>
            <w:tcW w:w="1260" w:type="dxa"/>
            <w:vAlign w:val="bottom"/>
            <w:shd w:val="clear" w:color="auto" w:fill="D7F5C4"/>
          </w:tcPr>
          <w:p>
            <w:pPr>
              <w:spacing w:after="0"/>
              <w:rPr>
                <w:sz w:val="18"/>
                <w:szCs w:val="18"/>
                <w:color w:val="auto"/>
              </w:rPr>
            </w:pPr>
          </w:p>
        </w:tc>
        <w:tc>
          <w:tcPr>
            <w:tcW w:w="1320" w:type="dxa"/>
            <w:vAlign w:val="bottom"/>
            <w:shd w:val="clear" w:color="auto" w:fill="D7F5C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D7F5C4"/>
          </w:tcPr>
          <w:p>
            <w:pPr>
              <w:spacing w:after="0"/>
              <w:rPr>
                <w:sz w:val="18"/>
                <w:szCs w:val="18"/>
                <w:color w:val="auto"/>
              </w:rPr>
            </w:pPr>
          </w:p>
        </w:tc>
        <w:tc>
          <w:tcPr>
            <w:tcW w:w="1600" w:type="dxa"/>
            <w:vAlign w:val="bottom"/>
            <w:shd w:val="clear" w:color="auto" w:fill="D7F5C4"/>
          </w:tcPr>
          <w:p>
            <w:pPr>
              <w:jc w:val="right"/>
              <w:ind w:right="360"/>
              <w:spacing w:after="0"/>
              <w:rPr>
                <w:sz w:val="20"/>
                <w:szCs w:val="20"/>
                <w:color w:val="auto"/>
              </w:rPr>
            </w:pPr>
            <w:r>
              <w:rPr>
                <w:rFonts w:ascii="Arial" w:cs="Arial" w:eastAsia="Arial" w:hAnsi="Arial"/>
                <w:sz w:val="16"/>
                <w:szCs w:val="16"/>
                <w:color w:val="auto"/>
              </w:rPr>
              <w:t>1,735</w:t>
            </w:r>
          </w:p>
        </w:tc>
        <w:tc>
          <w:tcPr>
            <w:tcW w:w="980" w:type="dxa"/>
            <w:vAlign w:val="bottom"/>
            <w:shd w:val="clear" w:color="auto" w:fill="D7F5C4"/>
          </w:tcPr>
          <w:p>
            <w:pPr>
              <w:jc w:val="right"/>
              <w:spacing w:after="0"/>
              <w:rPr>
                <w:sz w:val="20"/>
                <w:szCs w:val="20"/>
                <w:color w:val="auto"/>
              </w:rPr>
            </w:pPr>
            <w:r>
              <w:rPr>
                <w:rFonts w:ascii="Arial" w:cs="Arial" w:eastAsia="Arial" w:hAnsi="Arial"/>
                <w:sz w:val="16"/>
                <w:szCs w:val="16"/>
                <w:color w:val="auto"/>
              </w:rPr>
              <w:t>8/27/2020</w:t>
            </w:r>
          </w:p>
        </w:tc>
        <w:tc>
          <w:tcPr>
            <w:tcW w:w="1260" w:type="dxa"/>
            <w:vAlign w:val="bottom"/>
            <w:shd w:val="clear" w:color="auto" w:fill="D7F5C4"/>
          </w:tcPr>
          <w:p>
            <w:pPr>
              <w:spacing w:after="0"/>
              <w:rPr>
                <w:sz w:val="18"/>
                <w:szCs w:val="18"/>
                <w:color w:val="auto"/>
              </w:rPr>
            </w:pPr>
          </w:p>
        </w:tc>
        <w:tc>
          <w:tcPr>
            <w:tcW w:w="1320" w:type="dxa"/>
            <w:vAlign w:val="bottom"/>
            <w:shd w:val="clear" w:color="auto" w:fill="D7F5C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D7F5C4"/>
          </w:tcPr>
          <w:p>
            <w:pPr>
              <w:spacing w:after="0"/>
              <w:rPr>
                <w:sz w:val="18"/>
                <w:szCs w:val="18"/>
                <w:color w:val="auto"/>
              </w:rPr>
            </w:pPr>
          </w:p>
        </w:tc>
        <w:tc>
          <w:tcPr>
            <w:tcW w:w="1600" w:type="dxa"/>
            <w:vAlign w:val="bottom"/>
            <w:shd w:val="clear" w:color="auto" w:fill="D7F5C4"/>
          </w:tcPr>
          <w:p>
            <w:pPr>
              <w:jc w:val="right"/>
              <w:ind w:right="360"/>
              <w:spacing w:after="0"/>
              <w:rPr>
                <w:sz w:val="20"/>
                <w:szCs w:val="20"/>
                <w:color w:val="auto"/>
              </w:rPr>
            </w:pPr>
            <w:r>
              <w:rPr>
                <w:rFonts w:ascii="Arial" w:cs="Arial" w:eastAsia="Arial" w:hAnsi="Arial"/>
                <w:sz w:val="16"/>
                <w:szCs w:val="16"/>
                <w:color w:val="auto"/>
              </w:rPr>
              <w:t>2,999</w:t>
            </w:r>
          </w:p>
        </w:tc>
        <w:tc>
          <w:tcPr>
            <w:tcW w:w="980" w:type="dxa"/>
            <w:vAlign w:val="bottom"/>
            <w:shd w:val="clear" w:color="auto" w:fill="D7F5C4"/>
          </w:tcPr>
          <w:p>
            <w:pPr>
              <w:jc w:val="right"/>
              <w:spacing w:after="0"/>
              <w:rPr>
                <w:sz w:val="20"/>
                <w:szCs w:val="20"/>
                <w:color w:val="auto"/>
              </w:rPr>
            </w:pPr>
            <w:r>
              <w:rPr>
                <w:rFonts w:ascii="Arial" w:cs="Arial" w:eastAsia="Arial" w:hAnsi="Arial"/>
                <w:sz w:val="16"/>
                <w:szCs w:val="16"/>
                <w:color w:val="auto"/>
              </w:rPr>
              <w:t>8/29/2020</w:t>
            </w:r>
          </w:p>
        </w:tc>
        <w:tc>
          <w:tcPr>
            <w:tcW w:w="1260" w:type="dxa"/>
            <w:vAlign w:val="bottom"/>
            <w:shd w:val="clear" w:color="auto" w:fill="D7F5C4"/>
          </w:tcPr>
          <w:p>
            <w:pPr>
              <w:spacing w:after="0"/>
              <w:rPr>
                <w:sz w:val="18"/>
                <w:szCs w:val="18"/>
                <w:color w:val="auto"/>
              </w:rPr>
            </w:pPr>
          </w:p>
        </w:tc>
        <w:tc>
          <w:tcPr>
            <w:tcW w:w="1320" w:type="dxa"/>
            <w:vAlign w:val="bottom"/>
            <w:shd w:val="clear" w:color="auto" w:fill="D7F5C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D7F5C4"/>
          </w:tcPr>
          <w:p>
            <w:pPr>
              <w:spacing w:after="0"/>
              <w:rPr>
                <w:sz w:val="18"/>
                <w:szCs w:val="18"/>
                <w:color w:val="auto"/>
              </w:rPr>
            </w:pPr>
          </w:p>
        </w:tc>
        <w:tc>
          <w:tcPr>
            <w:tcW w:w="1600" w:type="dxa"/>
            <w:vAlign w:val="bottom"/>
            <w:shd w:val="clear" w:color="auto" w:fill="D7F5C4"/>
          </w:tcPr>
          <w:p>
            <w:pPr>
              <w:jc w:val="right"/>
              <w:ind w:right="360"/>
              <w:spacing w:after="0"/>
              <w:rPr>
                <w:sz w:val="20"/>
                <w:szCs w:val="20"/>
                <w:color w:val="auto"/>
              </w:rPr>
            </w:pPr>
            <w:r>
              <w:rPr>
                <w:rFonts w:ascii="Arial" w:cs="Arial" w:eastAsia="Arial" w:hAnsi="Arial"/>
                <w:sz w:val="16"/>
                <w:szCs w:val="16"/>
                <w:color w:val="auto"/>
              </w:rPr>
              <w:t>1,734</w:t>
            </w:r>
          </w:p>
        </w:tc>
        <w:tc>
          <w:tcPr>
            <w:tcW w:w="980" w:type="dxa"/>
            <w:vAlign w:val="bottom"/>
            <w:shd w:val="clear" w:color="auto" w:fill="D7F5C4"/>
          </w:tcPr>
          <w:p>
            <w:pPr>
              <w:jc w:val="right"/>
              <w:spacing w:after="0"/>
              <w:rPr>
                <w:sz w:val="20"/>
                <w:szCs w:val="20"/>
                <w:color w:val="auto"/>
              </w:rPr>
            </w:pPr>
            <w:r>
              <w:rPr>
                <w:rFonts w:ascii="Arial" w:cs="Arial" w:eastAsia="Arial" w:hAnsi="Arial"/>
                <w:sz w:val="16"/>
                <w:szCs w:val="16"/>
                <w:color w:val="auto"/>
              </w:rPr>
              <w:t>8/27/2021</w:t>
            </w:r>
          </w:p>
        </w:tc>
        <w:tc>
          <w:tcPr>
            <w:tcW w:w="1260" w:type="dxa"/>
            <w:vAlign w:val="bottom"/>
            <w:shd w:val="clear" w:color="auto" w:fill="D7F5C4"/>
          </w:tcPr>
          <w:p>
            <w:pPr>
              <w:spacing w:after="0"/>
              <w:rPr>
                <w:sz w:val="18"/>
                <w:szCs w:val="18"/>
                <w:color w:val="auto"/>
              </w:rPr>
            </w:pPr>
          </w:p>
        </w:tc>
        <w:tc>
          <w:tcPr>
            <w:tcW w:w="1320" w:type="dxa"/>
            <w:vAlign w:val="bottom"/>
            <w:shd w:val="clear" w:color="auto" w:fill="D7F5C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D7F5C4"/>
          </w:tcPr>
          <w:p>
            <w:pPr>
              <w:spacing w:after="0"/>
              <w:rPr>
                <w:sz w:val="18"/>
                <w:szCs w:val="18"/>
                <w:color w:val="auto"/>
              </w:rPr>
            </w:pPr>
          </w:p>
        </w:tc>
        <w:tc>
          <w:tcPr>
            <w:tcW w:w="1600" w:type="dxa"/>
            <w:vAlign w:val="bottom"/>
            <w:shd w:val="clear" w:color="auto" w:fill="D7F5C4"/>
          </w:tcPr>
          <w:p>
            <w:pPr>
              <w:jc w:val="right"/>
              <w:ind w:right="360"/>
              <w:spacing w:after="0"/>
              <w:rPr>
                <w:sz w:val="20"/>
                <w:szCs w:val="20"/>
                <w:color w:val="auto"/>
              </w:rPr>
            </w:pPr>
            <w:r>
              <w:rPr>
                <w:rFonts w:ascii="Arial" w:cs="Arial" w:eastAsia="Arial" w:hAnsi="Arial"/>
                <w:sz w:val="16"/>
                <w:szCs w:val="16"/>
                <w:color w:val="auto"/>
              </w:rPr>
              <w:t>2,999</w:t>
            </w:r>
          </w:p>
        </w:tc>
        <w:tc>
          <w:tcPr>
            <w:tcW w:w="980" w:type="dxa"/>
            <w:vAlign w:val="bottom"/>
            <w:shd w:val="clear" w:color="auto" w:fill="D7F5C4"/>
          </w:tcPr>
          <w:p>
            <w:pPr>
              <w:jc w:val="right"/>
              <w:spacing w:after="0"/>
              <w:rPr>
                <w:sz w:val="20"/>
                <w:szCs w:val="20"/>
                <w:color w:val="auto"/>
              </w:rPr>
            </w:pPr>
            <w:r>
              <w:rPr>
                <w:rFonts w:ascii="Arial" w:cs="Arial" w:eastAsia="Arial" w:hAnsi="Arial"/>
                <w:sz w:val="16"/>
                <w:szCs w:val="16"/>
                <w:color w:val="auto"/>
              </w:rPr>
              <w:t>8/29/2021</w:t>
            </w:r>
          </w:p>
        </w:tc>
        <w:tc>
          <w:tcPr>
            <w:tcW w:w="1260" w:type="dxa"/>
            <w:vAlign w:val="bottom"/>
            <w:shd w:val="clear" w:color="auto" w:fill="D7F5C4"/>
          </w:tcPr>
          <w:p>
            <w:pPr>
              <w:spacing w:after="0"/>
              <w:rPr>
                <w:sz w:val="18"/>
                <w:szCs w:val="18"/>
                <w:color w:val="auto"/>
              </w:rPr>
            </w:pPr>
          </w:p>
        </w:tc>
        <w:tc>
          <w:tcPr>
            <w:tcW w:w="1320" w:type="dxa"/>
            <w:vAlign w:val="bottom"/>
            <w:shd w:val="clear" w:color="auto" w:fill="D7F5C4"/>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00" w:type="dxa"/>
            <w:vAlign w:val="bottom"/>
            <w:shd w:val="clear" w:color="auto" w:fill="D7F5C4"/>
          </w:tcPr>
          <w:p>
            <w:pPr>
              <w:spacing w:after="0"/>
              <w:rPr>
                <w:sz w:val="19"/>
                <w:szCs w:val="19"/>
                <w:color w:val="auto"/>
              </w:rPr>
            </w:pPr>
          </w:p>
        </w:tc>
        <w:tc>
          <w:tcPr>
            <w:tcW w:w="1600" w:type="dxa"/>
            <w:vAlign w:val="bottom"/>
            <w:shd w:val="clear" w:color="auto" w:fill="D7F5C4"/>
          </w:tcPr>
          <w:p>
            <w:pPr>
              <w:jc w:val="right"/>
              <w:ind w:right="360"/>
              <w:spacing w:after="0"/>
              <w:rPr>
                <w:sz w:val="20"/>
                <w:szCs w:val="20"/>
                <w:color w:val="auto"/>
              </w:rPr>
            </w:pPr>
            <w:r>
              <w:rPr>
                <w:rFonts w:ascii="Arial" w:cs="Arial" w:eastAsia="Arial" w:hAnsi="Arial"/>
                <w:sz w:val="16"/>
                <w:szCs w:val="16"/>
                <w:color w:val="auto"/>
              </w:rPr>
              <w:t>1,734</w:t>
            </w:r>
          </w:p>
        </w:tc>
        <w:tc>
          <w:tcPr>
            <w:tcW w:w="980" w:type="dxa"/>
            <w:vAlign w:val="bottom"/>
            <w:shd w:val="clear" w:color="auto" w:fill="D7F5C4"/>
          </w:tcPr>
          <w:p>
            <w:pPr>
              <w:jc w:val="right"/>
              <w:spacing w:after="0"/>
              <w:rPr>
                <w:sz w:val="20"/>
                <w:szCs w:val="20"/>
                <w:color w:val="auto"/>
              </w:rPr>
            </w:pPr>
            <w:r>
              <w:rPr>
                <w:rFonts w:ascii="Arial" w:cs="Arial" w:eastAsia="Arial" w:hAnsi="Arial"/>
                <w:sz w:val="16"/>
                <w:szCs w:val="16"/>
                <w:color w:val="auto"/>
              </w:rPr>
              <w:t>8/27/2022</w:t>
            </w:r>
          </w:p>
        </w:tc>
        <w:tc>
          <w:tcPr>
            <w:tcW w:w="1260" w:type="dxa"/>
            <w:vAlign w:val="bottom"/>
            <w:shd w:val="clear" w:color="auto" w:fill="D7F5C4"/>
          </w:tcPr>
          <w:p>
            <w:pPr>
              <w:spacing w:after="0"/>
              <w:rPr>
                <w:sz w:val="19"/>
                <w:szCs w:val="19"/>
                <w:color w:val="auto"/>
              </w:rPr>
            </w:pPr>
          </w:p>
        </w:tc>
        <w:tc>
          <w:tcPr>
            <w:tcW w:w="1320" w:type="dxa"/>
            <w:vAlign w:val="bottom"/>
            <w:shd w:val="clear" w:color="auto" w:fill="D7F5C4"/>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-5899785</wp:posOffset>
            </wp:positionV>
            <wp:extent cx="607187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71870" cy="1371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-5624830</wp:posOffset>
            </wp:positionV>
            <wp:extent cx="607187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71870" cy="1371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-5350510</wp:posOffset>
            </wp:positionV>
            <wp:extent cx="607187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71870" cy="1371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-5076190</wp:posOffset>
            </wp:positionV>
            <wp:extent cx="607187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71870" cy="1371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-4801870</wp:posOffset>
            </wp:positionV>
            <wp:extent cx="607187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71870" cy="1371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-2880995</wp:posOffset>
            </wp:positionV>
            <wp:extent cx="607187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71870" cy="1371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-2606675</wp:posOffset>
            </wp:positionV>
            <wp:extent cx="607187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71870" cy="1371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-2331720</wp:posOffset>
            </wp:positionV>
            <wp:extent cx="607187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71870" cy="1371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-2057400</wp:posOffset>
            </wp:positionV>
            <wp:extent cx="607187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71870" cy="1371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-1783080</wp:posOffset>
            </wp:positionV>
            <wp:extent cx="607187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71870" cy="137160"/>
                    </a:xfrm>
                    <a:prstGeom prst="rect">
                      <a:avLst/>
                    </a:prstGeom>
                    <a:noFill/>
                  </pic:spPr>
                </pic:pic>
              </a:graphicData>
            </a:graphic>
          </wp:anchor>
        </w:drawing>
      </w:r>
    </w:p>
    <w:p>
      <w:pPr>
        <w:spacing w:after="0" w:line="93" w:lineRule="exact"/>
        <w:rPr>
          <w:sz w:val="20"/>
          <w:szCs w:val="20"/>
          <w:color w:val="auto"/>
        </w:rPr>
      </w:pPr>
    </w:p>
    <w:p>
      <w:pPr>
        <w:ind w:left="347" w:right="100" w:hanging="347"/>
        <w:spacing w:after="0" w:line="258" w:lineRule="auto"/>
        <w:tabs>
          <w:tab w:leader="none" w:pos="347"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fiscal 2017, 2018 and 2019 performance unit awards to the Named Executive Officers that cliff vest three years after the grant date. If at least threshold performance is achieved, the performance units are converted to the Company’s</w:t>
      </w:r>
    </w:p>
    <w:p>
      <w:pPr>
        <w:sectPr>
          <w:pgSz w:w="11900" w:h="16838" w:orient="portrait"/>
          <w:cols w:equalWidth="0" w:num="1">
            <w:col w:w="9567"/>
          </w:cols>
          <w:pgMar w:left="1173" w:top="279" w:right="1159" w:bottom="1440" w:gutter="0" w:footer="0" w:header="0"/>
        </w:sectPr>
      </w:pPr>
    </w:p>
    <w:p>
      <w:pPr>
        <w:spacing w:after="0" w:line="189"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6071870" cy="43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type w:val="continuous"/>
        </w:sectPr>
      </w:pPr>
    </w:p>
    <w:bookmarkStart w:id="45" w:name="page46"/>
    <w:bookmarkEnd w:id="45"/>
    <w:p>
      <w:pPr>
        <w:ind w:left="7"/>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ind w:left="367" w:right="40"/>
        <w:spacing w:after="0" w:line="250" w:lineRule="auto"/>
        <w:rPr>
          <w:sz w:val="20"/>
          <w:szCs w:val="20"/>
          <w:color w:val="auto"/>
        </w:rPr>
      </w:pPr>
      <w:r>
        <w:rPr>
          <w:rFonts w:ascii="Arial" w:cs="Arial" w:eastAsia="Arial" w:hAnsi="Arial"/>
          <w:sz w:val="14"/>
          <w:szCs w:val="14"/>
          <w:color w:val="auto"/>
        </w:rPr>
        <w:t>common stock upon vesting. The number of shares of common stock received for each performance unit will vary from zero to two based on the Total Shareholder Return on the Company’s common stock when compared to Total Shareholder Return on common stock of peer companies selected by the Compensation Committee of the Board. The Total Shareholder Return Goals are as follows:</w:t>
      </w:r>
    </w:p>
    <w:p>
      <w:pPr>
        <w:spacing w:after="0" w:line="17" w:lineRule="exact"/>
        <w:rPr>
          <w:sz w:val="20"/>
          <w:szCs w:val="20"/>
          <w:color w:val="auto"/>
        </w:rPr>
      </w:pPr>
    </w:p>
    <w:tbl>
      <w:tblPr>
        <w:tblLayout w:type="fixed"/>
        <w:tblInd w:w="387"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720" w:type="dxa"/>
            <w:vAlign w:val="bottom"/>
          </w:tcPr>
          <w:p>
            <w:pPr>
              <w:jc w:val="right"/>
              <w:ind w:right="169"/>
              <w:spacing w:after="0"/>
              <w:rPr>
                <w:sz w:val="20"/>
                <w:szCs w:val="20"/>
                <w:color w:val="auto"/>
              </w:rPr>
            </w:pPr>
            <w:r>
              <w:rPr>
                <w:rFonts w:ascii="Arial" w:cs="Arial" w:eastAsia="Arial" w:hAnsi="Arial"/>
                <w:sz w:val="14"/>
                <w:szCs w:val="14"/>
                <w:b w:val="1"/>
                <w:bCs w:val="1"/>
                <w:color w:val="auto"/>
              </w:rPr>
              <w:t>Shares of Common Stock for Each</w:t>
            </w:r>
          </w:p>
        </w:tc>
      </w:tr>
      <w:tr>
        <w:trPr>
          <w:trHeight w:val="178"/>
        </w:trPr>
        <w:tc>
          <w:tcPr>
            <w:tcW w:w="3400" w:type="dxa"/>
            <w:vAlign w:val="bottom"/>
          </w:tcPr>
          <w:p>
            <w:pPr>
              <w:ind w:left="1100"/>
              <w:spacing w:after="0"/>
              <w:rPr>
                <w:sz w:val="20"/>
                <w:szCs w:val="20"/>
                <w:color w:val="auto"/>
              </w:rPr>
            </w:pPr>
            <w:r>
              <w:rPr>
                <w:rFonts w:ascii="Arial" w:cs="Arial" w:eastAsia="Arial" w:hAnsi="Arial"/>
                <w:sz w:val="14"/>
                <w:szCs w:val="14"/>
                <w:b w:val="1"/>
                <w:bCs w:val="1"/>
                <w:color w:val="auto"/>
              </w:rPr>
              <w:t>Shareholder Return Goal</w:t>
            </w:r>
          </w:p>
        </w:tc>
        <w:tc>
          <w:tcPr>
            <w:tcW w:w="2860" w:type="dxa"/>
            <w:vAlign w:val="bottom"/>
          </w:tcPr>
          <w:p>
            <w:pPr>
              <w:jc w:val="center"/>
              <w:ind w:left="369"/>
              <w:spacing w:after="0"/>
              <w:rPr>
                <w:sz w:val="20"/>
                <w:szCs w:val="20"/>
                <w:color w:val="auto"/>
              </w:rPr>
            </w:pPr>
            <w:r>
              <w:rPr>
                <w:rFonts w:ascii="Arial" w:cs="Arial" w:eastAsia="Arial" w:hAnsi="Arial"/>
                <w:sz w:val="14"/>
                <w:szCs w:val="14"/>
                <w:b w:val="1"/>
                <w:bCs w:val="1"/>
                <w:color w:val="auto"/>
                <w:w w:val="96"/>
              </w:rPr>
              <w:t>Total Shareholder Return</w:t>
            </w:r>
          </w:p>
        </w:tc>
        <w:tc>
          <w:tcPr>
            <w:tcW w:w="2720" w:type="dxa"/>
            <w:vAlign w:val="bottom"/>
          </w:tcPr>
          <w:p>
            <w:pPr>
              <w:jc w:val="right"/>
              <w:ind w:right="709"/>
              <w:spacing w:after="0"/>
              <w:rPr>
                <w:sz w:val="20"/>
                <w:szCs w:val="20"/>
                <w:color w:val="auto"/>
              </w:rPr>
            </w:pPr>
            <w:r>
              <w:rPr>
                <w:rFonts w:ascii="Arial" w:cs="Arial" w:eastAsia="Arial" w:hAnsi="Arial"/>
                <w:sz w:val="14"/>
                <w:szCs w:val="14"/>
                <w:b w:val="1"/>
                <w:bCs w:val="1"/>
                <w:color w:val="auto"/>
              </w:rPr>
              <w:t>Performance Unit</w:t>
            </w:r>
          </w:p>
        </w:tc>
      </w:tr>
      <w:tr>
        <w:trPr>
          <w:trHeight w:val="189"/>
        </w:trPr>
        <w:tc>
          <w:tcPr>
            <w:tcW w:w="3400" w:type="dxa"/>
            <w:vAlign w:val="bottom"/>
            <w:shd w:val="clear" w:color="auto" w:fill="D7F5C4"/>
          </w:tcPr>
          <w:p>
            <w:pPr>
              <w:spacing w:after="0"/>
              <w:rPr>
                <w:sz w:val="20"/>
                <w:szCs w:val="20"/>
                <w:color w:val="auto"/>
              </w:rPr>
            </w:pPr>
            <w:r>
              <w:rPr>
                <w:rFonts w:ascii="Arial" w:cs="Arial" w:eastAsia="Arial" w:hAnsi="Arial"/>
                <w:sz w:val="14"/>
                <w:szCs w:val="14"/>
                <w:color w:val="auto"/>
              </w:rPr>
              <w:t>Threshold</w:t>
            </w:r>
          </w:p>
        </w:tc>
        <w:tc>
          <w:tcPr>
            <w:tcW w:w="2860" w:type="dxa"/>
            <w:vAlign w:val="bottom"/>
            <w:shd w:val="clear" w:color="auto" w:fill="D7F5C4"/>
          </w:tcPr>
          <w:p>
            <w:pPr>
              <w:jc w:val="center"/>
              <w:ind w:left="369"/>
              <w:spacing w:after="0"/>
              <w:rPr>
                <w:sz w:val="20"/>
                <w:szCs w:val="20"/>
                <w:color w:val="auto"/>
              </w:rPr>
            </w:pPr>
            <w:r>
              <w:rPr>
                <w:rFonts w:ascii="Arial" w:cs="Arial" w:eastAsia="Arial" w:hAnsi="Arial"/>
                <w:sz w:val="14"/>
                <w:szCs w:val="14"/>
                <w:color w:val="auto"/>
              </w:rPr>
              <w:t>25th percentile of Peer Group</w:t>
            </w:r>
          </w:p>
        </w:tc>
        <w:tc>
          <w:tcPr>
            <w:tcW w:w="2720" w:type="dxa"/>
            <w:vAlign w:val="bottom"/>
            <w:shd w:val="clear" w:color="auto" w:fill="D7F5C4"/>
          </w:tcPr>
          <w:p>
            <w:pPr>
              <w:jc w:val="right"/>
              <w:ind w:right="29"/>
              <w:spacing w:after="0"/>
              <w:rPr>
                <w:sz w:val="20"/>
                <w:szCs w:val="20"/>
                <w:color w:val="auto"/>
              </w:rPr>
            </w:pPr>
            <w:r>
              <w:rPr>
                <w:rFonts w:ascii="Arial" w:cs="Arial" w:eastAsia="Arial" w:hAnsi="Arial"/>
                <w:sz w:val="14"/>
                <w:szCs w:val="14"/>
                <w:color w:val="auto"/>
              </w:rPr>
              <w:t>0.25</w:t>
            </w:r>
          </w:p>
        </w:tc>
      </w:tr>
      <w:tr>
        <w:trPr>
          <w:trHeight w:val="189"/>
        </w:trPr>
        <w:tc>
          <w:tcPr>
            <w:tcW w:w="3400" w:type="dxa"/>
            <w:vAlign w:val="bottom"/>
          </w:tcPr>
          <w:p>
            <w:pPr>
              <w:spacing w:after="0"/>
              <w:rPr>
                <w:sz w:val="20"/>
                <w:szCs w:val="20"/>
                <w:color w:val="auto"/>
              </w:rPr>
            </w:pPr>
            <w:r>
              <w:rPr>
                <w:rFonts w:ascii="Arial" w:cs="Arial" w:eastAsia="Arial" w:hAnsi="Arial"/>
                <w:sz w:val="14"/>
                <w:szCs w:val="14"/>
                <w:color w:val="auto"/>
              </w:rPr>
              <w:t>Above Threshold</w:t>
            </w:r>
          </w:p>
        </w:tc>
        <w:tc>
          <w:tcPr>
            <w:tcW w:w="2860" w:type="dxa"/>
            <w:vAlign w:val="bottom"/>
          </w:tcPr>
          <w:p>
            <w:pPr>
              <w:jc w:val="center"/>
              <w:ind w:left="369"/>
              <w:spacing w:after="0"/>
              <w:rPr>
                <w:sz w:val="20"/>
                <w:szCs w:val="20"/>
                <w:color w:val="auto"/>
              </w:rPr>
            </w:pPr>
            <w:r>
              <w:rPr>
                <w:rFonts w:ascii="Arial" w:cs="Arial" w:eastAsia="Arial" w:hAnsi="Arial"/>
                <w:sz w:val="14"/>
                <w:szCs w:val="14"/>
                <w:color w:val="auto"/>
              </w:rPr>
              <w:t>35th percentile of Peer Group</w:t>
            </w:r>
          </w:p>
        </w:tc>
        <w:tc>
          <w:tcPr>
            <w:tcW w:w="2720" w:type="dxa"/>
            <w:vAlign w:val="bottom"/>
          </w:tcPr>
          <w:p>
            <w:pPr>
              <w:jc w:val="right"/>
              <w:ind w:right="29"/>
              <w:spacing w:after="0"/>
              <w:rPr>
                <w:sz w:val="20"/>
                <w:szCs w:val="20"/>
                <w:color w:val="auto"/>
              </w:rPr>
            </w:pPr>
            <w:r>
              <w:rPr>
                <w:rFonts w:ascii="Arial" w:cs="Arial" w:eastAsia="Arial" w:hAnsi="Arial"/>
                <w:sz w:val="14"/>
                <w:szCs w:val="14"/>
                <w:color w:val="auto"/>
              </w:rPr>
              <w:t>0.50</w:t>
            </w:r>
          </w:p>
        </w:tc>
      </w:tr>
      <w:tr>
        <w:trPr>
          <w:trHeight w:val="189"/>
        </w:trPr>
        <w:tc>
          <w:tcPr>
            <w:tcW w:w="3400" w:type="dxa"/>
            <w:vAlign w:val="bottom"/>
            <w:shd w:val="clear" w:color="auto" w:fill="D7F5C4"/>
          </w:tcPr>
          <w:p>
            <w:pPr>
              <w:spacing w:after="0"/>
              <w:rPr>
                <w:sz w:val="20"/>
                <w:szCs w:val="20"/>
                <w:color w:val="auto"/>
              </w:rPr>
            </w:pPr>
            <w:r>
              <w:rPr>
                <w:rFonts w:ascii="Arial" w:cs="Arial" w:eastAsia="Arial" w:hAnsi="Arial"/>
                <w:sz w:val="14"/>
                <w:szCs w:val="14"/>
                <w:color w:val="auto"/>
              </w:rPr>
              <w:t>Target</w:t>
            </w:r>
          </w:p>
        </w:tc>
        <w:tc>
          <w:tcPr>
            <w:tcW w:w="2860" w:type="dxa"/>
            <w:vAlign w:val="bottom"/>
            <w:shd w:val="clear" w:color="auto" w:fill="D7F5C4"/>
          </w:tcPr>
          <w:p>
            <w:pPr>
              <w:jc w:val="center"/>
              <w:ind w:left="369"/>
              <w:spacing w:after="0"/>
              <w:rPr>
                <w:sz w:val="20"/>
                <w:szCs w:val="20"/>
                <w:color w:val="auto"/>
              </w:rPr>
            </w:pPr>
            <w:r>
              <w:rPr>
                <w:rFonts w:ascii="Arial" w:cs="Arial" w:eastAsia="Arial" w:hAnsi="Arial"/>
                <w:sz w:val="14"/>
                <w:szCs w:val="14"/>
                <w:color w:val="auto"/>
              </w:rPr>
              <w:t>50th percentile of Peer Group</w:t>
            </w:r>
          </w:p>
        </w:tc>
        <w:tc>
          <w:tcPr>
            <w:tcW w:w="2720" w:type="dxa"/>
            <w:vAlign w:val="bottom"/>
            <w:shd w:val="clear" w:color="auto" w:fill="D7F5C4"/>
          </w:tcPr>
          <w:p>
            <w:pPr>
              <w:jc w:val="right"/>
              <w:ind w:right="29"/>
              <w:spacing w:after="0"/>
              <w:rPr>
                <w:sz w:val="20"/>
                <w:szCs w:val="20"/>
                <w:color w:val="auto"/>
              </w:rPr>
            </w:pPr>
            <w:r>
              <w:rPr>
                <w:rFonts w:ascii="Arial" w:cs="Arial" w:eastAsia="Arial" w:hAnsi="Arial"/>
                <w:sz w:val="14"/>
                <w:szCs w:val="14"/>
                <w:color w:val="auto"/>
              </w:rPr>
              <w:t>1.00</w:t>
            </w:r>
          </w:p>
        </w:tc>
      </w:tr>
      <w:tr>
        <w:trPr>
          <w:trHeight w:val="189"/>
        </w:trPr>
        <w:tc>
          <w:tcPr>
            <w:tcW w:w="3400" w:type="dxa"/>
            <w:vAlign w:val="bottom"/>
          </w:tcPr>
          <w:p>
            <w:pPr>
              <w:spacing w:after="0"/>
              <w:rPr>
                <w:sz w:val="20"/>
                <w:szCs w:val="20"/>
                <w:color w:val="auto"/>
              </w:rPr>
            </w:pPr>
            <w:r>
              <w:rPr>
                <w:rFonts w:ascii="Arial" w:cs="Arial" w:eastAsia="Arial" w:hAnsi="Arial"/>
                <w:sz w:val="14"/>
                <w:szCs w:val="14"/>
                <w:color w:val="auto"/>
              </w:rPr>
              <w:t>Above Target</w:t>
            </w:r>
          </w:p>
        </w:tc>
        <w:tc>
          <w:tcPr>
            <w:tcW w:w="2860" w:type="dxa"/>
            <w:vAlign w:val="bottom"/>
          </w:tcPr>
          <w:p>
            <w:pPr>
              <w:jc w:val="center"/>
              <w:ind w:left="369"/>
              <w:spacing w:after="0"/>
              <w:rPr>
                <w:sz w:val="20"/>
                <w:szCs w:val="20"/>
                <w:color w:val="auto"/>
              </w:rPr>
            </w:pPr>
            <w:r>
              <w:rPr>
                <w:rFonts w:ascii="Arial" w:cs="Arial" w:eastAsia="Arial" w:hAnsi="Arial"/>
                <w:sz w:val="14"/>
                <w:szCs w:val="14"/>
                <w:color w:val="auto"/>
              </w:rPr>
              <w:t>75th percentile of Peer Group</w:t>
            </w:r>
          </w:p>
        </w:tc>
        <w:tc>
          <w:tcPr>
            <w:tcW w:w="2720" w:type="dxa"/>
            <w:vAlign w:val="bottom"/>
          </w:tcPr>
          <w:p>
            <w:pPr>
              <w:jc w:val="right"/>
              <w:ind w:right="29"/>
              <w:spacing w:after="0"/>
              <w:rPr>
                <w:sz w:val="20"/>
                <w:szCs w:val="20"/>
                <w:color w:val="auto"/>
              </w:rPr>
            </w:pPr>
            <w:r>
              <w:rPr>
                <w:rFonts w:ascii="Arial" w:cs="Arial" w:eastAsia="Arial" w:hAnsi="Arial"/>
                <w:sz w:val="14"/>
                <w:szCs w:val="14"/>
                <w:color w:val="auto"/>
              </w:rPr>
              <w:t>1.50</w:t>
            </w:r>
          </w:p>
        </w:tc>
      </w:tr>
      <w:tr>
        <w:trPr>
          <w:trHeight w:val="189"/>
        </w:trPr>
        <w:tc>
          <w:tcPr>
            <w:tcW w:w="3400" w:type="dxa"/>
            <w:vAlign w:val="bottom"/>
            <w:shd w:val="clear" w:color="auto" w:fill="D7F5C4"/>
          </w:tcPr>
          <w:p>
            <w:pPr>
              <w:spacing w:after="0"/>
              <w:rPr>
                <w:sz w:val="20"/>
                <w:szCs w:val="20"/>
                <w:color w:val="auto"/>
              </w:rPr>
            </w:pPr>
            <w:r>
              <w:rPr>
                <w:rFonts w:ascii="Arial" w:cs="Arial" w:eastAsia="Arial" w:hAnsi="Arial"/>
                <w:sz w:val="14"/>
                <w:szCs w:val="14"/>
                <w:color w:val="auto"/>
              </w:rPr>
              <w:t>Maximum</w:t>
            </w:r>
          </w:p>
        </w:tc>
        <w:tc>
          <w:tcPr>
            <w:tcW w:w="2860" w:type="dxa"/>
            <w:vAlign w:val="bottom"/>
            <w:shd w:val="clear" w:color="auto" w:fill="D7F5C4"/>
          </w:tcPr>
          <w:p>
            <w:pPr>
              <w:jc w:val="center"/>
              <w:ind w:left="369"/>
              <w:spacing w:after="0"/>
              <w:rPr>
                <w:sz w:val="20"/>
                <w:szCs w:val="20"/>
                <w:color w:val="auto"/>
              </w:rPr>
            </w:pPr>
            <w:r>
              <w:rPr>
                <w:rFonts w:ascii="Arial" w:cs="Arial" w:eastAsia="Arial" w:hAnsi="Arial"/>
                <w:sz w:val="14"/>
                <w:szCs w:val="14"/>
                <w:color w:val="auto"/>
              </w:rPr>
              <w:t>90th percentile of Peer Group</w:t>
            </w:r>
          </w:p>
        </w:tc>
        <w:tc>
          <w:tcPr>
            <w:tcW w:w="2720" w:type="dxa"/>
            <w:vAlign w:val="bottom"/>
            <w:shd w:val="clear" w:color="auto" w:fill="D7F5C4"/>
          </w:tcPr>
          <w:p>
            <w:pPr>
              <w:jc w:val="right"/>
              <w:ind w:right="29"/>
              <w:spacing w:after="0"/>
              <w:rPr>
                <w:sz w:val="20"/>
                <w:szCs w:val="20"/>
                <w:color w:val="auto"/>
              </w:rPr>
            </w:pPr>
            <w:r>
              <w:rPr>
                <w:rFonts w:ascii="Arial" w:cs="Arial" w:eastAsia="Arial" w:hAnsi="Arial"/>
                <w:sz w:val="14"/>
                <w:szCs w:val="14"/>
                <w:color w:val="auto"/>
              </w:rPr>
              <w:t>2.00</w:t>
            </w:r>
          </w:p>
        </w:tc>
      </w:tr>
    </w:tbl>
    <w:p>
      <w:pPr>
        <w:spacing w:after="0" w:line="59" w:lineRule="exact"/>
        <w:rPr>
          <w:sz w:val="20"/>
          <w:szCs w:val="20"/>
          <w:color w:val="auto"/>
        </w:rPr>
      </w:pPr>
    </w:p>
    <w:p>
      <w:pPr>
        <w:ind w:left="367" w:right="20"/>
        <w:spacing w:after="0" w:line="244" w:lineRule="auto"/>
        <w:rPr>
          <w:sz w:val="20"/>
          <w:szCs w:val="20"/>
          <w:color w:val="auto"/>
        </w:rPr>
      </w:pPr>
      <w:r>
        <w:rPr>
          <w:rFonts w:ascii="Arial" w:cs="Arial" w:eastAsia="Arial" w:hAnsi="Arial"/>
          <w:sz w:val="14"/>
          <w:szCs w:val="14"/>
          <w:color w:val="auto"/>
        </w:rPr>
        <w:t>The performance period (fiscal 2017, 2018 and 2019) for the fiscal 2017 performance unit award has been completed. In August 2019, the Compensation Committee certified that the Company’s relative Total Shareholder Return for the performance period resulted in an award of 0.89 shares for each performance unit granted. Accordingly, the number of shares presented for the fiscal 2017 performance unit award is equal to the number of shares actually earned for that period. Based on the Company’s relative Total Shareholder Return for fiscal 2018 and 2019 (two-thirds of the performance period for the fiscal 2018 award), the fiscal 2018 award is presented at the Maximum performance level. Based on the Company’s relative Total Shareholder Return for fiscal 2019 (one-third of the performance period for the fiscal 2019 award), the fiscal 2019 award is also presented at the Maximum performance level.</w:t>
      </w:r>
    </w:p>
    <w:p>
      <w:pPr>
        <w:spacing w:after="0" w:line="150"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61DA16"/>
        </w:rPr>
        <w:t>Option Exercises and Stock Vested During Fiscal 2019</w:t>
      </w:r>
    </w:p>
    <w:p>
      <w:pPr>
        <w:spacing w:after="0" w:line="126" w:lineRule="exact"/>
        <w:rPr>
          <w:sz w:val="20"/>
          <w:szCs w:val="20"/>
          <w:color w:val="auto"/>
        </w:rPr>
      </w:pPr>
    </w:p>
    <w:p>
      <w:pPr>
        <w:ind w:left="7" w:right="240"/>
        <w:spacing w:after="0" w:line="262" w:lineRule="auto"/>
        <w:rPr>
          <w:sz w:val="20"/>
          <w:szCs w:val="20"/>
          <w:color w:val="auto"/>
        </w:rPr>
      </w:pPr>
      <w:r>
        <w:rPr>
          <w:rFonts w:ascii="Arial" w:cs="Arial" w:eastAsia="Arial" w:hAnsi="Arial"/>
          <w:sz w:val="18"/>
          <w:szCs w:val="18"/>
          <w:color w:val="auto"/>
        </w:rPr>
        <w:t>The following table sets forth information with respect to the value realized by our Named Executive Officers upon the exercise of stock options and the vesting of RSUs in fiscal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4129405</wp:posOffset>
            </wp:positionH>
            <wp:positionV relativeFrom="paragraph">
              <wp:posOffset>22225</wp:posOffset>
            </wp:positionV>
            <wp:extent cx="34290" cy="1200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120015"/>
                    </a:xfrm>
                    <a:prstGeom prst="rect">
                      <a:avLst/>
                    </a:prstGeom>
                    <a:noFill/>
                  </pic:spPr>
                </pic:pic>
              </a:graphicData>
            </a:graphic>
          </wp:anchor>
        </w:drawing>
      </w:r>
    </w:p>
    <w:p>
      <w:pPr>
        <w:spacing w:after="0" w:line="15" w:lineRule="exact"/>
        <w:rPr>
          <w:sz w:val="20"/>
          <w:szCs w:val="20"/>
          <w:color w:val="auto"/>
        </w:rPr>
      </w:pPr>
    </w:p>
    <w:tbl>
      <w:tblPr>
        <w:tblLayout w:type="fixed"/>
        <w:tblInd w:w="7" w:type="dxa"/>
        <w:tblCellMar>
          <w:top w:w="0" w:type="dxa"/>
          <w:left w:w="0" w:type="dxa"/>
          <w:bottom w:w="0" w:type="dxa"/>
          <w:right w:w="0" w:type="dxa"/>
        </w:tblCellMar>
      </w:tblPr>
      <w:tr>
        <w:trPr>
          <w:trHeight w:val="189"/>
        </w:trPr>
        <w:tc>
          <w:tcPr>
            <w:tcW w:w="3440" w:type="dxa"/>
            <w:vAlign w:val="bottom"/>
          </w:tcPr>
          <w:p>
            <w:pPr>
              <w:spacing w:after="0"/>
              <w:rPr>
                <w:sz w:val="16"/>
                <w:szCs w:val="16"/>
                <w:color w:val="auto"/>
              </w:rPr>
            </w:pPr>
          </w:p>
        </w:tc>
        <w:tc>
          <w:tcPr>
            <w:tcW w:w="3120" w:type="dxa"/>
            <w:vAlign w:val="bottom"/>
            <w:gridSpan w:val="2"/>
            <w:shd w:val="clear" w:color="auto" w:fill="D7F5C4"/>
          </w:tcPr>
          <w:p>
            <w:pPr>
              <w:ind w:left="1020"/>
              <w:spacing w:after="0"/>
              <w:rPr>
                <w:sz w:val="20"/>
                <w:szCs w:val="20"/>
                <w:color w:val="auto"/>
              </w:rPr>
            </w:pPr>
            <w:r>
              <w:rPr>
                <w:rFonts w:ascii="Arial" w:cs="Arial" w:eastAsia="Arial" w:hAnsi="Arial"/>
                <w:sz w:val="14"/>
                <w:szCs w:val="14"/>
                <w:b w:val="1"/>
                <w:bCs w:val="1"/>
                <w:color w:val="auto"/>
              </w:rPr>
              <w:t>Option Awards</w:t>
            </w:r>
          </w:p>
        </w:tc>
        <w:tc>
          <w:tcPr>
            <w:tcW w:w="3000" w:type="dxa"/>
            <w:vAlign w:val="bottom"/>
            <w:gridSpan w:val="2"/>
            <w:shd w:val="clear" w:color="auto" w:fill="D7F5C4"/>
          </w:tcPr>
          <w:p>
            <w:pPr>
              <w:jc w:val="right"/>
              <w:ind w:right="948"/>
              <w:spacing w:after="0"/>
              <w:rPr>
                <w:sz w:val="20"/>
                <w:szCs w:val="20"/>
                <w:color w:val="auto"/>
              </w:rPr>
            </w:pPr>
            <w:r>
              <w:rPr>
                <w:rFonts w:ascii="Arial" w:cs="Arial" w:eastAsia="Arial" w:hAnsi="Arial"/>
                <w:sz w:val="14"/>
                <w:szCs w:val="14"/>
                <w:b w:val="1"/>
                <w:bCs w:val="1"/>
                <w:color w:val="auto"/>
              </w:rPr>
              <w:t>Stock Awards</w:t>
            </w:r>
          </w:p>
        </w:tc>
      </w:tr>
      <w:tr>
        <w:trPr>
          <w:trHeight w:val="162"/>
        </w:trPr>
        <w:tc>
          <w:tcPr>
            <w:tcW w:w="3440" w:type="dxa"/>
            <w:vAlign w:val="bottom"/>
          </w:tcPr>
          <w:p>
            <w:pPr>
              <w:spacing w:after="0"/>
              <w:rPr>
                <w:sz w:val="14"/>
                <w:szCs w:val="14"/>
                <w:color w:val="auto"/>
              </w:rPr>
            </w:pPr>
          </w:p>
        </w:tc>
        <w:tc>
          <w:tcPr>
            <w:tcW w:w="1720" w:type="dxa"/>
            <w:vAlign w:val="bottom"/>
          </w:tcPr>
          <w:p>
            <w:pPr>
              <w:jc w:val="center"/>
              <w:ind w:right="8"/>
              <w:spacing w:after="0"/>
              <w:rPr>
                <w:sz w:val="20"/>
                <w:szCs w:val="20"/>
                <w:color w:val="auto"/>
              </w:rPr>
            </w:pPr>
            <w:r>
              <w:rPr>
                <w:rFonts w:ascii="Arial" w:cs="Arial" w:eastAsia="Arial" w:hAnsi="Arial"/>
                <w:sz w:val="14"/>
                <w:szCs w:val="14"/>
                <w:b w:val="1"/>
                <w:bCs w:val="1"/>
                <w:color w:val="auto"/>
              </w:rPr>
              <w:t>Number of Shares</w:t>
            </w:r>
          </w:p>
        </w:tc>
        <w:tc>
          <w:tcPr>
            <w:tcW w:w="1400" w:type="dxa"/>
            <w:vAlign w:val="bottom"/>
          </w:tcPr>
          <w:p>
            <w:pPr>
              <w:jc w:val="center"/>
              <w:ind w:right="8"/>
              <w:spacing w:after="0"/>
              <w:rPr>
                <w:sz w:val="20"/>
                <w:szCs w:val="20"/>
                <w:color w:val="auto"/>
              </w:rPr>
            </w:pPr>
            <w:r>
              <w:rPr>
                <w:rFonts w:ascii="Arial" w:cs="Arial" w:eastAsia="Arial" w:hAnsi="Arial"/>
                <w:sz w:val="14"/>
                <w:szCs w:val="14"/>
                <w:b w:val="1"/>
                <w:bCs w:val="1"/>
                <w:color w:val="auto"/>
              </w:rPr>
              <w:t>Value Realized</w:t>
            </w:r>
          </w:p>
        </w:tc>
        <w:tc>
          <w:tcPr>
            <w:tcW w:w="1640" w:type="dxa"/>
            <w:vAlign w:val="bottom"/>
          </w:tcPr>
          <w:p>
            <w:pPr>
              <w:jc w:val="center"/>
              <w:ind w:right="48"/>
              <w:spacing w:after="0"/>
              <w:rPr>
                <w:sz w:val="20"/>
                <w:szCs w:val="20"/>
                <w:color w:val="auto"/>
              </w:rPr>
            </w:pPr>
            <w:r>
              <w:rPr>
                <w:rFonts w:ascii="Arial" w:cs="Arial" w:eastAsia="Arial" w:hAnsi="Arial"/>
                <w:sz w:val="14"/>
                <w:szCs w:val="14"/>
                <w:b w:val="1"/>
                <w:bCs w:val="1"/>
                <w:color w:val="auto"/>
              </w:rPr>
              <w:t>Number of Shares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Value Realized</w:t>
            </w:r>
          </w:p>
        </w:tc>
      </w:tr>
      <w:tr>
        <w:trPr>
          <w:trHeight w:val="148"/>
        </w:trPr>
        <w:tc>
          <w:tcPr>
            <w:tcW w:w="3440" w:type="dxa"/>
            <w:vAlign w:val="bottom"/>
          </w:tcPr>
          <w:p>
            <w:pPr>
              <w:spacing w:after="0"/>
              <w:rPr>
                <w:sz w:val="12"/>
                <w:szCs w:val="12"/>
                <w:color w:val="auto"/>
              </w:rPr>
            </w:pPr>
          </w:p>
        </w:tc>
        <w:tc>
          <w:tcPr>
            <w:tcW w:w="172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rPr>
              <w:t>Acquired on</w:t>
            </w:r>
          </w:p>
        </w:tc>
        <w:tc>
          <w:tcPr>
            <w:tcW w:w="14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on Exercise</w:t>
            </w:r>
          </w:p>
        </w:tc>
        <w:tc>
          <w:tcPr>
            <w:tcW w:w="164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Acquired on</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on Vesting</w:t>
            </w:r>
          </w:p>
        </w:tc>
      </w:tr>
      <w:tr>
        <w:trPr>
          <w:trHeight w:val="203"/>
        </w:trPr>
        <w:tc>
          <w:tcPr>
            <w:tcW w:w="3440" w:type="dxa"/>
            <w:vAlign w:val="bottom"/>
          </w:tcPr>
          <w:p>
            <w:pPr>
              <w:ind w:left="1500"/>
              <w:spacing w:after="0"/>
              <w:rPr>
                <w:sz w:val="20"/>
                <w:szCs w:val="20"/>
                <w:color w:val="auto"/>
              </w:rPr>
            </w:pPr>
            <w:r>
              <w:rPr>
                <w:rFonts w:ascii="Arial" w:cs="Arial" w:eastAsia="Arial" w:hAnsi="Arial"/>
                <w:sz w:val="14"/>
                <w:szCs w:val="14"/>
                <w:b w:val="1"/>
                <w:bCs w:val="1"/>
                <w:color w:val="auto"/>
              </w:rPr>
              <w:t>Name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Exercise (#)</w:t>
            </w:r>
          </w:p>
        </w:tc>
        <w:tc>
          <w:tcPr>
            <w:tcW w:w="1400" w:type="dxa"/>
            <w:vAlign w:val="bottom"/>
          </w:tcPr>
          <w:p>
            <w:pPr>
              <w:jc w:val="center"/>
              <w:ind w:right="8"/>
              <w:spacing w:after="0" w:line="202"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(1)</w:t>
            </w:r>
          </w:p>
        </w:tc>
        <w:tc>
          <w:tcPr>
            <w:tcW w:w="1640" w:type="dxa"/>
            <w:vAlign w:val="bottom"/>
          </w:tcPr>
          <w:p>
            <w:pPr>
              <w:jc w:val="center"/>
              <w:ind w:right="48"/>
              <w:spacing w:after="0"/>
              <w:rPr>
                <w:sz w:val="20"/>
                <w:szCs w:val="20"/>
                <w:color w:val="auto"/>
              </w:rPr>
            </w:pPr>
            <w:r>
              <w:rPr>
                <w:rFonts w:ascii="Arial" w:cs="Arial" w:eastAsia="Arial" w:hAnsi="Arial"/>
                <w:sz w:val="14"/>
                <w:szCs w:val="14"/>
                <w:b w:val="1"/>
                <w:bCs w:val="1"/>
                <w:color w:val="auto"/>
              </w:rPr>
              <w:t>Vesting (#)</w:t>
            </w:r>
          </w:p>
        </w:tc>
        <w:tc>
          <w:tcPr>
            <w:tcW w:w="1360" w:type="dxa"/>
            <w:vAlign w:val="bottom"/>
          </w:tcPr>
          <w:p>
            <w:pPr>
              <w:jc w:val="center"/>
              <w:spacing w:after="0" w:line="202"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(2)</w:t>
            </w:r>
          </w:p>
        </w:tc>
      </w:tr>
      <w:tr>
        <w:trPr>
          <w:trHeight w:val="189"/>
        </w:trPr>
        <w:tc>
          <w:tcPr>
            <w:tcW w:w="3440" w:type="dxa"/>
            <w:vAlign w:val="bottom"/>
            <w:shd w:val="clear" w:color="auto" w:fill="D7F5C4"/>
          </w:tcPr>
          <w:p>
            <w:pPr>
              <w:spacing w:after="0"/>
              <w:rPr>
                <w:sz w:val="20"/>
                <w:szCs w:val="20"/>
                <w:color w:val="auto"/>
              </w:rPr>
            </w:pPr>
            <w:r>
              <w:rPr>
                <w:rFonts w:ascii="Arial" w:cs="Arial" w:eastAsia="Arial" w:hAnsi="Arial"/>
                <w:sz w:val="14"/>
                <w:szCs w:val="14"/>
                <w:color w:val="auto"/>
              </w:rPr>
              <w:t>John R. Hewitt</w:t>
            </w:r>
          </w:p>
        </w:tc>
        <w:tc>
          <w:tcPr>
            <w:tcW w:w="1720" w:type="dxa"/>
            <w:vAlign w:val="bottom"/>
            <w:shd w:val="clear" w:color="auto" w:fill="D7F5C4"/>
          </w:tcPr>
          <w:p>
            <w:pPr>
              <w:ind w:left="1400"/>
              <w:spacing w:after="0"/>
              <w:rPr>
                <w:sz w:val="20"/>
                <w:szCs w:val="20"/>
                <w:color w:val="auto"/>
              </w:rPr>
            </w:pPr>
            <w:r>
              <w:rPr>
                <w:rFonts w:ascii="Arial" w:cs="Arial" w:eastAsia="Arial" w:hAnsi="Arial"/>
                <w:sz w:val="14"/>
                <w:szCs w:val="14"/>
                <w:color w:val="auto"/>
              </w:rPr>
              <w:t>—</w:t>
            </w:r>
          </w:p>
        </w:tc>
        <w:tc>
          <w:tcPr>
            <w:tcW w:w="1400" w:type="dxa"/>
            <w:vAlign w:val="bottom"/>
            <w:shd w:val="clear" w:color="auto" w:fill="D7F5C4"/>
          </w:tcPr>
          <w:p>
            <w:pPr>
              <w:ind w:left="1120"/>
              <w:spacing w:after="0"/>
              <w:rPr>
                <w:sz w:val="20"/>
                <w:szCs w:val="20"/>
                <w:color w:val="auto"/>
              </w:rPr>
            </w:pPr>
            <w:r>
              <w:rPr>
                <w:rFonts w:ascii="Arial" w:cs="Arial" w:eastAsia="Arial" w:hAnsi="Arial"/>
                <w:sz w:val="14"/>
                <w:szCs w:val="14"/>
                <w:color w:val="auto"/>
              </w:rPr>
              <w:t>—</w:t>
            </w:r>
          </w:p>
        </w:tc>
        <w:tc>
          <w:tcPr>
            <w:tcW w:w="1640" w:type="dxa"/>
            <w:vAlign w:val="bottom"/>
            <w:shd w:val="clear" w:color="auto" w:fill="D7F5C4"/>
          </w:tcPr>
          <w:p>
            <w:pPr>
              <w:jc w:val="right"/>
              <w:ind w:right="88"/>
              <w:spacing w:after="0"/>
              <w:rPr>
                <w:sz w:val="20"/>
                <w:szCs w:val="20"/>
                <w:color w:val="auto"/>
              </w:rPr>
            </w:pPr>
            <w:r>
              <w:rPr>
                <w:rFonts w:ascii="Arial" w:cs="Arial" w:eastAsia="Arial" w:hAnsi="Arial"/>
                <w:sz w:val="14"/>
                <w:szCs w:val="14"/>
                <w:color w:val="auto"/>
              </w:rPr>
              <w:t>36,950</w:t>
            </w:r>
          </w:p>
        </w:tc>
        <w:tc>
          <w:tcPr>
            <w:tcW w:w="1360" w:type="dxa"/>
            <w:vAlign w:val="bottom"/>
            <w:shd w:val="clear" w:color="auto" w:fill="D7F5C4"/>
          </w:tcPr>
          <w:p>
            <w:pPr>
              <w:jc w:val="right"/>
              <w:ind w:right="28"/>
              <w:spacing w:after="0"/>
              <w:rPr>
                <w:sz w:val="20"/>
                <w:szCs w:val="20"/>
                <w:color w:val="auto"/>
              </w:rPr>
            </w:pPr>
            <w:r>
              <w:rPr>
                <w:rFonts w:ascii="Arial" w:cs="Arial" w:eastAsia="Arial" w:hAnsi="Arial"/>
                <w:sz w:val="14"/>
                <w:szCs w:val="14"/>
                <w:color w:val="auto"/>
              </w:rPr>
              <w:t>789,901</w:t>
            </w:r>
          </w:p>
        </w:tc>
      </w:tr>
      <w:tr>
        <w:trPr>
          <w:trHeight w:val="189"/>
        </w:trPr>
        <w:tc>
          <w:tcPr>
            <w:tcW w:w="3440" w:type="dxa"/>
            <w:vAlign w:val="bottom"/>
          </w:tcPr>
          <w:p>
            <w:pPr>
              <w:spacing w:after="0"/>
              <w:rPr>
                <w:sz w:val="20"/>
                <w:szCs w:val="20"/>
                <w:color w:val="auto"/>
              </w:rPr>
            </w:pPr>
            <w:r>
              <w:rPr>
                <w:rFonts w:ascii="Arial" w:cs="Arial" w:eastAsia="Arial" w:hAnsi="Arial"/>
                <w:sz w:val="14"/>
                <w:szCs w:val="14"/>
                <w:color w:val="auto"/>
              </w:rPr>
              <w:t>Joseph F. Montalbano</w:t>
            </w:r>
          </w:p>
        </w:tc>
        <w:tc>
          <w:tcPr>
            <w:tcW w:w="1720" w:type="dxa"/>
            <w:vAlign w:val="bottom"/>
          </w:tcPr>
          <w:p>
            <w:pPr>
              <w:ind w:left="1400"/>
              <w:spacing w:after="0"/>
              <w:rPr>
                <w:sz w:val="20"/>
                <w:szCs w:val="20"/>
                <w:color w:val="auto"/>
              </w:rPr>
            </w:pPr>
            <w:r>
              <w:rPr>
                <w:rFonts w:ascii="Arial" w:cs="Arial" w:eastAsia="Arial" w:hAnsi="Arial"/>
                <w:sz w:val="14"/>
                <w:szCs w:val="14"/>
                <w:color w:val="auto"/>
              </w:rPr>
              <w:t>—</w:t>
            </w:r>
          </w:p>
        </w:tc>
        <w:tc>
          <w:tcPr>
            <w:tcW w:w="1400" w:type="dxa"/>
            <w:vAlign w:val="bottom"/>
          </w:tcPr>
          <w:p>
            <w:pPr>
              <w:ind w:left="1120"/>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88"/>
              <w:spacing w:after="0"/>
              <w:rPr>
                <w:sz w:val="20"/>
                <w:szCs w:val="20"/>
                <w:color w:val="auto"/>
              </w:rPr>
            </w:pPr>
            <w:r>
              <w:rPr>
                <w:rFonts w:ascii="Arial" w:cs="Arial" w:eastAsia="Arial" w:hAnsi="Arial"/>
                <w:sz w:val="14"/>
                <w:szCs w:val="14"/>
                <w:color w:val="auto"/>
              </w:rPr>
              <w:t>12,934</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276,518</w:t>
            </w:r>
          </w:p>
        </w:tc>
      </w:tr>
      <w:tr>
        <w:trPr>
          <w:trHeight w:val="189"/>
        </w:trPr>
        <w:tc>
          <w:tcPr>
            <w:tcW w:w="3440" w:type="dxa"/>
            <w:vAlign w:val="bottom"/>
            <w:shd w:val="clear" w:color="auto" w:fill="D7F5C4"/>
          </w:tcPr>
          <w:p>
            <w:pPr>
              <w:spacing w:after="0"/>
              <w:rPr>
                <w:sz w:val="20"/>
                <w:szCs w:val="20"/>
                <w:color w:val="auto"/>
              </w:rPr>
            </w:pPr>
            <w:r>
              <w:rPr>
                <w:rFonts w:ascii="Arial" w:cs="Arial" w:eastAsia="Arial" w:hAnsi="Arial"/>
                <w:sz w:val="14"/>
                <w:szCs w:val="14"/>
                <w:color w:val="auto"/>
              </w:rPr>
              <w:t>Kevin S. Cavanah</w:t>
            </w:r>
          </w:p>
        </w:tc>
        <w:tc>
          <w:tcPr>
            <w:tcW w:w="1720" w:type="dxa"/>
            <w:vAlign w:val="bottom"/>
            <w:shd w:val="clear" w:color="auto" w:fill="D7F5C4"/>
          </w:tcPr>
          <w:p>
            <w:pPr>
              <w:ind w:left="1400"/>
              <w:spacing w:after="0"/>
              <w:rPr>
                <w:sz w:val="20"/>
                <w:szCs w:val="20"/>
                <w:color w:val="auto"/>
              </w:rPr>
            </w:pPr>
            <w:r>
              <w:rPr>
                <w:rFonts w:ascii="Arial" w:cs="Arial" w:eastAsia="Arial" w:hAnsi="Arial"/>
                <w:sz w:val="14"/>
                <w:szCs w:val="14"/>
                <w:color w:val="auto"/>
              </w:rPr>
              <w:t>—</w:t>
            </w:r>
          </w:p>
        </w:tc>
        <w:tc>
          <w:tcPr>
            <w:tcW w:w="1400" w:type="dxa"/>
            <w:vAlign w:val="bottom"/>
            <w:shd w:val="clear" w:color="auto" w:fill="D7F5C4"/>
          </w:tcPr>
          <w:p>
            <w:pPr>
              <w:ind w:left="1120"/>
              <w:spacing w:after="0"/>
              <w:rPr>
                <w:sz w:val="20"/>
                <w:szCs w:val="20"/>
                <w:color w:val="auto"/>
              </w:rPr>
            </w:pPr>
            <w:r>
              <w:rPr>
                <w:rFonts w:ascii="Arial" w:cs="Arial" w:eastAsia="Arial" w:hAnsi="Arial"/>
                <w:sz w:val="14"/>
                <w:szCs w:val="14"/>
                <w:color w:val="auto"/>
              </w:rPr>
              <w:t>—</w:t>
            </w:r>
          </w:p>
        </w:tc>
        <w:tc>
          <w:tcPr>
            <w:tcW w:w="1640" w:type="dxa"/>
            <w:vAlign w:val="bottom"/>
            <w:shd w:val="clear" w:color="auto" w:fill="D7F5C4"/>
          </w:tcPr>
          <w:p>
            <w:pPr>
              <w:jc w:val="right"/>
              <w:ind w:right="88"/>
              <w:spacing w:after="0"/>
              <w:rPr>
                <w:sz w:val="20"/>
                <w:szCs w:val="20"/>
                <w:color w:val="auto"/>
              </w:rPr>
            </w:pPr>
            <w:r>
              <w:rPr>
                <w:rFonts w:ascii="Arial" w:cs="Arial" w:eastAsia="Arial" w:hAnsi="Arial"/>
                <w:sz w:val="14"/>
                <w:szCs w:val="14"/>
                <w:color w:val="auto"/>
              </w:rPr>
              <w:t>11,355</w:t>
            </w:r>
          </w:p>
        </w:tc>
        <w:tc>
          <w:tcPr>
            <w:tcW w:w="1360" w:type="dxa"/>
            <w:vAlign w:val="bottom"/>
            <w:shd w:val="clear" w:color="auto" w:fill="D7F5C4"/>
          </w:tcPr>
          <w:p>
            <w:pPr>
              <w:jc w:val="right"/>
              <w:ind w:right="28"/>
              <w:spacing w:after="0"/>
              <w:rPr>
                <w:sz w:val="20"/>
                <w:szCs w:val="20"/>
                <w:color w:val="auto"/>
              </w:rPr>
            </w:pPr>
            <w:r>
              <w:rPr>
                <w:rFonts w:ascii="Arial" w:cs="Arial" w:eastAsia="Arial" w:hAnsi="Arial"/>
                <w:sz w:val="14"/>
                <w:szCs w:val="14"/>
                <w:color w:val="auto"/>
              </w:rPr>
              <w:t>242,759</w:t>
            </w:r>
          </w:p>
        </w:tc>
      </w:tr>
      <w:tr>
        <w:trPr>
          <w:trHeight w:val="189"/>
        </w:trPr>
        <w:tc>
          <w:tcPr>
            <w:tcW w:w="3440" w:type="dxa"/>
            <w:vAlign w:val="bottom"/>
          </w:tcPr>
          <w:p>
            <w:pPr>
              <w:spacing w:after="0"/>
              <w:rPr>
                <w:sz w:val="20"/>
                <w:szCs w:val="20"/>
                <w:color w:val="auto"/>
              </w:rPr>
            </w:pPr>
            <w:r>
              <w:rPr>
                <w:rFonts w:ascii="Arial" w:cs="Arial" w:eastAsia="Arial" w:hAnsi="Arial"/>
                <w:sz w:val="14"/>
                <w:szCs w:val="14"/>
                <w:color w:val="auto"/>
              </w:rPr>
              <w:t>Alan R. Updyke</w:t>
            </w:r>
          </w:p>
        </w:tc>
        <w:tc>
          <w:tcPr>
            <w:tcW w:w="1720" w:type="dxa"/>
            <w:vAlign w:val="bottom"/>
          </w:tcPr>
          <w:p>
            <w:pPr>
              <w:ind w:left="1400"/>
              <w:spacing w:after="0"/>
              <w:rPr>
                <w:sz w:val="20"/>
                <w:szCs w:val="20"/>
                <w:color w:val="auto"/>
              </w:rPr>
            </w:pPr>
            <w:r>
              <w:rPr>
                <w:rFonts w:ascii="Arial" w:cs="Arial" w:eastAsia="Arial" w:hAnsi="Arial"/>
                <w:sz w:val="14"/>
                <w:szCs w:val="14"/>
                <w:color w:val="auto"/>
              </w:rPr>
              <w:t>—</w:t>
            </w:r>
          </w:p>
        </w:tc>
        <w:tc>
          <w:tcPr>
            <w:tcW w:w="1400" w:type="dxa"/>
            <w:vAlign w:val="bottom"/>
          </w:tcPr>
          <w:p>
            <w:pPr>
              <w:ind w:left="1120"/>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88"/>
              <w:spacing w:after="0"/>
              <w:rPr>
                <w:sz w:val="20"/>
                <w:szCs w:val="20"/>
                <w:color w:val="auto"/>
              </w:rPr>
            </w:pPr>
            <w:r>
              <w:rPr>
                <w:rFonts w:ascii="Arial" w:cs="Arial" w:eastAsia="Arial" w:hAnsi="Arial"/>
                <w:sz w:val="14"/>
                <w:szCs w:val="14"/>
                <w:color w:val="auto"/>
              </w:rPr>
              <w:t>5,859</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125,203</w:t>
            </w:r>
          </w:p>
        </w:tc>
      </w:tr>
      <w:tr>
        <w:trPr>
          <w:trHeight w:val="189"/>
        </w:trPr>
        <w:tc>
          <w:tcPr>
            <w:tcW w:w="3440" w:type="dxa"/>
            <w:vAlign w:val="bottom"/>
            <w:shd w:val="clear" w:color="auto" w:fill="D7F5C4"/>
          </w:tcPr>
          <w:p>
            <w:pPr>
              <w:spacing w:after="0"/>
              <w:rPr>
                <w:sz w:val="20"/>
                <w:szCs w:val="20"/>
                <w:color w:val="auto"/>
              </w:rPr>
            </w:pPr>
            <w:r>
              <w:rPr>
                <w:rFonts w:ascii="Arial" w:cs="Arial" w:eastAsia="Arial" w:hAnsi="Arial"/>
                <w:sz w:val="14"/>
                <w:szCs w:val="14"/>
                <w:color w:val="auto"/>
              </w:rPr>
              <w:t>Jason W. Turner</w:t>
            </w:r>
          </w:p>
        </w:tc>
        <w:tc>
          <w:tcPr>
            <w:tcW w:w="1720" w:type="dxa"/>
            <w:vAlign w:val="bottom"/>
            <w:shd w:val="clear" w:color="auto" w:fill="D7F5C4"/>
          </w:tcPr>
          <w:p>
            <w:pPr>
              <w:ind w:left="1400"/>
              <w:spacing w:after="0"/>
              <w:rPr>
                <w:sz w:val="20"/>
                <w:szCs w:val="20"/>
                <w:color w:val="auto"/>
              </w:rPr>
            </w:pPr>
            <w:r>
              <w:rPr>
                <w:rFonts w:ascii="Arial" w:cs="Arial" w:eastAsia="Arial" w:hAnsi="Arial"/>
                <w:sz w:val="14"/>
                <w:szCs w:val="14"/>
                <w:color w:val="auto"/>
              </w:rPr>
              <w:t>—</w:t>
            </w:r>
          </w:p>
        </w:tc>
        <w:tc>
          <w:tcPr>
            <w:tcW w:w="1400" w:type="dxa"/>
            <w:vAlign w:val="bottom"/>
            <w:shd w:val="clear" w:color="auto" w:fill="D7F5C4"/>
          </w:tcPr>
          <w:p>
            <w:pPr>
              <w:ind w:left="1120"/>
              <w:spacing w:after="0"/>
              <w:rPr>
                <w:sz w:val="20"/>
                <w:szCs w:val="20"/>
                <w:color w:val="auto"/>
              </w:rPr>
            </w:pPr>
            <w:r>
              <w:rPr>
                <w:rFonts w:ascii="Arial" w:cs="Arial" w:eastAsia="Arial" w:hAnsi="Arial"/>
                <w:sz w:val="14"/>
                <w:szCs w:val="14"/>
                <w:color w:val="auto"/>
              </w:rPr>
              <w:t>—</w:t>
            </w:r>
          </w:p>
        </w:tc>
        <w:tc>
          <w:tcPr>
            <w:tcW w:w="1640" w:type="dxa"/>
            <w:vAlign w:val="bottom"/>
            <w:shd w:val="clear" w:color="auto" w:fill="D7F5C4"/>
          </w:tcPr>
          <w:p>
            <w:pPr>
              <w:jc w:val="right"/>
              <w:ind w:right="88"/>
              <w:spacing w:after="0"/>
              <w:rPr>
                <w:sz w:val="20"/>
                <w:szCs w:val="20"/>
                <w:color w:val="auto"/>
              </w:rPr>
            </w:pPr>
            <w:r>
              <w:rPr>
                <w:rFonts w:ascii="Arial" w:cs="Arial" w:eastAsia="Arial" w:hAnsi="Arial"/>
                <w:sz w:val="14"/>
                <w:szCs w:val="14"/>
                <w:color w:val="auto"/>
              </w:rPr>
              <w:t>7,426</w:t>
            </w:r>
          </w:p>
        </w:tc>
        <w:tc>
          <w:tcPr>
            <w:tcW w:w="1360" w:type="dxa"/>
            <w:vAlign w:val="bottom"/>
            <w:shd w:val="clear" w:color="auto" w:fill="D7F5C4"/>
          </w:tcPr>
          <w:p>
            <w:pPr>
              <w:jc w:val="right"/>
              <w:ind w:right="28"/>
              <w:spacing w:after="0"/>
              <w:rPr>
                <w:sz w:val="20"/>
                <w:szCs w:val="20"/>
                <w:color w:val="auto"/>
              </w:rPr>
            </w:pPr>
            <w:r>
              <w:rPr>
                <w:rFonts w:ascii="Arial" w:cs="Arial" w:eastAsia="Arial" w:hAnsi="Arial"/>
                <w:sz w:val="14"/>
                <w:szCs w:val="14"/>
                <w:color w:val="auto"/>
              </w:rPr>
              <w:t>158,760</w:t>
            </w:r>
          </w:p>
        </w:tc>
      </w:tr>
    </w:tbl>
    <w:p>
      <w:pPr>
        <w:spacing w:after="0" w:line="113" w:lineRule="exact"/>
        <w:rPr>
          <w:sz w:val="20"/>
          <w:szCs w:val="20"/>
          <w:color w:val="auto"/>
        </w:rPr>
      </w:pPr>
    </w:p>
    <w:p>
      <w:pPr>
        <w:ind w:left="347" w:right="660" w:hanging="347"/>
        <w:spacing w:after="0" w:line="258" w:lineRule="auto"/>
        <w:tabs>
          <w:tab w:leader="none" w:pos="347"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value realized is the difference between the option exercise price and the sales price of the common stock on the date of exercise, multiplied by the number of shares for which the options were exercised.</w:t>
      </w:r>
    </w:p>
    <w:p>
      <w:pPr>
        <w:spacing w:after="0" w:line="86" w:lineRule="exact"/>
        <w:rPr>
          <w:rFonts w:ascii="Arial" w:cs="Arial" w:eastAsia="Arial" w:hAnsi="Arial"/>
          <w:sz w:val="14"/>
          <w:szCs w:val="14"/>
          <w:color w:val="auto"/>
        </w:rPr>
      </w:pPr>
    </w:p>
    <w:p>
      <w:pPr>
        <w:ind w:left="347" w:right="680" w:hanging="347"/>
        <w:spacing w:after="0" w:line="258" w:lineRule="auto"/>
        <w:tabs>
          <w:tab w:leader="none" w:pos="347"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value realized is the closing sales price of the common stock on the vesting date, multiplied by the number of shares for which the restrictions lapsed. The stock awards that vested in fiscal 2019 relate to service-based awards and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4721225</wp:posOffset>
            </wp:positionH>
            <wp:positionV relativeFrom="paragraph">
              <wp:posOffset>17145</wp:posOffset>
            </wp:positionV>
            <wp:extent cx="34290" cy="2057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20574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17145</wp:posOffset>
            </wp:positionV>
            <wp:extent cx="34290" cy="2057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205740"/>
                    </a:xfrm>
                    <a:prstGeom prst="rect">
                      <a:avLst/>
                    </a:prstGeom>
                    <a:noFill/>
                  </pic:spPr>
                </pic:pic>
              </a:graphicData>
            </a:graphic>
          </wp:anchor>
        </w:drawing>
      </w:r>
    </w:p>
    <w:tbl>
      <w:tblPr>
        <w:tblLayout w:type="fixed"/>
        <w:tblInd w:w="387"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860" w:type="dxa"/>
            <w:vAlign w:val="bottom"/>
            <w:gridSpan w:val="2"/>
            <w:shd w:val="clear" w:color="auto" w:fill="D7F5C4"/>
          </w:tcPr>
          <w:p>
            <w:pPr>
              <w:jc w:val="right"/>
              <w:ind w:right="429"/>
              <w:spacing w:after="0"/>
              <w:rPr>
                <w:sz w:val="20"/>
                <w:szCs w:val="20"/>
                <w:color w:val="auto"/>
              </w:rPr>
            </w:pPr>
            <w:r>
              <w:rPr>
                <w:rFonts w:ascii="Arial" w:cs="Arial" w:eastAsia="Arial" w:hAnsi="Arial"/>
                <w:sz w:val="14"/>
                <w:szCs w:val="14"/>
                <w:b w:val="1"/>
                <w:bCs w:val="1"/>
                <w:color w:val="auto"/>
              </w:rPr>
              <w:t>Service-Based</w:t>
            </w:r>
          </w:p>
        </w:tc>
        <w:tc>
          <w:tcPr>
            <w:tcW w:w="1860" w:type="dxa"/>
            <w:vAlign w:val="bottom"/>
            <w:gridSpan w:val="2"/>
            <w:shd w:val="clear" w:color="auto" w:fill="D7F5C4"/>
          </w:tcPr>
          <w:p>
            <w:pPr>
              <w:ind w:left="240"/>
              <w:spacing w:after="0"/>
              <w:rPr>
                <w:sz w:val="20"/>
                <w:szCs w:val="20"/>
                <w:color w:val="auto"/>
              </w:rPr>
            </w:pPr>
            <w:r>
              <w:rPr>
                <w:rFonts w:ascii="Arial" w:cs="Arial" w:eastAsia="Arial" w:hAnsi="Arial"/>
                <w:sz w:val="14"/>
                <w:szCs w:val="14"/>
                <w:b w:val="1"/>
                <w:bCs w:val="1"/>
                <w:color w:val="auto"/>
              </w:rPr>
              <w:t>Performance-Based</w:t>
            </w:r>
          </w:p>
        </w:tc>
        <w:tc>
          <w:tcPr>
            <w:tcW w:w="1140" w:type="dxa"/>
            <w:vAlign w:val="bottom"/>
            <w:shd w:val="clear" w:color="auto" w:fill="D7F5C4"/>
          </w:tcPr>
          <w:p>
            <w:pPr>
              <w:spacing w:after="0"/>
              <w:rPr>
                <w:sz w:val="14"/>
                <w:szCs w:val="14"/>
                <w:color w:val="auto"/>
              </w:rPr>
            </w:pPr>
          </w:p>
        </w:tc>
        <w:tc>
          <w:tcPr>
            <w:tcW w:w="720" w:type="dxa"/>
            <w:vAlign w:val="bottom"/>
            <w:shd w:val="clear" w:color="auto" w:fill="D7F5C4"/>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400" w:type="dxa"/>
            <w:vAlign w:val="bottom"/>
            <w:vMerge w:val="restart"/>
          </w:tcPr>
          <w:p>
            <w:pPr>
              <w:ind w:left="1480"/>
              <w:spacing w:after="0"/>
              <w:rPr>
                <w:sz w:val="20"/>
                <w:szCs w:val="20"/>
                <w:color w:val="auto"/>
              </w:rPr>
            </w:pPr>
            <w:r>
              <w:rPr>
                <w:rFonts w:ascii="Arial" w:cs="Arial" w:eastAsia="Arial" w:hAnsi="Arial"/>
                <w:sz w:val="14"/>
                <w:szCs w:val="14"/>
                <w:b w:val="1"/>
                <w:bCs w:val="1"/>
                <w:color w:val="auto"/>
              </w:rPr>
              <w:t>Name</w:t>
            </w:r>
          </w:p>
        </w:tc>
        <w:tc>
          <w:tcPr>
            <w:tcW w:w="1140" w:type="dxa"/>
            <w:vAlign w:val="bottom"/>
            <w:shd w:val="clear" w:color="auto" w:fill="D7F5C4"/>
          </w:tcPr>
          <w:p>
            <w:pPr>
              <w:jc w:val="right"/>
              <w:spacing w:after="0"/>
              <w:rPr>
                <w:sz w:val="20"/>
                <w:szCs w:val="20"/>
                <w:color w:val="auto"/>
              </w:rPr>
            </w:pPr>
            <w:r>
              <w:rPr>
                <w:rFonts w:ascii="Arial" w:cs="Arial" w:eastAsia="Arial" w:hAnsi="Arial"/>
                <w:sz w:val="14"/>
                <w:szCs w:val="14"/>
                <w:b w:val="1"/>
                <w:bCs w:val="1"/>
                <w:color w:val="auto"/>
              </w:rPr>
              <w:t>Awards</w:t>
            </w:r>
          </w:p>
        </w:tc>
        <w:tc>
          <w:tcPr>
            <w:tcW w:w="720" w:type="dxa"/>
            <w:vAlign w:val="bottom"/>
            <w:shd w:val="clear" w:color="auto" w:fill="D7F5C4"/>
          </w:tcPr>
          <w:p>
            <w:pPr>
              <w:spacing w:after="0"/>
              <w:rPr>
                <w:sz w:val="15"/>
                <w:szCs w:val="15"/>
                <w:color w:val="auto"/>
              </w:rPr>
            </w:pPr>
          </w:p>
        </w:tc>
        <w:tc>
          <w:tcPr>
            <w:tcW w:w="1860" w:type="dxa"/>
            <w:vAlign w:val="bottom"/>
            <w:gridSpan w:val="2"/>
            <w:shd w:val="clear" w:color="auto" w:fill="D7F5C4"/>
          </w:tcPr>
          <w:p>
            <w:pPr>
              <w:ind w:left="640"/>
              <w:spacing w:after="0"/>
              <w:rPr>
                <w:sz w:val="20"/>
                <w:szCs w:val="20"/>
                <w:color w:val="auto"/>
              </w:rPr>
            </w:pPr>
            <w:r>
              <w:rPr>
                <w:rFonts w:ascii="Arial" w:cs="Arial" w:eastAsia="Arial" w:hAnsi="Arial"/>
                <w:sz w:val="14"/>
                <w:szCs w:val="14"/>
                <w:b w:val="1"/>
                <w:bCs w:val="1"/>
                <w:color w:val="auto"/>
              </w:rPr>
              <w:t>Awards</w:t>
            </w:r>
          </w:p>
        </w:tc>
        <w:tc>
          <w:tcPr>
            <w:tcW w:w="1140" w:type="dxa"/>
            <w:vAlign w:val="bottom"/>
            <w:shd w:val="clear" w:color="auto" w:fill="D7F5C4"/>
          </w:tcPr>
          <w:p>
            <w:pPr>
              <w:jc w:val="right"/>
              <w:spacing w:after="0"/>
              <w:rPr>
                <w:sz w:val="20"/>
                <w:szCs w:val="20"/>
                <w:color w:val="auto"/>
              </w:rPr>
            </w:pPr>
            <w:r>
              <w:rPr>
                <w:rFonts w:ascii="Arial" w:cs="Arial" w:eastAsia="Arial" w:hAnsi="Arial"/>
                <w:sz w:val="14"/>
                <w:szCs w:val="14"/>
                <w:b w:val="1"/>
                <w:bCs w:val="1"/>
                <w:color w:val="auto"/>
              </w:rPr>
              <w:t>Total</w:t>
            </w:r>
          </w:p>
        </w:tc>
        <w:tc>
          <w:tcPr>
            <w:tcW w:w="720" w:type="dxa"/>
            <w:vAlign w:val="bottom"/>
            <w:shd w:val="clear" w:color="auto" w:fill="D7F5C4"/>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0" w:type="dxa"/>
            <w:vAlign w:val="bottom"/>
            <w:vMerge w:val="continue"/>
          </w:tcPr>
          <w:p>
            <w:pPr>
              <w:spacing w:after="0"/>
              <w:rPr>
                <w:sz w:val="15"/>
                <w:szCs w:val="15"/>
                <w:color w:val="auto"/>
              </w:rPr>
            </w:pPr>
          </w:p>
        </w:tc>
        <w:tc>
          <w:tcPr>
            <w:tcW w:w="1140" w:type="dxa"/>
            <w:vAlign w:val="bottom"/>
          </w:tcPr>
          <w:p>
            <w:pPr>
              <w:jc w:val="right"/>
              <w:ind w:right="230"/>
              <w:spacing w:after="0"/>
              <w:rPr>
                <w:sz w:val="20"/>
                <w:szCs w:val="20"/>
                <w:color w:val="auto"/>
              </w:rPr>
            </w:pPr>
            <w:r>
              <w:rPr>
                <w:rFonts w:ascii="Arial" w:cs="Arial" w:eastAsia="Arial" w:hAnsi="Arial"/>
                <w:sz w:val="14"/>
                <w:szCs w:val="14"/>
                <w:b w:val="1"/>
                <w:bCs w:val="1"/>
                <w:color w:val="auto"/>
              </w:rPr>
              <w:t>Shares (#)</w:t>
            </w:r>
          </w:p>
        </w:tc>
        <w:tc>
          <w:tcPr>
            <w:tcW w:w="720" w:type="dxa"/>
            <w:vAlign w:val="bottom"/>
          </w:tcPr>
          <w:p>
            <w:pPr>
              <w:jc w:val="right"/>
              <w:ind w:right="89"/>
              <w:spacing w:after="0"/>
              <w:rPr>
                <w:sz w:val="20"/>
                <w:szCs w:val="20"/>
                <w:color w:val="auto"/>
              </w:rPr>
            </w:pPr>
            <w:r>
              <w:rPr>
                <w:rFonts w:ascii="Arial" w:cs="Arial" w:eastAsia="Arial" w:hAnsi="Arial"/>
                <w:sz w:val="14"/>
                <w:szCs w:val="14"/>
                <w:b w:val="1"/>
                <w:bCs w:val="1"/>
                <w:color w:val="auto"/>
                <w:w w:val="92"/>
              </w:rPr>
              <w:t>Value ($)</w:t>
            </w:r>
          </w:p>
        </w:tc>
        <w:tc>
          <w:tcPr>
            <w:tcW w:w="1000" w:type="dxa"/>
            <w:vAlign w:val="bottom"/>
          </w:tcPr>
          <w:p>
            <w:pPr>
              <w:ind w:left="140"/>
              <w:spacing w:after="0"/>
              <w:rPr>
                <w:sz w:val="20"/>
                <w:szCs w:val="20"/>
                <w:color w:val="auto"/>
              </w:rPr>
            </w:pPr>
            <w:r>
              <w:rPr>
                <w:rFonts w:ascii="Arial" w:cs="Arial" w:eastAsia="Arial" w:hAnsi="Arial"/>
                <w:sz w:val="14"/>
                <w:szCs w:val="14"/>
                <w:b w:val="1"/>
                <w:bCs w:val="1"/>
                <w:color w:val="auto"/>
              </w:rPr>
              <w:t>Shares (#)</w:t>
            </w:r>
          </w:p>
        </w:tc>
        <w:tc>
          <w:tcPr>
            <w:tcW w:w="860" w:type="dxa"/>
            <w:vAlign w:val="bottom"/>
          </w:tcPr>
          <w:p>
            <w:pPr>
              <w:ind w:left="120"/>
              <w:spacing w:after="0"/>
              <w:rPr>
                <w:sz w:val="20"/>
                <w:szCs w:val="20"/>
                <w:color w:val="auto"/>
              </w:rPr>
            </w:pPr>
            <w:r>
              <w:rPr>
                <w:rFonts w:ascii="Arial" w:cs="Arial" w:eastAsia="Arial" w:hAnsi="Arial"/>
                <w:sz w:val="14"/>
                <w:szCs w:val="14"/>
                <w:b w:val="1"/>
                <w:bCs w:val="1"/>
                <w:color w:val="auto"/>
              </w:rPr>
              <w:t>Value ($)</w:t>
            </w:r>
          </w:p>
        </w:tc>
        <w:tc>
          <w:tcPr>
            <w:tcW w:w="1140" w:type="dxa"/>
            <w:vAlign w:val="bottom"/>
          </w:tcPr>
          <w:p>
            <w:pPr>
              <w:jc w:val="right"/>
              <w:ind w:right="269"/>
              <w:spacing w:after="0"/>
              <w:rPr>
                <w:sz w:val="20"/>
                <w:szCs w:val="20"/>
                <w:color w:val="auto"/>
              </w:rPr>
            </w:pPr>
            <w:r>
              <w:rPr>
                <w:rFonts w:ascii="Arial" w:cs="Arial" w:eastAsia="Arial" w:hAnsi="Arial"/>
                <w:sz w:val="14"/>
                <w:szCs w:val="14"/>
                <w:b w:val="1"/>
                <w:bCs w:val="1"/>
                <w:color w:val="auto"/>
              </w:rPr>
              <w:t>Shares (#)</w:t>
            </w:r>
          </w:p>
        </w:tc>
        <w:tc>
          <w:tcPr>
            <w:tcW w:w="720" w:type="dxa"/>
            <w:vAlign w:val="bottom"/>
          </w:tcPr>
          <w:p>
            <w:pPr>
              <w:jc w:val="right"/>
              <w:ind w:right="49"/>
              <w:spacing w:after="0"/>
              <w:rPr>
                <w:sz w:val="20"/>
                <w:szCs w:val="20"/>
                <w:color w:val="auto"/>
              </w:rPr>
            </w:pPr>
            <w:r>
              <w:rPr>
                <w:rFonts w:ascii="Arial" w:cs="Arial" w:eastAsia="Arial" w:hAnsi="Arial"/>
                <w:sz w:val="14"/>
                <w:szCs w:val="14"/>
                <w:b w:val="1"/>
                <w:bCs w:val="1"/>
                <w:color w:val="auto"/>
                <w:w w:val="99"/>
              </w:rPr>
              <w:t>Value ($)</w:t>
            </w:r>
          </w:p>
        </w:tc>
        <w:tc>
          <w:tcPr>
            <w:tcW w:w="0" w:type="dxa"/>
            <w:vAlign w:val="bottom"/>
          </w:tcPr>
          <w:p>
            <w:pPr>
              <w:spacing w:after="0"/>
              <w:rPr>
                <w:sz w:val="1"/>
                <w:szCs w:val="1"/>
                <w:color w:val="auto"/>
              </w:rPr>
            </w:pPr>
          </w:p>
        </w:tc>
      </w:tr>
      <w:tr>
        <w:trPr>
          <w:trHeight w:val="189"/>
        </w:trPr>
        <w:tc>
          <w:tcPr>
            <w:tcW w:w="3400" w:type="dxa"/>
            <w:vAlign w:val="bottom"/>
            <w:shd w:val="clear" w:color="auto" w:fill="D7F5C4"/>
          </w:tcPr>
          <w:p>
            <w:pPr>
              <w:spacing w:after="0"/>
              <w:rPr>
                <w:sz w:val="20"/>
                <w:szCs w:val="20"/>
                <w:color w:val="auto"/>
              </w:rPr>
            </w:pPr>
            <w:r>
              <w:rPr>
                <w:rFonts w:ascii="Arial" w:cs="Arial" w:eastAsia="Arial" w:hAnsi="Arial"/>
                <w:sz w:val="14"/>
                <w:szCs w:val="14"/>
                <w:color w:val="auto"/>
              </w:rPr>
              <w:t>John R. Hewitt</w:t>
            </w:r>
          </w:p>
        </w:tc>
        <w:tc>
          <w:tcPr>
            <w:tcW w:w="1140" w:type="dxa"/>
            <w:vAlign w:val="bottom"/>
            <w:shd w:val="clear" w:color="auto" w:fill="D7F5C4"/>
          </w:tcPr>
          <w:p>
            <w:pPr>
              <w:jc w:val="right"/>
              <w:ind w:right="130"/>
              <w:spacing w:after="0"/>
              <w:rPr>
                <w:sz w:val="20"/>
                <w:szCs w:val="20"/>
                <w:color w:val="auto"/>
              </w:rPr>
            </w:pPr>
            <w:r>
              <w:rPr>
                <w:rFonts w:ascii="Arial" w:cs="Arial" w:eastAsia="Arial" w:hAnsi="Arial"/>
                <w:sz w:val="14"/>
                <w:szCs w:val="14"/>
                <w:color w:val="auto"/>
              </w:rPr>
              <w:t>36,950</w:t>
            </w:r>
          </w:p>
        </w:tc>
        <w:tc>
          <w:tcPr>
            <w:tcW w:w="720" w:type="dxa"/>
            <w:vAlign w:val="bottom"/>
            <w:shd w:val="clear" w:color="auto" w:fill="D7F5C4"/>
          </w:tcPr>
          <w:p>
            <w:pPr>
              <w:jc w:val="right"/>
              <w:ind w:right="49"/>
              <w:spacing w:after="0"/>
              <w:rPr>
                <w:sz w:val="20"/>
                <w:szCs w:val="20"/>
                <w:color w:val="auto"/>
              </w:rPr>
            </w:pPr>
            <w:r>
              <w:rPr>
                <w:rFonts w:ascii="Arial" w:cs="Arial" w:eastAsia="Arial" w:hAnsi="Arial"/>
                <w:sz w:val="14"/>
                <w:szCs w:val="14"/>
                <w:color w:val="auto"/>
              </w:rPr>
              <w:t>789,901</w:t>
            </w:r>
          </w:p>
        </w:tc>
        <w:tc>
          <w:tcPr>
            <w:tcW w:w="1000" w:type="dxa"/>
            <w:vAlign w:val="bottom"/>
            <w:shd w:val="clear" w:color="auto" w:fill="D7F5C4"/>
          </w:tcPr>
          <w:p>
            <w:pPr>
              <w:ind w:left="760"/>
              <w:spacing w:after="0"/>
              <w:rPr>
                <w:sz w:val="20"/>
                <w:szCs w:val="20"/>
                <w:color w:val="auto"/>
              </w:rPr>
            </w:pPr>
            <w:r>
              <w:rPr>
                <w:rFonts w:ascii="Arial" w:cs="Arial" w:eastAsia="Arial" w:hAnsi="Arial"/>
                <w:sz w:val="14"/>
                <w:szCs w:val="14"/>
                <w:color w:val="auto"/>
              </w:rPr>
              <w:t>—</w:t>
            </w:r>
          </w:p>
        </w:tc>
        <w:tc>
          <w:tcPr>
            <w:tcW w:w="860" w:type="dxa"/>
            <w:vAlign w:val="bottom"/>
            <w:shd w:val="clear" w:color="auto" w:fill="D7F5C4"/>
          </w:tcPr>
          <w:p>
            <w:pPr>
              <w:ind w:left="580"/>
              <w:spacing w:after="0"/>
              <w:rPr>
                <w:sz w:val="20"/>
                <w:szCs w:val="20"/>
                <w:color w:val="auto"/>
              </w:rPr>
            </w:pPr>
            <w:r>
              <w:rPr>
                <w:rFonts w:ascii="Arial" w:cs="Arial" w:eastAsia="Arial" w:hAnsi="Arial"/>
                <w:sz w:val="14"/>
                <w:szCs w:val="14"/>
                <w:color w:val="auto"/>
              </w:rPr>
              <w:t>—</w:t>
            </w:r>
          </w:p>
        </w:tc>
        <w:tc>
          <w:tcPr>
            <w:tcW w:w="1140" w:type="dxa"/>
            <w:vAlign w:val="bottom"/>
            <w:shd w:val="clear" w:color="auto" w:fill="D7F5C4"/>
          </w:tcPr>
          <w:p>
            <w:pPr>
              <w:jc w:val="right"/>
              <w:ind w:right="149"/>
              <w:spacing w:after="0"/>
              <w:rPr>
                <w:sz w:val="20"/>
                <w:szCs w:val="20"/>
                <w:color w:val="auto"/>
              </w:rPr>
            </w:pPr>
            <w:r>
              <w:rPr>
                <w:rFonts w:ascii="Arial" w:cs="Arial" w:eastAsia="Arial" w:hAnsi="Arial"/>
                <w:sz w:val="14"/>
                <w:szCs w:val="14"/>
                <w:color w:val="auto"/>
              </w:rPr>
              <w:t>36,950</w:t>
            </w:r>
          </w:p>
        </w:tc>
        <w:tc>
          <w:tcPr>
            <w:tcW w:w="720" w:type="dxa"/>
            <w:vAlign w:val="bottom"/>
            <w:shd w:val="clear" w:color="auto" w:fill="D7F5C4"/>
          </w:tcPr>
          <w:p>
            <w:pPr>
              <w:jc w:val="right"/>
              <w:ind w:right="29"/>
              <w:spacing w:after="0"/>
              <w:rPr>
                <w:sz w:val="20"/>
                <w:szCs w:val="20"/>
                <w:color w:val="auto"/>
              </w:rPr>
            </w:pPr>
            <w:r>
              <w:rPr>
                <w:rFonts w:ascii="Arial" w:cs="Arial" w:eastAsia="Arial" w:hAnsi="Arial"/>
                <w:sz w:val="14"/>
                <w:szCs w:val="14"/>
                <w:color w:val="auto"/>
              </w:rPr>
              <w:t>789,901</w:t>
            </w:r>
          </w:p>
        </w:tc>
        <w:tc>
          <w:tcPr>
            <w:tcW w:w="0" w:type="dxa"/>
            <w:vAlign w:val="bottom"/>
          </w:tcPr>
          <w:p>
            <w:pPr>
              <w:spacing w:after="0"/>
              <w:rPr>
                <w:sz w:val="1"/>
                <w:szCs w:val="1"/>
                <w:color w:val="auto"/>
              </w:rPr>
            </w:pPr>
          </w:p>
        </w:tc>
      </w:tr>
      <w:tr>
        <w:trPr>
          <w:trHeight w:val="189"/>
        </w:trPr>
        <w:tc>
          <w:tcPr>
            <w:tcW w:w="3400" w:type="dxa"/>
            <w:vAlign w:val="bottom"/>
          </w:tcPr>
          <w:p>
            <w:pPr>
              <w:spacing w:after="0"/>
              <w:rPr>
                <w:sz w:val="20"/>
                <w:szCs w:val="20"/>
                <w:color w:val="auto"/>
              </w:rPr>
            </w:pPr>
            <w:r>
              <w:rPr>
                <w:rFonts w:ascii="Arial" w:cs="Arial" w:eastAsia="Arial" w:hAnsi="Arial"/>
                <w:sz w:val="14"/>
                <w:szCs w:val="14"/>
                <w:color w:val="auto"/>
              </w:rPr>
              <w:t>Joseph F. Montalbano</w:t>
            </w:r>
          </w:p>
        </w:tc>
        <w:tc>
          <w:tcPr>
            <w:tcW w:w="1140" w:type="dxa"/>
            <w:vAlign w:val="bottom"/>
          </w:tcPr>
          <w:p>
            <w:pPr>
              <w:jc w:val="right"/>
              <w:ind w:right="130"/>
              <w:spacing w:after="0"/>
              <w:rPr>
                <w:sz w:val="20"/>
                <w:szCs w:val="20"/>
                <w:color w:val="auto"/>
              </w:rPr>
            </w:pPr>
            <w:r>
              <w:rPr>
                <w:rFonts w:ascii="Arial" w:cs="Arial" w:eastAsia="Arial" w:hAnsi="Arial"/>
                <w:sz w:val="14"/>
                <w:szCs w:val="14"/>
                <w:color w:val="auto"/>
              </w:rPr>
              <w:t>12,934</w:t>
            </w: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276,518</w:t>
            </w:r>
          </w:p>
        </w:tc>
        <w:tc>
          <w:tcPr>
            <w:tcW w:w="1000" w:type="dxa"/>
            <w:vAlign w:val="bottom"/>
          </w:tcPr>
          <w:p>
            <w:pPr>
              <w:ind w:left="760"/>
              <w:spacing w:after="0"/>
              <w:rPr>
                <w:sz w:val="20"/>
                <w:szCs w:val="20"/>
                <w:color w:val="auto"/>
              </w:rPr>
            </w:pPr>
            <w:r>
              <w:rPr>
                <w:rFonts w:ascii="Arial" w:cs="Arial" w:eastAsia="Arial" w:hAnsi="Arial"/>
                <w:sz w:val="14"/>
                <w:szCs w:val="14"/>
                <w:color w:val="auto"/>
              </w:rPr>
              <w:t>—</w:t>
            </w:r>
          </w:p>
        </w:tc>
        <w:tc>
          <w:tcPr>
            <w:tcW w:w="860" w:type="dxa"/>
            <w:vAlign w:val="bottom"/>
          </w:tcPr>
          <w:p>
            <w:pPr>
              <w:ind w:left="58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49"/>
              <w:spacing w:after="0"/>
              <w:rPr>
                <w:sz w:val="20"/>
                <w:szCs w:val="20"/>
                <w:color w:val="auto"/>
              </w:rPr>
            </w:pPr>
            <w:r>
              <w:rPr>
                <w:rFonts w:ascii="Arial" w:cs="Arial" w:eastAsia="Arial" w:hAnsi="Arial"/>
                <w:sz w:val="14"/>
                <w:szCs w:val="14"/>
                <w:color w:val="auto"/>
              </w:rPr>
              <w:t>12,934</w:t>
            </w: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276,518</w:t>
            </w:r>
          </w:p>
        </w:tc>
        <w:tc>
          <w:tcPr>
            <w:tcW w:w="0" w:type="dxa"/>
            <w:vAlign w:val="bottom"/>
          </w:tcPr>
          <w:p>
            <w:pPr>
              <w:spacing w:after="0"/>
              <w:rPr>
                <w:sz w:val="1"/>
                <w:szCs w:val="1"/>
                <w:color w:val="auto"/>
              </w:rPr>
            </w:pPr>
          </w:p>
        </w:tc>
      </w:tr>
      <w:tr>
        <w:trPr>
          <w:trHeight w:val="189"/>
        </w:trPr>
        <w:tc>
          <w:tcPr>
            <w:tcW w:w="3400" w:type="dxa"/>
            <w:vAlign w:val="bottom"/>
            <w:shd w:val="clear" w:color="auto" w:fill="D7F5C4"/>
          </w:tcPr>
          <w:p>
            <w:pPr>
              <w:spacing w:after="0"/>
              <w:rPr>
                <w:sz w:val="20"/>
                <w:szCs w:val="20"/>
                <w:color w:val="auto"/>
              </w:rPr>
            </w:pPr>
            <w:r>
              <w:rPr>
                <w:rFonts w:ascii="Arial" w:cs="Arial" w:eastAsia="Arial" w:hAnsi="Arial"/>
                <w:sz w:val="14"/>
                <w:szCs w:val="14"/>
                <w:color w:val="auto"/>
              </w:rPr>
              <w:t>Kevin S. Cavanah</w:t>
            </w:r>
          </w:p>
        </w:tc>
        <w:tc>
          <w:tcPr>
            <w:tcW w:w="1140" w:type="dxa"/>
            <w:vAlign w:val="bottom"/>
            <w:shd w:val="clear" w:color="auto" w:fill="D7F5C4"/>
          </w:tcPr>
          <w:p>
            <w:pPr>
              <w:jc w:val="right"/>
              <w:ind w:right="130"/>
              <w:spacing w:after="0"/>
              <w:rPr>
                <w:sz w:val="20"/>
                <w:szCs w:val="20"/>
                <w:color w:val="auto"/>
              </w:rPr>
            </w:pPr>
            <w:r>
              <w:rPr>
                <w:rFonts w:ascii="Arial" w:cs="Arial" w:eastAsia="Arial" w:hAnsi="Arial"/>
                <w:sz w:val="14"/>
                <w:szCs w:val="14"/>
                <w:color w:val="auto"/>
              </w:rPr>
              <w:t>11,355</w:t>
            </w:r>
          </w:p>
        </w:tc>
        <w:tc>
          <w:tcPr>
            <w:tcW w:w="720" w:type="dxa"/>
            <w:vAlign w:val="bottom"/>
            <w:shd w:val="clear" w:color="auto" w:fill="D7F5C4"/>
          </w:tcPr>
          <w:p>
            <w:pPr>
              <w:jc w:val="right"/>
              <w:ind w:right="49"/>
              <w:spacing w:after="0"/>
              <w:rPr>
                <w:sz w:val="20"/>
                <w:szCs w:val="20"/>
                <w:color w:val="auto"/>
              </w:rPr>
            </w:pPr>
            <w:r>
              <w:rPr>
                <w:rFonts w:ascii="Arial" w:cs="Arial" w:eastAsia="Arial" w:hAnsi="Arial"/>
                <w:sz w:val="14"/>
                <w:szCs w:val="14"/>
                <w:color w:val="auto"/>
              </w:rPr>
              <w:t>242,759</w:t>
            </w:r>
          </w:p>
        </w:tc>
        <w:tc>
          <w:tcPr>
            <w:tcW w:w="1000" w:type="dxa"/>
            <w:vAlign w:val="bottom"/>
            <w:shd w:val="clear" w:color="auto" w:fill="D7F5C4"/>
          </w:tcPr>
          <w:p>
            <w:pPr>
              <w:ind w:left="760"/>
              <w:spacing w:after="0"/>
              <w:rPr>
                <w:sz w:val="20"/>
                <w:szCs w:val="20"/>
                <w:color w:val="auto"/>
              </w:rPr>
            </w:pPr>
            <w:r>
              <w:rPr>
                <w:rFonts w:ascii="Arial" w:cs="Arial" w:eastAsia="Arial" w:hAnsi="Arial"/>
                <w:sz w:val="14"/>
                <w:szCs w:val="14"/>
                <w:color w:val="auto"/>
              </w:rPr>
              <w:t>—</w:t>
            </w:r>
          </w:p>
        </w:tc>
        <w:tc>
          <w:tcPr>
            <w:tcW w:w="860" w:type="dxa"/>
            <w:vAlign w:val="bottom"/>
            <w:shd w:val="clear" w:color="auto" w:fill="D7F5C4"/>
          </w:tcPr>
          <w:p>
            <w:pPr>
              <w:ind w:left="580"/>
              <w:spacing w:after="0"/>
              <w:rPr>
                <w:sz w:val="20"/>
                <w:szCs w:val="20"/>
                <w:color w:val="auto"/>
              </w:rPr>
            </w:pPr>
            <w:r>
              <w:rPr>
                <w:rFonts w:ascii="Arial" w:cs="Arial" w:eastAsia="Arial" w:hAnsi="Arial"/>
                <w:sz w:val="14"/>
                <w:szCs w:val="14"/>
                <w:color w:val="auto"/>
              </w:rPr>
              <w:t>—</w:t>
            </w:r>
          </w:p>
        </w:tc>
        <w:tc>
          <w:tcPr>
            <w:tcW w:w="1140" w:type="dxa"/>
            <w:vAlign w:val="bottom"/>
            <w:shd w:val="clear" w:color="auto" w:fill="D7F5C4"/>
          </w:tcPr>
          <w:p>
            <w:pPr>
              <w:jc w:val="right"/>
              <w:ind w:right="149"/>
              <w:spacing w:after="0"/>
              <w:rPr>
                <w:sz w:val="20"/>
                <w:szCs w:val="20"/>
                <w:color w:val="auto"/>
              </w:rPr>
            </w:pPr>
            <w:r>
              <w:rPr>
                <w:rFonts w:ascii="Arial" w:cs="Arial" w:eastAsia="Arial" w:hAnsi="Arial"/>
                <w:sz w:val="14"/>
                <w:szCs w:val="14"/>
                <w:color w:val="auto"/>
              </w:rPr>
              <w:t>11,355</w:t>
            </w:r>
          </w:p>
        </w:tc>
        <w:tc>
          <w:tcPr>
            <w:tcW w:w="720" w:type="dxa"/>
            <w:vAlign w:val="bottom"/>
            <w:shd w:val="clear" w:color="auto" w:fill="D7F5C4"/>
          </w:tcPr>
          <w:p>
            <w:pPr>
              <w:jc w:val="right"/>
              <w:ind w:right="29"/>
              <w:spacing w:after="0"/>
              <w:rPr>
                <w:sz w:val="20"/>
                <w:szCs w:val="20"/>
                <w:color w:val="auto"/>
              </w:rPr>
            </w:pPr>
            <w:r>
              <w:rPr>
                <w:rFonts w:ascii="Arial" w:cs="Arial" w:eastAsia="Arial" w:hAnsi="Arial"/>
                <w:sz w:val="14"/>
                <w:szCs w:val="14"/>
                <w:color w:val="auto"/>
              </w:rPr>
              <w:t>242,759</w:t>
            </w:r>
          </w:p>
        </w:tc>
        <w:tc>
          <w:tcPr>
            <w:tcW w:w="0" w:type="dxa"/>
            <w:vAlign w:val="bottom"/>
          </w:tcPr>
          <w:p>
            <w:pPr>
              <w:spacing w:after="0"/>
              <w:rPr>
                <w:sz w:val="1"/>
                <w:szCs w:val="1"/>
                <w:color w:val="auto"/>
              </w:rPr>
            </w:pPr>
          </w:p>
        </w:tc>
      </w:tr>
      <w:tr>
        <w:trPr>
          <w:trHeight w:val="189"/>
        </w:trPr>
        <w:tc>
          <w:tcPr>
            <w:tcW w:w="3400" w:type="dxa"/>
            <w:vAlign w:val="bottom"/>
          </w:tcPr>
          <w:p>
            <w:pPr>
              <w:spacing w:after="0"/>
              <w:rPr>
                <w:sz w:val="20"/>
                <w:szCs w:val="20"/>
                <w:color w:val="auto"/>
              </w:rPr>
            </w:pPr>
            <w:r>
              <w:rPr>
                <w:rFonts w:ascii="Arial" w:cs="Arial" w:eastAsia="Arial" w:hAnsi="Arial"/>
                <w:sz w:val="14"/>
                <w:szCs w:val="14"/>
                <w:color w:val="auto"/>
              </w:rPr>
              <w:t>Alan R. Updyke</w:t>
            </w:r>
          </w:p>
        </w:tc>
        <w:tc>
          <w:tcPr>
            <w:tcW w:w="1140" w:type="dxa"/>
            <w:vAlign w:val="bottom"/>
          </w:tcPr>
          <w:p>
            <w:pPr>
              <w:jc w:val="right"/>
              <w:ind w:right="130"/>
              <w:spacing w:after="0"/>
              <w:rPr>
                <w:sz w:val="20"/>
                <w:szCs w:val="20"/>
                <w:color w:val="auto"/>
              </w:rPr>
            </w:pPr>
            <w:r>
              <w:rPr>
                <w:rFonts w:ascii="Arial" w:cs="Arial" w:eastAsia="Arial" w:hAnsi="Arial"/>
                <w:sz w:val="14"/>
                <w:szCs w:val="14"/>
                <w:color w:val="auto"/>
              </w:rPr>
              <w:t>5,859</w:t>
            </w: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125,203</w:t>
            </w:r>
          </w:p>
        </w:tc>
        <w:tc>
          <w:tcPr>
            <w:tcW w:w="1000" w:type="dxa"/>
            <w:vAlign w:val="bottom"/>
          </w:tcPr>
          <w:p>
            <w:pPr>
              <w:ind w:left="760"/>
              <w:spacing w:after="0"/>
              <w:rPr>
                <w:sz w:val="20"/>
                <w:szCs w:val="20"/>
                <w:color w:val="auto"/>
              </w:rPr>
            </w:pPr>
            <w:r>
              <w:rPr>
                <w:rFonts w:ascii="Arial" w:cs="Arial" w:eastAsia="Arial" w:hAnsi="Arial"/>
                <w:sz w:val="14"/>
                <w:szCs w:val="14"/>
                <w:color w:val="auto"/>
              </w:rPr>
              <w:t>—</w:t>
            </w:r>
          </w:p>
        </w:tc>
        <w:tc>
          <w:tcPr>
            <w:tcW w:w="860" w:type="dxa"/>
            <w:vAlign w:val="bottom"/>
          </w:tcPr>
          <w:p>
            <w:pPr>
              <w:ind w:left="58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49"/>
              <w:spacing w:after="0"/>
              <w:rPr>
                <w:sz w:val="20"/>
                <w:szCs w:val="20"/>
                <w:color w:val="auto"/>
              </w:rPr>
            </w:pPr>
            <w:r>
              <w:rPr>
                <w:rFonts w:ascii="Arial" w:cs="Arial" w:eastAsia="Arial" w:hAnsi="Arial"/>
                <w:sz w:val="14"/>
                <w:szCs w:val="14"/>
                <w:color w:val="auto"/>
              </w:rPr>
              <w:t>5,859</w:t>
            </w: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125,203</w:t>
            </w:r>
          </w:p>
        </w:tc>
        <w:tc>
          <w:tcPr>
            <w:tcW w:w="0" w:type="dxa"/>
            <w:vAlign w:val="bottom"/>
          </w:tcPr>
          <w:p>
            <w:pPr>
              <w:spacing w:after="0"/>
              <w:rPr>
                <w:sz w:val="1"/>
                <w:szCs w:val="1"/>
                <w:color w:val="auto"/>
              </w:rPr>
            </w:pPr>
          </w:p>
        </w:tc>
      </w:tr>
      <w:tr>
        <w:trPr>
          <w:trHeight w:val="189"/>
        </w:trPr>
        <w:tc>
          <w:tcPr>
            <w:tcW w:w="3400" w:type="dxa"/>
            <w:vAlign w:val="bottom"/>
            <w:shd w:val="clear" w:color="auto" w:fill="D7F5C4"/>
          </w:tcPr>
          <w:p>
            <w:pPr>
              <w:spacing w:after="0"/>
              <w:rPr>
                <w:sz w:val="20"/>
                <w:szCs w:val="20"/>
                <w:color w:val="auto"/>
              </w:rPr>
            </w:pPr>
            <w:r>
              <w:rPr>
                <w:rFonts w:ascii="Arial" w:cs="Arial" w:eastAsia="Arial" w:hAnsi="Arial"/>
                <w:sz w:val="14"/>
                <w:szCs w:val="14"/>
                <w:color w:val="auto"/>
              </w:rPr>
              <w:t>Jason W. Turner</w:t>
            </w:r>
          </w:p>
        </w:tc>
        <w:tc>
          <w:tcPr>
            <w:tcW w:w="1140" w:type="dxa"/>
            <w:vAlign w:val="bottom"/>
            <w:shd w:val="clear" w:color="auto" w:fill="D7F5C4"/>
          </w:tcPr>
          <w:p>
            <w:pPr>
              <w:jc w:val="right"/>
              <w:ind w:right="130"/>
              <w:spacing w:after="0"/>
              <w:rPr>
                <w:sz w:val="20"/>
                <w:szCs w:val="20"/>
                <w:color w:val="auto"/>
              </w:rPr>
            </w:pPr>
            <w:r>
              <w:rPr>
                <w:rFonts w:ascii="Arial" w:cs="Arial" w:eastAsia="Arial" w:hAnsi="Arial"/>
                <w:sz w:val="14"/>
                <w:szCs w:val="14"/>
                <w:color w:val="auto"/>
              </w:rPr>
              <w:t>7,426</w:t>
            </w:r>
          </w:p>
        </w:tc>
        <w:tc>
          <w:tcPr>
            <w:tcW w:w="720" w:type="dxa"/>
            <w:vAlign w:val="bottom"/>
            <w:shd w:val="clear" w:color="auto" w:fill="D7F5C4"/>
          </w:tcPr>
          <w:p>
            <w:pPr>
              <w:jc w:val="right"/>
              <w:ind w:right="49"/>
              <w:spacing w:after="0"/>
              <w:rPr>
                <w:sz w:val="20"/>
                <w:szCs w:val="20"/>
                <w:color w:val="auto"/>
              </w:rPr>
            </w:pPr>
            <w:r>
              <w:rPr>
                <w:rFonts w:ascii="Arial" w:cs="Arial" w:eastAsia="Arial" w:hAnsi="Arial"/>
                <w:sz w:val="14"/>
                <w:szCs w:val="14"/>
                <w:color w:val="auto"/>
              </w:rPr>
              <w:t>158,760</w:t>
            </w:r>
          </w:p>
        </w:tc>
        <w:tc>
          <w:tcPr>
            <w:tcW w:w="1000" w:type="dxa"/>
            <w:vAlign w:val="bottom"/>
            <w:shd w:val="clear" w:color="auto" w:fill="D7F5C4"/>
          </w:tcPr>
          <w:p>
            <w:pPr>
              <w:ind w:left="760"/>
              <w:spacing w:after="0"/>
              <w:rPr>
                <w:sz w:val="20"/>
                <w:szCs w:val="20"/>
                <w:color w:val="auto"/>
              </w:rPr>
            </w:pPr>
            <w:r>
              <w:rPr>
                <w:rFonts w:ascii="Arial" w:cs="Arial" w:eastAsia="Arial" w:hAnsi="Arial"/>
                <w:sz w:val="14"/>
                <w:szCs w:val="14"/>
                <w:color w:val="auto"/>
              </w:rPr>
              <w:t>—</w:t>
            </w:r>
          </w:p>
        </w:tc>
        <w:tc>
          <w:tcPr>
            <w:tcW w:w="860" w:type="dxa"/>
            <w:vAlign w:val="bottom"/>
            <w:shd w:val="clear" w:color="auto" w:fill="D7F5C4"/>
          </w:tcPr>
          <w:p>
            <w:pPr>
              <w:ind w:left="580"/>
              <w:spacing w:after="0"/>
              <w:rPr>
                <w:sz w:val="20"/>
                <w:szCs w:val="20"/>
                <w:color w:val="auto"/>
              </w:rPr>
            </w:pPr>
            <w:r>
              <w:rPr>
                <w:rFonts w:ascii="Arial" w:cs="Arial" w:eastAsia="Arial" w:hAnsi="Arial"/>
                <w:sz w:val="14"/>
                <w:szCs w:val="14"/>
                <w:color w:val="auto"/>
              </w:rPr>
              <w:t>—</w:t>
            </w:r>
          </w:p>
        </w:tc>
        <w:tc>
          <w:tcPr>
            <w:tcW w:w="1140" w:type="dxa"/>
            <w:vAlign w:val="bottom"/>
            <w:shd w:val="clear" w:color="auto" w:fill="D7F5C4"/>
          </w:tcPr>
          <w:p>
            <w:pPr>
              <w:jc w:val="right"/>
              <w:ind w:right="149"/>
              <w:spacing w:after="0"/>
              <w:rPr>
                <w:sz w:val="20"/>
                <w:szCs w:val="20"/>
                <w:color w:val="auto"/>
              </w:rPr>
            </w:pPr>
            <w:r>
              <w:rPr>
                <w:rFonts w:ascii="Arial" w:cs="Arial" w:eastAsia="Arial" w:hAnsi="Arial"/>
                <w:sz w:val="14"/>
                <w:szCs w:val="14"/>
                <w:color w:val="auto"/>
              </w:rPr>
              <w:t>7,426</w:t>
            </w:r>
          </w:p>
        </w:tc>
        <w:tc>
          <w:tcPr>
            <w:tcW w:w="720" w:type="dxa"/>
            <w:vAlign w:val="bottom"/>
            <w:shd w:val="clear" w:color="auto" w:fill="D7F5C4"/>
          </w:tcPr>
          <w:p>
            <w:pPr>
              <w:jc w:val="right"/>
              <w:ind w:right="29"/>
              <w:spacing w:after="0"/>
              <w:rPr>
                <w:sz w:val="20"/>
                <w:szCs w:val="20"/>
                <w:color w:val="auto"/>
              </w:rPr>
            </w:pPr>
            <w:r>
              <w:rPr>
                <w:rFonts w:ascii="Arial" w:cs="Arial" w:eastAsia="Arial" w:hAnsi="Arial"/>
                <w:sz w:val="14"/>
                <w:szCs w:val="14"/>
                <w:color w:val="auto"/>
              </w:rPr>
              <w:t>158,760</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ind w:left="367" w:right="180"/>
        <w:spacing w:after="0" w:line="250" w:lineRule="auto"/>
        <w:rPr>
          <w:sz w:val="20"/>
          <w:szCs w:val="20"/>
          <w:color w:val="auto"/>
        </w:rPr>
      </w:pPr>
      <w:r>
        <w:rPr>
          <w:rFonts w:ascii="Arial" w:cs="Arial" w:eastAsia="Arial" w:hAnsi="Arial"/>
          <w:sz w:val="14"/>
          <w:szCs w:val="14"/>
          <w:color w:val="auto"/>
        </w:rPr>
        <w:t>The performance based awards that did not vest in fiscal 2019 were the fiscal 2016 performance unit awards that were based on relative Total Shareholder Return from fiscal 2016 through the end of fiscal 2018. Based on the Company’s performance over the vesting period, no payout was earned.</w:t>
      </w:r>
    </w:p>
    <w:p>
      <w:pPr>
        <w:spacing w:after="0" w:line="131"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61DA16"/>
        </w:rPr>
        <w:t>Potential Payments Upon Termination or Change of Control</w:t>
      </w:r>
    </w:p>
    <w:p>
      <w:pPr>
        <w:spacing w:after="0" w:line="126" w:lineRule="exact"/>
        <w:rPr>
          <w:sz w:val="20"/>
          <w:szCs w:val="20"/>
          <w:color w:val="auto"/>
        </w:rPr>
      </w:pPr>
    </w:p>
    <w:p>
      <w:pPr>
        <w:ind w:left="7"/>
        <w:spacing w:after="0" w:line="254" w:lineRule="auto"/>
        <w:rPr>
          <w:sz w:val="20"/>
          <w:szCs w:val="20"/>
          <w:color w:val="auto"/>
        </w:rPr>
      </w:pPr>
      <w:r>
        <w:rPr>
          <w:rFonts w:ascii="Arial" w:cs="Arial" w:eastAsia="Arial" w:hAnsi="Arial"/>
          <w:sz w:val="18"/>
          <w:szCs w:val="18"/>
          <w:color w:val="auto"/>
        </w:rPr>
        <w:t>We have entered into Change of Control/Severance Agreements with all of our NEOs. These agreements are designed to promote stability, continuity and focus for key members of leadership during periods of uncertainty that may be created by change of control situations. Additionally, the use of such agreements is a competitive practice that enhances our ability to attract and retain leadership talent.</w:t>
      </w:r>
    </w:p>
    <w:p>
      <w:pPr>
        <w:spacing w:after="0" w:line="204"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6071870" cy="431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Under these agreements, payment of benefits may occur under two circumstances:</w:t>
      </w:r>
    </w:p>
    <w:p>
      <w:pPr>
        <w:spacing w:after="0" w:line="104" w:lineRule="exact"/>
        <w:rPr>
          <w:sz w:val="20"/>
          <w:szCs w:val="20"/>
          <w:color w:val="auto"/>
        </w:rPr>
      </w:pPr>
    </w:p>
    <w:p>
      <w:pPr>
        <w:ind w:left="700" w:right="60" w:hanging="356"/>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If we experience a “Change of Control”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the executive suffers an “Adverse Event” or is terminated without “Cause,” either on the date of the Change of Control or within 24 months following the Change of Control date; or</w:t>
      </w:r>
    </w:p>
    <w:p>
      <w:pPr>
        <w:spacing w:after="0" w:line="94" w:lineRule="exact"/>
        <w:rPr>
          <w:rFonts w:ascii="Arial" w:cs="Arial" w:eastAsia="Arial" w:hAnsi="Arial"/>
          <w:sz w:val="18"/>
          <w:szCs w:val="18"/>
          <w:color w:val="auto"/>
        </w:rPr>
      </w:pPr>
    </w:p>
    <w:p>
      <w:pPr>
        <w:ind w:left="700" w:hanging="356"/>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executive is terminated from employment at any time for reasons other than Cause.</w:t>
      </w:r>
    </w:p>
    <w:p>
      <w:pPr>
        <w:spacing w:after="0" w:line="10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“Change of Control” means (i) the acquisition by any “person” or “group” (as defined pursuant to Section 13(d) under the Securities Exchange Act) of “beneficial ownership” (as defined in Rule 13d-3 under the Exchange Act) of in excess of 35% of the combined voting power of the outstanding voting securities of the Company entitled to vote generally in the election of directors (the “Voting Securities”); (ii) during any one (1) year period, individuals who at the beginning of such period constituted the Board of the Company (the “Board”) (together with any new directors whose election by the Board or nomination for election by the Company’s stockholders was approved by a vote of at least two-thirds (2/3) of the directors of the Company then still in office who either were directors at the beginning of such period or whose election or nomination for election was previously so approved (but excluding, for purposes of this definition,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cease for any reason to constitute a majority of the members of the Board; (iii) consummation of a merger, consolidation, recapitalization or reorganization of the Company, other than a merger, consolidation, recapitalization or reorganization which would result in the Voting Securities of the Company outstanding immediately prior thereto continuing to represent, either by remaining outstanding or by being converted into voting stock of the surviving entity (or if the surviving entity is a subsidiary of another entity, then of the parent entity of such surviving entity), more than fifty percent (50%) of the total voting power represented by the voting stock of the surviving entity (or parent entity) outstanding immediately after such merger, consolidation, recapitalization or reorganization; (iv) a “change in the ownership of a substantial portion of the assets” of the Company as these terms are defined under Code § 409A(a)(2)(A)(v) and Treasury Regulations § 1.409A-3(g)(5) or other then existing and applicable Treasury Regulations promulgated under Code § 409A that define the terms “change of control” for deferred compensation arrangements or (v) the Company’s stockholders approve a plan of complete liquidation of the Company or an agreement for the sale or disposition by the Company (in one transaction or a series of related transactions) of all or substantially all of the Company’s assets to any Person.</w:t>
      </w:r>
    </w:p>
    <w:p>
      <w:pPr>
        <w:spacing w:after="0" w:line="9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“Cause” means, with reference to a severance event, that the executive has been severed from employment with the Company because of the executive’s theft of Company property, embezzlement or dishonesty that results in harm to the Company; continued gross or willful neglect of his or her job responsibilities after receiving written warnings regarding such neglect from the Company; conviction of a felony or pleading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 felony charged under state or federal law; or willful violation of Company policy. A determination by the Company’s Board that an event constituting “Cause” under this Agreement has occurred is binding upon the Company and the executive.</w:t>
      </w:r>
    </w:p>
    <w:p>
      <w:pPr>
        <w:spacing w:after="0" w:line="10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“Adverse Event” means that the executive has experienced an event that has a material adverse impact on the executive’s job position, responsibilities, duties, authorities, compensation or opportunities within the Company. An Adverse Event shall be considered “material” when: (i) the executive experiences any reduction in base salary; (ii) the executive experiences a reduction in salary range or opportunity for increases in salary; (iii) the executive experiences a reduction in incentive compensation range or opportunity; (iv) there is a material reduction in the executive’s executive benefits or perquisites; (v) the executive is reassigned to a position or role with a lower salary range, salary opportunity, incentive range or incentive opportunity; or (vi) the executive experiences a material reduction in responsibilities.</w:t>
      </w:r>
    </w:p>
    <w:p>
      <w:pPr>
        <w:spacing w:after="0" w:line="87"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 the event payment of benefits is triggered under these agreements, the executive officer will be paid in the manner outlined below. All benefits paid under these agreements are conditioned upon the executive executing a non-interference, non-solicitation, waiver and release of claims and confidentiality agreement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6071870" cy="431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5"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in a form satisfactory to us. Failure to execute such an agreement prior to the payment date is considered an absolute forfeiture of the severance benefit. In the event an executive officer is terminated for Cause, all benefits and payments under the agreement are forfeited.</w:t>
      </w:r>
    </w:p>
    <w:p>
      <w:pPr>
        <w:spacing w:after="0" w:line="94"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In the event an executive suffers an Adverse Event or is terminated from employment for reasons other than Cause, each within 24 months of a Change of Control, benefits are paid as follows:</w:t>
      </w:r>
    </w:p>
    <w:p>
      <w:pPr>
        <w:spacing w:after="0" w:line="88" w:lineRule="exact"/>
        <w:rPr>
          <w:sz w:val="20"/>
          <w:szCs w:val="20"/>
          <w:color w:val="auto"/>
        </w:rPr>
      </w:pPr>
    </w:p>
    <w:p>
      <w:pPr>
        <w:ind w:left="700" w:right="300" w:hanging="356"/>
        <w:spacing w:after="0" w:line="239" w:lineRule="auto"/>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Hewitt, Mr. Cavanah and Mr. Montalbano – Paid an amount equal to two years of base salary plus the average annual bonus compensation paid to the executive in the lesser of the previous three years or the number of full fiscal years the executive has been employed in the position. All forms of equity benefits vest and restrictions on such benefits lapse immediately.</w:t>
      </w:r>
    </w:p>
    <w:p>
      <w:pPr>
        <w:spacing w:after="0" w:line="93" w:lineRule="exact"/>
        <w:rPr>
          <w:rFonts w:ascii="Arial" w:cs="Arial" w:eastAsia="Arial" w:hAnsi="Arial"/>
          <w:sz w:val="18"/>
          <w:szCs w:val="18"/>
          <w:color w:val="auto"/>
        </w:rPr>
      </w:pPr>
    </w:p>
    <w:p>
      <w:pPr>
        <w:ind w:left="700" w:right="140" w:hanging="35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Turner – Paid an amount equal to one and one-half years of base salary plus the average annual bonus compensation paid to the executive in the previous three calendar years. All forms of equity benefits vest and restrictions on such benefits lapse immediately.</w:t>
      </w:r>
    </w:p>
    <w:p>
      <w:pPr>
        <w:spacing w:after="0" w:line="94" w:lineRule="exact"/>
        <w:rPr>
          <w:rFonts w:ascii="Arial" w:cs="Arial" w:eastAsia="Arial" w:hAnsi="Arial"/>
          <w:sz w:val="18"/>
          <w:szCs w:val="18"/>
          <w:color w:val="auto"/>
        </w:rPr>
      </w:pPr>
    </w:p>
    <w:p>
      <w:pPr>
        <w:jc w:val="both"/>
        <w:ind w:left="700" w:right="140" w:hanging="35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Updyke – Paid an amount equal to one year of base salary plus the average annual bonus compensation paid to the executive in the previous three calendar years. All forms of equity benefits vest and restrictions on such benefits lapse immediately.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In the absence of a Change of Control, in the event an executive is terminated from employment for reasons other than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Cause, benefits are paid as follows:</w:t>
      </w:r>
    </w:p>
    <w:p>
      <w:pPr>
        <w:spacing w:after="0" w:line="117" w:lineRule="exact"/>
        <w:rPr>
          <w:sz w:val="20"/>
          <w:szCs w:val="20"/>
          <w:color w:val="auto"/>
        </w:rPr>
      </w:pPr>
    </w:p>
    <w:p>
      <w:pPr>
        <w:ind w:left="700" w:right="80" w:hanging="356"/>
        <w:spacing w:after="0" w:line="246" w:lineRule="auto"/>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Hewitt – Paid an amount equal to one year of base salary plus bonus compensation in an amount equal to his target short-term incentive payout which is currently 100% of base salary.</w:t>
      </w:r>
    </w:p>
    <w:p>
      <w:pPr>
        <w:spacing w:after="0" w:line="88" w:lineRule="exact"/>
        <w:rPr>
          <w:rFonts w:ascii="Arial" w:cs="Arial" w:eastAsia="Arial" w:hAnsi="Arial"/>
          <w:sz w:val="18"/>
          <w:szCs w:val="18"/>
          <w:color w:val="auto"/>
        </w:rPr>
      </w:pPr>
    </w:p>
    <w:p>
      <w:pPr>
        <w:ind w:left="700" w:right="160" w:hanging="356"/>
        <w:spacing w:after="0" w:line="275" w:lineRule="auto"/>
        <w:tabs>
          <w:tab w:leader="none" w:pos="7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Mr. Cavanah, Mr. Montalbano, Mr. Updyke and Mr. Turner – Paid an amount equal to one year of base salary plus the average annual bonus compensation paid to the executive in the previous three calendar years.</w:t>
      </w:r>
    </w:p>
    <w:p>
      <w:pPr>
        <w:spacing w:after="0" w:line="6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have also entered into Change of Control Agreements with other executive officers and key members of management. These agreements are designed to promote stability, continuity and focus for key personnel during periods of uncertainty that may be created by potential change of control situations. We seek to offer some security and protection when asking officers and managers to remain engaged through uncertain times.</w:t>
      </w:r>
    </w:p>
    <w:p>
      <w:pPr>
        <w:spacing w:after="0" w:line="96"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Under these agreements, payment of benefits occurs in the event of a Change of Control and the executive officer/manager has suffered an Adverse Event or been terminated from employment for reasons other than Cause, either on the date of the Change of Control or within six months of the Change of Control date. There is no general severance clause in these agreements.</w:t>
      </w:r>
    </w:p>
    <w:p>
      <w:pPr>
        <w:spacing w:after="0" w:line="9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the event payment of benefits is triggered under these agreements, the executive officer/manager will be paid an amount equal to one year of base salary. In addition, all equity awards immediately vest and all restrictions on such benefits lapse. All benefits paid under these agreements are conditional upon the executive officer/manager executing a non-interference, non-solicitation, waiver and release of claims and confidentiality agreement in a form satisfactory to us. Failure to execute such an agreement prior to the payment date will be considered an absolute forfeiture of the severance benefit. In the event an executive officer/manager is terminated for Cause, all benefits and payments under the agreement are forfeited.</w:t>
      </w:r>
    </w:p>
    <w:p>
      <w:pPr>
        <w:spacing w:after="0" w:line="9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Benefits will be paid in the calendar year the triggering event occurs and, generally, within thirty days of the date of the triggering event. In no case shall the payment of the severance benefits be paid later than March 15 following the calendar year in which the event occurred.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6071870" cy="431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48" w:name="page49"/>
    <w:bookmarkEnd w:id="48"/>
    <w:p>
      <w:pPr>
        <w:ind w:left="485"/>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53" w:lineRule="exact"/>
        <w:rPr>
          <w:sz w:val="20"/>
          <w:szCs w:val="20"/>
          <w:color w:val="auto"/>
        </w:rPr>
      </w:pPr>
    </w:p>
    <w:p>
      <w:pPr>
        <w:ind w:left="5"/>
        <w:spacing w:after="0" w:line="253" w:lineRule="auto"/>
        <w:rPr>
          <w:sz w:val="20"/>
          <w:szCs w:val="20"/>
          <w:color w:val="auto"/>
        </w:rPr>
      </w:pPr>
      <w:r>
        <w:rPr>
          <w:rFonts w:ascii="Arial" w:cs="Arial" w:eastAsia="Arial" w:hAnsi="Arial"/>
          <w:sz w:val="18"/>
          <w:szCs w:val="18"/>
          <w:color w:val="auto"/>
        </w:rPr>
        <w:t>The following table shows potential payments to our Named Executive Officers under existing contracts, agreements, plans or arrangements, whether written or unwritten for various scenarios involving a termination of each of such Named Executive Officers, assuming a June 30, 2019 termination date and, where applicable, using the closing price of our common stock on June 28, 2019 of $20.26. These amounts are estimates only. The actual amounts to be paid can only be determined at the time of such executive officer’s separation from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5444490</wp:posOffset>
            </wp:positionH>
            <wp:positionV relativeFrom="paragraph">
              <wp:posOffset>27940</wp:posOffset>
            </wp:positionV>
            <wp:extent cx="34290" cy="2489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248920"/>
                    </a:xfrm>
                    <a:prstGeom prst="rect">
                      <a:avLst/>
                    </a:prstGeom>
                    <a:noFill/>
                  </pic:spPr>
                </pic:pic>
              </a:graphicData>
            </a:graphic>
          </wp:anchor>
        </w:drawing>
        <w:drawing>
          <wp:anchor simplePos="0" relativeHeight="251657728" behindDoc="1" locked="0" layoutInCell="0" allowOverlap="1">
            <wp:simplePos x="0" y="0"/>
            <wp:positionH relativeFrom="column">
              <wp:posOffset>4895850</wp:posOffset>
            </wp:positionH>
            <wp:positionV relativeFrom="paragraph">
              <wp:posOffset>27940</wp:posOffset>
            </wp:positionV>
            <wp:extent cx="34290" cy="2489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248920"/>
                    </a:xfrm>
                    <a:prstGeom prst="rect">
                      <a:avLst/>
                    </a:prstGeom>
                    <a:noFill/>
                  </pic:spPr>
                </pic:pic>
              </a:graphicData>
            </a:graphic>
          </wp:anchor>
        </w:drawing>
        <w:drawing>
          <wp:anchor simplePos="0" relativeHeight="251657728" behindDoc="1" locked="0" layoutInCell="0" allowOverlap="1">
            <wp:simplePos x="0" y="0"/>
            <wp:positionH relativeFrom="column">
              <wp:posOffset>4406900</wp:posOffset>
            </wp:positionH>
            <wp:positionV relativeFrom="paragraph">
              <wp:posOffset>27940</wp:posOffset>
            </wp:positionV>
            <wp:extent cx="34290" cy="2489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248920"/>
                    </a:xfrm>
                    <a:prstGeom prst="rect">
                      <a:avLst/>
                    </a:prstGeom>
                    <a:noFill/>
                  </pic:spPr>
                </pic:pic>
              </a:graphicData>
            </a:graphic>
          </wp:anchor>
        </w:drawing>
        <w:drawing>
          <wp:anchor simplePos="0" relativeHeight="251657728" behindDoc="1" locked="0" layoutInCell="0" allowOverlap="1">
            <wp:simplePos x="0" y="0"/>
            <wp:positionH relativeFrom="column">
              <wp:posOffset>2614930</wp:posOffset>
            </wp:positionH>
            <wp:positionV relativeFrom="paragraph">
              <wp:posOffset>27940</wp:posOffset>
            </wp:positionV>
            <wp:extent cx="34290" cy="2489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248920"/>
                    </a:xfrm>
                    <a:prstGeom prst="rect">
                      <a:avLst/>
                    </a:prstGeom>
                    <a:noFill/>
                  </pic:spPr>
                </pic:pic>
              </a:graphicData>
            </a:graphic>
          </wp:anchor>
        </w:drawing>
      </w:r>
    </w:p>
    <w:p>
      <w:pPr>
        <w:spacing w:after="0" w:line="18" w:lineRule="exact"/>
        <w:rPr>
          <w:sz w:val="20"/>
          <w:szCs w:val="20"/>
          <w:color w:val="auto"/>
        </w:rPr>
      </w:pPr>
    </w:p>
    <w:tbl>
      <w:tblPr>
        <w:tblLayout w:type="fixed"/>
        <w:tblInd w:w="5" w:type="dxa"/>
        <w:tblCellMar>
          <w:top w:w="0" w:type="dxa"/>
          <w:left w:w="0" w:type="dxa"/>
          <w:bottom w:w="0" w:type="dxa"/>
          <w:right w:w="0" w:type="dxa"/>
        </w:tblCellMar>
      </w:tblPr>
      <w:tr>
        <w:trPr>
          <w:trHeight w:val="126"/>
        </w:trPr>
        <w:tc>
          <w:tcPr>
            <w:tcW w:w="1240" w:type="dxa"/>
            <w:vAlign w:val="bottom"/>
          </w:tcPr>
          <w:p>
            <w:pPr>
              <w:spacing w:after="0"/>
              <w:rPr>
                <w:sz w:val="10"/>
                <w:szCs w:val="10"/>
                <w:color w:val="auto"/>
              </w:rPr>
            </w:pPr>
          </w:p>
        </w:tc>
        <w:tc>
          <w:tcPr>
            <w:tcW w:w="720" w:type="dxa"/>
            <w:vAlign w:val="bottom"/>
            <w:shd w:val="clear" w:color="auto" w:fill="D7F5C4"/>
          </w:tcPr>
          <w:p>
            <w:pPr>
              <w:spacing w:after="0"/>
              <w:rPr>
                <w:sz w:val="10"/>
                <w:szCs w:val="10"/>
                <w:color w:val="auto"/>
              </w:rPr>
            </w:pPr>
          </w:p>
        </w:tc>
        <w:tc>
          <w:tcPr>
            <w:tcW w:w="740" w:type="dxa"/>
            <w:vAlign w:val="bottom"/>
            <w:shd w:val="clear" w:color="auto" w:fill="D7F5C4"/>
          </w:tcPr>
          <w:p>
            <w:pPr>
              <w:spacing w:after="0"/>
              <w:rPr>
                <w:sz w:val="10"/>
                <w:szCs w:val="10"/>
                <w:color w:val="auto"/>
              </w:rPr>
            </w:pPr>
          </w:p>
        </w:tc>
        <w:tc>
          <w:tcPr>
            <w:tcW w:w="600" w:type="dxa"/>
            <w:vAlign w:val="bottom"/>
            <w:shd w:val="clear" w:color="auto" w:fill="D7F5C4"/>
          </w:tcPr>
          <w:p>
            <w:pPr>
              <w:spacing w:after="0"/>
              <w:rPr>
                <w:sz w:val="10"/>
                <w:szCs w:val="10"/>
                <w:color w:val="auto"/>
              </w:rPr>
            </w:pPr>
          </w:p>
        </w:tc>
        <w:tc>
          <w:tcPr>
            <w:tcW w:w="840" w:type="dxa"/>
            <w:vAlign w:val="bottom"/>
            <w:shd w:val="clear" w:color="auto" w:fill="D7F5C4"/>
          </w:tcPr>
          <w:p>
            <w:pPr>
              <w:spacing w:after="0"/>
              <w:rPr>
                <w:sz w:val="10"/>
                <w:szCs w:val="10"/>
                <w:color w:val="auto"/>
              </w:rPr>
            </w:pPr>
          </w:p>
        </w:tc>
        <w:tc>
          <w:tcPr>
            <w:tcW w:w="700" w:type="dxa"/>
            <w:vAlign w:val="bottom"/>
            <w:shd w:val="clear" w:color="auto" w:fill="D7F5C4"/>
          </w:tcPr>
          <w:p>
            <w:pPr>
              <w:spacing w:after="0"/>
              <w:rPr>
                <w:sz w:val="10"/>
                <w:szCs w:val="10"/>
                <w:color w:val="auto"/>
              </w:rPr>
            </w:pPr>
          </w:p>
        </w:tc>
        <w:tc>
          <w:tcPr>
            <w:tcW w:w="700" w:type="dxa"/>
            <w:vAlign w:val="bottom"/>
            <w:shd w:val="clear" w:color="auto" w:fill="D7F5C4"/>
          </w:tcPr>
          <w:p>
            <w:pPr>
              <w:spacing w:after="0"/>
              <w:rPr>
                <w:sz w:val="10"/>
                <w:szCs w:val="10"/>
                <w:color w:val="auto"/>
              </w:rPr>
            </w:pPr>
          </w:p>
        </w:tc>
        <w:tc>
          <w:tcPr>
            <w:tcW w:w="580" w:type="dxa"/>
            <w:vAlign w:val="bottom"/>
            <w:shd w:val="clear" w:color="auto" w:fill="D7F5C4"/>
          </w:tcPr>
          <w:p>
            <w:pPr>
              <w:spacing w:after="0"/>
              <w:rPr>
                <w:sz w:val="10"/>
                <w:szCs w:val="10"/>
                <w:color w:val="auto"/>
              </w:rPr>
            </w:pPr>
          </w:p>
        </w:tc>
        <w:tc>
          <w:tcPr>
            <w:tcW w:w="840" w:type="dxa"/>
            <w:vAlign w:val="bottom"/>
            <w:shd w:val="clear" w:color="auto" w:fill="D7F5C4"/>
          </w:tcPr>
          <w:p>
            <w:pPr>
              <w:spacing w:after="0"/>
              <w:rPr>
                <w:sz w:val="10"/>
                <w:szCs w:val="10"/>
                <w:color w:val="auto"/>
              </w:rPr>
            </w:pPr>
          </w:p>
        </w:tc>
        <w:tc>
          <w:tcPr>
            <w:tcW w:w="780" w:type="dxa"/>
            <w:vAlign w:val="bottom"/>
            <w:shd w:val="clear" w:color="auto" w:fill="D7F5C4"/>
          </w:tcPr>
          <w:p>
            <w:pPr>
              <w:spacing w:after="0"/>
              <w:rPr>
                <w:sz w:val="10"/>
                <w:szCs w:val="10"/>
                <w:color w:val="auto"/>
              </w:rPr>
            </w:pPr>
          </w:p>
        </w:tc>
        <w:tc>
          <w:tcPr>
            <w:tcW w:w="840" w:type="dxa"/>
            <w:vAlign w:val="bottom"/>
            <w:shd w:val="clear" w:color="auto" w:fill="D7F5C4"/>
          </w:tcPr>
          <w:p>
            <w:pPr>
              <w:spacing w:after="0"/>
              <w:rPr>
                <w:sz w:val="10"/>
                <w:szCs w:val="10"/>
                <w:color w:val="auto"/>
              </w:rPr>
            </w:pPr>
          </w:p>
        </w:tc>
        <w:tc>
          <w:tcPr>
            <w:tcW w:w="1280" w:type="dxa"/>
            <w:vAlign w:val="bottom"/>
            <w:gridSpan w:val="2"/>
            <w:shd w:val="clear" w:color="auto" w:fill="D7F5C4"/>
          </w:tcPr>
          <w:p>
            <w:pPr>
              <w:jc w:val="center"/>
              <w:ind w:left="6"/>
              <w:spacing w:after="0"/>
              <w:rPr>
                <w:sz w:val="20"/>
                <w:szCs w:val="20"/>
                <w:color w:val="auto"/>
              </w:rPr>
            </w:pPr>
            <w:r>
              <w:rPr>
                <w:rFonts w:ascii="Arial" w:cs="Arial" w:eastAsia="Arial" w:hAnsi="Arial"/>
                <w:sz w:val="11"/>
                <w:szCs w:val="11"/>
                <w:b w:val="1"/>
                <w:bCs w:val="1"/>
                <w:color w:val="auto"/>
                <w:w w:val="98"/>
              </w:rPr>
              <w:t>Death, Disability or</w:t>
            </w:r>
          </w:p>
        </w:tc>
        <w:tc>
          <w:tcPr>
            <w:tcW w:w="640" w:type="dxa"/>
            <w:vAlign w:val="bottom"/>
          </w:tcPr>
          <w:p>
            <w:pPr>
              <w:spacing w:after="0"/>
              <w:rPr>
                <w:sz w:val="10"/>
                <w:szCs w:val="10"/>
                <w:color w:val="auto"/>
              </w:rPr>
            </w:pPr>
          </w:p>
        </w:tc>
      </w:tr>
      <w:tr>
        <w:trPr>
          <w:trHeight w:val="122"/>
        </w:trPr>
        <w:tc>
          <w:tcPr>
            <w:tcW w:w="1240" w:type="dxa"/>
            <w:vAlign w:val="bottom"/>
          </w:tcPr>
          <w:p>
            <w:pPr>
              <w:spacing w:after="0"/>
              <w:rPr>
                <w:sz w:val="10"/>
                <w:szCs w:val="10"/>
                <w:color w:val="auto"/>
              </w:rPr>
            </w:pPr>
          </w:p>
        </w:tc>
        <w:tc>
          <w:tcPr>
            <w:tcW w:w="2900" w:type="dxa"/>
            <w:vAlign w:val="bottom"/>
            <w:gridSpan w:val="4"/>
            <w:shd w:val="clear" w:color="auto" w:fill="D7F5C4"/>
          </w:tcPr>
          <w:p>
            <w:pPr>
              <w:jc w:val="right"/>
              <w:ind w:right="346"/>
              <w:spacing w:after="0" w:line="122" w:lineRule="exact"/>
              <w:rPr>
                <w:sz w:val="20"/>
                <w:szCs w:val="20"/>
                <w:color w:val="auto"/>
              </w:rPr>
            </w:pPr>
            <w:r>
              <w:rPr>
                <w:rFonts w:ascii="Arial" w:cs="Arial" w:eastAsia="Arial" w:hAnsi="Arial"/>
                <w:sz w:val="11"/>
                <w:szCs w:val="11"/>
                <w:b w:val="1"/>
                <w:bCs w:val="1"/>
                <w:color w:val="auto"/>
              </w:rPr>
              <w:t>Change of Control with Adverse Event or</w:t>
            </w:r>
          </w:p>
        </w:tc>
        <w:tc>
          <w:tcPr>
            <w:tcW w:w="2820" w:type="dxa"/>
            <w:vAlign w:val="bottom"/>
            <w:gridSpan w:val="4"/>
            <w:shd w:val="clear" w:color="auto" w:fill="D7F5C4"/>
          </w:tcPr>
          <w:p>
            <w:pPr>
              <w:ind w:left="500"/>
              <w:spacing w:after="0" w:line="122" w:lineRule="exact"/>
              <w:rPr>
                <w:sz w:val="20"/>
                <w:szCs w:val="20"/>
                <w:color w:val="auto"/>
              </w:rPr>
            </w:pPr>
            <w:r>
              <w:rPr>
                <w:rFonts w:ascii="Arial" w:cs="Arial" w:eastAsia="Arial" w:hAnsi="Arial"/>
                <w:sz w:val="11"/>
                <w:szCs w:val="11"/>
                <w:b w:val="1"/>
                <w:bCs w:val="1"/>
                <w:color w:val="auto"/>
              </w:rPr>
              <w:t>Termination by the Company at any</w:t>
            </w:r>
          </w:p>
        </w:tc>
        <w:tc>
          <w:tcPr>
            <w:tcW w:w="780" w:type="dxa"/>
            <w:vAlign w:val="bottom"/>
            <w:shd w:val="clear" w:color="auto" w:fill="D7F5C4"/>
          </w:tcPr>
          <w:p>
            <w:pPr>
              <w:jc w:val="center"/>
              <w:spacing w:after="0" w:line="122" w:lineRule="exact"/>
              <w:rPr>
                <w:sz w:val="20"/>
                <w:szCs w:val="20"/>
                <w:color w:val="auto"/>
              </w:rPr>
            </w:pPr>
            <w:r>
              <w:rPr>
                <w:rFonts w:ascii="Arial" w:cs="Arial" w:eastAsia="Arial" w:hAnsi="Arial"/>
                <w:sz w:val="11"/>
                <w:szCs w:val="11"/>
                <w:b w:val="1"/>
                <w:bCs w:val="1"/>
                <w:color w:val="auto"/>
                <w:w w:val="98"/>
              </w:rPr>
              <w:t>Voluntary</w:t>
            </w:r>
          </w:p>
        </w:tc>
        <w:tc>
          <w:tcPr>
            <w:tcW w:w="840" w:type="dxa"/>
            <w:vAlign w:val="bottom"/>
            <w:shd w:val="clear" w:color="auto" w:fill="D7F5C4"/>
          </w:tcPr>
          <w:p>
            <w:pPr>
              <w:spacing w:after="0"/>
              <w:rPr>
                <w:sz w:val="10"/>
                <w:szCs w:val="10"/>
                <w:color w:val="auto"/>
              </w:rPr>
            </w:pPr>
          </w:p>
        </w:tc>
        <w:tc>
          <w:tcPr>
            <w:tcW w:w="1280" w:type="dxa"/>
            <w:vAlign w:val="bottom"/>
            <w:gridSpan w:val="2"/>
            <w:shd w:val="clear" w:color="auto" w:fill="D7F5C4"/>
          </w:tcPr>
          <w:p>
            <w:pPr>
              <w:jc w:val="center"/>
              <w:ind w:left="6"/>
              <w:spacing w:after="0" w:line="122" w:lineRule="exact"/>
              <w:rPr>
                <w:sz w:val="20"/>
                <w:szCs w:val="20"/>
                <w:color w:val="auto"/>
              </w:rPr>
            </w:pPr>
            <w:r>
              <w:rPr>
                <w:rFonts w:ascii="Arial" w:cs="Arial" w:eastAsia="Arial" w:hAnsi="Arial"/>
                <w:sz w:val="11"/>
                <w:szCs w:val="11"/>
                <w:b w:val="1"/>
                <w:bCs w:val="1"/>
                <w:color w:val="auto"/>
                <w:w w:val="97"/>
              </w:rPr>
              <w:t>Change of Control</w:t>
            </w:r>
          </w:p>
        </w:tc>
        <w:tc>
          <w:tcPr>
            <w:tcW w:w="640" w:type="dxa"/>
            <w:vAlign w:val="bottom"/>
          </w:tcPr>
          <w:p>
            <w:pPr>
              <w:spacing w:after="0"/>
              <w:rPr>
                <w:sz w:val="10"/>
                <w:szCs w:val="10"/>
                <w:color w:val="auto"/>
              </w:rPr>
            </w:pPr>
          </w:p>
        </w:tc>
      </w:tr>
      <w:tr>
        <w:trPr>
          <w:trHeight w:val="150"/>
        </w:trPr>
        <w:tc>
          <w:tcPr>
            <w:tcW w:w="1240" w:type="dxa"/>
            <w:vAlign w:val="bottom"/>
          </w:tcPr>
          <w:p>
            <w:pPr>
              <w:spacing w:after="0"/>
              <w:rPr>
                <w:sz w:val="13"/>
                <w:szCs w:val="13"/>
                <w:color w:val="auto"/>
              </w:rPr>
            </w:pPr>
          </w:p>
        </w:tc>
        <w:tc>
          <w:tcPr>
            <w:tcW w:w="2900" w:type="dxa"/>
            <w:vAlign w:val="bottom"/>
            <w:gridSpan w:val="4"/>
            <w:shd w:val="clear" w:color="auto" w:fill="D7F5C4"/>
          </w:tcPr>
          <w:p>
            <w:pPr>
              <w:jc w:val="right"/>
              <w:ind w:right="306"/>
              <w:spacing w:after="0"/>
              <w:rPr>
                <w:sz w:val="20"/>
                <w:szCs w:val="20"/>
                <w:color w:val="auto"/>
              </w:rPr>
            </w:pPr>
            <w:r>
              <w:rPr>
                <w:rFonts w:ascii="Arial" w:cs="Arial" w:eastAsia="Arial" w:hAnsi="Arial"/>
                <w:sz w:val="11"/>
                <w:szCs w:val="11"/>
                <w:b w:val="1"/>
                <w:bCs w:val="1"/>
                <w:color w:val="auto"/>
              </w:rPr>
              <w:t>Termination for Reasons Other than Cause</w:t>
            </w:r>
          </w:p>
        </w:tc>
        <w:tc>
          <w:tcPr>
            <w:tcW w:w="2820" w:type="dxa"/>
            <w:vAlign w:val="bottom"/>
            <w:gridSpan w:val="4"/>
            <w:shd w:val="clear" w:color="auto" w:fill="D7F5C4"/>
          </w:tcPr>
          <w:p>
            <w:pPr>
              <w:ind w:left="500"/>
              <w:spacing w:after="0"/>
              <w:rPr>
                <w:sz w:val="20"/>
                <w:szCs w:val="20"/>
                <w:color w:val="auto"/>
              </w:rPr>
            </w:pPr>
            <w:r>
              <w:rPr>
                <w:rFonts w:ascii="Arial" w:cs="Arial" w:eastAsia="Arial" w:hAnsi="Arial"/>
                <w:sz w:val="11"/>
                <w:szCs w:val="11"/>
                <w:b w:val="1"/>
                <w:bCs w:val="1"/>
                <w:color w:val="auto"/>
              </w:rPr>
              <w:t>Time for Reasons Other than Cause</w:t>
            </w:r>
          </w:p>
        </w:tc>
        <w:tc>
          <w:tcPr>
            <w:tcW w:w="780" w:type="dxa"/>
            <w:vAlign w:val="bottom"/>
            <w:shd w:val="clear" w:color="auto" w:fill="D7F5C4"/>
          </w:tcPr>
          <w:p>
            <w:pPr>
              <w:jc w:val="center"/>
              <w:spacing w:after="0"/>
              <w:rPr>
                <w:sz w:val="20"/>
                <w:szCs w:val="20"/>
                <w:color w:val="auto"/>
              </w:rPr>
            </w:pPr>
            <w:r>
              <w:rPr>
                <w:rFonts w:ascii="Arial" w:cs="Arial" w:eastAsia="Arial" w:hAnsi="Arial"/>
                <w:sz w:val="11"/>
                <w:szCs w:val="11"/>
                <w:b w:val="1"/>
                <w:bCs w:val="1"/>
                <w:color w:val="auto"/>
                <w:w w:val="98"/>
              </w:rPr>
              <w:t>Termination</w:t>
            </w:r>
          </w:p>
        </w:tc>
        <w:tc>
          <w:tcPr>
            <w:tcW w:w="840" w:type="dxa"/>
            <w:vAlign w:val="bottom"/>
            <w:shd w:val="clear" w:color="auto" w:fill="D7F5C4"/>
          </w:tcPr>
          <w:p>
            <w:pPr>
              <w:jc w:val="center"/>
              <w:spacing w:after="0"/>
              <w:rPr>
                <w:sz w:val="20"/>
                <w:szCs w:val="20"/>
                <w:color w:val="auto"/>
              </w:rPr>
            </w:pPr>
            <w:r>
              <w:rPr>
                <w:rFonts w:ascii="Arial" w:cs="Arial" w:eastAsia="Arial" w:hAnsi="Arial"/>
                <w:sz w:val="11"/>
                <w:szCs w:val="11"/>
                <w:b w:val="1"/>
                <w:bCs w:val="1"/>
                <w:color w:val="auto"/>
                <w:w w:val="97"/>
              </w:rPr>
              <w:t>Retirement</w:t>
            </w:r>
          </w:p>
        </w:tc>
        <w:tc>
          <w:tcPr>
            <w:tcW w:w="1280" w:type="dxa"/>
            <w:vAlign w:val="bottom"/>
            <w:gridSpan w:val="2"/>
            <w:shd w:val="clear" w:color="auto" w:fill="D7F5C4"/>
          </w:tcPr>
          <w:p>
            <w:pPr>
              <w:jc w:val="center"/>
              <w:spacing w:after="0"/>
              <w:rPr>
                <w:sz w:val="20"/>
                <w:szCs w:val="20"/>
                <w:color w:val="auto"/>
              </w:rPr>
            </w:pPr>
            <w:r>
              <w:rPr>
                <w:rFonts w:ascii="Arial" w:cs="Arial" w:eastAsia="Arial" w:hAnsi="Arial"/>
                <w:sz w:val="11"/>
                <w:szCs w:val="11"/>
                <w:b w:val="1"/>
                <w:bCs w:val="1"/>
                <w:color w:val="auto"/>
                <w:w w:val="98"/>
              </w:rPr>
              <w:t>(No Adverse Event)</w:t>
            </w:r>
          </w:p>
        </w:tc>
        <w:tc>
          <w:tcPr>
            <w:tcW w:w="640" w:type="dxa"/>
            <w:vAlign w:val="bottom"/>
          </w:tcPr>
          <w:p>
            <w:pPr>
              <w:spacing w:after="0"/>
              <w:rPr>
                <w:sz w:val="13"/>
                <w:szCs w:val="13"/>
                <w:color w:val="auto"/>
              </w:rPr>
            </w:pPr>
          </w:p>
        </w:tc>
      </w:tr>
      <w:tr>
        <w:trPr>
          <w:trHeight w:val="120"/>
        </w:trPr>
        <w:tc>
          <w:tcPr>
            <w:tcW w:w="1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8"/>
              </w:rPr>
              <w:t>Value of</w:t>
            </w: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8"/>
              </w:rPr>
              <w:t>Value of</w:t>
            </w:r>
          </w:p>
        </w:tc>
        <w:tc>
          <w:tcPr>
            <w:tcW w:w="640" w:type="dxa"/>
            <w:vAlign w:val="bottom"/>
          </w:tcPr>
          <w:p>
            <w:pPr>
              <w:spacing w:after="0"/>
              <w:rPr>
                <w:sz w:val="10"/>
                <w:szCs w:val="10"/>
                <w:color w:val="auto"/>
              </w:rPr>
            </w:pPr>
          </w:p>
        </w:tc>
      </w:tr>
      <w:tr>
        <w:trPr>
          <w:trHeight w:val="122"/>
        </w:trPr>
        <w:tc>
          <w:tcPr>
            <w:tcW w:w="1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RSUs,</w:t>
            </w: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RSUs,</w:t>
            </w:r>
          </w:p>
        </w:tc>
        <w:tc>
          <w:tcPr>
            <w:tcW w:w="640" w:type="dxa"/>
            <w:vAlign w:val="bottom"/>
          </w:tcPr>
          <w:p>
            <w:pPr>
              <w:spacing w:after="0"/>
              <w:rPr>
                <w:sz w:val="10"/>
                <w:szCs w:val="10"/>
                <w:color w:val="auto"/>
              </w:rPr>
            </w:pPr>
          </w:p>
        </w:tc>
      </w:tr>
      <w:tr>
        <w:trPr>
          <w:trHeight w:val="122"/>
        </w:trPr>
        <w:tc>
          <w:tcPr>
            <w:tcW w:w="1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Performance</w:t>
            </w: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Value of</w:t>
            </w:r>
          </w:p>
        </w:tc>
        <w:tc>
          <w:tcPr>
            <w:tcW w:w="56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Performance</w:t>
            </w:r>
          </w:p>
        </w:tc>
        <w:tc>
          <w:tcPr>
            <w:tcW w:w="640" w:type="dxa"/>
            <w:vAlign w:val="bottom"/>
          </w:tcPr>
          <w:p>
            <w:pPr>
              <w:spacing w:after="0"/>
              <w:rPr>
                <w:sz w:val="10"/>
                <w:szCs w:val="10"/>
                <w:color w:val="auto"/>
              </w:rPr>
            </w:pPr>
          </w:p>
        </w:tc>
      </w:tr>
      <w:tr>
        <w:trPr>
          <w:trHeight w:val="123"/>
        </w:trPr>
        <w:tc>
          <w:tcPr>
            <w:tcW w:w="1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99"/>
              </w:rPr>
              <w:t>Units and</w:t>
            </w: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98"/>
              </w:rPr>
              <w:t>Value of</w:t>
            </w:r>
          </w:p>
        </w:tc>
        <w:tc>
          <w:tcPr>
            <w:tcW w:w="780" w:type="dxa"/>
            <w:vAlign w:val="bottom"/>
          </w:tcPr>
          <w:p>
            <w:pPr>
              <w:spacing w:after="0"/>
              <w:rPr>
                <w:sz w:val="10"/>
                <w:szCs w:val="10"/>
                <w:color w:val="auto"/>
              </w:rPr>
            </w:pPr>
          </w:p>
        </w:tc>
        <w:tc>
          <w:tcPr>
            <w:tcW w:w="84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98"/>
              </w:rPr>
              <w:t>RSUs,</w:t>
            </w:r>
          </w:p>
        </w:tc>
        <w:tc>
          <w:tcPr>
            <w:tcW w:w="560" w:type="dxa"/>
            <w:vAlign w:val="bottom"/>
          </w:tcPr>
          <w:p>
            <w:pPr>
              <w:spacing w:after="0"/>
              <w:rPr>
                <w:sz w:val="10"/>
                <w:szCs w:val="10"/>
                <w:color w:val="auto"/>
              </w:rPr>
            </w:pPr>
          </w:p>
        </w:tc>
        <w:tc>
          <w:tcPr>
            <w:tcW w:w="72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95"/>
              </w:rPr>
              <w:t>Units and</w:t>
            </w:r>
          </w:p>
        </w:tc>
        <w:tc>
          <w:tcPr>
            <w:tcW w:w="640" w:type="dxa"/>
            <w:vAlign w:val="bottom"/>
          </w:tcPr>
          <w:p>
            <w:pPr>
              <w:spacing w:after="0"/>
              <w:rPr>
                <w:sz w:val="10"/>
                <w:szCs w:val="10"/>
                <w:color w:val="auto"/>
              </w:rPr>
            </w:pPr>
          </w:p>
        </w:tc>
      </w:tr>
      <w:tr>
        <w:trPr>
          <w:trHeight w:val="122"/>
        </w:trPr>
        <w:tc>
          <w:tcPr>
            <w:tcW w:w="1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Cash-Based</w:t>
            </w: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Value</w:t>
            </w: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RSUs and</w:t>
            </w:r>
          </w:p>
        </w:tc>
        <w:tc>
          <w:tcPr>
            <w:tcW w:w="78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Performance</w:t>
            </w:r>
          </w:p>
        </w:tc>
        <w:tc>
          <w:tcPr>
            <w:tcW w:w="56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Cash-Based</w:t>
            </w:r>
          </w:p>
        </w:tc>
        <w:tc>
          <w:tcPr>
            <w:tcW w:w="640" w:type="dxa"/>
            <w:vAlign w:val="bottom"/>
          </w:tcPr>
          <w:p>
            <w:pPr>
              <w:spacing w:after="0"/>
              <w:rPr>
                <w:sz w:val="10"/>
                <w:szCs w:val="10"/>
                <w:color w:val="auto"/>
              </w:rPr>
            </w:pPr>
          </w:p>
        </w:tc>
      </w:tr>
      <w:tr>
        <w:trPr>
          <w:trHeight w:val="122"/>
        </w:trPr>
        <w:tc>
          <w:tcPr>
            <w:tcW w:w="1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Value of</w:t>
            </w: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LTI Awards</w:t>
            </w: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of</w:t>
            </w: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Performance</w:t>
            </w:r>
          </w:p>
        </w:tc>
        <w:tc>
          <w:tcPr>
            <w:tcW w:w="78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Units and</w:t>
            </w: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3"/>
              </w:rPr>
              <w:t>Value of</w:t>
            </w: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4"/>
              </w:rPr>
              <w:t>LTI Awards</w:t>
            </w:r>
          </w:p>
        </w:tc>
        <w:tc>
          <w:tcPr>
            <w:tcW w:w="640" w:type="dxa"/>
            <w:vAlign w:val="bottom"/>
          </w:tcPr>
          <w:p>
            <w:pPr>
              <w:spacing w:after="0"/>
              <w:rPr>
                <w:sz w:val="10"/>
                <w:szCs w:val="10"/>
                <w:color w:val="auto"/>
              </w:rPr>
            </w:pPr>
          </w:p>
        </w:tc>
      </w:tr>
      <w:tr>
        <w:trPr>
          <w:trHeight w:val="122"/>
        </w:trPr>
        <w:tc>
          <w:tcPr>
            <w:tcW w:w="1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Stock</w:t>
            </w: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for</w:t>
            </w:r>
          </w:p>
        </w:tc>
        <w:tc>
          <w:tcPr>
            <w:tcW w:w="70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Non-</w:t>
            </w: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Stock</w:t>
            </w: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Units for</w:t>
            </w:r>
          </w:p>
        </w:tc>
        <w:tc>
          <w:tcPr>
            <w:tcW w:w="78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Cash-Based</w:t>
            </w: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3"/>
              </w:rPr>
              <w:t>Stock</w:t>
            </w: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for</w:t>
            </w:r>
          </w:p>
        </w:tc>
        <w:tc>
          <w:tcPr>
            <w:tcW w:w="640" w:type="dxa"/>
            <w:vAlign w:val="bottom"/>
          </w:tcPr>
          <w:p>
            <w:pPr>
              <w:spacing w:after="0"/>
              <w:rPr>
                <w:sz w:val="10"/>
                <w:szCs w:val="10"/>
                <w:color w:val="auto"/>
              </w:rPr>
            </w:pPr>
          </w:p>
        </w:tc>
      </w:tr>
      <w:tr>
        <w:trPr>
          <w:trHeight w:val="122"/>
        </w:trPr>
        <w:tc>
          <w:tcPr>
            <w:tcW w:w="1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Non-Equity</w:t>
            </w: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Options</w:t>
            </w: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Which</w:t>
            </w:r>
          </w:p>
        </w:tc>
        <w:tc>
          <w:tcPr>
            <w:tcW w:w="70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Equity</w:t>
            </w: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Options</w:t>
            </w: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Which</w:t>
            </w:r>
          </w:p>
        </w:tc>
        <w:tc>
          <w:tcPr>
            <w:tcW w:w="78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LTI Awards</w:t>
            </w: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Options</w:t>
            </w: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Which</w:t>
            </w:r>
          </w:p>
        </w:tc>
        <w:tc>
          <w:tcPr>
            <w:tcW w:w="640" w:type="dxa"/>
            <w:vAlign w:val="bottom"/>
          </w:tcPr>
          <w:p>
            <w:pPr>
              <w:spacing w:after="0"/>
              <w:rPr>
                <w:sz w:val="10"/>
                <w:szCs w:val="10"/>
                <w:color w:val="auto"/>
              </w:rPr>
            </w:pPr>
          </w:p>
        </w:tc>
      </w:tr>
      <w:tr>
        <w:trPr>
          <w:trHeight w:val="122"/>
        </w:trPr>
        <w:tc>
          <w:tcPr>
            <w:tcW w:w="1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Incentive</w:t>
            </w: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4"/>
              </w:rPr>
              <w:t>That</w:t>
            </w: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Restrictions</w:t>
            </w:r>
          </w:p>
        </w:tc>
        <w:tc>
          <w:tcPr>
            <w:tcW w:w="70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Incentive</w:t>
            </w: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4"/>
              </w:rPr>
              <w:t>That</w:t>
            </w: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Restrictions</w:t>
            </w:r>
          </w:p>
        </w:tc>
        <w:tc>
          <w:tcPr>
            <w:tcW w:w="78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for Which</w:t>
            </w: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That</w:t>
            </w: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Restrictions</w:t>
            </w:r>
          </w:p>
        </w:tc>
        <w:tc>
          <w:tcPr>
            <w:tcW w:w="640" w:type="dxa"/>
            <w:vAlign w:val="bottom"/>
          </w:tcPr>
          <w:p>
            <w:pPr>
              <w:spacing w:after="0"/>
              <w:rPr>
                <w:sz w:val="10"/>
                <w:szCs w:val="10"/>
                <w:color w:val="auto"/>
              </w:rPr>
            </w:pPr>
          </w:p>
        </w:tc>
      </w:tr>
      <w:tr>
        <w:trPr>
          <w:trHeight w:val="122"/>
        </w:trPr>
        <w:tc>
          <w:tcPr>
            <w:tcW w:w="124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Salary</w:t>
            </w:r>
          </w:p>
        </w:tc>
        <w:tc>
          <w:tcPr>
            <w:tcW w:w="7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Plan</w:t>
            </w: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Would</w:t>
            </w: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Would</w:t>
            </w:r>
          </w:p>
        </w:tc>
        <w:tc>
          <w:tcPr>
            <w:tcW w:w="700" w:type="dxa"/>
            <w:vAlign w:val="bottom"/>
          </w:tcPr>
          <w:p>
            <w:pPr>
              <w:ind w:left="180"/>
              <w:spacing w:after="0" w:line="122" w:lineRule="exact"/>
              <w:rPr>
                <w:sz w:val="20"/>
                <w:szCs w:val="20"/>
                <w:color w:val="auto"/>
              </w:rPr>
            </w:pPr>
            <w:r>
              <w:rPr>
                <w:rFonts w:ascii="Arial" w:cs="Arial" w:eastAsia="Arial" w:hAnsi="Arial"/>
                <w:sz w:val="11"/>
                <w:szCs w:val="11"/>
                <w:b w:val="1"/>
                <w:bCs w:val="1"/>
                <w:color w:val="auto"/>
              </w:rPr>
              <w:t>Salary</w:t>
            </w: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4"/>
              </w:rPr>
              <w:t>Plan</w:t>
            </w: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Would</w:t>
            </w: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Would</w:t>
            </w: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No</w:t>
            </w: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Restrictions</w:t>
            </w: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Would</w:t>
            </w: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Would</w:t>
            </w: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Maximum</w:t>
            </w:r>
          </w:p>
        </w:tc>
      </w:tr>
      <w:tr>
        <w:trPr>
          <w:trHeight w:val="122"/>
        </w:trPr>
        <w:tc>
          <w:tcPr>
            <w:tcW w:w="124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Severance</w:t>
            </w:r>
          </w:p>
        </w:tc>
        <w:tc>
          <w:tcPr>
            <w:tcW w:w="7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Severance</w:t>
            </w: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4"/>
              </w:rPr>
              <w:t>Vest</w:t>
            </w: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4"/>
              </w:rPr>
              <w:t>Lapse</w:t>
            </w:r>
          </w:p>
        </w:tc>
        <w:tc>
          <w:tcPr>
            <w:tcW w:w="70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Severance</w:t>
            </w: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Severance</w:t>
            </w: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4"/>
              </w:rPr>
              <w:t>Vest</w:t>
            </w: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Lapse</w:t>
            </w: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Contractual</w:t>
            </w: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Would</w:t>
            </w: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4"/>
              </w:rPr>
              <w:t>Vest</w:t>
            </w: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Lapse</w:t>
            </w: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Potential</w:t>
            </w:r>
          </w:p>
        </w:tc>
      </w:tr>
      <w:tr>
        <w:trPr>
          <w:trHeight w:val="162"/>
        </w:trPr>
        <w:tc>
          <w:tcPr>
            <w:tcW w:w="1240" w:type="dxa"/>
            <w:vAlign w:val="bottom"/>
          </w:tcPr>
          <w:p>
            <w:pPr>
              <w:ind w:left="460"/>
              <w:spacing w:after="0"/>
              <w:rPr>
                <w:sz w:val="20"/>
                <w:szCs w:val="20"/>
                <w:color w:val="auto"/>
              </w:rPr>
            </w:pPr>
            <w:r>
              <w:rPr>
                <w:rFonts w:ascii="Arial" w:cs="Arial" w:eastAsia="Arial" w:hAnsi="Arial"/>
                <w:sz w:val="11"/>
                <w:szCs w:val="11"/>
                <w:b w:val="1"/>
                <w:bCs w:val="1"/>
                <w:color w:val="auto"/>
              </w:rPr>
              <w:t>Name</w:t>
            </w:r>
          </w:p>
        </w:tc>
        <w:tc>
          <w:tcPr>
            <w:tcW w:w="720" w:type="dxa"/>
            <w:vAlign w:val="bottom"/>
          </w:tcPr>
          <w:p>
            <w:pPr>
              <w:jc w:val="center"/>
              <w:spacing w:after="0" w:line="162" w:lineRule="exact"/>
              <w:rPr>
                <w:sz w:val="20"/>
                <w:szCs w:val="20"/>
                <w:color w:val="auto"/>
              </w:rPr>
            </w:pPr>
            <w:r>
              <w:rPr>
                <w:rFonts w:ascii="Arial" w:cs="Arial" w:eastAsia="Arial" w:hAnsi="Arial"/>
                <w:sz w:val="10"/>
                <w:szCs w:val="10"/>
                <w:b w:val="1"/>
                <w:bCs w:val="1"/>
                <w:color w:val="auto"/>
                <w:w w:val="96"/>
              </w:rPr>
              <w:t>($)</w:t>
            </w:r>
            <w:r>
              <w:rPr>
                <w:rFonts w:ascii="Arial" w:cs="Arial" w:eastAsia="Arial" w:hAnsi="Arial"/>
                <w:sz w:val="18"/>
                <w:szCs w:val="18"/>
                <w:b w:val="1"/>
                <w:bCs w:val="1"/>
                <w:color w:val="auto"/>
                <w:w w:val="96"/>
                <w:vertAlign w:val="superscript"/>
              </w:rPr>
              <w:t>(1)</w:t>
            </w:r>
          </w:p>
        </w:tc>
        <w:tc>
          <w:tcPr>
            <w:tcW w:w="740" w:type="dxa"/>
            <w:vAlign w:val="bottom"/>
          </w:tcPr>
          <w:p>
            <w:pPr>
              <w:jc w:val="center"/>
              <w:spacing w:after="0" w:line="162" w:lineRule="exact"/>
              <w:rPr>
                <w:sz w:val="20"/>
                <w:szCs w:val="20"/>
                <w:color w:val="auto"/>
              </w:rPr>
            </w:pPr>
            <w:r>
              <w:rPr>
                <w:rFonts w:ascii="Arial" w:cs="Arial" w:eastAsia="Arial" w:hAnsi="Arial"/>
                <w:sz w:val="10"/>
                <w:szCs w:val="10"/>
                <w:b w:val="1"/>
                <w:bCs w:val="1"/>
                <w:color w:val="auto"/>
                <w:w w:val="96"/>
              </w:rPr>
              <w:t>($)</w:t>
            </w:r>
            <w:r>
              <w:rPr>
                <w:rFonts w:ascii="Arial" w:cs="Arial" w:eastAsia="Arial" w:hAnsi="Arial"/>
                <w:sz w:val="18"/>
                <w:szCs w:val="18"/>
                <w:b w:val="1"/>
                <w:bCs w:val="1"/>
                <w:color w:val="auto"/>
                <w:w w:val="96"/>
                <w:vertAlign w:val="superscript"/>
              </w:rPr>
              <w:t>(2)</w:t>
            </w:r>
          </w:p>
        </w:tc>
        <w:tc>
          <w:tcPr>
            <w:tcW w:w="600" w:type="dxa"/>
            <w:vAlign w:val="bottom"/>
          </w:tcPr>
          <w:p>
            <w:pPr>
              <w:jc w:val="center"/>
              <w:spacing w:after="0" w:line="162" w:lineRule="exact"/>
              <w:rPr>
                <w:sz w:val="20"/>
                <w:szCs w:val="20"/>
                <w:color w:val="auto"/>
              </w:rPr>
            </w:pPr>
            <w:r>
              <w:rPr>
                <w:rFonts w:ascii="Arial" w:cs="Arial" w:eastAsia="Arial" w:hAnsi="Arial"/>
                <w:sz w:val="10"/>
                <w:szCs w:val="10"/>
                <w:b w:val="1"/>
                <w:bCs w:val="1"/>
                <w:color w:val="auto"/>
                <w:w w:val="96"/>
              </w:rPr>
              <w:t>($)</w:t>
            </w:r>
            <w:r>
              <w:rPr>
                <w:rFonts w:ascii="Arial" w:cs="Arial" w:eastAsia="Arial" w:hAnsi="Arial"/>
                <w:sz w:val="18"/>
                <w:szCs w:val="18"/>
                <w:b w:val="1"/>
                <w:bCs w:val="1"/>
                <w:color w:val="auto"/>
                <w:w w:val="96"/>
                <w:vertAlign w:val="superscript"/>
              </w:rPr>
              <w:t>(3)</w:t>
            </w:r>
          </w:p>
        </w:tc>
        <w:tc>
          <w:tcPr>
            <w:tcW w:w="840" w:type="dxa"/>
            <w:vAlign w:val="bottom"/>
          </w:tcPr>
          <w:p>
            <w:pPr>
              <w:jc w:val="center"/>
              <w:spacing w:after="0" w:line="162" w:lineRule="exact"/>
              <w:rPr>
                <w:sz w:val="20"/>
                <w:szCs w:val="20"/>
                <w:color w:val="auto"/>
              </w:rPr>
            </w:pPr>
            <w:r>
              <w:rPr>
                <w:rFonts w:ascii="Arial" w:cs="Arial" w:eastAsia="Arial" w:hAnsi="Arial"/>
                <w:sz w:val="10"/>
                <w:szCs w:val="10"/>
                <w:b w:val="1"/>
                <w:bCs w:val="1"/>
                <w:color w:val="auto"/>
              </w:rPr>
              <w:t xml:space="preserve">($) </w:t>
            </w:r>
            <w:r>
              <w:rPr>
                <w:rFonts w:ascii="Arial" w:cs="Arial" w:eastAsia="Arial" w:hAnsi="Arial"/>
                <w:sz w:val="18"/>
                <w:szCs w:val="18"/>
                <w:b w:val="1"/>
                <w:bCs w:val="1"/>
                <w:color w:val="auto"/>
                <w:vertAlign w:val="superscript"/>
              </w:rPr>
              <w:t>(4)</w:t>
            </w:r>
          </w:p>
        </w:tc>
        <w:tc>
          <w:tcPr>
            <w:tcW w:w="700" w:type="dxa"/>
            <w:vAlign w:val="bottom"/>
          </w:tcPr>
          <w:p>
            <w:pPr>
              <w:ind w:left="220"/>
              <w:spacing w:after="0" w:line="162"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8"/>
                <w:szCs w:val="18"/>
                <w:b w:val="1"/>
                <w:bCs w:val="1"/>
                <w:color w:val="auto"/>
                <w:vertAlign w:val="superscript"/>
              </w:rPr>
              <w:t>(5)</w:t>
            </w:r>
          </w:p>
        </w:tc>
        <w:tc>
          <w:tcPr>
            <w:tcW w:w="700" w:type="dxa"/>
            <w:vAlign w:val="bottom"/>
          </w:tcPr>
          <w:p>
            <w:pPr>
              <w:jc w:val="center"/>
              <w:spacing w:after="0" w:line="162" w:lineRule="exact"/>
              <w:rPr>
                <w:sz w:val="20"/>
                <w:szCs w:val="20"/>
                <w:color w:val="auto"/>
              </w:rPr>
            </w:pPr>
            <w:r>
              <w:rPr>
                <w:rFonts w:ascii="Arial" w:cs="Arial" w:eastAsia="Arial" w:hAnsi="Arial"/>
                <w:sz w:val="10"/>
                <w:szCs w:val="10"/>
                <w:b w:val="1"/>
                <w:bCs w:val="1"/>
                <w:color w:val="auto"/>
                <w:w w:val="96"/>
              </w:rPr>
              <w:t>($)</w:t>
            </w:r>
            <w:r>
              <w:rPr>
                <w:rFonts w:ascii="Arial" w:cs="Arial" w:eastAsia="Arial" w:hAnsi="Arial"/>
                <w:sz w:val="18"/>
                <w:szCs w:val="18"/>
                <w:b w:val="1"/>
                <w:bCs w:val="1"/>
                <w:color w:val="auto"/>
                <w:w w:val="96"/>
                <w:vertAlign w:val="superscript"/>
              </w:rPr>
              <w:t>(6)</w:t>
            </w:r>
          </w:p>
        </w:tc>
        <w:tc>
          <w:tcPr>
            <w:tcW w:w="580" w:type="dxa"/>
            <w:vAlign w:val="bottom"/>
          </w:tcPr>
          <w:p>
            <w:pPr>
              <w:jc w:val="center"/>
              <w:spacing w:after="0" w:line="162" w:lineRule="exact"/>
              <w:rPr>
                <w:sz w:val="20"/>
                <w:szCs w:val="20"/>
                <w:color w:val="auto"/>
              </w:rPr>
            </w:pPr>
            <w:r>
              <w:rPr>
                <w:rFonts w:ascii="Arial" w:cs="Arial" w:eastAsia="Arial" w:hAnsi="Arial"/>
                <w:sz w:val="10"/>
                <w:szCs w:val="10"/>
                <w:b w:val="1"/>
                <w:bCs w:val="1"/>
                <w:color w:val="auto"/>
                <w:w w:val="96"/>
              </w:rPr>
              <w:t>($)</w:t>
            </w:r>
            <w:r>
              <w:rPr>
                <w:rFonts w:ascii="Arial" w:cs="Arial" w:eastAsia="Arial" w:hAnsi="Arial"/>
                <w:sz w:val="18"/>
                <w:szCs w:val="18"/>
                <w:b w:val="1"/>
                <w:bCs w:val="1"/>
                <w:color w:val="auto"/>
                <w:w w:val="96"/>
                <w:vertAlign w:val="superscript"/>
              </w:rPr>
              <w:t>(3)</w:t>
            </w: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6"/>
              </w:rPr>
              <w:t>Benefits</w:t>
            </w:r>
          </w:p>
        </w:tc>
        <w:tc>
          <w:tcPr>
            <w:tcW w:w="840" w:type="dxa"/>
            <w:vAlign w:val="bottom"/>
          </w:tcPr>
          <w:p>
            <w:pPr>
              <w:jc w:val="center"/>
              <w:spacing w:after="0" w:line="162" w:lineRule="exact"/>
              <w:rPr>
                <w:sz w:val="20"/>
                <w:szCs w:val="20"/>
                <w:color w:val="auto"/>
              </w:rPr>
            </w:pPr>
            <w:r>
              <w:rPr>
                <w:rFonts w:ascii="Arial" w:cs="Arial" w:eastAsia="Arial" w:hAnsi="Arial"/>
                <w:sz w:val="10"/>
                <w:szCs w:val="10"/>
                <w:b w:val="1"/>
                <w:bCs w:val="1"/>
                <w:color w:val="auto"/>
              </w:rPr>
              <w:t>Lapse</w:t>
            </w:r>
            <w:r>
              <w:rPr>
                <w:rFonts w:ascii="Arial" w:cs="Arial" w:eastAsia="Arial" w:hAnsi="Arial"/>
                <w:sz w:val="18"/>
                <w:szCs w:val="18"/>
                <w:b w:val="1"/>
                <w:bCs w:val="1"/>
                <w:color w:val="auto"/>
                <w:vertAlign w:val="superscript"/>
              </w:rPr>
              <w:t>(7)</w:t>
            </w:r>
          </w:p>
        </w:tc>
        <w:tc>
          <w:tcPr>
            <w:tcW w:w="560" w:type="dxa"/>
            <w:vAlign w:val="bottom"/>
          </w:tcPr>
          <w:p>
            <w:pPr>
              <w:jc w:val="center"/>
              <w:spacing w:after="0" w:line="162" w:lineRule="exact"/>
              <w:rPr>
                <w:sz w:val="20"/>
                <w:szCs w:val="20"/>
                <w:color w:val="auto"/>
              </w:rPr>
            </w:pPr>
            <w:r>
              <w:rPr>
                <w:rFonts w:ascii="Arial" w:cs="Arial" w:eastAsia="Arial" w:hAnsi="Arial"/>
                <w:sz w:val="10"/>
                <w:szCs w:val="10"/>
                <w:b w:val="1"/>
                <w:bCs w:val="1"/>
                <w:color w:val="auto"/>
                <w:w w:val="96"/>
              </w:rPr>
              <w:t>($)</w:t>
            </w:r>
            <w:r>
              <w:rPr>
                <w:rFonts w:ascii="Arial" w:cs="Arial" w:eastAsia="Arial" w:hAnsi="Arial"/>
                <w:sz w:val="18"/>
                <w:szCs w:val="18"/>
                <w:b w:val="1"/>
                <w:bCs w:val="1"/>
                <w:color w:val="auto"/>
                <w:w w:val="96"/>
                <w:vertAlign w:val="superscript"/>
              </w:rPr>
              <w:t>(3)</w:t>
            </w:r>
          </w:p>
        </w:tc>
        <w:tc>
          <w:tcPr>
            <w:tcW w:w="720" w:type="dxa"/>
            <w:vAlign w:val="bottom"/>
          </w:tcPr>
          <w:p>
            <w:pPr>
              <w:jc w:val="center"/>
              <w:spacing w:after="0" w:line="162" w:lineRule="exact"/>
              <w:rPr>
                <w:sz w:val="20"/>
                <w:szCs w:val="20"/>
                <w:color w:val="auto"/>
              </w:rPr>
            </w:pPr>
            <w:r>
              <w:rPr>
                <w:rFonts w:ascii="Arial" w:cs="Arial" w:eastAsia="Arial" w:hAnsi="Arial"/>
                <w:sz w:val="10"/>
                <w:szCs w:val="10"/>
                <w:b w:val="1"/>
                <w:bCs w:val="1"/>
                <w:color w:val="auto"/>
                <w:w w:val="96"/>
              </w:rPr>
              <w:t>($)</w:t>
            </w:r>
            <w:r>
              <w:rPr>
                <w:rFonts w:ascii="Arial" w:cs="Arial" w:eastAsia="Arial" w:hAnsi="Arial"/>
                <w:sz w:val="18"/>
                <w:szCs w:val="18"/>
                <w:b w:val="1"/>
                <w:bCs w:val="1"/>
                <w:color w:val="auto"/>
                <w:w w:val="96"/>
                <w:vertAlign w:val="superscript"/>
              </w:rPr>
              <w:t>(4)</w:t>
            </w: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w w:val="96"/>
              </w:rPr>
              <w:t>Payments</w:t>
            </w:r>
          </w:p>
        </w:tc>
      </w:tr>
      <w:tr>
        <w:trPr>
          <w:trHeight w:val="162"/>
        </w:trPr>
        <w:tc>
          <w:tcPr>
            <w:tcW w:w="1240" w:type="dxa"/>
            <w:vAlign w:val="bottom"/>
            <w:shd w:val="clear" w:color="auto" w:fill="D7F5C4"/>
          </w:tcPr>
          <w:p>
            <w:pPr>
              <w:spacing w:after="0"/>
              <w:rPr>
                <w:sz w:val="20"/>
                <w:szCs w:val="20"/>
                <w:color w:val="auto"/>
              </w:rPr>
            </w:pPr>
            <w:r>
              <w:rPr>
                <w:rFonts w:ascii="Arial" w:cs="Arial" w:eastAsia="Arial" w:hAnsi="Arial"/>
                <w:sz w:val="11"/>
                <w:szCs w:val="11"/>
                <w:color w:val="auto"/>
              </w:rPr>
              <w:t>John R. Hewitt</w:t>
            </w:r>
          </w:p>
        </w:tc>
        <w:tc>
          <w:tcPr>
            <w:tcW w:w="720" w:type="dxa"/>
            <w:vAlign w:val="bottom"/>
            <w:shd w:val="clear" w:color="auto" w:fill="D7F5C4"/>
          </w:tcPr>
          <w:p>
            <w:pPr>
              <w:jc w:val="right"/>
              <w:ind w:right="26"/>
              <w:spacing w:after="0"/>
              <w:rPr>
                <w:sz w:val="20"/>
                <w:szCs w:val="20"/>
                <w:color w:val="auto"/>
              </w:rPr>
            </w:pPr>
            <w:r>
              <w:rPr>
                <w:rFonts w:ascii="Arial" w:cs="Arial" w:eastAsia="Arial" w:hAnsi="Arial"/>
                <w:sz w:val="11"/>
                <w:szCs w:val="11"/>
                <w:color w:val="auto"/>
              </w:rPr>
              <w:t>1,600,000</w:t>
            </w:r>
          </w:p>
        </w:tc>
        <w:tc>
          <w:tcPr>
            <w:tcW w:w="740" w:type="dxa"/>
            <w:vAlign w:val="bottom"/>
            <w:shd w:val="clear" w:color="auto" w:fill="D7F5C4"/>
          </w:tcPr>
          <w:p>
            <w:pPr>
              <w:jc w:val="right"/>
              <w:ind w:right="26"/>
              <w:spacing w:after="0"/>
              <w:rPr>
                <w:sz w:val="20"/>
                <w:szCs w:val="20"/>
                <w:color w:val="auto"/>
              </w:rPr>
            </w:pPr>
            <w:r>
              <w:rPr>
                <w:rFonts w:ascii="Arial" w:cs="Arial" w:eastAsia="Arial" w:hAnsi="Arial"/>
                <w:sz w:val="11"/>
                <w:szCs w:val="11"/>
                <w:color w:val="auto"/>
              </w:rPr>
              <w:t>162,170</w:t>
            </w:r>
          </w:p>
        </w:tc>
        <w:tc>
          <w:tcPr>
            <w:tcW w:w="600" w:type="dxa"/>
            <w:vAlign w:val="bottom"/>
            <w:shd w:val="clear" w:color="auto" w:fill="D7F5C4"/>
          </w:tcPr>
          <w:p>
            <w:pPr>
              <w:ind w:left="380"/>
              <w:spacing w:after="0"/>
              <w:rPr>
                <w:sz w:val="20"/>
                <w:szCs w:val="20"/>
                <w:color w:val="auto"/>
              </w:rPr>
            </w:pPr>
            <w:r>
              <w:rPr>
                <w:rFonts w:ascii="Arial" w:cs="Arial" w:eastAsia="Arial" w:hAnsi="Arial"/>
                <w:sz w:val="11"/>
                <w:szCs w:val="11"/>
                <w:color w:val="auto"/>
              </w:rPr>
              <w:t>—</w:t>
            </w:r>
          </w:p>
        </w:tc>
        <w:tc>
          <w:tcPr>
            <w:tcW w:w="840" w:type="dxa"/>
            <w:vAlign w:val="bottom"/>
            <w:shd w:val="clear" w:color="auto" w:fill="D7F5C4"/>
          </w:tcPr>
          <w:p>
            <w:pPr>
              <w:jc w:val="right"/>
              <w:ind w:right="46"/>
              <w:spacing w:after="0"/>
              <w:rPr>
                <w:sz w:val="20"/>
                <w:szCs w:val="20"/>
                <w:color w:val="auto"/>
              </w:rPr>
            </w:pPr>
            <w:r>
              <w:rPr>
                <w:rFonts w:ascii="Arial" w:cs="Arial" w:eastAsia="Arial" w:hAnsi="Arial"/>
                <w:sz w:val="11"/>
                <w:szCs w:val="11"/>
                <w:color w:val="auto"/>
              </w:rPr>
              <w:t>6,056,928</w:t>
            </w:r>
          </w:p>
        </w:tc>
        <w:tc>
          <w:tcPr>
            <w:tcW w:w="700" w:type="dxa"/>
            <w:vAlign w:val="bottom"/>
            <w:shd w:val="clear" w:color="auto" w:fill="D7F5C4"/>
          </w:tcPr>
          <w:p>
            <w:pPr>
              <w:ind w:left="220"/>
              <w:spacing w:after="0"/>
              <w:rPr>
                <w:sz w:val="20"/>
                <w:szCs w:val="20"/>
                <w:color w:val="auto"/>
              </w:rPr>
            </w:pPr>
            <w:r>
              <w:rPr>
                <w:rFonts w:ascii="Arial" w:cs="Arial" w:eastAsia="Arial" w:hAnsi="Arial"/>
                <w:sz w:val="11"/>
                <w:szCs w:val="11"/>
                <w:color w:val="auto"/>
              </w:rPr>
              <w:t>800,000</w:t>
            </w:r>
          </w:p>
        </w:tc>
        <w:tc>
          <w:tcPr>
            <w:tcW w:w="700" w:type="dxa"/>
            <w:vAlign w:val="bottom"/>
            <w:shd w:val="clear" w:color="auto" w:fill="D7F5C4"/>
          </w:tcPr>
          <w:p>
            <w:pPr>
              <w:jc w:val="right"/>
              <w:ind w:right="26"/>
              <w:spacing w:after="0"/>
              <w:rPr>
                <w:sz w:val="20"/>
                <w:szCs w:val="20"/>
                <w:color w:val="auto"/>
              </w:rPr>
            </w:pPr>
            <w:r>
              <w:rPr>
                <w:rFonts w:ascii="Arial" w:cs="Arial" w:eastAsia="Arial" w:hAnsi="Arial"/>
                <w:sz w:val="11"/>
                <w:szCs w:val="11"/>
                <w:color w:val="auto"/>
              </w:rPr>
              <w:t>800,000</w:t>
            </w:r>
          </w:p>
        </w:tc>
        <w:tc>
          <w:tcPr>
            <w:tcW w:w="580" w:type="dxa"/>
            <w:vAlign w:val="bottom"/>
            <w:shd w:val="clear" w:color="auto" w:fill="D7F5C4"/>
          </w:tcPr>
          <w:p>
            <w:pPr>
              <w:ind w:left="380"/>
              <w:spacing w:after="0"/>
              <w:rPr>
                <w:sz w:val="20"/>
                <w:szCs w:val="20"/>
                <w:color w:val="auto"/>
              </w:rPr>
            </w:pPr>
            <w:r>
              <w:rPr>
                <w:rFonts w:ascii="Arial" w:cs="Arial" w:eastAsia="Arial" w:hAnsi="Arial"/>
                <w:sz w:val="11"/>
                <w:szCs w:val="11"/>
                <w:color w:val="auto"/>
              </w:rPr>
              <w:t>—</w:t>
            </w:r>
          </w:p>
        </w:tc>
        <w:tc>
          <w:tcPr>
            <w:tcW w:w="840" w:type="dxa"/>
            <w:vAlign w:val="bottom"/>
            <w:shd w:val="clear" w:color="auto" w:fill="D7F5C4"/>
          </w:tcPr>
          <w:p>
            <w:pPr>
              <w:ind w:left="640"/>
              <w:spacing w:after="0"/>
              <w:rPr>
                <w:sz w:val="20"/>
                <w:szCs w:val="20"/>
                <w:color w:val="auto"/>
              </w:rPr>
            </w:pPr>
            <w:r>
              <w:rPr>
                <w:rFonts w:ascii="Arial" w:cs="Arial" w:eastAsia="Arial" w:hAnsi="Arial"/>
                <w:sz w:val="11"/>
                <w:szCs w:val="11"/>
                <w:color w:val="auto"/>
              </w:rPr>
              <w:t>—</w:t>
            </w:r>
          </w:p>
        </w:tc>
        <w:tc>
          <w:tcPr>
            <w:tcW w:w="780" w:type="dxa"/>
            <w:vAlign w:val="bottom"/>
            <w:shd w:val="clear" w:color="auto" w:fill="D7F5C4"/>
          </w:tcPr>
          <w:p>
            <w:pPr>
              <w:ind w:left="580"/>
              <w:spacing w:after="0"/>
              <w:rPr>
                <w:sz w:val="20"/>
                <w:szCs w:val="20"/>
                <w:color w:val="auto"/>
              </w:rPr>
            </w:pPr>
            <w:r>
              <w:rPr>
                <w:rFonts w:ascii="Arial" w:cs="Arial" w:eastAsia="Arial" w:hAnsi="Arial"/>
                <w:sz w:val="11"/>
                <w:szCs w:val="11"/>
                <w:color w:val="auto"/>
              </w:rPr>
              <w:t>—</w:t>
            </w:r>
          </w:p>
        </w:tc>
        <w:tc>
          <w:tcPr>
            <w:tcW w:w="840" w:type="dxa"/>
            <w:vAlign w:val="bottom"/>
            <w:shd w:val="clear" w:color="auto" w:fill="D7F5C4"/>
          </w:tcPr>
          <w:p>
            <w:pPr>
              <w:jc w:val="right"/>
              <w:ind w:right="26"/>
              <w:spacing w:after="0"/>
              <w:rPr>
                <w:sz w:val="20"/>
                <w:szCs w:val="20"/>
                <w:color w:val="auto"/>
              </w:rPr>
            </w:pPr>
            <w:r>
              <w:rPr>
                <w:rFonts w:ascii="Arial" w:cs="Arial" w:eastAsia="Arial" w:hAnsi="Arial"/>
                <w:sz w:val="11"/>
                <w:szCs w:val="11"/>
                <w:color w:val="auto"/>
              </w:rPr>
              <w:t>—</w:t>
            </w:r>
          </w:p>
        </w:tc>
        <w:tc>
          <w:tcPr>
            <w:tcW w:w="560" w:type="dxa"/>
            <w:vAlign w:val="bottom"/>
            <w:shd w:val="clear" w:color="auto" w:fill="D7F5C4"/>
          </w:tcPr>
          <w:p>
            <w:pPr>
              <w:ind w:left="380"/>
              <w:spacing w:after="0"/>
              <w:rPr>
                <w:sz w:val="20"/>
                <w:szCs w:val="20"/>
                <w:color w:val="auto"/>
              </w:rPr>
            </w:pPr>
            <w:r>
              <w:rPr>
                <w:rFonts w:ascii="Arial" w:cs="Arial" w:eastAsia="Arial" w:hAnsi="Arial"/>
                <w:sz w:val="11"/>
                <w:szCs w:val="11"/>
                <w:color w:val="auto"/>
              </w:rPr>
              <w:t>—</w:t>
            </w:r>
          </w:p>
        </w:tc>
        <w:tc>
          <w:tcPr>
            <w:tcW w:w="720" w:type="dxa"/>
            <w:vAlign w:val="bottom"/>
            <w:shd w:val="clear" w:color="auto" w:fill="D7F5C4"/>
          </w:tcPr>
          <w:p>
            <w:pPr>
              <w:jc w:val="right"/>
              <w:ind w:right="6"/>
              <w:spacing w:after="0"/>
              <w:rPr>
                <w:sz w:val="20"/>
                <w:szCs w:val="20"/>
                <w:color w:val="auto"/>
              </w:rPr>
            </w:pPr>
            <w:r>
              <w:rPr>
                <w:rFonts w:ascii="Arial" w:cs="Arial" w:eastAsia="Arial" w:hAnsi="Arial"/>
                <w:sz w:val="11"/>
                <w:szCs w:val="11"/>
                <w:color w:val="auto"/>
              </w:rPr>
              <w:t>6,056,928</w:t>
            </w:r>
          </w:p>
        </w:tc>
        <w:tc>
          <w:tcPr>
            <w:tcW w:w="640" w:type="dxa"/>
            <w:vAlign w:val="bottom"/>
            <w:shd w:val="clear" w:color="auto" w:fill="D7F5C4"/>
          </w:tcPr>
          <w:p>
            <w:pPr>
              <w:jc w:val="right"/>
              <w:spacing w:after="0"/>
              <w:rPr>
                <w:sz w:val="20"/>
                <w:szCs w:val="20"/>
                <w:color w:val="auto"/>
              </w:rPr>
            </w:pPr>
            <w:r>
              <w:rPr>
                <w:rFonts w:ascii="Arial" w:cs="Arial" w:eastAsia="Arial" w:hAnsi="Arial"/>
                <w:sz w:val="11"/>
                <w:szCs w:val="11"/>
                <w:color w:val="auto"/>
              </w:rPr>
              <w:t>7,819,098</w:t>
            </w:r>
          </w:p>
        </w:tc>
      </w:tr>
      <w:tr>
        <w:trPr>
          <w:trHeight w:val="158"/>
        </w:trPr>
        <w:tc>
          <w:tcPr>
            <w:tcW w:w="1240" w:type="dxa"/>
            <w:vAlign w:val="bottom"/>
          </w:tcPr>
          <w:p>
            <w:pPr>
              <w:spacing w:after="0"/>
              <w:rPr>
                <w:sz w:val="20"/>
                <w:szCs w:val="20"/>
                <w:color w:val="auto"/>
              </w:rPr>
            </w:pPr>
            <w:r>
              <w:rPr>
                <w:rFonts w:ascii="Arial" w:cs="Arial" w:eastAsia="Arial" w:hAnsi="Arial"/>
                <w:sz w:val="11"/>
                <w:szCs w:val="11"/>
                <w:color w:val="auto"/>
              </w:rPr>
              <w:t>Joseph F. Montalbano</w:t>
            </w:r>
          </w:p>
        </w:tc>
        <w:tc>
          <w:tcPr>
            <w:tcW w:w="720" w:type="dxa"/>
            <w:vAlign w:val="bottom"/>
          </w:tcPr>
          <w:p>
            <w:pPr>
              <w:jc w:val="right"/>
              <w:ind w:right="26"/>
              <w:spacing w:after="0"/>
              <w:rPr>
                <w:sz w:val="20"/>
                <w:szCs w:val="20"/>
                <w:color w:val="auto"/>
              </w:rPr>
            </w:pPr>
            <w:r>
              <w:rPr>
                <w:rFonts w:ascii="Arial" w:cs="Arial" w:eastAsia="Arial" w:hAnsi="Arial"/>
                <w:sz w:val="11"/>
                <w:szCs w:val="11"/>
                <w:color w:val="auto"/>
              </w:rPr>
              <w:t>1,041,862</w:t>
            </w:r>
          </w:p>
        </w:tc>
        <w:tc>
          <w:tcPr>
            <w:tcW w:w="740" w:type="dxa"/>
            <w:vAlign w:val="bottom"/>
          </w:tcPr>
          <w:p>
            <w:pPr>
              <w:jc w:val="right"/>
              <w:ind w:right="26"/>
              <w:spacing w:after="0"/>
              <w:rPr>
                <w:sz w:val="20"/>
                <w:szCs w:val="20"/>
                <w:color w:val="auto"/>
              </w:rPr>
            </w:pPr>
            <w:r>
              <w:rPr>
                <w:rFonts w:ascii="Arial" w:cs="Arial" w:eastAsia="Arial" w:hAnsi="Arial"/>
                <w:sz w:val="11"/>
                <w:szCs w:val="11"/>
                <w:color w:val="auto"/>
              </w:rPr>
              <w:t>79,199</w:t>
            </w:r>
          </w:p>
        </w:tc>
        <w:tc>
          <w:tcPr>
            <w:tcW w:w="600" w:type="dxa"/>
            <w:vAlign w:val="bottom"/>
          </w:tcPr>
          <w:p>
            <w:pPr>
              <w:ind w:left="380"/>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46"/>
              <w:spacing w:after="0"/>
              <w:rPr>
                <w:sz w:val="20"/>
                <w:szCs w:val="20"/>
                <w:color w:val="auto"/>
              </w:rPr>
            </w:pPr>
            <w:r>
              <w:rPr>
                <w:rFonts w:ascii="Arial" w:cs="Arial" w:eastAsia="Arial" w:hAnsi="Arial"/>
                <w:sz w:val="11"/>
                <w:szCs w:val="11"/>
                <w:color w:val="auto"/>
              </w:rPr>
              <w:t>2,238,559</w:t>
            </w:r>
          </w:p>
        </w:tc>
        <w:tc>
          <w:tcPr>
            <w:tcW w:w="700" w:type="dxa"/>
            <w:vAlign w:val="bottom"/>
          </w:tcPr>
          <w:p>
            <w:pPr>
              <w:ind w:left="220"/>
              <w:spacing w:after="0"/>
              <w:rPr>
                <w:sz w:val="20"/>
                <w:szCs w:val="20"/>
                <w:color w:val="auto"/>
              </w:rPr>
            </w:pPr>
            <w:r>
              <w:rPr>
                <w:rFonts w:ascii="Arial" w:cs="Arial" w:eastAsia="Arial" w:hAnsi="Arial"/>
                <w:sz w:val="11"/>
                <w:szCs w:val="11"/>
                <w:color w:val="auto"/>
              </w:rPr>
              <w:t>520,931</w:t>
            </w: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79,199</w:t>
            </w:r>
          </w:p>
        </w:tc>
        <w:tc>
          <w:tcPr>
            <w:tcW w:w="580" w:type="dxa"/>
            <w:vAlign w:val="bottom"/>
          </w:tcPr>
          <w:p>
            <w:pPr>
              <w:ind w:left="380"/>
              <w:spacing w:after="0"/>
              <w:rPr>
                <w:sz w:val="20"/>
                <w:szCs w:val="20"/>
                <w:color w:val="auto"/>
              </w:rPr>
            </w:pPr>
            <w:r>
              <w:rPr>
                <w:rFonts w:ascii="Arial" w:cs="Arial" w:eastAsia="Arial" w:hAnsi="Arial"/>
                <w:sz w:val="11"/>
                <w:szCs w:val="11"/>
                <w:color w:val="auto"/>
              </w:rPr>
              <w:t>—</w:t>
            </w:r>
          </w:p>
        </w:tc>
        <w:tc>
          <w:tcPr>
            <w:tcW w:w="840" w:type="dxa"/>
            <w:vAlign w:val="bottom"/>
          </w:tcPr>
          <w:p>
            <w:pPr>
              <w:ind w:left="640"/>
              <w:spacing w:after="0"/>
              <w:rPr>
                <w:sz w:val="20"/>
                <w:szCs w:val="20"/>
                <w:color w:val="auto"/>
              </w:rPr>
            </w:pPr>
            <w:r>
              <w:rPr>
                <w:rFonts w:ascii="Arial" w:cs="Arial" w:eastAsia="Arial" w:hAnsi="Arial"/>
                <w:sz w:val="11"/>
                <w:szCs w:val="11"/>
                <w:color w:val="auto"/>
              </w:rPr>
              <w:t>—</w:t>
            </w:r>
          </w:p>
        </w:tc>
        <w:tc>
          <w:tcPr>
            <w:tcW w:w="780" w:type="dxa"/>
            <w:vAlign w:val="bottom"/>
          </w:tcPr>
          <w:p>
            <w:pPr>
              <w:ind w:left="580"/>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26"/>
              <w:spacing w:after="0"/>
              <w:rPr>
                <w:sz w:val="20"/>
                <w:szCs w:val="20"/>
                <w:color w:val="auto"/>
              </w:rPr>
            </w:pPr>
            <w:r>
              <w:rPr>
                <w:rFonts w:ascii="Arial" w:cs="Arial" w:eastAsia="Arial" w:hAnsi="Arial"/>
                <w:sz w:val="11"/>
                <w:szCs w:val="11"/>
                <w:color w:val="auto"/>
              </w:rPr>
              <w:t>1,156,631</w:t>
            </w:r>
          </w:p>
        </w:tc>
        <w:tc>
          <w:tcPr>
            <w:tcW w:w="560" w:type="dxa"/>
            <w:vAlign w:val="bottom"/>
          </w:tcPr>
          <w:p>
            <w:pPr>
              <w:ind w:left="380"/>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2,238,559</w:t>
            </w:r>
          </w:p>
        </w:tc>
        <w:tc>
          <w:tcPr>
            <w:tcW w:w="640" w:type="dxa"/>
            <w:vAlign w:val="bottom"/>
          </w:tcPr>
          <w:p>
            <w:pPr>
              <w:jc w:val="right"/>
              <w:spacing w:after="0"/>
              <w:rPr>
                <w:sz w:val="20"/>
                <w:szCs w:val="20"/>
                <w:color w:val="auto"/>
              </w:rPr>
            </w:pPr>
            <w:r>
              <w:rPr>
                <w:rFonts w:ascii="Arial" w:cs="Arial" w:eastAsia="Arial" w:hAnsi="Arial"/>
                <w:sz w:val="11"/>
                <w:szCs w:val="11"/>
                <w:color w:val="auto"/>
              </w:rPr>
              <w:t>3,359,620</w:t>
            </w:r>
          </w:p>
        </w:tc>
      </w:tr>
      <w:tr>
        <w:trPr>
          <w:trHeight w:val="166"/>
        </w:trPr>
        <w:tc>
          <w:tcPr>
            <w:tcW w:w="1240" w:type="dxa"/>
            <w:vAlign w:val="bottom"/>
            <w:shd w:val="clear" w:color="auto" w:fill="D7F5C4"/>
          </w:tcPr>
          <w:p>
            <w:pPr>
              <w:spacing w:after="0"/>
              <w:rPr>
                <w:sz w:val="20"/>
                <w:szCs w:val="20"/>
                <w:color w:val="auto"/>
              </w:rPr>
            </w:pPr>
            <w:r>
              <w:rPr>
                <w:rFonts w:ascii="Arial" w:cs="Arial" w:eastAsia="Arial" w:hAnsi="Arial"/>
                <w:sz w:val="11"/>
                <w:szCs w:val="11"/>
                <w:color w:val="auto"/>
              </w:rPr>
              <w:t>Kevin S. Cavanah</w:t>
            </w:r>
          </w:p>
        </w:tc>
        <w:tc>
          <w:tcPr>
            <w:tcW w:w="720" w:type="dxa"/>
            <w:vAlign w:val="bottom"/>
            <w:shd w:val="clear" w:color="auto" w:fill="D7F5C4"/>
          </w:tcPr>
          <w:p>
            <w:pPr>
              <w:jc w:val="right"/>
              <w:ind w:right="26"/>
              <w:spacing w:after="0"/>
              <w:rPr>
                <w:sz w:val="20"/>
                <w:szCs w:val="20"/>
                <w:color w:val="auto"/>
              </w:rPr>
            </w:pPr>
            <w:r>
              <w:rPr>
                <w:rFonts w:ascii="Arial" w:cs="Arial" w:eastAsia="Arial" w:hAnsi="Arial"/>
                <w:sz w:val="11"/>
                <w:szCs w:val="11"/>
                <w:color w:val="auto"/>
              </w:rPr>
              <w:t>950,000</w:t>
            </w:r>
          </w:p>
        </w:tc>
        <w:tc>
          <w:tcPr>
            <w:tcW w:w="740" w:type="dxa"/>
            <w:vAlign w:val="bottom"/>
            <w:shd w:val="clear" w:color="auto" w:fill="D7F5C4"/>
          </w:tcPr>
          <w:p>
            <w:pPr>
              <w:jc w:val="right"/>
              <w:ind w:right="26"/>
              <w:spacing w:after="0"/>
              <w:rPr>
                <w:sz w:val="20"/>
                <w:szCs w:val="20"/>
                <w:color w:val="auto"/>
              </w:rPr>
            </w:pPr>
            <w:r>
              <w:rPr>
                <w:rFonts w:ascii="Arial" w:cs="Arial" w:eastAsia="Arial" w:hAnsi="Arial"/>
                <w:sz w:val="11"/>
                <w:szCs w:val="11"/>
                <w:color w:val="auto"/>
              </w:rPr>
              <w:t>72,216</w:t>
            </w:r>
          </w:p>
        </w:tc>
        <w:tc>
          <w:tcPr>
            <w:tcW w:w="600" w:type="dxa"/>
            <w:vAlign w:val="bottom"/>
            <w:shd w:val="clear" w:color="auto" w:fill="D7F5C4"/>
          </w:tcPr>
          <w:p>
            <w:pPr>
              <w:ind w:left="380"/>
              <w:spacing w:after="0"/>
              <w:rPr>
                <w:sz w:val="20"/>
                <w:szCs w:val="20"/>
                <w:color w:val="auto"/>
              </w:rPr>
            </w:pPr>
            <w:r>
              <w:rPr>
                <w:rFonts w:ascii="Arial" w:cs="Arial" w:eastAsia="Arial" w:hAnsi="Arial"/>
                <w:sz w:val="11"/>
                <w:szCs w:val="11"/>
                <w:color w:val="auto"/>
              </w:rPr>
              <w:t>—</w:t>
            </w:r>
          </w:p>
        </w:tc>
        <w:tc>
          <w:tcPr>
            <w:tcW w:w="840" w:type="dxa"/>
            <w:vAlign w:val="bottom"/>
            <w:shd w:val="clear" w:color="auto" w:fill="D7F5C4"/>
          </w:tcPr>
          <w:p>
            <w:pPr>
              <w:jc w:val="right"/>
              <w:ind w:right="46"/>
              <w:spacing w:after="0"/>
              <w:rPr>
                <w:sz w:val="20"/>
                <w:szCs w:val="20"/>
                <w:color w:val="auto"/>
              </w:rPr>
            </w:pPr>
            <w:r>
              <w:rPr>
                <w:rFonts w:ascii="Arial" w:cs="Arial" w:eastAsia="Arial" w:hAnsi="Arial"/>
                <w:sz w:val="11"/>
                <w:szCs w:val="11"/>
                <w:color w:val="auto"/>
              </w:rPr>
              <w:t>1,986,391</w:t>
            </w:r>
          </w:p>
        </w:tc>
        <w:tc>
          <w:tcPr>
            <w:tcW w:w="700" w:type="dxa"/>
            <w:vAlign w:val="bottom"/>
            <w:shd w:val="clear" w:color="auto" w:fill="D7F5C4"/>
          </w:tcPr>
          <w:p>
            <w:pPr>
              <w:ind w:left="220"/>
              <w:spacing w:after="0"/>
              <w:rPr>
                <w:sz w:val="20"/>
                <w:szCs w:val="20"/>
                <w:color w:val="auto"/>
              </w:rPr>
            </w:pPr>
            <w:r>
              <w:rPr>
                <w:rFonts w:ascii="Arial" w:cs="Arial" w:eastAsia="Arial" w:hAnsi="Arial"/>
                <w:sz w:val="11"/>
                <w:szCs w:val="11"/>
                <w:color w:val="auto"/>
              </w:rPr>
              <w:t>475,000</w:t>
            </w:r>
          </w:p>
        </w:tc>
        <w:tc>
          <w:tcPr>
            <w:tcW w:w="700" w:type="dxa"/>
            <w:vAlign w:val="bottom"/>
            <w:shd w:val="clear" w:color="auto" w:fill="D7F5C4"/>
          </w:tcPr>
          <w:p>
            <w:pPr>
              <w:jc w:val="right"/>
              <w:ind w:right="26"/>
              <w:spacing w:after="0"/>
              <w:rPr>
                <w:sz w:val="20"/>
                <w:szCs w:val="20"/>
                <w:color w:val="auto"/>
              </w:rPr>
            </w:pPr>
            <w:r>
              <w:rPr>
                <w:rFonts w:ascii="Arial" w:cs="Arial" w:eastAsia="Arial" w:hAnsi="Arial"/>
                <w:sz w:val="11"/>
                <w:szCs w:val="11"/>
                <w:color w:val="auto"/>
              </w:rPr>
              <w:t>72,216</w:t>
            </w:r>
          </w:p>
        </w:tc>
        <w:tc>
          <w:tcPr>
            <w:tcW w:w="580" w:type="dxa"/>
            <w:vAlign w:val="bottom"/>
            <w:shd w:val="clear" w:color="auto" w:fill="D7F5C4"/>
          </w:tcPr>
          <w:p>
            <w:pPr>
              <w:ind w:left="380"/>
              <w:spacing w:after="0"/>
              <w:rPr>
                <w:sz w:val="20"/>
                <w:szCs w:val="20"/>
                <w:color w:val="auto"/>
              </w:rPr>
            </w:pPr>
            <w:r>
              <w:rPr>
                <w:rFonts w:ascii="Arial" w:cs="Arial" w:eastAsia="Arial" w:hAnsi="Arial"/>
                <w:sz w:val="11"/>
                <w:szCs w:val="11"/>
                <w:color w:val="auto"/>
              </w:rPr>
              <w:t>—</w:t>
            </w:r>
          </w:p>
        </w:tc>
        <w:tc>
          <w:tcPr>
            <w:tcW w:w="840" w:type="dxa"/>
            <w:vAlign w:val="bottom"/>
            <w:shd w:val="clear" w:color="auto" w:fill="D7F5C4"/>
          </w:tcPr>
          <w:p>
            <w:pPr>
              <w:ind w:left="640"/>
              <w:spacing w:after="0"/>
              <w:rPr>
                <w:sz w:val="20"/>
                <w:szCs w:val="20"/>
                <w:color w:val="auto"/>
              </w:rPr>
            </w:pPr>
            <w:r>
              <w:rPr>
                <w:rFonts w:ascii="Arial" w:cs="Arial" w:eastAsia="Arial" w:hAnsi="Arial"/>
                <w:sz w:val="11"/>
                <w:szCs w:val="11"/>
                <w:color w:val="auto"/>
              </w:rPr>
              <w:t>—</w:t>
            </w:r>
          </w:p>
        </w:tc>
        <w:tc>
          <w:tcPr>
            <w:tcW w:w="780" w:type="dxa"/>
            <w:vAlign w:val="bottom"/>
            <w:shd w:val="clear" w:color="auto" w:fill="D7F5C4"/>
          </w:tcPr>
          <w:p>
            <w:pPr>
              <w:ind w:left="580"/>
              <w:spacing w:after="0"/>
              <w:rPr>
                <w:sz w:val="20"/>
                <w:szCs w:val="20"/>
                <w:color w:val="auto"/>
              </w:rPr>
            </w:pPr>
            <w:r>
              <w:rPr>
                <w:rFonts w:ascii="Arial" w:cs="Arial" w:eastAsia="Arial" w:hAnsi="Arial"/>
                <w:sz w:val="11"/>
                <w:szCs w:val="11"/>
                <w:color w:val="auto"/>
              </w:rPr>
              <w:t>—</w:t>
            </w:r>
          </w:p>
        </w:tc>
        <w:tc>
          <w:tcPr>
            <w:tcW w:w="840" w:type="dxa"/>
            <w:vAlign w:val="bottom"/>
            <w:shd w:val="clear" w:color="auto" w:fill="D7F5C4"/>
          </w:tcPr>
          <w:p>
            <w:pPr>
              <w:jc w:val="right"/>
              <w:ind w:right="26"/>
              <w:spacing w:after="0"/>
              <w:rPr>
                <w:sz w:val="20"/>
                <w:szCs w:val="20"/>
                <w:color w:val="auto"/>
              </w:rPr>
            </w:pPr>
            <w:r>
              <w:rPr>
                <w:rFonts w:ascii="Arial" w:cs="Arial" w:eastAsia="Arial" w:hAnsi="Arial"/>
                <w:sz w:val="11"/>
                <w:szCs w:val="11"/>
                <w:color w:val="auto"/>
              </w:rPr>
              <w:t>—</w:t>
            </w:r>
          </w:p>
        </w:tc>
        <w:tc>
          <w:tcPr>
            <w:tcW w:w="560" w:type="dxa"/>
            <w:vAlign w:val="bottom"/>
            <w:shd w:val="clear" w:color="auto" w:fill="D7F5C4"/>
          </w:tcPr>
          <w:p>
            <w:pPr>
              <w:ind w:left="380"/>
              <w:spacing w:after="0"/>
              <w:rPr>
                <w:sz w:val="20"/>
                <w:szCs w:val="20"/>
                <w:color w:val="auto"/>
              </w:rPr>
            </w:pPr>
            <w:r>
              <w:rPr>
                <w:rFonts w:ascii="Arial" w:cs="Arial" w:eastAsia="Arial" w:hAnsi="Arial"/>
                <w:sz w:val="11"/>
                <w:szCs w:val="11"/>
                <w:color w:val="auto"/>
              </w:rPr>
              <w:t>—</w:t>
            </w:r>
          </w:p>
        </w:tc>
        <w:tc>
          <w:tcPr>
            <w:tcW w:w="720" w:type="dxa"/>
            <w:vAlign w:val="bottom"/>
            <w:shd w:val="clear" w:color="auto" w:fill="D7F5C4"/>
          </w:tcPr>
          <w:p>
            <w:pPr>
              <w:jc w:val="right"/>
              <w:ind w:right="6"/>
              <w:spacing w:after="0"/>
              <w:rPr>
                <w:sz w:val="20"/>
                <w:szCs w:val="20"/>
                <w:color w:val="auto"/>
              </w:rPr>
            </w:pPr>
            <w:r>
              <w:rPr>
                <w:rFonts w:ascii="Arial" w:cs="Arial" w:eastAsia="Arial" w:hAnsi="Arial"/>
                <w:sz w:val="11"/>
                <w:szCs w:val="11"/>
                <w:color w:val="auto"/>
              </w:rPr>
              <w:t>1,986,391</w:t>
            </w:r>
          </w:p>
        </w:tc>
        <w:tc>
          <w:tcPr>
            <w:tcW w:w="640" w:type="dxa"/>
            <w:vAlign w:val="bottom"/>
            <w:shd w:val="clear" w:color="auto" w:fill="D7F5C4"/>
          </w:tcPr>
          <w:p>
            <w:pPr>
              <w:jc w:val="right"/>
              <w:spacing w:after="0"/>
              <w:rPr>
                <w:sz w:val="20"/>
                <w:szCs w:val="20"/>
                <w:color w:val="auto"/>
              </w:rPr>
            </w:pPr>
            <w:r>
              <w:rPr>
                <w:rFonts w:ascii="Arial" w:cs="Arial" w:eastAsia="Arial" w:hAnsi="Arial"/>
                <w:sz w:val="11"/>
                <w:szCs w:val="11"/>
                <w:color w:val="auto"/>
              </w:rPr>
              <w:t>3,008,607</w:t>
            </w:r>
          </w:p>
        </w:tc>
      </w:tr>
      <w:tr>
        <w:trPr>
          <w:trHeight w:val="158"/>
        </w:trPr>
        <w:tc>
          <w:tcPr>
            <w:tcW w:w="1240" w:type="dxa"/>
            <w:vAlign w:val="bottom"/>
          </w:tcPr>
          <w:p>
            <w:pPr>
              <w:spacing w:after="0"/>
              <w:rPr>
                <w:sz w:val="20"/>
                <w:szCs w:val="20"/>
                <w:color w:val="auto"/>
              </w:rPr>
            </w:pPr>
            <w:r>
              <w:rPr>
                <w:rFonts w:ascii="Arial" w:cs="Arial" w:eastAsia="Arial" w:hAnsi="Arial"/>
                <w:sz w:val="11"/>
                <w:szCs w:val="11"/>
                <w:color w:val="auto"/>
              </w:rPr>
              <w:t>Alan R. Updyke</w:t>
            </w:r>
          </w:p>
        </w:tc>
        <w:tc>
          <w:tcPr>
            <w:tcW w:w="720" w:type="dxa"/>
            <w:vAlign w:val="bottom"/>
          </w:tcPr>
          <w:p>
            <w:pPr>
              <w:jc w:val="right"/>
              <w:ind w:right="26"/>
              <w:spacing w:after="0"/>
              <w:rPr>
                <w:sz w:val="20"/>
                <w:szCs w:val="20"/>
                <w:color w:val="auto"/>
              </w:rPr>
            </w:pPr>
            <w:r>
              <w:rPr>
                <w:rFonts w:ascii="Arial" w:cs="Arial" w:eastAsia="Arial" w:hAnsi="Arial"/>
                <w:sz w:val="11"/>
                <w:szCs w:val="11"/>
                <w:color w:val="auto"/>
              </w:rPr>
              <w:t>397,480</w:t>
            </w:r>
          </w:p>
        </w:tc>
        <w:tc>
          <w:tcPr>
            <w:tcW w:w="740" w:type="dxa"/>
            <w:vAlign w:val="bottom"/>
          </w:tcPr>
          <w:p>
            <w:pPr>
              <w:jc w:val="right"/>
              <w:ind w:right="26"/>
              <w:spacing w:after="0"/>
              <w:rPr>
                <w:sz w:val="20"/>
                <w:szCs w:val="20"/>
                <w:color w:val="auto"/>
              </w:rPr>
            </w:pPr>
            <w:r>
              <w:rPr>
                <w:rFonts w:ascii="Arial" w:cs="Arial" w:eastAsia="Arial" w:hAnsi="Arial"/>
                <w:sz w:val="11"/>
                <w:szCs w:val="11"/>
                <w:color w:val="auto"/>
              </w:rPr>
              <w:t>99,720</w:t>
            </w:r>
          </w:p>
        </w:tc>
        <w:tc>
          <w:tcPr>
            <w:tcW w:w="600" w:type="dxa"/>
            <w:vAlign w:val="bottom"/>
          </w:tcPr>
          <w:p>
            <w:pPr>
              <w:ind w:left="380"/>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46"/>
              <w:spacing w:after="0"/>
              <w:rPr>
                <w:sz w:val="20"/>
                <w:szCs w:val="20"/>
                <w:color w:val="auto"/>
              </w:rPr>
            </w:pPr>
            <w:r>
              <w:rPr>
                <w:rFonts w:ascii="Arial" w:cs="Arial" w:eastAsia="Arial" w:hAnsi="Arial"/>
                <w:sz w:val="11"/>
                <w:szCs w:val="11"/>
                <w:color w:val="auto"/>
              </w:rPr>
              <w:t>962,677</w:t>
            </w:r>
          </w:p>
        </w:tc>
        <w:tc>
          <w:tcPr>
            <w:tcW w:w="700" w:type="dxa"/>
            <w:vAlign w:val="bottom"/>
          </w:tcPr>
          <w:p>
            <w:pPr>
              <w:ind w:left="220"/>
              <w:spacing w:after="0"/>
              <w:rPr>
                <w:sz w:val="20"/>
                <w:szCs w:val="20"/>
                <w:color w:val="auto"/>
              </w:rPr>
            </w:pPr>
            <w:r>
              <w:rPr>
                <w:rFonts w:ascii="Arial" w:cs="Arial" w:eastAsia="Arial" w:hAnsi="Arial"/>
                <w:sz w:val="11"/>
                <w:szCs w:val="11"/>
                <w:color w:val="auto"/>
              </w:rPr>
              <w:t>397,480</w:t>
            </w: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99,720</w:t>
            </w:r>
          </w:p>
        </w:tc>
        <w:tc>
          <w:tcPr>
            <w:tcW w:w="580" w:type="dxa"/>
            <w:vAlign w:val="bottom"/>
          </w:tcPr>
          <w:p>
            <w:pPr>
              <w:ind w:left="380"/>
              <w:spacing w:after="0"/>
              <w:rPr>
                <w:sz w:val="20"/>
                <w:szCs w:val="20"/>
                <w:color w:val="auto"/>
              </w:rPr>
            </w:pPr>
            <w:r>
              <w:rPr>
                <w:rFonts w:ascii="Arial" w:cs="Arial" w:eastAsia="Arial" w:hAnsi="Arial"/>
                <w:sz w:val="11"/>
                <w:szCs w:val="11"/>
                <w:color w:val="auto"/>
              </w:rPr>
              <w:t>—</w:t>
            </w:r>
          </w:p>
        </w:tc>
        <w:tc>
          <w:tcPr>
            <w:tcW w:w="840" w:type="dxa"/>
            <w:vAlign w:val="bottom"/>
          </w:tcPr>
          <w:p>
            <w:pPr>
              <w:ind w:left="640"/>
              <w:spacing w:after="0"/>
              <w:rPr>
                <w:sz w:val="20"/>
                <w:szCs w:val="20"/>
                <w:color w:val="auto"/>
              </w:rPr>
            </w:pPr>
            <w:r>
              <w:rPr>
                <w:rFonts w:ascii="Arial" w:cs="Arial" w:eastAsia="Arial" w:hAnsi="Arial"/>
                <w:sz w:val="11"/>
                <w:szCs w:val="11"/>
                <w:color w:val="auto"/>
              </w:rPr>
              <w:t>—</w:t>
            </w:r>
          </w:p>
        </w:tc>
        <w:tc>
          <w:tcPr>
            <w:tcW w:w="780" w:type="dxa"/>
            <w:vAlign w:val="bottom"/>
          </w:tcPr>
          <w:p>
            <w:pPr>
              <w:ind w:left="580"/>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560" w:type="dxa"/>
            <w:vAlign w:val="bottom"/>
          </w:tcPr>
          <w:p>
            <w:pPr>
              <w:ind w:left="380"/>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962,677</w:t>
            </w:r>
          </w:p>
        </w:tc>
        <w:tc>
          <w:tcPr>
            <w:tcW w:w="640" w:type="dxa"/>
            <w:vAlign w:val="bottom"/>
          </w:tcPr>
          <w:p>
            <w:pPr>
              <w:jc w:val="right"/>
              <w:spacing w:after="0"/>
              <w:rPr>
                <w:sz w:val="20"/>
                <w:szCs w:val="20"/>
                <w:color w:val="auto"/>
              </w:rPr>
            </w:pPr>
            <w:r>
              <w:rPr>
                <w:rFonts w:ascii="Arial" w:cs="Arial" w:eastAsia="Arial" w:hAnsi="Arial"/>
                <w:sz w:val="11"/>
                <w:szCs w:val="11"/>
                <w:color w:val="auto"/>
              </w:rPr>
              <w:t>1,459,877</w:t>
            </w:r>
          </w:p>
        </w:tc>
      </w:tr>
      <w:tr>
        <w:trPr>
          <w:trHeight w:val="166"/>
        </w:trPr>
        <w:tc>
          <w:tcPr>
            <w:tcW w:w="1240" w:type="dxa"/>
            <w:vAlign w:val="bottom"/>
            <w:shd w:val="clear" w:color="auto" w:fill="D7F5C4"/>
          </w:tcPr>
          <w:p>
            <w:pPr>
              <w:spacing w:after="0"/>
              <w:rPr>
                <w:sz w:val="20"/>
                <w:szCs w:val="20"/>
                <w:color w:val="auto"/>
              </w:rPr>
            </w:pPr>
            <w:r>
              <w:rPr>
                <w:rFonts w:ascii="Arial" w:cs="Arial" w:eastAsia="Arial" w:hAnsi="Arial"/>
                <w:sz w:val="11"/>
                <w:szCs w:val="11"/>
                <w:color w:val="auto"/>
              </w:rPr>
              <w:t>Jason W. Turner</w:t>
            </w:r>
          </w:p>
        </w:tc>
        <w:tc>
          <w:tcPr>
            <w:tcW w:w="720" w:type="dxa"/>
            <w:vAlign w:val="bottom"/>
            <w:shd w:val="clear" w:color="auto" w:fill="D7F5C4"/>
          </w:tcPr>
          <w:p>
            <w:pPr>
              <w:jc w:val="right"/>
              <w:ind w:right="26"/>
              <w:spacing w:after="0"/>
              <w:rPr>
                <w:sz w:val="20"/>
                <w:szCs w:val="20"/>
                <w:color w:val="auto"/>
              </w:rPr>
            </w:pPr>
            <w:r>
              <w:rPr>
                <w:rFonts w:ascii="Arial" w:cs="Arial" w:eastAsia="Arial" w:hAnsi="Arial"/>
                <w:sz w:val="11"/>
                <w:szCs w:val="11"/>
                <w:color w:val="auto"/>
              </w:rPr>
              <w:t>623,528</w:t>
            </w:r>
          </w:p>
        </w:tc>
        <w:tc>
          <w:tcPr>
            <w:tcW w:w="740" w:type="dxa"/>
            <w:vAlign w:val="bottom"/>
            <w:shd w:val="clear" w:color="auto" w:fill="D7F5C4"/>
          </w:tcPr>
          <w:p>
            <w:pPr>
              <w:jc w:val="right"/>
              <w:ind w:right="26"/>
              <w:spacing w:after="0"/>
              <w:rPr>
                <w:sz w:val="20"/>
                <w:szCs w:val="20"/>
                <w:color w:val="auto"/>
              </w:rPr>
            </w:pPr>
            <w:r>
              <w:rPr>
                <w:rFonts w:ascii="Arial" w:cs="Arial" w:eastAsia="Arial" w:hAnsi="Arial"/>
                <w:sz w:val="11"/>
                <w:szCs w:val="11"/>
                <w:color w:val="auto"/>
              </w:rPr>
              <w:t>48,357</w:t>
            </w:r>
          </w:p>
        </w:tc>
        <w:tc>
          <w:tcPr>
            <w:tcW w:w="600" w:type="dxa"/>
            <w:vAlign w:val="bottom"/>
            <w:shd w:val="clear" w:color="auto" w:fill="D7F5C4"/>
          </w:tcPr>
          <w:p>
            <w:pPr>
              <w:ind w:left="380"/>
              <w:spacing w:after="0"/>
              <w:rPr>
                <w:sz w:val="20"/>
                <w:szCs w:val="20"/>
                <w:color w:val="auto"/>
              </w:rPr>
            </w:pPr>
            <w:r>
              <w:rPr>
                <w:rFonts w:ascii="Arial" w:cs="Arial" w:eastAsia="Arial" w:hAnsi="Arial"/>
                <w:sz w:val="11"/>
                <w:szCs w:val="11"/>
                <w:color w:val="auto"/>
              </w:rPr>
              <w:t>—</w:t>
            </w:r>
          </w:p>
        </w:tc>
        <w:tc>
          <w:tcPr>
            <w:tcW w:w="840" w:type="dxa"/>
            <w:vAlign w:val="bottom"/>
            <w:shd w:val="clear" w:color="auto" w:fill="D7F5C4"/>
          </w:tcPr>
          <w:p>
            <w:pPr>
              <w:jc w:val="right"/>
              <w:ind w:right="46"/>
              <w:spacing w:after="0"/>
              <w:rPr>
                <w:sz w:val="20"/>
                <w:szCs w:val="20"/>
                <w:color w:val="auto"/>
              </w:rPr>
            </w:pPr>
            <w:r>
              <w:rPr>
                <w:rFonts w:ascii="Arial" w:cs="Arial" w:eastAsia="Arial" w:hAnsi="Arial"/>
                <w:sz w:val="11"/>
                <w:szCs w:val="11"/>
                <w:color w:val="auto"/>
              </w:rPr>
              <w:t>1,280,767</w:t>
            </w:r>
          </w:p>
        </w:tc>
        <w:tc>
          <w:tcPr>
            <w:tcW w:w="700" w:type="dxa"/>
            <w:vAlign w:val="bottom"/>
            <w:shd w:val="clear" w:color="auto" w:fill="D7F5C4"/>
          </w:tcPr>
          <w:p>
            <w:pPr>
              <w:ind w:left="220"/>
              <w:spacing w:after="0"/>
              <w:rPr>
                <w:sz w:val="20"/>
                <w:szCs w:val="20"/>
                <w:color w:val="auto"/>
              </w:rPr>
            </w:pPr>
            <w:r>
              <w:rPr>
                <w:rFonts w:ascii="Arial" w:cs="Arial" w:eastAsia="Arial" w:hAnsi="Arial"/>
                <w:sz w:val="11"/>
                <w:szCs w:val="11"/>
                <w:color w:val="auto"/>
              </w:rPr>
              <w:t>415,685</w:t>
            </w:r>
          </w:p>
        </w:tc>
        <w:tc>
          <w:tcPr>
            <w:tcW w:w="700" w:type="dxa"/>
            <w:vAlign w:val="bottom"/>
            <w:shd w:val="clear" w:color="auto" w:fill="D7F5C4"/>
          </w:tcPr>
          <w:p>
            <w:pPr>
              <w:jc w:val="right"/>
              <w:ind w:right="26"/>
              <w:spacing w:after="0"/>
              <w:rPr>
                <w:sz w:val="20"/>
                <w:szCs w:val="20"/>
                <w:color w:val="auto"/>
              </w:rPr>
            </w:pPr>
            <w:r>
              <w:rPr>
                <w:rFonts w:ascii="Arial" w:cs="Arial" w:eastAsia="Arial" w:hAnsi="Arial"/>
                <w:sz w:val="11"/>
                <w:szCs w:val="11"/>
                <w:color w:val="auto"/>
              </w:rPr>
              <w:t>48,357</w:t>
            </w:r>
          </w:p>
        </w:tc>
        <w:tc>
          <w:tcPr>
            <w:tcW w:w="580" w:type="dxa"/>
            <w:vAlign w:val="bottom"/>
            <w:shd w:val="clear" w:color="auto" w:fill="D7F5C4"/>
          </w:tcPr>
          <w:p>
            <w:pPr>
              <w:ind w:left="380"/>
              <w:spacing w:after="0"/>
              <w:rPr>
                <w:sz w:val="20"/>
                <w:szCs w:val="20"/>
                <w:color w:val="auto"/>
              </w:rPr>
            </w:pPr>
            <w:r>
              <w:rPr>
                <w:rFonts w:ascii="Arial" w:cs="Arial" w:eastAsia="Arial" w:hAnsi="Arial"/>
                <w:sz w:val="11"/>
                <w:szCs w:val="11"/>
                <w:color w:val="auto"/>
              </w:rPr>
              <w:t>—</w:t>
            </w:r>
          </w:p>
        </w:tc>
        <w:tc>
          <w:tcPr>
            <w:tcW w:w="840" w:type="dxa"/>
            <w:vAlign w:val="bottom"/>
            <w:shd w:val="clear" w:color="auto" w:fill="D7F5C4"/>
          </w:tcPr>
          <w:p>
            <w:pPr>
              <w:ind w:left="640"/>
              <w:spacing w:after="0"/>
              <w:rPr>
                <w:sz w:val="20"/>
                <w:szCs w:val="20"/>
                <w:color w:val="auto"/>
              </w:rPr>
            </w:pPr>
            <w:r>
              <w:rPr>
                <w:rFonts w:ascii="Arial" w:cs="Arial" w:eastAsia="Arial" w:hAnsi="Arial"/>
                <w:sz w:val="11"/>
                <w:szCs w:val="11"/>
                <w:color w:val="auto"/>
              </w:rPr>
              <w:t>—</w:t>
            </w:r>
          </w:p>
        </w:tc>
        <w:tc>
          <w:tcPr>
            <w:tcW w:w="780" w:type="dxa"/>
            <w:vAlign w:val="bottom"/>
            <w:shd w:val="clear" w:color="auto" w:fill="D7F5C4"/>
          </w:tcPr>
          <w:p>
            <w:pPr>
              <w:ind w:left="580"/>
              <w:spacing w:after="0"/>
              <w:rPr>
                <w:sz w:val="20"/>
                <w:szCs w:val="20"/>
                <w:color w:val="auto"/>
              </w:rPr>
            </w:pPr>
            <w:r>
              <w:rPr>
                <w:rFonts w:ascii="Arial" w:cs="Arial" w:eastAsia="Arial" w:hAnsi="Arial"/>
                <w:sz w:val="11"/>
                <w:szCs w:val="11"/>
                <w:color w:val="auto"/>
              </w:rPr>
              <w:t>—</w:t>
            </w:r>
          </w:p>
        </w:tc>
        <w:tc>
          <w:tcPr>
            <w:tcW w:w="840" w:type="dxa"/>
            <w:vAlign w:val="bottom"/>
            <w:shd w:val="clear" w:color="auto" w:fill="D7F5C4"/>
          </w:tcPr>
          <w:p>
            <w:pPr>
              <w:jc w:val="right"/>
              <w:ind w:right="26"/>
              <w:spacing w:after="0"/>
              <w:rPr>
                <w:sz w:val="20"/>
                <w:szCs w:val="20"/>
                <w:color w:val="auto"/>
              </w:rPr>
            </w:pPr>
            <w:r>
              <w:rPr>
                <w:rFonts w:ascii="Arial" w:cs="Arial" w:eastAsia="Arial" w:hAnsi="Arial"/>
                <w:sz w:val="11"/>
                <w:szCs w:val="11"/>
                <w:color w:val="auto"/>
              </w:rPr>
              <w:t>—</w:t>
            </w:r>
          </w:p>
        </w:tc>
        <w:tc>
          <w:tcPr>
            <w:tcW w:w="560" w:type="dxa"/>
            <w:vAlign w:val="bottom"/>
            <w:shd w:val="clear" w:color="auto" w:fill="D7F5C4"/>
          </w:tcPr>
          <w:p>
            <w:pPr>
              <w:ind w:left="380"/>
              <w:spacing w:after="0"/>
              <w:rPr>
                <w:sz w:val="20"/>
                <w:szCs w:val="20"/>
                <w:color w:val="auto"/>
              </w:rPr>
            </w:pPr>
            <w:r>
              <w:rPr>
                <w:rFonts w:ascii="Arial" w:cs="Arial" w:eastAsia="Arial" w:hAnsi="Arial"/>
                <w:sz w:val="11"/>
                <w:szCs w:val="11"/>
                <w:color w:val="auto"/>
              </w:rPr>
              <w:t>—</w:t>
            </w:r>
          </w:p>
        </w:tc>
        <w:tc>
          <w:tcPr>
            <w:tcW w:w="720" w:type="dxa"/>
            <w:vAlign w:val="bottom"/>
            <w:shd w:val="clear" w:color="auto" w:fill="D7F5C4"/>
          </w:tcPr>
          <w:p>
            <w:pPr>
              <w:jc w:val="right"/>
              <w:ind w:right="6"/>
              <w:spacing w:after="0"/>
              <w:rPr>
                <w:sz w:val="20"/>
                <w:szCs w:val="20"/>
                <w:color w:val="auto"/>
              </w:rPr>
            </w:pPr>
            <w:r>
              <w:rPr>
                <w:rFonts w:ascii="Arial" w:cs="Arial" w:eastAsia="Arial" w:hAnsi="Arial"/>
                <w:sz w:val="11"/>
                <w:szCs w:val="11"/>
                <w:color w:val="auto"/>
              </w:rPr>
              <w:t>1,280,767</w:t>
            </w:r>
          </w:p>
        </w:tc>
        <w:tc>
          <w:tcPr>
            <w:tcW w:w="640" w:type="dxa"/>
            <w:vAlign w:val="bottom"/>
            <w:shd w:val="clear" w:color="auto" w:fill="D7F5C4"/>
          </w:tcPr>
          <w:p>
            <w:pPr>
              <w:jc w:val="right"/>
              <w:spacing w:after="0"/>
              <w:rPr>
                <w:sz w:val="20"/>
                <w:szCs w:val="20"/>
                <w:color w:val="auto"/>
              </w:rPr>
            </w:pPr>
            <w:r>
              <w:rPr>
                <w:rFonts w:ascii="Arial" w:cs="Arial" w:eastAsia="Arial" w:hAnsi="Arial"/>
                <w:sz w:val="11"/>
                <w:szCs w:val="11"/>
                <w:color w:val="auto"/>
              </w:rPr>
              <w:t>1,952,652</w:t>
            </w:r>
          </w:p>
        </w:tc>
      </w:tr>
    </w:tbl>
    <w:p>
      <w:pPr>
        <w:spacing w:after="0" w:line="113" w:lineRule="exact"/>
        <w:rPr>
          <w:sz w:val="20"/>
          <w:szCs w:val="20"/>
          <w:color w:val="auto"/>
        </w:rPr>
      </w:pPr>
    </w:p>
    <w:p>
      <w:pPr>
        <w:ind w:left="345" w:right="240" w:hanging="345"/>
        <w:spacing w:after="0" w:line="258" w:lineRule="auto"/>
        <w:tabs>
          <w:tab w:leader="none" w:pos="345"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payment of one year of base salary for Mr. Updyke, one and one-half years of base salary for Mr. Turner or two years of base salary for Messrs. Hewitt, Montalbano and Cavanah for the event specified based on base salary as of June 30, 2019.</w:t>
      </w:r>
    </w:p>
    <w:p>
      <w:pPr>
        <w:spacing w:after="0" w:line="86" w:lineRule="exact"/>
        <w:rPr>
          <w:rFonts w:ascii="Arial" w:cs="Arial" w:eastAsia="Arial" w:hAnsi="Arial"/>
          <w:sz w:val="14"/>
          <w:szCs w:val="14"/>
          <w:color w:val="auto"/>
        </w:rPr>
      </w:pPr>
    </w:p>
    <w:p>
      <w:pPr>
        <w:ind w:left="345" w:right="160" w:hanging="345"/>
        <w:spacing w:after="0" w:line="258" w:lineRule="auto"/>
        <w:tabs>
          <w:tab w:leader="none" w:pos="345"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payment of non-equity incentive severance for the event specified based on the average annual bonus compensation paid to the executive in the previous three calendar years.</w:t>
      </w:r>
    </w:p>
    <w:p>
      <w:pPr>
        <w:spacing w:after="0" w:line="86" w:lineRule="exact"/>
        <w:rPr>
          <w:rFonts w:ascii="Arial" w:cs="Arial" w:eastAsia="Arial" w:hAnsi="Arial"/>
          <w:sz w:val="14"/>
          <w:szCs w:val="14"/>
          <w:color w:val="auto"/>
        </w:rPr>
      </w:pPr>
    </w:p>
    <w:p>
      <w:pPr>
        <w:ind w:left="345" w:right="80" w:hanging="345"/>
        <w:spacing w:after="0" w:line="250" w:lineRule="auto"/>
        <w:tabs>
          <w:tab w:leader="none" w:pos="345"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the value the Named Executive Officer would realize upon the vesting of all nonvested stock options for the specified event. The value is the difference between the option exercise price and the market price of the common stock as of the close of business on June 28, 2019, multiplied by the number of nonvested stock options at June 30, 2019.</w:t>
      </w:r>
    </w:p>
    <w:p>
      <w:pPr>
        <w:spacing w:after="0" w:line="91" w:lineRule="exact"/>
        <w:rPr>
          <w:rFonts w:ascii="Arial" w:cs="Arial" w:eastAsia="Arial" w:hAnsi="Arial"/>
          <w:sz w:val="14"/>
          <w:szCs w:val="14"/>
          <w:color w:val="auto"/>
        </w:rPr>
      </w:pPr>
    </w:p>
    <w:p>
      <w:pPr>
        <w:ind w:left="345" w:right="40" w:hanging="345"/>
        <w:spacing w:after="0" w:line="247" w:lineRule="auto"/>
        <w:tabs>
          <w:tab w:leader="none" w:pos="345"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the value the Named Executive Officer would realize upon the lapsing of restrictions on RSUs, performance units and cash LTI awards due to the specified event. The value shown is the number of unvested RSUs and performance units, assuming a target performance level, at June 30, 2019 multiplied by the market price of common stock at the close of business on June 28, 2019 plus the value of the unvested cash LTI awards, which are also assumed to vest based on the target level of performance.</w:t>
      </w:r>
    </w:p>
    <w:p>
      <w:pPr>
        <w:spacing w:after="0" w:line="93" w:lineRule="exact"/>
        <w:rPr>
          <w:rFonts w:ascii="Arial" w:cs="Arial" w:eastAsia="Arial" w:hAnsi="Arial"/>
          <w:sz w:val="14"/>
          <w:szCs w:val="14"/>
          <w:color w:val="auto"/>
        </w:rPr>
      </w:pPr>
    </w:p>
    <w:p>
      <w:pPr>
        <w:ind w:left="345" w:hanging="345"/>
        <w:spacing w:after="0"/>
        <w:tabs>
          <w:tab w:leader="none" w:pos="345"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payment of one year of base salary for the event specified based on base salary as of June 30, 2019.</w:t>
      </w:r>
    </w:p>
    <w:p>
      <w:pPr>
        <w:spacing w:after="0" w:line="109" w:lineRule="exact"/>
        <w:rPr>
          <w:rFonts w:ascii="Arial" w:cs="Arial" w:eastAsia="Arial" w:hAnsi="Arial"/>
          <w:sz w:val="14"/>
          <w:szCs w:val="14"/>
          <w:color w:val="auto"/>
        </w:rPr>
      </w:pPr>
    </w:p>
    <w:p>
      <w:pPr>
        <w:ind w:left="345" w:right="440" w:hanging="345"/>
        <w:spacing w:after="0" w:line="258" w:lineRule="auto"/>
        <w:tabs>
          <w:tab w:leader="none" w:pos="345"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100% of annual salary for Mr. Hewitt. For Messrs. Montalbano, Cavanah, Updyke and Turner, the amount represents payment of non-equity incentive severance for the event specified based on the average annual bonus compensation paid to the executive in the previous three calendar years.</w:t>
      </w:r>
    </w:p>
    <w:p>
      <w:pPr>
        <w:spacing w:after="0" w:line="86" w:lineRule="exact"/>
        <w:rPr>
          <w:rFonts w:ascii="Arial" w:cs="Arial" w:eastAsia="Arial" w:hAnsi="Arial"/>
          <w:sz w:val="14"/>
          <w:szCs w:val="14"/>
          <w:color w:val="auto"/>
        </w:rPr>
      </w:pPr>
    </w:p>
    <w:p>
      <w:pPr>
        <w:ind w:left="345" w:right="20" w:hanging="345"/>
        <w:spacing w:after="0" w:line="246" w:lineRule="auto"/>
        <w:tabs>
          <w:tab w:leader="none" w:pos="345"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the value Mr. Montalbano would realize upon the lapsing of restrictions on RSUs, performance units and cash LTI awards due to his retirement. The value shown is the value of RSUs that would vest, the value of performance units that would vest (assuming a target performance level) and cash LTI awards that would vest (assuming a target performance level). For RSUs and performance units, the value represents the shares received multiplied by the market price of common stock at the close of business on June 28, 2019. Messrs. Hewitt, Cavanah, Updyke, and Turner were not eligible for retirement at June 30, 2019.</w:t>
      </w:r>
    </w:p>
    <w:p>
      <w:pPr>
        <w:spacing w:after="0" w:line="253" w:lineRule="exact"/>
        <w:rPr>
          <w:sz w:val="20"/>
          <w:szCs w:val="20"/>
          <w:color w:val="auto"/>
        </w:rPr>
      </w:pPr>
    </w:p>
    <w:p>
      <w:pPr>
        <w:ind w:left="5" w:right="80"/>
        <w:spacing w:after="0" w:line="256" w:lineRule="auto"/>
        <w:rPr>
          <w:sz w:val="20"/>
          <w:szCs w:val="20"/>
          <w:color w:val="auto"/>
        </w:rPr>
      </w:pPr>
      <w:r>
        <w:rPr>
          <w:rFonts w:ascii="Arial" w:cs="Arial" w:eastAsia="Arial" w:hAnsi="Arial"/>
          <w:sz w:val="18"/>
          <w:szCs w:val="18"/>
          <w:color w:val="auto"/>
        </w:rPr>
        <w:t>There are no other agreements, arrangements or plans that entitle the Named Executive Officers to severance, perquisites or other enhanced benefits upon their termination of employment. Any agreement to provide such other payments or benefits to a terminating executive would be at the discretion of the Compensation Committee.</w:t>
      </w:r>
    </w:p>
    <w:p>
      <w:pPr>
        <w:spacing w:after="0" w:line="153"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61DA16"/>
        </w:rPr>
        <w:t>CEO Pay Ratio</w:t>
      </w:r>
    </w:p>
    <w:p>
      <w:pPr>
        <w:spacing w:after="0" w:line="126" w:lineRule="exact"/>
        <w:rPr>
          <w:sz w:val="20"/>
          <w:szCs w:val="20"/>
          <w:color w:val="auto"/>
        </w:rPr>
      </w:pPr>
    </w:p>
    <w:p>
      <w:pPr>
        <w:ind w:left="5"/>
        <w:spacing w:after="0"/>
        <w:rPr>
          <w:sz w:val="20"/>
          <w:szCs w:val="20"/>
          <w:color w:val="auto"/>
        </w:rPr>
      </w:pPr>
      <w:r>
        <w:rPr>
          <w:rFonts w:ascii="Arial" w:cs="Arial" w:eastAsia="Arial" w:hAnsi="Arial"/>
          <w:sz w:val="18"/>
          <w:szCs w:val="18"/>
          <w:color w:val="auto"/>
        </w:rPr>
        <w:t>For the year ended June 30, 2019, our last completed fiscal year:</w:t>
      </w:r>
    </w:p>
    <w:p>
      <w:pPr>
        <w:spacing w:after="0" w:line="104" w:lineRule="exact"/>
        <w:rPr>
          <w:sz w:val="20"/>
          <w:szCs w:val="20"/>
          <w:color w:val="auto"/>
        </w:rPr>
      </w:pPr>
    </w:p>
    <w:p>
      <w:pPr>
        <w:ind w:left="705" w:right="600" w:hanging="354"/>
        <w:spacing w:after="0" w:line="246" w:lineRule="auto"/>
        <w:tabs>
          <w:tab w:leader="none" w:pos="70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median of the annual total compensation of all employees of Matrix Service Company (other than our CEO) was $88,688;</w:t>
      </w:r>
    </w:p>
    <w:p>
      <w:pPr>
        <w:spacing w:after="0" w:line="88" w:lineRule="exact"/>
        <w:rPr>
          <w:rFonts w:ascii="Arial" w:cs="Arial" w:eastAsia="Arial" w:hAnsi="Arial"/>
          <w:sz w:val="18"/>
          <w:szCs w:val="18"/>
          <w:color w:val="auto"/>
        </w:rPr>
      </w:pPr>
    </w:p>
    <w:p>
      <w:pPr>
        <w:ind w:left="705" w:hanging="354"/>
        <w:spacing w:after="0"/>
        <w:tabs>
          <w:tab w:leader="none" w:pos="70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annual total compensation of our CEO was $3,251,474; and</w:t>
      </w:r>
    </w:p>
    <w:p>
      <w:pPr>
        <w:spacing w:after="0" w:line="103" w:lineRule="exact"/>
        <w:rPr>
          <w:rFonts w:ascii="Arial" w:cs="Arial" w:eastAsia="Arial" w:hAnsi="Arial"/>
          <w:sz w:val="18"/>
          <w:szCs w:val="18"/>
          <w:color w:val="auto"/>
        </w:rPr>
      </w:pPr>
    </w:p>
    <w:p>
      <w:pPr>
        <w:ind w:left="705" w:right="820" w:hanging="354"/>
        <w:spacing w:after="0" w:line="246" w:lineRule="auto"/>
        <w:tabs>
          <w:tab w:leader="none" w:pos="705"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this information, the ratio of the annual total compensation of our CEO to the median of the annual total compensation of all employees was 37 to 1.</w:t>
      </w:r>
    </w:p>
    <w:p>
      <w:pPr>
        <w:spacing w:after="0" w:line="89" w:lineRule="exact"/>
        <w:rPr>
          <w:sz w:val="20"/>
          <w:szCs w:val="20"/>
          <w:color w:val="auto"/>
        </w:rPr>
      </w:pPr>
    </w:p>
    <w:p>
      <w:pPr>
        <w:ind w:left="5" w:right="40"/>
        <w:spacing w:after="0" w:line="256" w:lineRule="auto"/>
        <w:rPr>
          <w:sz w:val="20"/>
          <w:szCs w:val="20"/>
          <w:color w:val="auto"/>
        </w:rPr>
      </w:pPr>
      <w:r>
        <w:rPr>
          <w:rFonts w:ascii="Arial" w:cs="Arial" w:eastAsia="Arial" w:hAnsi="Arial"/>
          <w:sz w:val="18"/>
          <w:szCs w:val="18"/>
          <w:color w:val="auto"/>
        </w:rPr>
        <w:t>To identify the median of the annual total compensation of all our employees, as well as to determine the annual total compensation of our median employee, the methodology and the material assumptions, adjustments, and estimates that we used are described below.</w:t>
      </w:r>
    </w:p>
    <w:p>
      <w:pPr>
        <w:spacing w:after="0" w:line="310"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280670</wp:posOffset>
            </wp:positionV>
            <wp:extent cx="6071870" cy="431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10505"/>
          </w:cols>
          <w:pgMar w:left="695" w:top="279" w:right="69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5"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We determined that, as of June 30, 2018, our employee population consisted of 4,397 individuals working at the Company and its consolidated subsidiaries, 4,167 of whom were U.S. employees and 230 of whom were non-U.S. employees.</w:t>
      </w:r>
    </w:p>
    <w:p>
      <w:pPr>
        <w:spacing w:after="0" w:line="94"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As permitted under SEC rules, for purposes of identifying our median employee, we excluded 32 non-U.S. employees, or approximately 0.7% of our total employee population. Nine of the excluded employees were located in Australia, and 23 were located in South Korea. After this adjustment, our employee population consisted of 4,365 individuals.</w:t>
      </w:r>
    </w:p>
    <w:p>
      <w:pPr>
        <w:spacing w:after="0" w:line="9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Per Item 402(u) of Regulation S-K, a registrant is required to identify its median employee only once every three years provided that there has been no change in its employee population or employee compensation arrangements that it reasonably believes would result in a significant change to its pay ratio disclosure. For this year’s pay ratio disclosure, we intended to use the same median employee identified in June 2018. However, we believe it is no longer appropriate to use the original median employee as that median employee was promoted and received a 19% increase in total compensation. Instead we elected to use another employee from June 30, 2018, whose compensation is substantially similar to the original median employee based on the compensation measure used to select the original median employee.</w:t>
      </w:r>
    </w:p>
    <w:p>
      <w:pPr>
        <w:spacing w:after="0" w:line="9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Using a consistently applied compensation measure, which included base pay, overtime, and short-term incentives but excluded the value of health and welfare benefits, we ranked our employees from the highest paid to the lowest paid. Our employee population was evaluated as of June 30, 2018, and reflects compensation paid from July 1, 2017 through June 30, 2018. We applied a Canadian to U.S. dollar exchange rate to the compensation elements paid in Canadian currency to our Canadian employees. We did not use any cost of living adjustments.</w:t>
      </w:r>
    </w:p>
    <w:p>
      <w:pPr>
        <w:spacing w:after="0" w:line="9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Where allowed under SEC rules, we have annualized compensation through June 30, 2018 for employees newly hired after July 1, 2017.</w:t>
      </w:r>
    </w:p>
    <w:p>
      <w:pPr>
        <w:spacing w:after="0" w:line="88"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Based on the above determination, our median employee’s total annual compensation (calculated in accordance with Item 402(c) of Regulation S-K) was $88,688. Our CEO’s total annual compensation (calculated in accordance with Item 402(c) of Regulation S-K and as reported in the Summary Compensation Table) was $3,251,474. The resulting ratio was 37:1. This ratio is a reasonable estimate calculated in a manner consistent with SEC rules using the data and assumptions summarized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61DA16"/>
        </w:rPr>
        <w:t>PROPOSAL NUMBER 3:</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61DA16"/>
        </w:rPr>
        <w:t>Advisory Vote to Approve Named Executive Officer Compensation</w:t>
      </w:r>
    </w:p>
    <w:p>
      <w:pPr>
        <w:spacing w:after="0" w:line="104" w:lineRule="exact"/>
        <w:rPr>
          <w:sz w:val="20"/>
          <w:szCs w:val="20"/>
          <w:color w:val="auto"/>
        </w:rPr>
      </w:pPr>
    </w:p>
    <w:p>
      <w:pPr>
        <w:ind w:right="860"/>
        <w:spacing w:after="0" w:line="256" w:lineRule="auto"/>
        <w:rPr>
          <w:sz w:val="20"/>
          <w:szCs w:val="20"/>
          <w:color w:val="auto"/>
        </w:rPr>
      </w:pPr>
      <w:r>
        <w:rPr>
          <w:rFonts w:ascii="Arial" w:cs="Arial" w:eastAsia="Arial" w:hAnsi="Arial"/>
          <w:sz w:val="18"/>
          <w:szCs w:val="18"/>
          <w:color w:val="auto"/>
        </w:rPr>
        <w:t>Pursuant to Section 14A of the Securities Exchange Act of 1934, as amended, and Rule 14a-21 promulgated thereunder, we are seeking an advisory vote from our stockholders to approve our Named Executive Officer compensation, as set forth below.</w:t>
      </w:r>
    </w:p>
    <w:p>
      <w:pPr>
        <w:spacing w:after="0" w:line="9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are asking for stockholder approval of the compensation of our Named Executive Officers as disclosed in this proxy statement in accordance with SEC rules, which disclosures include the disclosures under the caption “Compensation Discussion and Analysis,” the compensation tables and the narrative discussion accompanying the compensation tables. This vote is not intended to address any specific item of compensation, but rather the overall compensation of our Named Executive Officers and the policies and practices described in this proxy statement. We are open to receiving feedback from stockholders on executive compensation and currently provide stockholders with the opportunity to cast an advisory vote to approve the compensation of our Named Executive Officers every year.</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6071870" cy="431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As discussed under the heading “Compensation Discussion and Analysis,” our executive compensation and benefit programs are designed to attract, motivate and retain a talented management team and to appropriately reward individual contributions to the achievement of our strategic goals. The Board believes this approach establishes a solid alignment of our executives’ and stockholders’ interests.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use the following principles in the design and administration of our executive compensation program:</w:t>
      </w:r>
    </w:p>
    <w:p>
      <w:pPr>
        <w:spacing w:after="0" w:line="104" w:lineRule="exact"/>
        <w:rPr>
          <w:sz w:val="20"/>
          <w:szCs w:val="20"/>
          <w:color w:val="auto"/>
        </w:rPr>
      </w:pPr>
    </w:p>
    <w:p>
      <w:pPr>
        <w:ind w:left="700" w:right="40" w:hanging="356"/>
        <w:spacing w:after="0" w:line="229"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Competitiveness – Our compensation programs are designed to ensure we can attract, motivate and retain the talent needed to lead and grow the business. Targets for base salary, short-term and long-term compensation are generally based on median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market levels.</w:t>
      </w:r>
    </w:p>
    <w:p>
      <w:pPr>
        <w:spacing w:after="0" w:line="2" w:lineRule="exact"/>
        <w:rPr>
          <w:rFonts w:ascii="Arial" w:cs="Arial" w:eastAsia="Arial" w:hAnsi="Arial"/>
          <w:sz w:val="18"/>
          <w:szCs w:val="18"/>
          <w:color w:val="auto"/>
        </w:rPr>
      </w:pPr>
    </w:p>
    <w:p>
      <w:pPr>
        <w:ind w:left="700" w:right="40" w:hanging="356"/>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Support Business Objectives, Strategy and Values – Ultimately our compensation program is designed to drive the achievement of annual business objectives, support the creation of long-term value for our stockholders, and promote and encourage behavior consistent with our core values and guiding principles.</w:t>
      </w:r>
    </w:p>
    <w:p>
      <w:pPr>
        <w:spacing w:after="0" w:line="81" w:lineRule="exact"/>
        <w:rPr>
          <w:rFonts w:ascii="Arial" w:cs="Arial" w:eastAsia="Arial" w:hAnsi="Arial"/>
          <w:sz w:val="18"/>
          <w:szCs w:val="18"/>
          <w:color w:val="auto"/>
        </w:rPr>
      </w:pPr>
    </w:p>
    <w:p>
      <w:pPr>
        <w:ind w:left="700" w:right="360" w:hanging="356"/>
        <w:spacing w:after="0" w:line="213" w:lineRule="auto"/>
        <w:tabs>
          <w:tab w:leader="none" w:pos="7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Pay for Performance – While we establish target pay levels at or near the median or 50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 market levels for target level performance, our plans provide the opportunity for significantly greater rewards for outstanding performance. At the same time, performance that does not meet expectations is not rewarded.</w:t>
      </w:r>
    </w:p>
    <w:p>
      <w:pPr>
        <w:spacing w:after="0" w:line="96" w:lineRule="exact"/>
        <w:rPr>
          <w:rFonts w:ascii="Arial" w:cs="Arial" w:eastAsia="Arial" w:hAnsi="Arial"/>
          <w:sz w:val="17"/>
          <w:szCs w:val="17"/>
          <w:color w:val="auto"/>
        </w:rPr>
      </w:pPr>
    </w:p>
    <w:p>
      <w:pPr>
        <w:ind w:left="700" w:right="440" w:hanging="356"/>
        <w:spacing w:after="0" w:line="246"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Individual Performance – In addition to objective company-wide, business unit and operating unit financial measures, our programs emphasize individual performance and the achievement of personal objectives.</w:t>
      </w:r>
    </w:p>
    <w:p>
      <w:pPr>
        <w:spacing w:after="0" w:line="88" w:lineRule="exact"/>
        <w:rPr>
          <w:rFonts w:ascii="Arial" w:cs="Arial" w:eastAsia="Arial" w:hAnsi="Arial"/>
          <w:sz w:val="18"/>
          <w:szCs w:val="18"/>
          <w:color w:val="auto"/>
        </w:rPr>
      </w:pPr>
    </w:p>
    <w:p>
      <w:pPr>
        <w:ind w:left="700" w:right="260" w:hanging="356"/>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Integrated Approach – We look at compensation in total and strive to achieve an appropriate balance of immediate, short-term and long-term compensation components, with the ultimate goal of aligning executive compensation with long-term stockholder value.</w:t>
      </w:r>
    </w:p>
    <w:p>
      <w:pPr>
        <w:spacing w:after="0" w:line="9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Approval of this advisory vote requires the affirmative vote of the majority of shares present in person or by proxy at the Annual Meeting and entitled to vote for the adoption of this proposal. </w:t>
      </w:r>
      <w:r>
        <w:rPr>
          <w:rFonts w:ascii="Arial" w:cs="Arial" w:eastAsia="Arial" w:hAnsi="Arial"/>
          <w:sz w:val="18"/>
          <w:szCs w:val="18"/>
          <w:b w:val="1"/>
          <w:bCs w:val="1"/>
          <w:color w:val="auto"/>
        </w:rPr>
        <w:t>The Board unanimously recommends a vote</w:t>
      </w:r>
      <w:r>
        <w:rPr>
          <w:rFonts w:ascii="Arial" w:cs="Arial" w:eastAsia="Arial" w:hAnsi="Arial"/>
          <w:sz w:val="18"/>
          <w:szCs w:val="18"/>
          <w:color w:val="auto"/>
        </w:rPr>
        <w:t xml:space="preserve"> </w:t>
      </w:r>
      <w:r>
        <w:rPr>
          <w:rFonts w:ascii="Arial" w:cs="Arial" w:eastAsia="Arial" w:hAnsi="Arial"/>
          <w:sz w:val="18"/>
          <w:szCs w:val="18"/>
          <w:b w:val="1"/>
          <w:bCs w:val="1"/>
          <w:color w:val="auto"/>
        </w:rPr>
        <w:t>“For” the approval of the compensation of our Named Executive Officers as disclosed in this proxy statement pursuant to the compensation disclosure rules of the SEC.</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Board welcomes our stockholders’ views on this subject, and will carefully consider the outcome of this vote.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However, as an advisory vote, the outcome is not binding on us or the Board.</w:t>
      </w:r>
    </w:p>
    <w:p>
      <w:pPr>
        <w:spacing w:after="0" w:line="176" w:lineRule="exact"/>
        <w:rPr>
          <w:sz w:val="20"/>
          <w:szCs w:val="20"/>
          <w:color w:val="auto"/>
        </w:rPr>
      </w:pPr>
    </w:p>
    <w:p>
      <w:pPr>
        <w:ind w:right="2220" w:firstLine="2236"/>
        <w:spacing w:after="0" w:line="412" w:lineRule="auto"/>
        <w:rPr>
          <w:sz w:val="20"/>
          <w:szCs w:val="20"/>
          <w:color w:val="auto"/>
        </w:rPr>
      </w:pPr>
      <w:r>
        <w:rPr>
          <w:rFonts w:ascii="Arial" w:cs="Arial" w:eastAsia="Arial" w:hAnsi="Arial"/>
          <w:sz w:val="18"/>
          <w:szCs w:val="18"/>
          <w:b w:val="1"/>
          <w:bCs w:val="1"/>
          <w:color w:val="61DA16"/>
        </w:rPr>
        <w:t>CERTAIN RELATIONSHIPS AND RELATED TRANSACTIONS Transactions with Related Persons</w:t>
      </w:r>
    </w:p>
    <w:p>
      <w:pPr>
        <w:spacing w:after="0"/>
        <w:rPr>
          <w:sz w:val="20"/>
          <w:szCs w:val="20"/>
          <w:color w:val="auto"/>
        </w:rPr>
      </w:pPr>
      <w:r>
        <w:rPr>
          <w:rFonts w:ascii="Arial" w:cs="Arial" w:eastAsia="Arial" w:hAnsi="Arial"/>
          <w:sz w:val="18"/>
          <w:szCs w:val="18"/>
          <w:color w:val="auto"/>
        </w:rPr>
        <w:t>The son of James H. Miller, an independent member of our Board, is employed by a subsidiary of the Company in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non-executive officer position and, since the beginning of fiscal 2019, received total cash compensation in excess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$120,000. In addition, the son of Joseph F. Montalbano, our Chief Operating Officer, is employed by a subsidiary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in a non-executive officer position and, since the beginning of fiscal 2019, received total cash compensation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excess of $120,000. The Audit Committee reviewed and ratified the employment relationship of Mr. Miller’s son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 Montalbano’s son. In approving these relationships, the Audit Committee considered the following:</w:t>
      </w:r>
    </w:p>
    <w:p>
      <w:pPr>
        <w:spacing w:after="0" w:line="117" w:lineRule="exact"/>
        <w:rPr>
          <w:sz w:val="20"/>
          <w:szCs w:val="20"/>
          <w:color w:val="auto"/>
        </w:rPr>
      </w:pPr>
    </w:p>
    <w:p>
      <w:pPr>
        <w:ind w:left="700" w:right="540" w:hanging="356"/>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compensation and other terms of employment of Mr. Miller’s and Mr. Montalbano’s immediate family members are determined on a basis consistent with the Company’s human resources policies and are comparable to other Company employees at similar levels.</w:t>
      </w:r>
    </w:p>
    <w:p>
      <w:pPr>
        <w:spacing w:after="0" w:line="94" w:lineRule="exact"/>
        <w:rPr>
          <w:rFonts w:ascii="Arial" w:cs="Arial" w:eastAsia="Arial" w:hAnsi="Arial"/>
          <w:sz w:val="18"/>
          <w:szCs w:val="18"/>
          <w:color w:val="auto"/>
        </w:rPr>
      </w:pPr>
    </w:p>
    <w:p>
      <w:pPr>
        <w:ind w:left="700" w:hanging="356"/>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Mr. Miller’s son was employed by a subsidiary of the Company prior to the time Mr. Miller joined the Board.</w:t>
      </w:r>
    </w:p>
    <w:p>
      <w:pPr>
        <w:spacing w:after="0" w:line="103" w:lineRule="exact"/>
        <w:rPr>
          <w:rFonts w:ascii="Arial" w:cs="Arial" w:eastAsia="Arial" w:hAnsi="Arial"/>
          <w:sz w:val="18"/>
          <w:szCs w:val="18"/>
          <w:color w:val="auto"/>
        </w:rPr>
      </w:pPr>
    </w:p>
    <w:p>
      <w:pPr>
        <w:ind w:left="700" w:hanging="356"/>
        <w:spacing w:after="0"/>
        <w:tabs>
          <w:tab w:leader="none" w:pos="7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Mr. Montalbano’s son was selected from a pool of qualified candidates and does not report directly to his father.</w:t>
      </w:r>
    </w:p>
    <w:p>
      <w:pPr>
        <w:spacing w:after="0" w:line="115"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On September 5, 2017, John D. Chandler, a member of our Board since June 20, 2017, was appointed Senior Vice President and Chief Financial Officer of The Williams Companies, Inc. (“Williams”). The Company performed two projects totaling $4.7 million for the construction of firewater tanks and related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6071870" cy="431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5"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piping in New Jersey for Transcontinental Gas Pipe Line Company, a subsidiary of Williams. The Audit Committee reviewed and ratified the transactions between subsidiaries of Williams and us. In approving these transactions, the Audit Committee considered the following:</w:t>
      </w:r>
    </w:p>
    <w:p>
      <w:pPr>
        <w:spacing w:after="0" w:line="94" w:lineRule="exact"/>
        <w:rPr>
          <w:sz w:val="20"/>
          <w:szCs w:val="20"/>
          <w:color w:val="auto"/>
        </w:rPr>
      </w:pPr>
    </w:p>
    <w:p>
      <w:pPr>
        <w:ind w:left="700" w:right="300" w:hanging="356"/>
        <w:spacing w:after="0" w:line="246" w:lineRule="auto"/>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Mr. Chandler played no role in negotiating or monitoring our performance under the contract, and all related transactions between us and the subsidiary of Williams were negotiated entirely at arm’s length.</w:t>
      </w:r>
    </w:p>
    <w:p>
      <w:pPr>
        <w:spacing w:after="0" w:line="88" w:lineRule="exact"/>
        <w:rPr>
          <w:rFonts w:ascii="Arial" w:cs="Arial" w:eastAsia="Arial" w:hAnsi="Arial"/>
          <w:sz w:val="18"/>
          <w:szCs w:val="18"/>
          <w:color w:val="auto"/>
        </w:rPr>
      </w:pPr>
    </w:p>
    <w:p>
      <w:pPr>
        <w:ind w:left="700" w:hanging="356"/>
        <w:spacing w:after="0" w:line="246" w:lineRule="auto"/>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transactions were insignificant to each of Williams and Matrix, and Mr. Chandler has no personal interest in the transactions.</w:t>
      </w:r>
    </w:p>
    <w:p>
      <w:pPr>
        <w:spacing w:after="0" w:line="88" w:lineRule="exact"/>
        <w:rPr>
          <w:rFonts w:ascii="Arial" w:cs="Arial" w:eastAsia="Arial" w:hAnsi="Arial"/>
          <w:sz w:val="18"/>
          <w:szCs w:val="18"/>
          <w:color w:val="auto"/>
        </w:rPr>
      </w:pPr>
    </w:p>
    <w:p>
      <w:pPr>
        <w:ind w:left="700" w:hanging="356"/>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transactions will in no way impair the ability of Mr. Chandler to act in our best interests.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61DA16"/>
        </w:rPr>
        <w:t>Review, Approval or Ratification of Transactions with Related Persons</w:t>
      </w:r>
    </w:p>
    <w:p>
      <w:pPr>
        <w:spacing w:after="0" w:line="12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The Company’s Corporate Governance Guidelines, which are available on the Corporate Governance page in the Investor Relations section of our website, </w:t>
      </w:r>
      <w:r>
        <w:rPr>
          <w:rFonts w:ascii="Arial" w:cs="Arial" w:eastAsia="Arial" w:hAnsi="Arial"/>
          <w:sz w:val="18"/>
          <w:szCs w:val="18"/>
          <w:u w:val="single" w:color="auto"/>
          <w:color w:val="auto"/>
        </w:rPr>
        <w:t>matrixservicecompany.com</w:t>
      </w:r>
      <w:r>
        <w:rPr>
          <w:rFonts w:ascii="Arial" w:cs="Arial" w:eastAsia="Arial" w:hAnsi="Arial"/>
          <w:sz w:val="18"/>
          <w:szCs w:val="18"/>
          <w:color w:val="auto"/>
        </w:rPr>
        <w:t>, provide that the Company shall conduct an appropriate review of all transactions with related persons for potential conflict of interest situations on an ongoing basis, and all such transactions shall be approved by the Audit Committee or another independent body of the Board. The Corporate Governance Guidelines further provide that the term “transactions with related persons” refers to all transactions which are required to be disclosed pursuant to Item 404 of Regulation S-K.</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In the course of its review and approval or ratification of a transaction, the Audit Committee will consider:</w:t>
      </w:r>
    </w:p>
    <w:p>
      <w:pPr>
        <w:spacing w:after="0" w:line="104" w:lineRule="exact"/>
        <w:rPr>
          <w:sz w:val="20"/>
          <w:szCs w:val="20"/>
          <w:color w:val="auto"/>
        </w:rPr>
      </w:pPr>
    </w:p>
    <w:p>
      <w:pPr>
        <w:ind w:left="700" w:hanging="356"/>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nature of the related person’s interest in the transaction;</w:t>
      </w:r>
    </w:p>
    <w:p>
      <w:pPr>
        <w:spacing w:after="0" w:line="103" w:lineRule="exact"/>
        <w:rPr>
          <w:rFonts w:ascii="Arial" w:cs="Arial" w:eastAsia="Arial" w:hAnsi="Arial"/>
          <w:sz w:val="18"/>
          <w:szCs w:val="18"/>
          <w:color w:val="auto"/>
        </w:rPr>
      </w:pPr>
    </w:p>
    <w:p>
      <w:pPr>
        <w:ind w:left="700" w:hanging="356"/>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material terms of the transaction;</w:t>
      </w:r>
    </w:p>
    <w:p>
      <w:pPr>
        <w:spacing w:after="0" w:line="103" w:lineRule="exact"/>
        <w:rPr>
          <w:rFonts w:ascii="Arial" w:cs="Arial" w:eastAsia="Arial" w:hAnsi="Arial"/>
          <w:sz w:val="18"/>
          <w:szCs w:val="18"/>
          <w:color w:val="auto"/>
        </w:rPr>
      </w:pPr>
    </w:p>
    <w:p>
      <w:pPr>
        <w:ind w:left="700" w:hanging="356"/>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significance of the transaction to the related person;</w:t>
      </w:r>
    </w:p>
    <w:p>
      <w:pPr>
        <w:spacing w:after="0" w:line="103" w:lineRule="exact"/>
        <w:rPr>
          <w:rFonts w:ascii="Arial" w:cs="Arial" w:eastAsia="Arial" w:hAnsi="Arial"/>
          <w:sz w:val="18"/>
          <w:szCs w:val="18"/>
          <w:color w:val="auto"/>
        </w:rPr>
      </w:pPr>
    </w:p>
    <w:p>
      <w:pPr>
        <w:ind w:left="700" w:hanging="356"/>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significance of the transaction to us;</w:t>
      </w:r>
    </w:p>
    <w:p>
      <w:pPr>
        <w:spacing w:after="0" w:line="103" w:lineRule="exact"/>
        <w:rPr>
          <w:rFonts w:ascii="Arial" w:cs="Arial" w:eastAsia="Arial" w:hAnsi="Arial"/>
          <w:sz w:val="18"/>
          <w:szCs w:val="18"/>
          <w:color w:val="auto"/>
        </w:rPr>
      </w:pPr>
    </w:p>
    <w:p>
      <w:pPr>
        <w:ind w:left="700" w:right="200" w:hanging="356"/>
        <w:spacing w:after="0" w:line="246" w:lineRule="auto"/>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the transaction would impair the judgment of a director or executive officer to act in our best interest; and</w:t>
      </w:r>
    </w:p>
    <w:p>
      <w:pPr>
        <w:spacing w:after="0" w:line="88" w:lineRule="exact"/>
        <w:rPr>
          <w:rFonts w:ascii="Arial" w:cs="Arial" w:eastAsia="Arial" w:hAnsi="Arial"/>
          <w:sz w:val="18"/>
          <w:szCs w:val="18"/>
          <w:color w:val="auto"/>
        </w:rPr>
      </w:pPr>
    </w:p>
    <w:p>
      <w:pPr>
        <w:ind w:left="700" w:hanging="356"/>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other matters the Audit Committee deems appropriate.</w:t>
      </w:r>
    </w:p>
    <w:p>
      <w:pPr>
        <w:spacing w:after="0" w:line="10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Our Corporate Governance Guidelines also provide that each director and executive officer is required to complete a Director and Officer Questionnaire on an annual basis, and to update such information when the questionnaire responses become incomplete or inaccurate. The Director and Officer Questionnaire requires disclosure of any transactions with the Company in which the director or executive officer, or any member of his or her immediate family, has a direct or indirect material interest.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6071870" cy="431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2" w:name="page53"/>
    <w:bookmarkEnd w:id="52"/>
    <w:p>
      <w:pPr>
        <w:ind w:left="7"/>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63"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61DA16"/>
        </w:rPr>
        <w:t>SECURITY OWNERSHIP OF CERTAIN BENEFICIAL OWNERS AND MANAGEMENT</w:t>
      </w:r>
    </w:p>
    <w:p>
      <w:pPr>
        <w:spacing w:after="0" w:line="126" w:lineRule="exact"/>
        <w:rPr>
          <w:sz w:val="20"/>
          <w:szCs w:val="20"/>
          <w:color w:val="auto"/>
        </w:rPr>
      </w:pPr>
    </w:p>
    <w:p>
      <w:pPr>
        <w:ind w:left="7" w:right="340"/>
        <w:spacing w:after="0" w:line="252" w:lineRule="auto"/>
        <w:rPr>
          <w:sz w:val="20"/>
          <w:szCs w:val="20"/>
          <w:color w:val="auto"/>
        </w:rPr>
      </w:pPr>
      <w:r>
        <w:rPr>
          <w:rFonts w:ascii="Arial" w:cs="Arial" w:eastAsia="Arial" w:hAnsi="Arial"/>
          <w:sz w:val="18"/>
          <w:szCs w:val="18"/>
          <w:color w:val="auto"/>
        </w:rPr>
        <w:t>The following table sets forth, as of August 31, 2019, certain information with respect to the shares of common stock beneficially owned by (i) each person known by the Company to own beneficially more than 5% of its outstanding shares of Common Stock, (ii) each director and director nominee of the Company, (iii) each executive officer of the Company named in the Summary Compensation Table herein and (iv) all directors, director nominees and executive officers of the Company as a group. Unless otherwise noted, each of the persons listed below has sole voting and investment power with respect to the shares listed.</w:t>
      </w:r>
    </w:p>
    <w:p>
      <w:pPr>
        <w:spacing w:after="0" w:line="48"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658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460" w:type="dxa"/>
            <w:vAlign w:val="bottom"/>
          </w:tcPr>
          <w:p>
            <w:pPr>
              <w:spacing w:after="0"/>
              <w:rPr>
                <w:sz w:val="14"/>
                <w:szCs w:val="14"/>
                <w:color w:val="auto"/>
              </w:rPr>
            </w:pPr>
          </w:p>
        </w:tc>
      </w:tr>
      <w:tr>
        <w:trPr>
          <w:trHeight w:val="148"/>
        </w:trPr>
        <w:tc>
          <w:tcPr>
            <w:tcW w:w="658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Beneficially</w:t>
            </w:r>
          </w:p>
        </w:tc>
        <w:tc>
          <w:tcPr>
            <w:tcW w:w="1460" w:type="dxa"/>
            <w:vAlign w:val="bottom"/>
          </w:tcPr>
          <w:p>
            <w:pPr>
              <w:jc w:val="right"/>
              <w:ind w:right="312"/>
              <w:spacing w:after="0" w:line="149" w:lineRule="exact"/>
              <w:rPr>
                <w:sz w:val="20"/>
                <w:szCs w:val="20"/>
                <w:color w:val="auto"/>
              </w:rPr>
            </w:pPr>
            <w:r>
              <w:rPr>
                <w:rFonts w:ascii="Arial" w:cs="Arial" w:eastAsia="Arial" w:hAnsi="Arial"/>
                <w:sz w:val="14"/>
                <w:szCs w:val="14"/>
                <w:b w:val="1"/>
                <w:bCs w:val="1"/>
                <w:color w:val="auto"/>
              </w:rPr>
              <w:t>Calculated</w:t>
            </w:r>
          </w:p>
        </w:tc>
      </w:tr>
      <w:tr>
        <w:trPr>
          <w:trHeight w:val="203"/>
        </w:trPr>
        <w:tc>
          <w:tcPr>
            <w:tcW w:w="6580" w:type="dxa"/>
            <w:vAlign w:val="bottom"/>
          </w:tcPr>
          <w:p>
            <w:pPr>
              <w:ind w:left="2380"/>
              <w:spacing w:after="0"/>
              <w:rPr>
                <w:sz w:val="20"/>
                <w:szCs w:val="20"/>
                <w:color w:val="auto"/>
              </w:rPr>
            </w:pPr>
            <w:r>
              <w:rPr>
                <w:rFonts w:ascii="Arial" w:cs="Arial" w:eastAsia="Arial" w:hAnsi="Arial"/>
                <w:sz w:val="14"/>
                <w:szCs w:val="14"/>
                <w:b w:val="1"/>
                <w:bCs w:val="1"/>
                <w:color w:val="auto"/>
              </w:rPr>
              <w:t>Identity of Beneficial Owner</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Owned</w:t>
            </w:r>
          </w:p>
        </w:tc>
        <w:tc>
          <w:tcPr>
            <w:tcW w:w="1460" w:type="dxa"/>
            <w:vAlign w:val="bottom"/>
          </w:tcPr>
          <w:p>
            <w:pPr>
              <w:jc w:val="right"/>
              <w:ind w:right="152"/>
              <w:spacing w:after="0" w:line="202" w:lineRule="exact"/>
              <w:rPr>
                <w:sz w:val="20"/>
                <w:szCs w:val="20"/>
                <w:color w:val="auto"/>
              </w:rPr>
            </w:pPr>
            <w:r>
              <w:rPr>
                <w:rFonts w:ascii="Arial" w:cs="Arial" w:eastAsia="Arial" w:hAnsi="Arial"/>
                <w:sz w:val="14"/>
                <w:szCs w:val="14"/>
                <w:b w:val="1"/>
                <w:bCs w:val="1"/>
                <w:color w:val="auto"/>
              </w:rPr>
              <w:t>Ownership %</w:t>
            </w:r>
            <w:r>
              <w:rPr>
                <w:rFonts w:ascii="Arial" w:cs="Arial" w:eastAsia="Arial" w:hAnsi="Arial"/>
                <w:sz w:val="23"/>
                <w:szCs w:val="23"/>
                <w:b w:val="1"/>
                <w:bCs w:val="1"/>
                <w:color w:val="auto"/>
                <w:vertAlign w:val="superscript"/>
              </w:rPr>
              <w:t>(1)</w:t>
            </w:r>
          </w:p>
        </w:tc>
      </w:tr>
      <w:tr>
        <w:trPr>
          <w:trHeight w:val="202"/>
        </w:trPr>
        <w:tc>
          <w:tcPr>
            <w:tcW w:w="6580" w:type="dxa"/>
            <w:vAlign w:val="bottom"/>
            <w:shd w:val="clear" w:color="auto" w:fill="D7F5C4"/>
          </w:tcPr>
          <w:p>
            <w:pPr>
              <w:spacing w:after="0" w:line="202" w:lineRule="exact"/>
              <w:rPr>
                <w:sz w:val="20"/>
                <w:szCs w:val="20"/>
                <w:color w:val="auto"/>
              </w:rPr>
            </w:pPr>
            <w:r>
              <w:rPr>
                <w:rFonts w:ascii="Arial" w:cs="Arial" w:eastAsia="Arial" w:hAnsi="Arial"/>
                <w:sz w:val="18"/>
                <w:szCs w:val="18"/>
                <w:color w:val="auto"/>
              </w:rPr>
              <w:t>BlackRock, Inc.</w:t>
            </w:r>
          </w:p>
        </w:tc>
        <w:tc>
          <w:tcPr>
            <w:tcW w:w="1520" w:type="dxa"/>
            <w:vAlign w:val="bottom"/>
            <w:shd w:val="clear" w:color="auto" w:fill="D7F5C4"/>
          </w:tcPr>
          <w:p>
            <w:pPr>
              <w:jc w:val="right"/>
              <w:ind w:right="101"/>
              <w:spacing w:after="0" w:line="202" w:lineRule="exact"/>
              <w:rPr>
                <w:sz w:val="20"/>
                <w:szCs w:val="20"/>
                <w:color w:val="auto"/>
              </w:rPr>
            </w:pPr>
            <w:r>
              <w:rPr>
                <w:rFonts w:ascii="Arial" w:cs="Arial" w:eastAsia="Arial" w:hAnsi="Arial"/>
                <w:sz w:val="15"/>
                <w:szCs w:val="15"/>
                <w:color w:val="auto"/>
              </w:rPr>
              <w:t>4,151,128</w:t>
            </w:r>
            <w:r>
              <w:rPr>
                <w:rFonts w:ascii="Arial" w:cs="Arial" w:eastAsia="Arial" w:hAnsi="Arial"/>
                <w:sz w:val="23"/>
                <w:szCs w:val="23"/>
                <w:color w:val="auto"/>
                <w:vertAlign w:val="superscript"/>
              </w:rPr>
              <w:t>(2)</w:t>
            </w:r>
          </w:p>
        </w:tc>
        <w:tc>
          <w:tcPr>
            <w:tcW w:w="1460" w:type="dxa"/>
            <w:vAlign w:val="bottom"/>
            <w:shd w:val="clear" w:color="auto" w:fill="D7F5C4"/>
          </w:tcPr>
          <w:p>
            <w:pPr>
              <w:jc w:val="right"/>
              <w:spacing w:after="0" w:line="202" w:lineRule="exact"/>
              <w:rPr>
                <w:sz w:val="20"/>
                <w:szCs w:val="20"/>
                <w:color w:val="auto"/>
              </w:rPr>
            </w:pPr>
            <w:r>
              <w:rPr>
                <w:rFonts w:ascii="Arial" w:cs="Arial" w:eastAsia="Arial" w:hAnsi="Arial"/>
                <w:sz w:val="18"/>
                <w:szCs w:val="18"/>
                <w:color w:val="auto"/>
              </w:rPr>
              <w:t>15.3%</w:t>
            </w:r>
          </w:p>
        </w:tc>
      </w:tr>
      <w:tr>
        <w:trPr>
          <w:trHeight w:val="216"/>
        </w:trPr>
        <w:tc>
          <w:tcPr>
            <w:tcW w:w="6580" w:type="dxa"/>
            <w:vAlign w:val="bottom"/>
            <w:shd w:val="clear" w:color="auto" w:fill="D7F5C4"/>
          </w:tcPr>
          <w:p>
            <w:pPr>
              <w:spacing w:after="0" w:line="216" w:lineRule="exact"/>
              <w:rPr>
                <w:sz w:val="20"/>
                <w:szCs w:val="20"/>
                <w:color w:val="auto"/>
              </w:rPr>
            </w:pPr>
            <w:r>
              <w:rPr>
                <w:rFonts w:ascii="Arial" w:cs="Arial" w:eastAsia="Arial" w:hAnsi="Arial"/>
                <w:sz w:val="16"/>
                <w:szCs w:val="16"/>
                <w:color w:val="auto"/>
              </w:rPr>
              <w:t>55 East 52</w:t>
            </w:r>
            <w:r>
              <w:rPr>
                <w:rFonts w:ascii="Arial" w:cs="Arial" w:eastAsia="Arial" w:hAnsi="Arial"/>
                <w:sz w:val="25"/>
                <w:szCs w:val="25"/>
                <w:color w:val="auto"/>
                <w:vertAlign w:val="superscript"/>
              </w:rPr>
              <w:t>nd</w:t>
            </w:r>
            <w:r>
              <w:rPr>
                <w:rFonts w:ascii="Arial" w:cs="Arial" w:eastAsia="Arial" w:hAnsi="Arial"/>
                <w:sz w:val="16"/>
                <w:szCs w:val="16"/>
                <w:color w:val="auto"/>
              </w:rPr>
              <w:t xml:space="preserve"> Street</w:t>
            </w:r>
          </w:p>
        </w:tc>
        <w:tc>
          <w:tcPr>
            <w:tcW w:w="1520" w:type="dxa"/>
            <w:vAlign w:val="bottom"/>
            <w:shd w:val="clear" w:color="auto" w:fill="D7F5C4"/>
          </w:tcPr>
          <w:p>
            <w:pPr>
              <w:spacing w:after="0"/>
              <w:rPr>
                <w:sz w:val="18"/>
                <w:szCs w:val="18"/>
                <w:color w:val="auto"/>
              </w:rPr>
            </w:pPr>
          </w:p>
        </w:tc>
        <w:tc>
          <w:tcPr>
            <w:tcW w:w="1460" w:type="dxa"/>
            <w:vAlign w:val="bottom"/>
            <w:shd w:val="clear" w:color="auto" w:fill="D7F5C4"/>
          </w:tcPr>
          <w:p>
            <w:pPr>
              <w:spacing w:after="0"/>
              <w:rPr>
                <w:sz w:val="18"/>
                <w:szCs w:val="18"/>
                <w:color w:val="auto"/>
              </w:rPr>
            </w:pPr>
          </w:p>
        </w:tc>
      </w:tr>
      <w:tr>
        <w:trPr>
          <w:trHeight w:val="217"/>
        </w:trPr>
        <w:tc>
          <w:tcPr>
            <w:tcW w:w="6580" w:type="dxa"/>
            <w:vAlign w:val="bottom"/>
            <w:shd w:val="clear" w:color="auto" w:fill="D7F5C4"/>
          </w:tcPr>
          <w:p>
            <w:pPr>
              <w:spacing w:after="0"/>
              <w:rPr>
                <w:sz w:val="20"/>
                <w:szCs w:val="20"/>
                <w:color w:val="auto"/>
              </w:rPr>
            </w:pPr>
            <w:r>
              <w:rPr>
                <w:rFonts w:ascii="Arial" w:cs="Arial" w:eastAsia="Arial" w:hAnsi="Arial"/>
                <w:sz w:val="18"/>
                <w:szCs w:val="18"/>
                <w:color w:val="auto"/>
              </w:rPr>
              <w:t>New York, NY 10055</w:t>
            </w:r>
          </w:p>
        </w:tc>
        <w:tc>
          <w:tcPr>
            <w:tcW w:w="1520" w:type="dxa"/>
            <w:vAlign w:val="bottom"/>
            <w:shd w:val="clear" w:color="auto" w:fill="D7F5C4"/>
          </w:tcPr>
          <w:p>
            <w:pPr>
              <w:spacing w:after="0"/>
              <w:rPr>
                <w:sz w:val="18"/>
                <w:szCs w:val="18"/>
                <w:color w:val="auto"/>
              </w:rPr>
            </w:pPr>
          </w:p>
        </w:tc>
        <w:tc>
          <w:tcPr>
            <w:tcW w:w="1460" w:type="dxa"/>
            <w:vAlign w:val="bottom"/>
            <w:shd w:val="clear" w:color="auto" w:fill="D7F5C4"/>
          </w:tcPr>
          <w:p>
            <w:pPr>
              <w:spacing w:after="0"/>
              <w:rPr>
                <w:sz w:val="18"/>
                <w:szCs w:val="18"/>
                <w:color w:val="auto"/>
              </w:rPr>
            </w:pPr>
          </w:p>
        </w:tc>
      </w:tr>
      <w:tr>
        <w:trPr>
          <w:trHeight w:val="215"/>
        </w:trPr>
        <w:tc>
          <w:tcPr>
            <w:tcW w:w="6580" w:type="dxa"/>
            <w:vAlign w:val="bottom"/>
          </w:tcPr>
          <w:p>
            <w:pPr>
              <w:spacing w:after="0"/>
              <w:rPr>
                <w:sz w:val="20"/>
                <w:szCs w:val="20"/>
                <w:color w:val="auto"/>
              </w:rPr>
            </w:pPr>
            <w:r>
              <w:rPr>
                <w:rFonts w:ascii="Arial" w:cs="Arial" w:eastAsia="Arial" w:hAnsi="Arial"/>
                <w:sz w:val="18"/>
                <w:szCs w:val="18"/>
                <w:color w:val="auto"/>
              </w:rPr>
              <w:t>Dimensional Fund Advisors LP</w:t>
            </w:r>
          </w:p>
        </w:tc>
        <w:tc>
          <w:tcPr>
            <w:tcW w:w="1520" w:type="dxa"/>
            <w:vAlign w:val="bottom"/>
          </w:tcPr>
          <w:p>
            <w:pPr>
              <w:jc w:val="right"/>
              <w:ind w:right="101"/>
              <w:spacing w:after="0" w:line="216" w:lineRule="exact"/>
              <w:rPr>
                <w:sz w:val="20"/>
                <w:szCs w:val="20"/>
                <w:color w:val="auto"/>
              </w:rPr>
            </w:pPr>
            <w:r>
              <w:rPr>
                <w:rFonts w:ascii="Arial" w:cs="Arial" w:eastAsia="Arial" w:hAnsi="Arial"/>
                <w:sz w:val="15"/>
                <w:szCs w:val="15"/>
                <w:color w:val="auto"/>
              </w:rPr>
              <w:t>2,214,500</w:t>
            </w:r>
            <w:r>
              <w:rPr>
                <w:rFonts w:ascii="Arial" w:cs="Arial" w:eastAsia="Arial" w:hAnsi="Arial"/>
                <w:sz w:val="24"/>
                <w:szCs w:val="24"/>
                <w:color w:val="auto"/>
                <w:vertAlign w:val="superscript"/>
              </w:rPr>
              <w:t>(3)</w:t>
            </w:r>
          </w:p>
        </w:tc>
        <w:tc>
          <w:tcPr>
            <w:tcW w:w="14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03"/>
        </w:trPr>
        <w:tc>
          <w:tcPr>
            <w:tcW w:w="6580" w:type="dxa"/>
            <w:vAlign w:val="bottom"/>
          </w:tcPr>
          <w:p>
            <w:pPr>
              <w:spacing w:after="0" w:line="202" w:lineRule="exact"/>
              <w:rPr>
                <w:sz w:val="20"/>
                <w:szCs w:val="20"/>
                <w:color w:val="auto"/>
              </w:rPr>
            </w:pPr>
            <w:r>
              <w:rPr>
                <w:rFonts w:ascii="Arial" w:cs="Arial" w:eastAsia="Arial" w:hAnsi="Arial"/>
                <w:sz w:val="18"/>
                <w:szCs w:val="18"/>
                <w:color w:val="auto"/>
              </w:rPr>
              <w:t>Building One, 6300 Bee Cave Road</w:t>
            </w:r>
          </w:p>
        </w:tc>
        <w:tc>
          <w:tcPr>
            <w:tcW w:w="15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17"/>
        </w:trPr>
        <w:tc>
          <w:tcPr>
            <w:tcW w:w="6580" w:type="dxa"/>
            <w:vAlign w:val="bottom"/>
          </w:tcPr>
          <w:p>
            <w:pPr>
              <w:spacing w:after="0"/>
              <w:rPr>
                <w:sz w:val="20"/>
                <w:szCs w:val="20"/>
                <w:color w:val="auto"/>
              </w:rPr>
            </w:pPr>
            <w:r>
              <w:rPr>
                <w:rFonts w:ascii="Arial" w:cs="Arial" w:eastAsia="Arial" w:hAnsi="Arial"/>
                <w:sz w:val="18"/>
                <w:szCs w:val="18"/>
                <w:color w:val="auto"/>
              </w:rPr>
              <w:t>Austin, TX 78746</w:t>
            </w:r>
          </w:p>
        </w:tc>
        <w:tc>
          <w:tcPr>
            <w:tcW w:w="15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5"/>
        </w:trPr>
        <w:tc>
          <w:tcPr>
            <w:tcW w:w="6580" w:type="dxa"/>
            <w:vAlign w:val="bottom"/>
            <w:shd w:val="clear" w:color="auto" w:fill="D7F5C4"/>
          </w:tcPr>
          <w:p>
            <w:pPr>
              <w:spacing w:after="0"/>
              <w:rPr>
                <w:sz w:val="20"/>
                <w:szCs w:val="20"/>
                <w:color w:val="auto"/>
              </w:rPr>
            </w:pPr>
            <w:r>
              <w:rPr>
                <w:rFonts w:ascii="Arial" w:cs="Arial" w:eastAsia="Arial" w:hAnsi="Arial"/>
                <w:sz w:val="18"/>
                <w:szCs w:val="18"/>
                <w:color w:val="auto"/>
              </w:rPr>
              <w:t>The Vanguard Group</w:t>
            </w:r>
          </w:p>
        </w:tc>
        <w:tc>
          <w:tcPr>
            <w:tcW w:w="1520" w:type="dxa"/>
            <w:vAlign w:val="bottom"/>
            <w:shd w:val="clear" w:color="auto" w:fill="D7F5C4"/>
          </w:tcPr>
          <w:p>
            <w:pPr>
              <w:jc w:val="right"/>
              <w:ind w:right="101"/>
              <w:spacing w:after="0" w:line="216" w:lineRule="exact"/>
              <w:rPr>
                <w:sz w:val="20"/>
                <w:szCs w:val="20"/>
                <w:color w:val="auto"/>
              </w:rPr>
            </w:pPr>
            <w:r>
              <w:rPr>
                <w:rFonts w:ascii="Arial" w:cs="Arial" w:eastAsia="Arial" w:hAnsi="Arial"/>
                <w:sz w:val="15"/>
                <w:szCs w:val="15"/>
                <w:color w:val="auto"/>
              </w:rPr>
              <w:t>1,641,628</w:t>
            </w:r>
            <w:r>
              <w:rPr>
                <w:rFonts w:ascii="Arial" w:cs="Arial" w:eastAsia="Arial" w:hAnsi="Arial"/>
                <w:sz w:val="24"/>
                <w:szCs w:val="24"/>
                <w:color w:val="auto"/>
                <w:vertAlign w:val="superscript"/>
              </w:rPr>
              <w:t>(4)</w:t>
            </w:r>
          </w:p>
        </w:tc>
        <w:tc>
          <w:tcPr>
            <w:tcW w:w="1460" w:type="dxa"/>
            <w:vAlign w:val="bottom"/>
            <w:shd w:val="clear" w:color="auto" w:fill="D7F5C4"/>
          </w:tcPr>
          <w:p>
            <w:pPr>
              <w:jc w:val="right"/>
              <w:spacing w:after="0"/>
              <w:rPr>
                <w:sz w:val="20"/>
                <w:szCs w:val="20"/>
                <w:color w:val="auto"/>
              </w:rPr>
            </w:pPr>
            <w:r>
              <w:rPr>
                <w:rFonts w:ascii="Arial" w:cs="Arial" w:eastAsia="Arial" w:hAnsi="Arial"/>
                <w:sz w:val="18"/>
                <w:szCs w:val="18"/>
                <w:color w:val="auto"/>
              </w:rPr>
              <w:t>6.1%</w:t>
            </w:r>
          </w:p>
        </w:tc>
      </w:tr>
      <w:tr>
        <w:trPr>
          <w:trHeight w:val="203"/>
        </w:trPr>
        <w:tc>
          <w:tcPr>
            <w:tcW w:w="6580" w:type="dxa"/>
            <w:vAlign w:val="bottom"/>
            <w:shd w:val="clear" w:color="auto" w:fill="D7F5C4"/>
          </w:tcPr>
          <w:p>
            <w:pPr>
              <w:spacing w:after="0" w:line="202" w:lineRule="exact"/>
              <w:rPr>
                <w:sz w:val="20"/>
                <w:szCs w:val="20"/>
                <w:color w:val="auto"/>
              </w:rPr>
            </w:pPr>
            <w:r>
              <w:rPr>
                <w:rFonts w:ascii="Arial" w:cs="Arial" w:eastAsia="Arial" w:hAnsi="Arial"/>
                <w:sz w:val="18"/>
                <w:szCs w:val="18"/>
                <w:color w:val="auto"/>
              </w:rPr>
              <w:t>100 Vanguard Boulevard</w:t>
            </w:r>
          </w:p>
        </w:tc>
        <w:tc>
          <w:tcPr>
            <w:tcW w:w="1520" w:type="dxa"/>
            <w:vAlign w:val="bottom"/>
            <w:shd w:val="clear" w:color="auto" w:fill="D7F5C4"/>
          </w:tcPr>
          <w:p>
            <w:pPr>
              <w:spacing w:after="0"/>
              <w:rPr>
                <w:sz w:val="17"/>
                <w:szCs w:val="17"/>
                <w:color w:val="auto"/>
              </w:rPr>
            </w:pPr>
          </w:p>
        </w:tc>
        <w:tc>
          <w:tcPr>
            <w:tcW w:w="1460" w:type="dxa"/>
            <w:vAlign w:val="bottom"/>
            <w:shd w:val="clear" w:color="auto" w:fill="D7F5C4"/>
          </w:tcPr>
          <w:p>
            <w:pPr>
              <w:spacing w:after="0"/>
              <w:rPr>
                <w:sz w:val="17"/>
                <w:szCs w:val="17"/>
                <w:color w:val="auto"/>
              </w:rPr>
            </w:pPr>
          </w:p>
        </w:tc>
      </w:tr>
      <w:tr>
        <w:trPr>
          <w:trHeight w:val="217"/>
        </w:trPr>
        <w:tc>
          <w:tcPr>
            <w:tcW w:w="6580" w:type="dxa"/>
            <w:vAlign w:val="bottom"/>
            <w:shd w:val="clear" w:color="auto" w:fill="D7F5C4"/>
          </w:tcPr>
          <w:p>
            <w:pPr>
              <w:spacing w:after="0"/>
              <w:rPr>
                <w:sz w:val="20"/>
                <w:szCs w:val="20"/>
                <w:color w:val="auto"/>
              </w:rPr>
            </w:pPr>
            <w:r>
              <w:rPr>
                <w:rFonts w:ascii="Arial" w:cs="Arial" w:eastAsia="Arial" w:hAnsi="Arial"/>
                <w:sz w:val="18"/>
                <w:szCs w:val="18"/>
                <w:color w:val="auto"/>
              </w:rPr>
              <w:t>Malvern, PA 19355</w:t>
            </w:r>
          </w:p>
        </w:tc>
        <w:tc>
          <w:tcPr>
            <w:tcW w:w="1520" w:type="dxa"/>
            <w:vAlign w:val="bottom"/>
            <w:shd w:val="clear" w:color="auto" w:fill="D7F5C4"/>
          </w:tcPr>
          <w:p>
            <w:pPr>
              <w:spacing w:after="0"/>
              <w:rPr>
                <w:sz w:val="18"/>
                <w:szCs w:val="18"/>
                <w:color w:val="auto"/>
              </w:rPr>
            </w:pPr>
          </w:p>
        </w:tc>
        <w:tc>
          <w:tcPr>
            <w:tcW w:w="1460" w:type="dxa"/>
            <w:vAlign w:val="bottom"/>
            <w:shd w:val="clear" w:color="auto" w:fill="D7F5C4"/>
          </w:tcPr>
          <w:p>
            <w:pPr>
              <w:spacing w:after="0"/>
              <w:rPr>
                <w:sz w:val="18"/>
                <w:szCs w:val="18"/>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Jim W. Mogg</w:t>
            </w:r>
          </w:p>
        </w:tc>
        <w:tc>
          <w:tcPr>
            <w:tcW w:w="1520" w:type="dxa"/>
            <w:vAlign w:val="bottom"/>
          </w:tcPr>
          <w:p>
            <w:pPr>
              <w:jc w:val="right"/>
              <w:ind w:right="101"/>
              <w:spacing w:after="0" w:line="230" w:lineRule="exact"/>
              <w:rPr>
                <w:sz w:val="20"/>
                <w:szCs w:val="20"/>
                <w:color w:val="auto"/>
              </w:rPr>
            </w:pPr>
            <w:r>
              <w:rPr>
                <w:rFonts w:ascii="Arial" w:cs="Arial" w:eastAsia="Arial" w:hAnsi="Arial"/>
                <w:sz w:val="16"/>
                <w:szCs w:val="16"/>
                <w:color w:val="auto"/>
              </w:rPr>
              <w:t>38,013</w:t>
            </w:r>
            <w:r>
              <w:rPr>
                <w:rFonts w:ascii="Arial" w:cs="Arial" w:eastAsia="Arial" w:hAnsi="Arial"/>
                <w:sz w:val="26"/>
                <w:szCs w:val="26"/>
                <w:color w:val="auto"/>
                <w:vertAlign w:val="superscript"/>
              </w:rPr>
              <w:t>(5)</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30"/>
        </w:trPr>
        <w:tc>
          <w:tcPr>
            <w:tcW w:w="6580" w:type="dxa"/>
            <w:vAlign w:val="bottom"/>
            <w:shd w:val="clear" w:color="auto" w:fill="D7F5C4"/>
          </w:tcPr>
          <w:p>
            <w:pPr>
              <w:spacing w:after="0"/>
              <w:rPr>
                <w:sz w:val="20"/>
                <w:szCs w:val="20"/>
                <w:color w:val="auto"/>
              </w:rPr>
            </w:pPr>
            <w:r>
              <w:rPr>
                <w:rFonts w:ascii="Arial" w:cs="Arial" w:eastAsia="Arial" w:hAnsi="Arial"/>
                <w:sz w:val="18"/>
                <w:szCs w:val="18"/>
                <w:color w:val="auto"/>
              </w:rPr>
              <w:t>James H. Miller</w:t>
            </w:r>
          </w:p>
        </w:tc>
        <w:tc>
          <w:tcPr>
            <w:tcW w:w="1520" w:type="dxa"/>
            <w:vAlign w:val="bottom"/>
            <w:shd w:val="clear" w:color="auto" w:fill="D7F5C4"/>
          </w:tcPr>
          <w:p>
            <w:pPr>
              <w:jc w:val="right"/>
              <w:ind w:right="101"/>
              <w:spacing w:after="0" w:line="230" w:lineRule="exact"/>
              <w:rPr>
                <w:sz w:val="20"/>
                <w:szCs w:val="20"/>
                <w:color w:val="auto"/>
              </w:rPr>
            </w:pPr>
            <w:r>
              <w:rPr>
                <w:rFonts w:ascii="Arial" w:cs="Arial" w:eastAsia="Arial" w:hAnsi="Arial"/>
                <w:sz w:val="16"/>
                <w:szCs w:val="16"/>
                <w:color w:val="auto"/>
              </w:rPr>
              <w:t>25,128</w:t>
            </w:r>
            <w:r>
              <w:rPr>
                <w:rFonts w:ascii="Arial" w:cs="Arial" w:eastAsia="Arial" w:hAnsi="Arial"/>
                <w:sz w:val="26"/>
                <w:szCs w:val="26"/>
                <w:color w:val="auto"/>
                <w:vertAlign w:val="superscript"/>
              </w:rPr>
              <w:t>(5)</w:t>
            </w:r>
          </w:p>
        </w:tc>
        <w:tc>
          <w:tcPr>
            <w:tcW w:w="1460" w:type="dxa"/>
            <w:vAlign w:val="bottom"/>
            <w:shd w:val="clear" w:color="auto" w:fill="D7F5C4"/>
          </w:tcPr>
          <w:p>
            <w:pPr>
              <w:jc w:val="right"/>
              <w:ind w:right="12"/>
              <w:spacing w:after="0"/>
              <w:rPr>
                <w:sz w:val="20"/>
                <w:szCs w:val="20"/>
                <w:color w:val="auto"/>
              </w:rPr>
            </w:pPr>
            <w:r>
              <w:rPr>
                <w:rFonts w:ascii="Arial" w:cs="Arial" w:eastAsia="Arial" w:hAnsi="Arial"/>
                <w:sz w:val="18"/>
                <w:szCs w:val="18"/>
                <w:color w:val="auto"/>
              </w:rPr>
              <w:t>*</w:t>
            </w: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John W. Gibson</w:t>
            </w:r>
          </w:p>
        </w:tc>
        <w:tc>
          <w:tcPr>
            <w:tcW w:w="1520" w:type="dxa"/>
            <w:vAlign w:val="bottom"/>
          </w:tcPr>
          <w:p>
            <w:pPr>
              <w:jc w:val="right"/>
              <w:ind w:right="101"/>
              <w:spacing w:after="0" w:line="230" w:lineRule="exact"/>
              <w:rPr>
                <w:sz w:val="20"/>
                <w:szCs w:val="20"/>
                <w:color w:val="auto"/>
              </w:rPr>
            </w:pPr>
            <w:r>
              <w:rPr>
                <w:rFonts w:ascii="Arial" w:cs="Arial" w:eastAsia="Arial" w:hAnsi="Arial"/>
                <w:sz w:val="16"/>
                <w:szCs w:val="16"/>
                <w:color w:val="auto"/>
              </w:rPr>
              <w:t>19,298</w:t>
            </w:r>
            <w:r>
              <w:rPr>
                <w:rFonts w:ascii="Arial" w:cs="Arial" w:eastAsia="Arial" w:hAnsi="Arial"/>
                <w:sz w:val="26"/>
                <w:szCs w:val="26"/>
                <w:color w:val="auto"/>
                <w:vertAlign w:val="superscript"/>
              </w:rPr>
              <w:t>(5)</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30"/>
        </w:trPr>
        <w:tc>
          <w:tcPr>
            <w:tcW w:w="6580" w:type="dxa"/>
            <w:vAlign w:val="bottom"/>
            <w:shd w:val="clear" w:color="auto" w:fill="D7F5C4"/>
          </w:tcPr>
          <w:p>
            <w:pPr>
              <w:spacing w:after="0"/>
              <w:rPr>
                <w:sz w:val="20"/>
                <w:szCs w:val="20"/>
                <w:color w:val="auto"/>
              </w:rPr>
            </w:pPr>
            <w:r>
              <w:rPr>
                <w:rFonts w:ascii="Arial" w:cs="Arial" w:eastAsia="Arial" w:hAnsi="Arial"/>
                <w:sz w:val="18"/>
                <w:szCs w:val="18"/>
                <w:color w:val="auto"/>
              </w:rPr>
              <w:t>John D. Chandler</w:t>
            </w:r>
          </w:p>
        </w:tc>
        <w:tc>
          <w:tcPr>
            <w:tcW w:w="1520" w:type="dxa"/>
            <w:vAlign w:val="bottom"/>
            <w:shd w:val="clear" w:color="auto" w:fill="D7F5C4"/>
          </w:tcPr>
          <w:p>
            <w:pPr>
              <w:jc w:val="right"/>
              <w:ind w:right="101"/>
              <w:spacing w:after="0" w:line="230" w:lineRule="exact"/>
              <w:rPr>
                <w:sz w:val="20"/>
                <w:szCs w:val="20"/>
                <w:color w:val="auto"/>
              </w:rPr>
            </w:pPr>
            <w:r>
              <w:rPr>
                <w:rFonts w:ascii="Arial" w:cs="Arial" w:eastAsia="Arial" w:hAnsi="Arial"/>
                <w:sz w:val="16"/>
                <w:szCs w:val="16"/>
                <w:color w:val="auto"/>
              </w:rPr>
              <w:t>13,283</w:t>
            </w:r>
            <w:r>
              <w:rPr>
                <w:rFonts w:ascii="Arial" w:cs="Arial" w:eastAsia="Arial" w:hAnsi="Arial"/>
                <w:sz w:val="26"/>
                <w:szCs w:val="26"/>
                <w:color w:val="auto"/>
                <w:vertAlign w:val="superscript"/>
              </w:rPr>
              <w:t>(5)</w:t>
            </w:r>
          </w:p>
        </w:tc>
        <w:tc>
          <w:tcPr>
            <w:tcW w:w="1460" w:type="dxa"/>
            <w:vAlign w:val="bottom"/>
            <w:shd w:val="clear" w:color="auto" w:fill="D7F5C4"/>
          </w:tcPr>
          <w:p>
            <w:pPr>
              <w:jc w:val="right"/>
              <w:ind w:right="12"/>
              <w:spacing w:after="0"/>
              <w:rPr>
                <w:sz w:val="20"/>
                <w:szCs w:val="20"/>
                <w:color w:val="auto"/>
              </w:rPr>
            </w:pPr>
            <w:r>
              <w:rPr>
                <w:rFonts w:ascii="Arial" w:cs="Arial" w:eastAsia="Arial" w:hAnsi="Arial"/>
                <w:sz w:val="18"/>
                <w:szCs w:val="18"/>
                <w:color w:val="auto"/>
              </w:rPr>
              <w:t>*</w:t>
            </w: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Martha Z. Carnes</w:t>
            </w:r>
          </w:p>
        </w:tc>
        <w:tc>
          <w:tcPr>
            <w:tcW w:w="1520" w:type="dxa"/>
            <w:vAlign w:val="bottom"/>
          </w:tcPr>
          <w:p>
            <w:pPr>
              <w:jc w:val="right"/>
              <w:ind w:right="101"/>
              <w:spacing w:after="0" w:line="230" w:lineRule="exact"/>
              <w:rPr>
                <w:sz w:val="20"/>
                <w:szCs w:val="20"/>
                <w:color w:val="auto"/>
              </w:rPr>
            </w:pPr>
            <w:r>
              <w:rPr>
                <w:rFonts w:ascii="Arial" w:cs="Arial" w:eastAsia="Arial" w:hAnsi="Arial"/>
                <w:sz w:val="16"/>
                <w:szCs w:val="16"/>
                <w:color w:val="auto"/>
              </w:rPr>
              <w:t>12,727</w:t>
            </w:r>
            <w:r>
              <w:rPr>
                <w:rFonts w:ascii="Arial" w:cs="Arial" w:eastAsia="Arial" w:hAnsi="Arial"/>
                <w:sz w:val="26"/>
                <w:szCs w:val="26"/>
                <w:color w:val="auto"/>
                <w:vertAlign w:val="superscript"/>
              </w:rPr>
              <w:t>(5)</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30"/>
        </w:trPr>
        <w:tc>
          <w:tcPr>
            <w:tcW w:w="6580" w:type="dxa"/>
            <w:vAlign w:val="bottom"/>
            <w:shd w:val="clear" w:color="auto" w:fill="D7F5C4"/>
          </w:tcPr>
          <w:p>
            <w:pPr>
              <w:spacing w:after="0"/>
              <w:rPr>
                <w:sz w:val="20"/>
                <w:szCs w:val="20"/>
                <w:color w:val="auto"/>
              </w:rPr>
            </w:pPr>
            <w:r>
              <w:rPr>
                <w:rFonts w:ascii="Arial" w:cs="Arial" w:eastAsia="Arial" w:hAnsi="Arial"/>
                <w:sz w:val="18"/>
                <w:szCs w:val="18"/>
                <w:color w:val="auto"/>
              </w:rPr>
              <w:t>Liane K. Hinrichs</w:t>
            </w:r>
          </w:p>
        </w:tc>
        <w:tc>
          <w:tcPr>
            <w:tcW w:w="1520" w:type="dxa"/>
            <w:vAlign w:val="bottom"/>
            <w:shd w:val="clear" w:color="auto" w:fill="D7F5C4"/>
          </w:tcPr>
          <w:p>
            <w:pPr>
              <w:jc w:val="right"/>
              <w:ind w:right="101"/>
              <w:spacing w:after="0" w:line="230" w:lineRule="exact"/>
              <w:rPr>
                <w:sz w:val="20"/>
                <w:szCs w:val="20"/>
                <w:color w:val="auto"/>
              </w:rPr>
            </w:pPr>
            <w:r>
              <w:rPr>
                <w:rFonts w:ascii="Arial" w:cs="Arial" w:eastAsia="Arial" w:hAnsi="Arial"/>
                <w:sz w:val="16"/>
                <w:szCs w:val="16"/>
                <w:color w:val="auto"/>
              </w:rPr>
              <w:t>5,832</w:t>
            </w:r>
            <w:r>
              <w:rPr>
                <w:rFonts w:ascii="Arial" w:cs="Arial" w:eastAsia="Arial" w:hAnsi="Arial"/>
                <w:sz w:val="26"/>
                <w:szCs w:val="26"/>
                <w:color w:val="auto"/>
                <w:vertAlign w:val="superscript"/>
              </w:rPr>
              <w:t>(5)</w:t>
            </w:r>
          </w:p>
        </w:tc>
        <w:tc>
          <w:tcPr>
            <w:tcW w:w="1460" w:type="dxa"/>
            <w:vAlign w:val="bottom"/>
            <w:shd w:val="clear" w:color="auto" w:fill="D7F5C4"/>
          </w:tcPr>
          <w:p>
            <w:pPr>
              <w:jc w:val="right"/>
              <w:ind w:right="12"/>
              <w:spacing w:after="0"/>
              <w:rPr>
                <w:sz w:val="20"/>
                <w:szCs w:val="20"/>
                <w:color w:val="auto"/>
              </w:rPr>
            </w:pPr>
            <w:r>
              <w:rPr>
                <w:rFonts w:ascii="Arial" w:cs="Arial" w:eastAsia="Arial" w:hAnsi="Arial"/>
                <w:sz w:val="18"/>
                <w:szCs w:val="18"/>
                <w:color w:val="auto"/>
              </w:rPr>
              <w:t>*</w:t>
            </w: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John R. Hewitt</w:t>
            </w:r>
          </w:p>
        </w:tc>
        <w:tc>
          <w:tcPr>
            <w:tcW w:w="1520" w:type="dxa"/>
            <w:vAlign w:val="bottom"/>
          </w:tcPr>
          <w:p>
            <w:pPr>
              <w:jc w:val="right"/>
              <w:ind w:right="101"/>
              <w:spacing w:after="0" w:line="230" w:lineRule="exact"/>
              <w:rPr>
                <w:sz w:val="20"/>
                <w:szCs w:val="20"/>
                <w:color w:val="auto"/>
              </w:rPr>
            </w:pPr>
            <w:r>
              <w:rPr>
                <w:rFonts w:ascii="Arial" w:cs="Arial" w:eastAsia="Arial" w:hAnsi="Arial"/>
                <w:sz w:val="16"/>
                <w:szCs w:val="16"/>
                <w:color w:val="auto"/>
              </w:rPr>
              <w:t>188,235</w:t>
            </w:r>
            <w:r>
              <w:rPr>
                <w:rFonts w:ascii="Arial" w:cs="Arial" w:eastAsia="Arial" w:hAnsi="Arial"/>
                <w:sz w:val="26"/>
                <w:szCs w:val="26"/>
                <w:color w:val="auto"/>
                <w:vertAlign w:val="superscript"/>
              </w:rPr>
              <w:t>(5)</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30"/>
        </w:trPr>
        <w:tc>
          <w:tcPr>
            <w:tcW w:w="6580" w:type="dxa"/>
            <w:vAlign w:val="bottom"/>
            <w:shd w:val="clear" w:color="auto" w:fill="D7F5C4"/>
          </w:tcPr>
          <w:p>
            <w:pPr>
              <w:spacing w:after="0"/>
              <w:rPr>
                <w:sz w:val="20"/>
                <w:szCs w:val="20"/>
                <w:color w:val="auto"/>
              </w:rPr>
            </w:pPr>
            <w:r>
              <w:rPr>
                <w:rFonts w:ascii="Arial" w:cs="Arial" w:eastAsia="Arial" w:hAnsi="Arial"/>
                <w:sz w:val="18"/>
                <w:szCs w:val="18"/>
                <w:color w:val="auto"/>
              </w:rPr>
              <w:t>Joseph F. Montalbano</w:t>
            </w:r>
          </w:p>
        </w:tc>
        <w:tc>
          <w:tcPr>
            <w:tcW w:w="1520" w:type="dxa"/>
            <w:vAlign w:val="bottom"/>
            <w:shd w:val="clear" w:color="auto" w:fill="D7F5C4"/>
          </w:tcPr>
          <w:p>
            <w:pPr>
              <w:jc w:val="right"/>
              <w:ind w:right="101"/>
              <w:spacing w:after="0" w:line="230" w:lineRule="exact"/>
              <w:rPr>
                <w:sz w:val="20"/>
                <w:szCs w:val="20"/>
                <w:color w:val="auto"/>
              </w:rPr>
            </w:pPr>
            <w:r>
              <w:rPr>
                <w:rFonts w:ascii="Arial" w:cs="Arial" w:eastAsia="Arial" w:hAnsi="Arial"/>
                <w:sz w:val="16"/>
                <w:szCs w:val="16"/>
                <w:color w:val="auto"/>
              </w:rPr>
              <w:t>6,036</w:t>
            </w:r>
            <w:r>
              <w:rPr>
                <w:rFonts w:ascii="Arial" w:cs="Arial" w:eastAsia="Arial" w:hAnsi="Arial"/>
                <w:sz w:val="26"/>
                <w:szCs w:val="26"/>
                <w:color w:val="auto"/>
                <w:vertAlign w:val="superscript"/>
              </w:rPr>
              <w:t>(5)</w:t>
            </w:r>
          </w:p>
        </w:tc>
        <w:tc>
          <w:tcPr>
            <w:tcW w:w="1460" w:type="dxa"/>
            <w:vAlign w:val="bottom"/>
            <w:shd w:val="clear" w:color="auto" w:fill="D7F5C4"/>
          </w:tcPr>
          <w:p>
            <w:pPr>
              <w:jc w:val="right"/>
              <w:ind w:right="12"/>
              <w:spacing w:after="0"/>
              <w:rPr>
                <w:sz w:val="20"/>
                <w:szCs w:val="20"/>
                <w:color w:val="auto"/>
              </w:rPr>
            </w:pPr>
            <w:r>
              <w:rPr>
                <w:rFonts w:ascii="Arial" w:cs="Arial" w:eastAsia="Arial" w:hAnsi="Arial"/>
                <w:sz w:val="18"/>
                <w:szCs w:val="18"/>
                <w:color w:val="auto"/>
              </w:rPr>
              <w:t>*</w:t>
            </w: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Kevin S. Cavanah</w:t>
            </w:r>
          </w:p>
        </w:tc>
        <w:tc>
          <w:tcPr>
            <w:tcW w:w="1520" w:type="dxa"/>
            <w:vAlign w:val="bottom"/>
          </w:tcPr>
          <w:p>
            <w:pPr>
              <w:jc w:val="right"/>
              <w:ind w:right="101"/>
              <w:spacing w:after="0" w:line="230" w:lineRule="exact"/>
              <w:rPr>
                <w:sz w:val="20"/>
                <w:szCs w:val="20"/>
                <w:color w:val="auto"/>
              </w:rPr>
            </w:pPr>
            <w:r>
              <w:rPr>
                <w:rFonts w:ascii="Arial" w:cs="Arial" w:eastAsia="Arial" w:hAnsi="Arial"/>
                <w:sz w:val="16"/>
                <w:szCs w:val="16"/>
                <w:color w:val="auto"/>
              </w:rPr>
              <w:t>72,428</w:t>
            </w:r>
            <w:r>
              <w:rPr>
                <w:rFonts w:ascii="Arial" w:cs="Arial" w:eastAsia="Arial" w:hAnsi="Arial"/>
                <w:sz w:val="26"/>
                <w:szCs w:val="26"/>
                <w:color w:val="auto"/>
                <w:vertAlign w:val="superscript"/>
              </w:rPr>
              <w:t>(5)</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30"/>
        </w:trPr>
        <w:tc>
          <w:tcPr>
            <w:tcW w:w="6580" w:type="dxa"/>
            <w:vAlign w:val="bottom"/>
            <w:shd w:val="clear" w:color="auto" w:fill="D7F5C4"/>
          </w:tcPr>
          <w:p>
            <w:pPr>
              <w:spacing w:after="0"/>
              <w:rPr>
                <w:sz w:val="20"/>
                <w:szCs w:val="20"/>
                <w:color w:val="auto"/>
              </w:rPr>
            </w:pPr>
            <w:r>
              <w:rPr>
                <w:rFonts w:ascii="Arial" w:cs="Arial" w:eastAsia="Arial" w:hAnsi="Arial"/>
                <w:sz w:val="18"/>
                <w:szCs w:val="18"/>
                <w:color w:val="auto"/>
              </w:rPr>
              <w:t>Alan R. Updyke</w:t>
            </w:r>
          </w:p>
        </w:tc>
        <w:tc>
          <w:tcPr>
            <w:tcW w:w="1520" w:type="dxa"/>
            <w:vAlign w:val="bottom"/>
            <w:shd w:val="clear" w:color="auto" w:fill="D7F5C4"/>
          </w:tcPr>
          <w:p>
            <w:pPr>
              <w:jc w:val="right"/>
              <w:ind w:right="101"/>
              <w:spacing w:after="0" w:line="230" w:lineRule="exact"/>
              <w:rPr>
                <w:sz w:val="20"/>
                <w:szCs w:val="20"/>
                <w:color w:val="auto"/>
              </w:rPr>
            </w:pPr>
            <w:r>
              <w:rPr>
                <w:rFonts w:ascii="Arial" w:cs="Arial" w:eastAsia="Arial" w:hAnsi="Arial"/>
                <w:sz w:val="16"/>
                <w:szCs w:val="16"/>
                <w:color w:val="auto"/>
              </w:rPr>
              <w:t>28,548</w:t>
            </w:r>
            <w:r>
              <w:rPr>
                <w:rFonts w:ascii="Arial" w:cs="Arial" w:eastAsia="Arial" w:hAnsi="Arial"/>
                <w:sz w:val="26"/>
                <w:szCs w:val="26"/>
                <w:color w:val="auto"/>
                <w:vertAlign w:val="superscript"/>
              </w:rPr>
              <w:t>(5)</w:t>
            </w:r>
          </w:p>
        </w:tc>
        <w:tc>
          <w:tcPr>
            <w:tcW w:w="1460" w:type="dxa"/>
            <w:vAlign w:val="bottom"/>
            <w:shd w:val="clear" w:color="auto" w:fill="D7F5C4"/>
          </w:tcPr>
          <w:p>
            <w:pPr>
              <w:jc w:val="right"/>
              <w:ind w:right="12"/>
              <w:spacing w:after="0"/>
              <w:rPr>
                <w:sz w:val="20"/>
                <w:szCs w:val="20"/>
                <w:color w:val="auto"/>
              </w:rPr>
            </w:pPr>
            <w:r>
              <w:rPr>
                <w:rFonts w:ascii="Arial" w:cs="Arial" w:eastAsia="Arial" w:hAnsi="Arial"/>
                <w:sz w:val="18"/>
                <w:szCs w:val="18"/>
                <w:color w:val="auto"/>
              </w:rPr>
              <w:t>*</w:t>
            </w: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Jason W. Turner</w:t>
            </w:r>
          </w:p>
        </w:tc>
        <w:tc>
          <w:tcPr>
            <w:tcW w:w="1520" w:type="dxa"/>
            <w:vAlign w:val="bottom"/>
          </w:tcPr>
          <w:p>
            <w:pPr>
              <w:jc w:val="right"/>
              <w:ind w:right="101"/>
              <w:spacing w:after="0" w:line="230" w:lineRule="exact"/>
              <w:rPr>
                <w:sz w:val="20"/>
                <w:szCs w:val="20"/>
                <w:color w:val="auto"/>
              </w:rPr>
            </w:pPr>
            <w:r>
              <w:rPr>
                <w:rFonts w:ascii="Arial" w:cs="Arial" w:eastAsia="Arial" w:hAnsi="Arial"/>
                <w:sz w:val="16"/>
                <w:szCs w:val="16"/>
                <w:color w:val="auto"/>
              </w:rPr>
              <w:t>34,718</w:t>
            </w:r>
            <w:r>
              <w:rPr>
                <w:rFonts w:ascii="Arial" w:cs="Arial" w:eastAsia="Arial" w:hAnsi="Arial"/>
                <w:sz w:val="26"/>
                <w:szCs w:val="26"/>
                <w:color w:val="auto"/>
                <w:vertAlign w:val="superscript"/>
              </w:rPr>
              <w:t>(5)</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30"/>
        </w:trPr>
        <w:tc>
          <w:tcPr>
            <w:tcW w:w="6580" w:type="dxa"/>
            <w:vAlign w:val="bottom"/>
            <w:shd w:val="clear" w:color="auto" w:fill="D7F5C4"/>
          </w:tcPr>
          <w:p>
            <w:pPr>
              <w:spacing w:after="0"/>
              <w:rPr>
                <w:sz w:val="20"/>
                <w:szCs w:val="20"/>
                <w:color w:val="auto"/>
              </w:rPr>
            </w:pPr>
            <w:r>
              <w:rPr>
                <w:rFonts w:ascii="Arial" w:cs="Arial" w:eastAsia="Arial" w:hAnsi="Arial"/>
                <w:sz w:val="18"/>
                <w:szCs w:val="18"/>
                <w:color w:val="auto"/>
              </w:rPr>
              <w:t>All directors, director nominees and executive officers as a group (15 persons)</w:t>
            </w:r>
          </w:p>
        </w:tc>
        <w:tc>
          <w:tcPr>
            <w:tcW w:w="1520" w:type="dxa"/>
            <w:vAlign w:val="bottom"/>
            <w:shd w:val="clear" w:color="auto" w:fill="D7F5C4"/>
          </w:tcPr>
          <w:p>
            <w:pPr>
              <w:jc w:val="right"/>
              <w:ind w:right="101"/>
              <w:spacing w:after="0" w:line="230" w:lineRule="exact"/>
              <w:rPr>
                <w:sz w:val="20"/>
                <w:szCs w:val="20"/>
                <w:color w:val="auto"/>
              </w:rPr>
            </w:pPr>
            <w:r>
              <w:rPr>
                <w:rFonts w:ascii="Arial" w:cs="Arial" w:eastAsia="Arial" w:hAnsi="Arial"/>
                <w:sz w:val="16"/>
                <w:szCs w:val="16"/>
                <w:color w:val="auto"/>
              </w:rPr>
              <w:t>548,478</w:t>
            </w:r>
            <w:r>
              <w:rPr>
                <w:rFonts w:ascii="Arial" w:cs="Arial" w:eastAsia="Arial" w:hAnsi="Arial"/>
                <w:sz w:val="26"/>
                <w:szCs w:val="26"/>
                <w:color w:val="auto"/>
                <w:vertAlign w:val="superscript"/>
              </w:rPr>
              <w:t>(5)</w:t>
            </w:r>
          </w:p>
        </w:tc>
        <w:tc>
          <w:tcPr>
            <w:tcW w:w="1460" w:type="dxa"/>
            <w:vAlign w:val="bottom"/>
            <w:shd w:val="clear" w:color="auto" w:fill="D7F5C4"/>
          </w:tcPr>
          <w:p>
            <w:pPr>
              <w:jc w:val="right"/>
              <w:spacing w:after="0"/>
              <w:rPr>
                <w:sz w:val="20"/>
                <w:szCs w:val="20"/>
                <w:color w:val="auto"/>
              </w:rPr>
            </w:pPr>
            <w:r>
              <w:rPr>
                <w:rFonts w:ascii="Arial" w:cs="Arial" w:eastAsia="Arial" w:hAnsi="Arial"/>
                <w:sz w:val="18"/>
                <w:szCs w:val="18"/>
                <w:color w:val="auto"/>
              </w:rPr>
              <w:t>2.0%</w:t>
            </w:r>
          </w:p>
        </w:tc>
      </w:tr>
    </w:tbl>
    <w:p>
      <w:pPr>
        <w:spacing w:after="0" w:line="113" w:lineRule="exact"/>
        <w:rPr>
          <w:sz w:val="20"/>
          <w:szCs w:val="20"/>
          <w:color w:val="auto"/>
        </w:rPr>
      </w:pPr>
    </w:p>
    <w:p>
      <w:pPr>
        <w:ind w:left="347" w:hanging="347"/>
        <w:spacing w:after="0"/>
        <w:tabs>
          <w:tab w:leader="none" w:pos="347"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Indicates ownership of less than one percent of the outstanding shares of common stock.</w:t>
      </w:r>
    </w:p>
    <w:p>
      <w:pPr>
        <w:spacing w:after="0" w:line="109" w:lineRule="exact"/>
        <w:rPr>
          <w:sz w:val="20"/>
          <w:szCs w:val="20"/>
          <w:color w:val="auto"/>
        </w:rPr>
      </w:pPr>
    </w:p>
    <w:p>
      <w:pPr>
        <w:ind w:left="347" w:right="140" w:hanging="347"/>
        <w:spacing w:after="0" w:line="247" w:lineRule="auto"/>
        <w:tabs>
          <w:tab w:leader="none" w:pos="347" w:val="left"/>
        </w:tabs>
        <w:numPr>
          <w:ilvl w:val="0"/>
          <w:numId w:val="48"/>
        </w:numPr>
        <w:rPr>
          <w:rFonts w:ascii="Arial" w:cs="Arial" w:eastAsia="Arial" w:hAnsi="Arial"/>
          <w:sz w:val="14"/>
          <w:szCs w:val="14"/>
          <w:color w:val="auto"/>
        </w:rPr>
      </w:pPr>
      <w:r>
        <w:rPr>
          <w:rFonts w:ascii="Arial" w:cs="Arial" w:eastAsia="Arial" w:hAnsi="Arial"/>
          <w:sz w:val="14"/>
          <w:szCs w:val="14"/>
          <w:color w:val="auto"/>
        </w:rPr>
        <w:t>Shares of common stock which were not outstanding but which could be acquired by an executive officer upon vesting of a restricted stock unit or upon exercise of an option within 60 days of August 31, 2019 are deemed outstanding for the purpose of computing the percentage of outstanding shares beneficially owned by such person. Such shares, however, are not deemed to be outstanding for the purpose of computing the percentage of outstanding shares beneficially owned by any other person.</w:t>
      </w:r>
    </w:p>
    <w:p>
      <w:pPr>
        <w:spacing w:after="0" w:line="93" w:lineRule="exact"/>
        <w:rPr>
          <w:rFonts w:ascii="Arial" w:cs="Arial" w:eastAsia="Arial" w:hAnsi="Arial"/>
          <w:sz w:val="14"/>
          <w:szCs w:val="14"/>
          <w:color w:val="auto"/>
        </w:rPr>
      </w:pPr>
    </w:p>
    <w:p>
      <w:pPr>
        <w:ind w:left="347" w:right="280" w:hanging="347"/>
        <w:spacing w:after="0" w:line="250" w:lineRule="auto"/>
        <w:tabs>
          <w:tab w:leader="none" w:pos="347"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Information is as of December 31, 2018 and is based on the Schedule 13G/A dated January 29, 2019 filed by BlackRock, Inc. (“BlackRock”). BlackRock is a parent holding company or control person in accordance with Rule 13d-1(b)(1)(ii)(G). BlackRock has sole voting power over 4,082,347 shares and sole dispositive power over all of the shares shown.</w:t>
      </w:r>
    </w:p>
    <w:p>
      <w:pPr>
        <w:spacing w:after="0" w:line="91" w:lineRule="exact"/>
        <w:rPr>
          <w:rFonts w:ascii="Arial" w:cs="Arial" w:eastAsia="Arial" w:hAnsi="Arial"/>
          <w:sz w:val="14"/>
          <w:szCs w:val="14"/>
          <w:color w:val="auto"/>
        </w:rPr>
      </w:pPr>
    </w:p>
    <w:p>
      <w:pPr>
        <w:ind w:left="347" w:right="120" w:hanging="347"/>
        <w:spacing w:after="0" w:line="250" w:lineRule="auto"/>
        <w:tabs>
          <w:tab w:leader="none" w:pos="347"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Information is as of December 31, 2018 and is based on the Schedule 13G/A dated February 8, 2019 filed by Dimensional Fund Advisors LP (“Dimensional”). Dimensional is a registered investment adviser. Dimensional has sole voting power over 2,109,040 shares and sole dispositive power over all of the shares shown.</w:t>
      </w:r>
    </w:p>
    <w:p>
      <w:pPr>
        <w:spacing w:after="0" w:line="91" w:lineRule="exact"/>
        <w:rPr>
          <w:rFonts w:ascii="Arial" w:cs="Arial" w:eastAsia="Arial" w:hAnsi="Arial"/>
          <w:sz w:val="14"/>
          <w:szCs w:val="14"/>
          <w:color w:val="auto"/>
        </w:rPr>
      </w:pPr>
    </w:p>
    <w:p>
      <w:pPr>
        <w:ind w:left="347" w:right="340" w:hanging="347"/>
        <w:spacing w:after="0" w:line="250" w:lineRule="auto"/>
        <w:tabs>
          <w:tab w:leader="none" w:pos="347"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Information is as of December 31, 2018 and is based on the Schedule 13G/A dated February 11, 2019 filed by The Vanguard Group (“Vanguard”). Vanguard is a registered investment advisor. Vanguard has sole voting power over 27,403 shares, sole dispositive power over 1,616,767 shares, shared voting power over 1,294 shares and shared dispositive power over 24,861 shares.</w:t>
      </w:r>
    </w:p>
    <w:p>
      <w:pPr>
        <w:spacing w:after="0" w:line="91" w:lineRule="exact"/>
        <w:rPr>
          <w:rFonts w:ascii="Arial" w:cs="Arial" w:eastAsia="Arial" w:hAnsi="Arial"/>
          <w:sz w:val="14"/>
          <w:szCs w:val="14"/>
          <w:color w:val="auto"/>
        </w:rPr>
      </w:pPr>
    </w:p>
    <w:p>
      <w:pPr>
        <w:ind w:left="347" w:right="60" w:hanging="347"/>
        <w:spacing w:after="0" w:line="247" w:lineRule="auto"/>
        <w:tabs>
          <w:tab w:leader="none" w:pos="347"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Includes the following shares of common stock that are issuable upon the exercise of stock options that are currently exercisable or are exercisable within 60 days after August 31, 2019: Mr. Cavanah – 16,850 shares; 15 directors and executive officers as a group – 34,000 shares. Also includes the following shares of common stock that are issuable upon the vesting of RSUs within 60 days after August 31, 2019: 15 directors and executive officers as a group - 26,412 shares, which vest on October 30, 2019 and are all for directors.</w:t>
      </w:r>
    </w:p>
    <w:p>
      <w:pPr>
        <w:spacing w:after="0" w:line="196"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6071870" cy="431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61DA16"/>
        </w:rPr>
        <w:t>Equity Ownership Guidelines</w:t>
      </w:r>
    </w:p>
    <w:p>
      <w:pPr>
        <w:spacing w:after="0" w:line="126"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The Board believes that our executive officers should demonstrate their commitment to and belief in the Company’s long-term profitability. Accordingly, each executive officer is expected to maintain a significant investment in the Company through the ownership of Company stock. Stock ownership more closely aligns our executive officers’ interests and actions with the interests of the Company’s stockholders.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Our Equity Ownership Guidelines, which were most recently reviewed and reaffirmed in February 2019, are as follows:</w:t>
      </w:r>
    </w:p>
    <w:p>
      <w:pPr>
        <w:spacing w:after="0" w:line="117" w:lineRule="exact"/>
        <w:rPr>
          <w:sz w:val="20"/>
          <w:szCs w:val="20"/>
          <w:color w:val="auto"/>
        </w:rPr>
      </w:pPr>
    </w:p>
    <w:p>
      <w:pPr>
        <w:jc w:val="both"/>
        <w:ind w:left="700" w:right="180" w:hanging="356"/>
        <w:spacing w:after="0" w:line="275" w:lineRule="auto"/>
        <w:tabs>
          <w:tab w:leader="none" w:pos="7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Amount of Ownership – Defined as a multiple of the individual’s base salary as noted below. These multiples represent the minimum amount of Company stock an executive officer should seek to acquire and maintain:</w:t>
      </w:r>
    </w:p>
    <w:p>
      <w:pPr>
        <w:spacing w:after="0" w:line="12"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6380" w:type="dxa"/>
            <w:vAlign w:val="bottom"/>
            <w:shd w:val="clear" w:color="auto" w:fill="D7F5C4"/>
          </w:tcPr>
          <w:p>
            <w:pPr>
              <w:spacing w:after="0"/>
              <w:rPr>
                <w:sz w:val="20"/>
                <w:szCs w:val="20"/>
                <w:color w:val="auto"/>
              </w:rPr>
            </w:pPr>
            <w:r>
              <w:rPr>
                <w:rFonts w:ascii="Arial" w:cs="Arial" w:eastAsia="Arial" w:hAnsi="Arial"/>
                <w:sz w:val="18"/>
                <w:szCs w:val="18"/>
                <w:color w:val="auto"/>
              </w:rPr>
              <w:t>President/CEO</w:t>
            </w:r>
          </w:p>
        </w:tc>
        <w:tc>
          <w:tcPr>
            <w:tcW w:w="2020" w:type="dxa"/>
            <w:vAlign w:val="bottom"/>
            <w:shd w:val="clear" w:color="auto" w:fill="D7F5C4"/>
          </w:tcPr>
          <w:p>
            <w:pPr>
              <w:ind w:left="220"/>
              <w:spacing w:after="0"/>
              <w:rPr>
                <w:sz w:val="20"/>
                <w:szCs w:val="20"/>
                <w:color w:val="auto"/>
              </w:rPr>
            </w:pPr>
            <w:r>
              <w:rPr>
                <w:rFonts w:ascii="Arial" w:cs="Arial" w:eastAsia="Arial" w:hAnsi="Arial"/>
                <w:sz w:val="18"/>
                <w:szCs w:val="18"/>
                <w:color w:val="auto"/>
              </w:rPr>
              <w:t>5 times base salary</w:t>
            </w:r>
          </w:p>
        </w:tc>
      </w:tr>
      <w:tr>
        <w:trPr>
          <w:trHeight w:val="215"/>
        </w:trPr>
        <w:tc>
          <w:tcPr>
            <w:tcW w:w="6380" w:type="dxa"/>
            <w:vAlign w:val="bottom"/>
          </w:tcPr>
          <w:p>
            <w:pPr>
              <w:spacing w:after="0"/>
              <w:rPr>
                <w:sz w:val="20"/>
                <w:szCs w:val="20"/>
                <w:color w:val="auto"/>
              </w:rPr>
            </w:pPr>
            <w:r>
              <w:rPr>
                <w:rFonts w:ascii="Arial" w:cs="Arial" w:eastAsia="Arial" w:hAnsi="Arial"/>
                <w:sz w:val="18"/>
                <w:szCs w:val="18"/>
                <w:color w:val="auto"/>
              </w:rPr>
              <w:t>CFO/COO/President of Operations/Presidents of the three principal operating</w:t>
            </w:r>
          </w:p>
        </w:tc>
        <w:tc>
          <w:tcPr>
            <w:tcW w:w="2020" w:type="dxa"/>
            <w:vAlign w:val="bottom"/>
          </w:tcPr>
          <w:p>
            <w:pPr>
              <w:spacing w:after="0"/>
              <w:rPr>
                <w:sz w:val="18"/>
                <w:szCs w:val="18"/>
                <w:color w:val="auto"/>
              </w:rPr>
            </w:pPr>
          </w:p>
        </w:tc>
      </w:tr>
      <w:tr>
        <w:trPr>
          <w:trHeight w:val="217"/>
        </w:trPr>
        <w:tc>
          <w:tcPr>
            <w:tcW w:w="6380" w:type="dxa"/>
            <w:vAlign w:val="bottom"/>
          </w:tcPr>
          <w:p>
            <w:pPr>
              <w:ind w:left="180"/>
              <w:spacing w:after="0"/>
              <w:rPr>
                <w:sz w:val="20"/>
                <w:szCs w:val="20"/>
                <w:color w:val="auto"/>
              </w:rPr>
            </w:pPr>
            <w:r>
              <w:rPr>
                <w:rFonts w:ascii="Arial" w:cs="Arial" w:eastAsia="Arial" w:hAnsi="Arial"/>
                <w:sz w:val="18"/>
                <w:szCs w:val="18"/>
                <w:color w:val="auto"/>
              </w:rPr>
              <w:t>subsidiaries</w:t>
            </w:r>
          </w:p>
        </w:tc>
        <w:tc>
          <w:tcPr>
            <w:tcW w:w="2020" w:type="dxa"/>
            <w:vAlign w:val="bottom"/>
          </w:tcPr>
          <w:p>
            <w:pPr>
              <w:ind w:left="220"/>
              <w:spacing w:after="0"/>
              <w:rPr>
                <w:sz w:val="20"/>
                <w:szCs w:val="20"/>
                <w:color w:val="auto"/>
              </w:rPr>
            </w:pPr>
            <w:r>
              <w:rPr>
                <w:rFonts w:ascii="Arial" w:cs="Arial" w:eastAsia="Arial" w:hAnsi="Arial"/>
                <w:sz w:val="18"/>
                <w:szCs w:val="18"/>
                <w:color w:val="auto"/>
              </w:rPr>
              <w:t>3 times base salary</w:t>
            </w:r>
          </w:p>
        </w:tc>
      </w:tr>
      <w:tr>
        <w:trPr>
          <w:trHeight w:val="230"/>
        </w:trPr>
        <w:tc>
          <w:tcPr>
            <w:tcW w:w="6380" w:type="dxa"/>
            <w:vAlign w:val="bottom"/>
            <w:shd w:val="clear" w:color="auto" w:fill="D7F5C4"/>
          </w:tcPr>
          <w:p>
            <w:pPr>
              <w:spacing w:after="0"/>
              <w:rPr>
                <w:sz w:val="20"/>
                <w:szCs w:val="20"/>
                <w:color w:val="auto"/>
              </w:rPr>
            </w:pPr>
            <w:r>
              <w:rPr>
                <w:rFonts w:ascii="Arial" w:cs="Arial" w:eastAsia="Arial" w:hAnsi="Arial"/>
                <w:sz w:val="18"/>
                <w:szCs w:val="18"/>
                <w:color w:val="auto"/>
              </w:rPr>
              <w:t>All other executive officers</w:t>
            </w:r>
          </w:p>
        </w:tc>
        <w:tc>
          <w:tcPr>
            <w:tcW w:w="2020" w:type="dxa"/>
            <w:vAlign w:val="bottom"/>
            <w:shd w:val="clear" w:color="auto" w:fill="D7F5C4"/>
          </w:tcPr>
          <w:p>
            <w:pPr>
              <w:ind w:left="220"/>
              <w:spacing w:after="0"/>
              <w:rPr>
                <w:sz w:val="20"/>
                <w:szCs w:val="20"/>
                <w:color w:val="auto"/>
              </w:rPr>
            </w:pPr>
            <w:r>
              <w:rPr>
                <w:rFonts w:ascii="Arial" w:cs="Arial" w:eastAsia="Arial" w:hAnsi="Arial"/>
                <w:sz w:val="18"/>
                <w:szCs w:val="18"/>
                <w:color w:val="auto"/>
              </w:rPr>
              <w:t>1 times base salary</w:t>
            </w:r>
          </w:p>
        </w:tc>
      </w:tr>
    </w:tbl>
    <w:p>
      <w:pPr>
        <w:spacing w:after="0" w:line="107" w:lineRule="exact"/>
        <w:rPr>
          <w:sz w:val="20"/>
          <w:szCs w:val="20"/>
          <w:color w:val="auto"/>
        </w:rPr>
      </w:pPr>
    </w:p>
    <w:p>
      <w:pPr>
        <w:ind w:left="700" w:hanging="356"/>
        <w:spacing w:after="0" w:line="239" w:lineRule="auto"/>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Timing: The executive officers have until five years after the date of their appointment as an executive officer to acquire the ownership levels discussed above. Thereafter, they are expected to retain this level of ownership during their tenure with the Company. Compliance will be evaluated on an annual basis as of June 30 of each year.</w:t>
      </w:r>
    </w:p>
    <w:p>
      <w:pPr>
        <w:spacing w:after="0" w:line="93" w:lineRule="exact"/>
        <w:rPr>
          <w:rFonts w:ascii="Arial" w:cs="Arial" w:eastAsia="Arial" w:hAnsi="Arial"/>
          <w:sz w:val="18"/>
          <w:szCs w:val="18"/>
          <w:color w:val="auto"/>
        </w:rPr>
      </w:pPr>
    </w:p>
    <w:p>
      <w:pPr>
        <w:ind w:left="700" w:hanging="356"/>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Eligible Forms of Equity:</w:t>
      </w:r>
    </w:p>
    <w:p>
      <w:pPr>
        <w:spacing w:after="0" w:line="103" w:lineRule="exact"/>
        <w:rPr>
          <w:rFonts w:ascii="Arial" w:cs="Arial" w:eastAsia="Arial" w:hAnsi="Arial"/>
          <w:sz w:val="18"/>
          <w:szCs w:val="18"/>
          <w:color w:val="auto"/>
        </w:rPr>
      </w:pPr>
    </w:p>
    <w:p>
      <w:pPr>
        <w:ind w:left="1060" w:right="160" w:hanging="351"/>
        <w:spacing w:after="0" w:line="246" w:lineRule="auto"/>
        <w:tabs>
          <w:tab w:leader="none" w:pos="10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shares owned separately by the executive officer or owned either jointly with, or separately by, his or her immediate family members residing in the same household;</w:t>
      </w:r>
    </w:p>
    <w:p>
      <w:pPr>
        <w:spacing w:after="0" w:line="88" w:lineRule="exact"/>
        <w:rPr>
          <w:rFonts w:ascii="Arial" w:cs="Arial" w:eastAsia="Arial" w:hAnsi="Arial"/>
          <w:sz w:val="18"/>
          <w:szCs w:val="18"/>
          <w:color w:val="auto"/>
        </w:rPr>
      </w:pPr>
    </w:p>
    <w:p>
      <w:pPr>
        <w:ind w:left="1060" w:hanging="351"/>
        <w:spacing w:after="0"/>
        <w:tabs>
          <w:tab w:leader="none" w:pos="10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shares held in trust for the benefit of the executive officer or immediate family members;</w:t>
      </w:r>
    </w:p>
    <w:p>
      <w:pPr>
        <w:spacing w:after="0" w:line="103" w:lineRule="exact"/>
        <w:rPr>
          <w:rFonts w:ascii="Arial" w:cs="Arial" w:eastAsia="Arial" w:hAnsi="Arial"/>
          <w:sz w:val="18"/>
          <w:szCs w:val="18"/>
          <w:color w:val="auto"/>
        </w:rPr>
      </w:pPr>
    </w:p>
    <w:p>
      <w:pPr>
        <w:ind w:left="1060" w:hanging="351"/>
        <w:spacing w:after="0"/>
        <w:tabs>
          <w:tab w:leader="none" w:pos="10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shares purchased in the open market;</w:t>
      </w:r>
    </w:p>
    <w:p>
      <w:pPr>
        <w:spacing w:after="0" w:line="103" w:lineRule="exact"/>
        <w:rPr>
          <w:rFonts w:ascii="Arial" w:cs="Arial" w:eastAsia="Arial" w:hAnsi="Arial"/>
          <w:sz w:val="18"/>
          <w:szCs w:val="18"/>
          <w:color w:val="auto"/>
        </w:rPr>
      </w:pPr>
    </w:p>
    <w:p>
      <w:pPr>
        <w:ind w:left="1060" w:hanging="351"/>
        <w:spacing w:after="0"/>
        <w:tabs>
          <w:tab w:leader="none" w:pos="10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shares purchased through the Company’s Employee Stock Purchase Plan;</w:t>
      </w:r>
    </w:p>
    <w:p>
      <w:pPr>
        <w:spacing w:after="0" w:line="103" w:lineRule="exact"/>
        <w:rPr>
          <w:rFonts w:ascii="Arial" w:cs="Arial" w:eastAsia="Arial" w:hAnsi="Arial"/>
          <w:sz w:val="18"/>
          <w:szCs w:val="18"/>
          <w:color w:val="auto"/>
        </w:rPr>
      </w:pPr>
    </w:p>
    <w:p>
      <w:pPr>
        <w:ind w:left="1060" w:hanging="351"/>
        <w:spacing w:after="0"/>
        <w:tabs>
          <w:tab w:leader="none" w:pos="10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vested and unvested time-based restricted stock or RSUs;</w:t>
      </w:r>
    </w:p>
    <w:p>
      <w:pPr>
        <w:spacing w:after="0" w:line="103" w:lineRule="exact"/>
        <w:rPr>
          <w:rFonts w:ascii="Arial" w:cs="Arial" w:eastAsia="Arial" w:hAnsi="Arial"/>
          <w:sz w:val="18"/>
          <w:szCs w:val="18"/>
          <w:color w:val="auto"/>
        </w:rPr>
      </w:pPr>
    </w:p>
    <w:p>
      <w:pPr>
        <w:ind w:left="1060" w:right="40" w:hanging="351"/>
        <w:spacing w:after="0"/>
        <w:tabs>
          <w:tab w:leader="none" w:pos="10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unvested performance or market based performance units, restricted stock or RSUs but only to the extent that the Company recognizes compensation expense with respect to such performance units, restricted stock or RSUs; and</w:t>
      </w:r>
    </w:p>
    <w:p>
      <w:pPr>
        <w:spacing w:after="0" w:line="94" w:lineRule="exact"/>
        <w:rPr>
          <w:rFonts w:ascii="Arial" w:cs="Arial" w:eastAsia="Arial" w:hAnsi="Arial"/>
          <w:sz w:val="18"/>
          <w:szCs w:val="18"/>
          <w:color w:val="auto"/>
        </w:rPr>
      </w:pPr>
    </w:p>
    <w:p>
      <w:pPr>
        <w:ind w:left="1060" w:hanging="351"/>
        <w:spacing w:after="0"/>
        <w:tabs>
          <w:tab w:leader="none" w:pos="10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in-the-money value of vested and unexercised stock options.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All of our executive officers have met the equity ownership guidelines as of June 30, 2019.</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6071870" cy="431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54" w:name="page55"/>
    <w:bookmarkEnd w:id="54"/>
    <w:p>
      <w:pPr>
        <w:ind w:left="7"/>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63"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61DA16"/>
        </w:rPr>
        <w:t>SECURITIES AUTHORIZED FOR ISSUANCE UNDER EQUITY COMPENSATION PLANS</w:t>
      </w:r>
    </w:p>
    <w:p>
      <w:pPr>
        <w:spacing w:after="0" w:line="126" w:lineRule="exact"/>
        <w:rPr>
          <w:sz w:val="20"/>
          <w:szCs w:val="20"/>
          <w:color w:val="auto"/>
        </w:rPr>
      </w:pPr>
    </w:p>
    <w:p>
      <w:pPr>
        <w:ind w:left="7" w:right="700"/>
        <w:spacing w:after="0" w:line="262" w:lineRule="auto"/>
        <w:rPr>
          <w:sz w:val="20"/>
          <w:szCs w:val="20"/>
          <w:color w:val="auto"/>
        </w:rPr>
      </w:pPr>
      <w:r>
        <w:rPr>
          <w:rFonts w:ascii="Arial" w:cs="Arial" w:eastAsia="Arial" w:hAnsi="Arial"/>
          <w:sz w:val="18"/>
          <w:szCs w:val="18"/>
          <w:color w:val="auto"/>
        </w:rPr>
        <w:t>The following table provides information concerning the Company’s common stock that may be issued upon the exercise of options, warrants and rights under our existing equity compensation plans as of June 30, 2019.</w:t>
      </w:r>
    </w:p>
    <w:p>
      <w:pPr>
        <w:spacing w:after="0" w:line="35"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44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62"/>
        </w:trPr>
        <w:tc>
          <w:tcPr>
            <w:tcW w:w="44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62"/>
        </w:trPr>
        <w:tc>
          <w:tcPr>
            <w:tcW w:w="44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to be issued</w:t>
            </w:r>
          </w:p>
        </w:tc>
        <w:tc>
          <w:tcPr>
            <w:tcW w:w="180" w:type="dxa"/>
            <w:vAlign w:val="bottom"/>
          </w:tcPr>
          <w:p>
            <w:pPr>
              <w:spacing w:after="0"/>
              <w:rPr>
                <w:sz w:val="14"/>
                <w:szCs w:val="14"/>
                <w:color w:val="auto"/>
              </w:rPr>
            </w:pPr>
          </w:p>
        </w:tc>
        <w:tc>
          <w:tcPr>
            <w:tcW w:w="1520" w:type="dxa"/>
            <w:vAlign w:val="bottom"/>
          </w:tcPr>
          <w:p>
            <w:pPr>
              <w:jc w:val="center"/>
              <w:ind w:right="162"/>
              <w:spacing w:after="0"/>
              <w:rPr>
                <w:sz w:val="20"/>
                <w:szCs w:val="20"/>
                <w:color w:val="auto"/>
              </w:rPr>
            </w:pPr>
            <w:r>
              <w:rPr>
                <w:rFonts w:ascii="Arial" w:cs="Arial" w:eastAsia="Arial" w:hAnsi="Arial"/>
                <w:sz w:val="14"/>
                <w:szCs w:val="14"/>
                <w:b w:val="1"/>
                <w:bCs w:val="1"/>
                <w:color w:val="auto"/>
              </w:rPr>
              <w:t>Weighted-average</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w:t>
            </w:r>
          </w:p>
        </w:tc>
      </w:tr>
      <w:tr>
        <w:trPr>
          <w:trHeight w:val="162"/>
        </w:trPr>
        <w:tc>
          <w:tcPr>
            <w:tcW w:w="44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upon exercise</w:t>
            </w:r>
          </w:p>
        </w:tc>
        <w:tc>
          <w:tcPr>
            <w:tcW w:w="180" w:type="dxa"/>
            <w:vAlign w:val="bottom"/>
          </w:tcPr>
          <w:p>
            <w:pPr>
              <w:spacing w:after="0"/>
              <w:rPr>
                <w:sz w:val="14"/>
                <w:szCs w:val="14"/>
                <w:color w:val="auto"/>
              </w:rPr>
            </w:pPr>
          </w:p>
        </w:tc>
        <w:tc>
          <w:tcPr>
            <w:tcW w:w="1520" w:type="dxa"/>
            <w:vAlign w:val="bottom"/>
          </w:tcPr>
          <w:p>
            <w:pPr>
              <w:jc w:val="center"/>
              <w:ind w:right="162"/>
              <w:spacing w:after="0"/>
              <w:rPr>
                <w:sz w:val="20"/>
                <w:szCs w:val="20"/>
                <w:color w:val="auto"/>
              </w:rPr>
            </w:pPr>
            <w:r>
              <w:rPr>
                <w:rFonts w:ascii="Arial" w:cs="Arial" w:eastAsia="Arial" w:hAnsi="Arial"/>
                <w:sz w:val="14"/>
                <w:szCs w:val="14"/>
                <w:b w:val="1"/>
                <w:bCs w:val="1"/>
                <w:color w:val="auto"/>
              </w:rPr>
              <w:t>exercise price</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remaining available for</w:t>
            </w:r>
          </w:p>
        </w:tc>
      </w:tr>
      <w:tr>
        <w:trPr>
          <w:trHeight w:val="162"/>
        </w:trPr>
        <w:tc>
          <w:tcPr>
            <w:tcW w:w="44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of outstanding</w:t>
            </w:r>
          </w:p>
        </w:tc>
        <w:tc>
          <w:tcPr>
            <w:tcW w:w="180" w:type="dxa"/>
            <w:vAlign w:val="bottom"/>
          </w:tcPr>
          <w:p>
            <w:pPr>
              <w:spacing w:after="0"/>
              <w:rPr>
                <w:sz w:val="14"/>
                <w:szCs w:val="14"/>
                <w:color w:val="auto"/>
              </w:rPr>
            </w:pPr>
          </w:p>
        </w:tc>
        <w:tc>
          <w:tcPr>
            <w:tcW w:w="1520" w:type="dxa"/>
            <w:vAlign w:val="bottom"/>
          </w:tcPr>
          <w:p>
            <w:pPr>
              <w:jc w:val="center"/>
              <w:ind w:right="162"/>
              <w:spacing w:after="0"/>
              <w:rPr>
                <w:sz w:val="20"/>
                <w:szCs w:val="20"/>
                <w:color w:val="auto"/>
              </w:rPr>
            </w:pPr>
            <w:r>
              <w:rPr>
                <w:rFonts w:ascii="Arial" w:cs="Arial" w:eastAsia="Arial" w:hAnsi="Arial"/>
                <w:sz w:val="14"/>
                <w:szCs w:val="14"/>
                <w:b w:val="1"/>
                <w:bCs w:val="1"/>
                <w:color w:val="auto"/>
              </w:rPr>
              <w:t>of outstanding</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future issuance under</w:t>
            </w:r>
          </w:p>
        </w:tc>
      </w:tr>
      <w:tr>
        <w:trPr>
          <w:trHeight w:val="148"/>
        </w:trPr>
        <w:tc>
          <w:tcPr>
            <w:tcW w:w="440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options, warrants</w:t>
            </w:r>
          </w:p>
        </w:tc>
        <w:tc>
          <w:tcPr>
            <w:tcW w:w="180" w:type="dxa"/>
            <w:vAlign w:val="bottom"/>
          </w:tcPr>
          <w:p>
            <w:pPr>
              <w:spacing w:after="0"/>
              <w:rPr>
                <w:sz w:val="12"/>
                <w:szCs w:val="12"/>
                <w:color w:val="auto"/>
              </w:rPr>
            </w:pPr>
          </w:p>
        </w:tc>
        <w:tc>
          <w:tcPr>
            <w:tcW w:w="152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rPr>
              <w:t>options, warrants</w:t>
            </w: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equity compensation</w:t>
            </w:r>
          </w:p>
        </w:tc>
      </w:tr>
      <w:tr>
        <w:trPr>
          <w:trHeight w:val="203"/>
        </w:trPr>
        <w:tc>
          <w:tcPr>
            <w:tcW w:w="4400" w:type="dxa"/>
            <w:vAlign w:val="bottom"/>
          </w:tcPr>
          <w:p>
            <w:pPr>
              <w:spacing w:after="0"/>
              <w:rPr>
                <w:sz w:val="20"/>
                <w:szCs w:val="20"/>
                <w:color w:val="auto"/>
              </w:rPr>
            </w:pPr>
            <w:r>
              <w:rPr>
                <w:rFonts w:ascii="Arial" w:cs="Arial" w:eastAsia="Arial" w:hAnsi="Arial"/>
                <w:sz w:val="14"/>
                <w:szCs w:val="14"/>
                <w:b w:val="1"/>
                <w:bCs w:val="1"/>
                <w:color w:val="auto"/>
              </w:rPr>
              <w:t>Plan Category</w:t>
            </w:r>
          </w:p>
        </w:tc>
        <w:tc>
          <w:tcPr>
            <w:tcW w:w="1540" w:type="dxa"/>
            <w:vAlign w:val="bottom"/>
          </w:tcPr>
          <w:p>
            <w:pPr>
              <w:jc w:val="center"/>
              <w:spacing w:after="0" w:line="202" w:lineRule="exact"/>
              <w:rPr>
                <w:sz w:val="20"/>
                <w:szCs w:val="20"/>
                <w:color w:val="auto"/>
              </w:rPr>
            </w:pPr>
            <w:r>
              <w:rPr>
                <w:rFonts w:ascii="Arial" w:cs="Arial" w:eastAsia="Arial" w:hAnsi="Arial"/>
                <w:sz w:val="14"/>
                <w:szCs w:val="14"/>
                <w:b w:val="1"/>
                <w:bCs w:val="1"/>
                <w:color w:val="auto"/>
                <w:w w:val="97"/>
              </w:rPr>
              <w:t>and rights</w:t>
            </w:r>
            <w:r>
              <w:rPr>
                <w:rFonts w:ascii="Arial" w:cs="Arial" w:eastAsia="Arial" w:hAnsi="Arial"/>
                <w:sz w:val="23"/>
                <w:szCs w:val="23"/>
                <w:b w:val="1"/>
                <w:bCs w:val="1"/>
                <w:color w:val="auto"/>
                <w:w w:val="97"/>
                <w:vertAlign w:val="superscript"/>
              </w:rPr>
              <w:t>(1)</w:t>
            </w:r>
          </w:p>
        </w:tc>
        <w:tc>
          <w:tcPr>
            <w:tcW w:w="180" w:type="dxa"/>
            <w:vAlign w:val="bottom"/>
          </w:tcPr>
          <w:p>
            <w:pPr>
              <w:spacing w:after="0"/>
              <w:rPr>
                <w:sz w:val="17"/>
                <w:szCs w:val="17"/>
                <w:color w:val="auto"/>
              </w:rPr>
            </w:pPr>
          </w:p>
        </w:tc>
        <w:tc>
          <w:tcPr>
            <w:tcW w:w="1520" w:type="dxa"/>
            <w:vAlign w:val="bottom"/>
          </w:tcPr>
          <w:p>
            <w:pPr>
              <w:jc w:val="center"/>
              <w:ind w:right="162"/>
              <w:spacing w:after="0" w:line="202" w:lineRule="exact"/>
              <w:rPr>
                <w:sz w:val="20"/>
                <w:szCs w:val="20"/>
                <w:color w:val="auto"/>
              </w:rPr>
            </w:pPr>
            <w:r>
              <w:rPr>
                <w:rFonts w:ascii="Arial" w:cs="Arial" w:eastAsia="Arial" w:hAnsi="Arial"/>
                <w:sz w:val="14"/>
                <w:szCs w:val="14"/>
                <w:b w:val="1"/>
                <w:bCs w:val="1"/>
                <w:color w:val="auto"/>
                <w:w w:val="97"/>
              </w:rPr>
              <w:t>and rights</w:t>
            </w:r>
            <w:r>
              <w:rPr>
                <w:rFonts w:ascii="Arial" w:cs="Arial" w:eastAsia="Arial" w:hAnsi="Arial"/>
                <w:sz w:val="23"/>
                <w:szCs w:val="23"/>
                <w:b w:val="1"/>
                <w:bCs w:val="1"/>
                <w:color w:val="auto"/>
                <w:w w:val="97"/>
                <w:vertAlign w:val="superscript"/>
              </w:rPr>
              <w:t>(2)</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plans</w:t>
            </w:r>
          </w:p>
        </w:tc>
      </w:tr>
      <w:tr>
        <w:trPr>
          <w:trHeight w:val="230"/>
        </w:trPr>
        <w:tc>
          <w:tcPr>
            <w:tcW w:w="4400" w:type="dxa"/>
            <w:vAlign w:val="bottom"/>
            <w:shd w:val="clear" w:color="auto" w:fill="D7F5C4"/>
          </w:tcPr>
          <w:p>
            <w:pPr>
              <w:spacing w:after="0"/>
              <w:rPr>
                <w:sz w:val="20"/>
                <w:szCs w:val="20"/>
                <w:color w:val="auto"/>
              </w:rPr>
            </w:pPr>
            <w:r>
              <w:rPr>
                <w:rFonts w:ascii="Arial" w:cs="Arial" w:eastAsia="Arial" w:hAnsi="Arial"/>
                <w:sz w:val="18"/>
                <w:szCs w:val="18"/>
                <w:color w:val="auto"/>
              </w:rPr>
              <w:t>Equity compensation plans approved by stockholders</w:t>
            </w:r>
          </w:p>
        </w:tc>
        <w:tc>
          <w:tcPr>
            <w:tcW w:w="1540" w:type="dxa"/>
            <w:vAlign w:val="bottom"/>
            <w:shd w:val="clear" w:color="auto" w:fill="D7F5C4"/>
          </w:tcPr>
          <w:p>
            <w:pPr>
              <w:jc w:val="right"/>
              <w:ind w:right="23"/>
              <w:spacing w:after="0"/>
              <w:rPr>
                <w:sz w:val="20"/>
                <w:szCs w:val="20"/>
                <w:color w:val="auto"/>
              </w:rPr>
            </w:pPr>
            <w:r>
              <w:rPr>
                <w:rFonts w:ascii="Arial" w:cs="Arial" w:eastAsia="Arial" w:hAnsi="Arial"/>
                <w:sz w:val="18"/>
                <w:szCs w:val="18"/>
                <w:color w:val="auto"/>
              </w:rPr>
              <w:t>1,513,211</w:t>
            </w:r>
          </w:p>
        </w:tc>
        <w:tc>
          <w:tcPr>
            <w:tcW w:w="180" w:type="dxa"/>
            <w:vAlign w:val="bottom"/>
            <w:shd w:val="clear" w:color="auto" w:fill="D7F5C4"/>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D7F5C4"/>
          </w:tcPr>
          <w:p>
            <w:pPr>
              <w:jc w:val="right"/>
              <w:ind w:right="82"/>
              <w:spacing w:after="0"/>
              <w:rPr>
                <w:sz w:val="20"/>
                <w:szCs w:val="20"/>
                <w:color w:val="auto"/>
              </w:rPr>
            </w:pPr>
            <w:r>
              <w:rPr>
                <w:rFonts w:ascii="Arial" w:cs="Arial" w:eastAsia="Arial" w:hAnsi="Arial"/>
                <w:sz w:val="18"/>
                <w:szCs w:val="18"/>
                <w:color w:val="auto"/>
              </w:rPr>
              <w:t>10.19</w:t>
            </w:r>
          </w:p>
        </w:tc>
        <w:tc>
          <w:tcPr>
            <w:tcW w:w="1920" w:type="dxa"/>
            <w:vAlign w:val="bottom"/>
            <w:shd w:val="clear" w:color="auto" w:fill="D7F5C4"/>
          </w:tcPr>
          <w:p>
            <w:pPr>
              <w:jc w:val="right"/>
              <w:ind w:right="182"/>
              <w:spacing w:after="0"/>
              <w:rPr>
                <w:sz w:val="20"/>
                <w:szCs w:val="20"/>
                <w:color w:val="auto"/>
              </w:rPr>
            </w:pPr>
            <w:r>
              <w:rPr>
                <w:rFonts w:ascii="Arial" w:cs="Arial" w:eastAsia="Arial" w:hAnsi="Arial"/>
                <w:sz w:val="18"/>
                <w:szCs w:val="18"/>
                <w:color w:val="auto"/>
              </w:rPr>
              <w:t>1,629,134</w:t>
            </w:r>
          </w:p>
        </w:tc>
      </w:tr>
      <w:tr>
        <w:trPr>
          <w:trHeight w:val="215"/>
        </w:trPr>
        <w:tc>
          <w:tcPr>
            <w:tcW w:w="4400" w:type="dxa"/>
            <w:vAlign w:val="bottom"/>
          </w:tcPr>
          <w:p>
            <w:pPr>
              <w:spacing w:after="0"/>
              <w:rPr>
                <w:sz w:val="20"/>
                <w:szCs w:val="20"/>
                <w:color w:val="auto"/>
              </w:rPr>
            </w:pPr>
            <w:r>
              <w:rPr>
                <w:rFonts w:ascii="Arial" w:cs="Arial" w:eastAsia="Arial" w:hAnsi="Arial"/>
                <w:sz w:val="18"/>
                <w:szCs w:val="18"/>
                <w:color w:val="auto"/>
              </w:rPr>
              <w:t>Equity compensation plans not approved by</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7"/>
        </w:trPr>
        <w:tc>
          <w:tcPr>
            <w:tcW w:w="4400" w:type="dxa"/>
            <w:vAlign w:val="bottom"/>
          </w:tcPr>
          <w:p>
            <w:pPr>
              <w:ind w:left="180"/>
              <w:spacing w:after="0"/>
              <w:rPr>
                <w:sz w:val="20"/>
                <w:szCs w:val="20"/>
                <w:color w:val="auto"/>
              </w:rPr>
            </w:pPr>
            <w:r>
              <w:rPr>
                <w:rFonts w:ascii="Arial" w:cs="Arial" w:eastAsia="Arial" w:hAnsi="Arial"/>
                <w:sz w:val="18"/>
                <w:szCs w:val="18"/>
                <w:color w:val="auto"/>
              </w:rPr>
              <w:t>stockholders</w:t>
            </w:r>
          </w:p>
        </w:tc>
        <w:tc>
          <w:tcPr>
            <w:tcW w:w="154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520" w:type="dxa"/>
            <w:vAlign w:val="bottom"/>
          </w:tcPr>
          <w:p>
            <w:pPr>
              <w:jc w:val="right"/>
              <w:ind w:right="82"/>
              <w:spacing w:after="0"/>
              <w:rPr>
                <w:sz w:val="20"/>
                <w:szCs w:val="20"/>
                <w:color w:val="auto"/>
              </w:rPr>
            </w:pPr>
            <w:r>
              <w:rPr>
                <w:rFonts w:ascii="Arial" w:cs="Arial" w:eastAsia="Arial" w:hAnsi="Arial"/>
                <w:sz w:val="18"/>
                <w:szCs w:val="18"/>
                <w:color w:val="auto"/>
              </w:rPr>
              <w:t>N/A</w:t>
            </w:r>
          </w:p>
        </w:tc>
        <w:tc>
          <w:tcPr>
            <w:tcW w:w="1920" w:type="dxa"/>
            <w:vAlign w:val="bottom"/>
          </w:tcPr>
          <w:p>
            <w:pPr>
              <w:jc w:val="right"/>
              <w:ind w:right="182"/>
              <w:spacing w:after="0"/>
              <w:rPr>
                <w:sz w:val="20"/>
                <w:szCs w:val="20"/>
                <w:color w:val="auto"/>
              </w:rPr>
            </w:pPr>
            <w:r>
              <w:rPr>
                <w:rFonts w:ascii="Arial" w:cs="Arial" w:eastAsia="Arial" w:hAnsi="Arial"/>
                <w:sz w:val="18"/>
                <w:szCs w:val="18"/>
                <w:color w:val="auto"/>
              </w:rPr>
              <w:t>—</w:t>
            </w:r>
          </w:p>
        </w:tc>
      </w:tr>
      <w:tr>
        <w:trPr>
          <w:trHeight w:val="230"/>
        </w:trPr>
        <w:tc>
          <w:tcPr>
            <w:tcW w:w="4400" w:type="dxa"/>
            <w:vAlign w:val="bottom"/>
            <w:shd w:val="clear" w:color="auto" w:fill="D7F5C4"/>
          </w:tcPr>
          <w:p>
            <w:pPr>
              <w:spacing w:after="0"/>
              <w:rPr>
                <w:sz w:val="20"/>
                <w:szCs w:val="20"/>
                <w:color w:val="auto"/>
              </w:rPr>
            </w:pPr>
            <w:r>
              <w:rPr>
                <w:rFonts w:ascii="Arial" w:cs="Arial" w:eastAsia="Arial" w:hAnsi="Arial"/>
                <w:sz w:val="18"/>
                <w:szCs w:val="18"/>
                <w:color w:val="auto"/>
              </w:rPr>
              <w:t>Total</w:t>
            </w:r>
          </w:p>
        </w:tc>
        <w:tc>
          <w:tcPr>
            <w:tcW w:w="1540" w:type="dxa"/>
            <w:vAlign w:val="bottom"/>
            <w:shd w:val="clear" w:color="auto" w:fill="D7F5C4"/>
          </w:tcPr>
          <w:p>
            <w:pPr>
              <w:jc w:val="right"/>
              <w:ind w:right="23"/>
              <w:spacing w:after="0"/>
              <w:rPr>
                <w:sz w:val="20"/>
                <w:szCs w:val="20"/>
                <w:color w:val="auto"/>
              </w:rPr>
            </w:pPr>
            <w:r>
              <w:rPr>
                <w:rFonts w:ascii="Arial" w:cs="Arial" w:eastAsia="Arial" w:hAnsi="Arial"/>
                <w:sz w:val="18"/>
                <w:szCs w:val="18"/>
                <w:color w:val="auto"/>
              </w:rPr>
              <w:t>1,513,211</w:t>
            </w:r>
          </w:p>
        </w:tc>
        <w:tc>
          <w:tcPr>
            <w:tcW w:w="180" w:type="dxa"/>
            <w:vAlign w:val="bottom"/>
            <w:shd w:val="clear" w:color="auto" w:fill="D7F5C4"/>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D7F5C4"/>
          </w:tcPr>
          <w:p>
            <w:pPr>
              <w:jc w:val="right"/>
              <w:ind w:right="82"/>
              <w:spacing w:after="0"/>
              <w:rPr>
                <w:sz w:val="20"/>
                <w:szCs w:val="20"/>
                <w:color w:val="auto"/>
              </w:rPr>
            </w:pPr>
            <w:r>
              <w:rPr>
                <w:rFonts w:ascii="Arial" w:cs="Arial" w:eastAsia="Arial" w:hAnsi="Arial"/>
                <w:sz w:val="18"/>
                <w:szCs w:val="18"/>
                <w:color w:val="auto"/>
              </w:rPr>
              <w:t>10.19</w:t>
            </w:r>
          </w:p>
        </w:tc>
        <w:tc>
          <w:tcPr>
            <w:tcW w:w="1920" w:type="dxa"/>
            <w:vAlign w:val="bottom"/>
            <w:shd w:val="clear" w:color="auto" w:fill="D7F5C4"/>
          </w:tcPr>
          <w:p>
            <w:pPr>
              <w:jc w:val="right"/>
              <w:ind w:right="2"/>
              <w:spacing w:after="0" w:line="230" w:lineRule="exact"/>
              <w:rPr>
                <w:sz w:val="20"/>
                <w:szCs w:val="20"/>
                <w:color w:val="auto"/>
              </w:rPr>
            </w:pPr>
            <w:r>
              <w:rPr>
                <w:rFonts w:ascii="Arial" w:cs="Arial" w:eastAsia="Arial" w:hAnsi="Arial"/>
                <w:sz w:val="16"/>
                <w:szCs w:val="16"/>
                <w:color w:val="auto"/>
              </w:rPr>
              <w:t>1,629,134</w:t>
            </w:r>
            <w:r>
              <w:rPr>
                <w:rFonts w:ascii="Arial" w:cs="Arial" w:eastAsia="Arial" w:hAnsi="Arial"/>
                <w:sz w:val="26"/>
                <w:szCs w:val="26"/>
                <w:color w:val="auto"/>
                <w:vertAlign w:val="superscript"/>
              </w:rPr>
              <w:t>(3)</w:t>
            </w:r>
          </w:p>
        </w:tc>
      </w:tr>
    </w:tbl>
    <w:p>
      <w:pPr>
        <w:spacing w:after="0" w:line="113" w:lineRule="exact"/>
        <w:rPr>
          <w:sz w:val="20"/>
          <w:szCs w:val="20"/>
          <w:color w:val="auto"/>
        </w:rPr>
      </w:pPr>
    </w:p>
    <w:p>
      <w:pPr>
        <w:ind w:left="347" w:right="120" w:hanging="347"/>
        <w:spacing w:after="0" w:line="250" w:lineRule="auto"/>
        <w:tabs>
          <w:tab w:leader="none" w:pos="347"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Includes 840,438 RSUs and 619,073 performance units, which have no exercise price. The amount included assumes that target level performance is achieved under outstanding performance units for which performance has not yet been determined. Also includes 53,700 share options with an exercise price of $10.19.</w:t>
      </w:r>
    </w:p>
    <w:p>
      <w:pPr>
        <w:spacing w:after="0" w:line="91" w:lineRule="exact"/>
        <w:rPr>
          <w:rFonts w:ascii="Arial" w:cs="Arial" w:eastAsia="Arial" w:hAnsi="Arial"/>
          <w:sz w:val="14"/>
          <w:szCs w:val="14"/>
          <w:color w:val="auto"/>
        </w:rPr>
      </w:pPr>
    </w:p>
    <w:p>
      <w:pPr>
        <w:ind w:left="347" w:hanging="347"/>
        <w:spacing w:after="0"/>
        <w:tabs>
          <w:tab w:leader="none" w:pos="347" w:val="left"/>
        </w:tabs>
        <w:numPr>
          <w:ilvl w:val="0"/>
          <w:numId w:val="51"/>
        </w:numPr>
        <w:rPr>
          <w:rFonts w:ascii="Arial" w:cs="Arial" w:eastAsia="Arial" w:hAnsi="Arial"/>
          <w:sz w:val="14"/>
          <w:szCs w:val="14"/>
          <w:color w:val="auto"/>
        </w:rPr>
      </w:pPr>
      <w:r>
        <w:rPr>
          <w:rFonts w:ascii="Arial" w:cs="Arial" w:eastAsia="Arial" w:hAnsi="Arial"/>
          <w:sz w:val="14"/>
          <w:szCs w:val="14"/>
          <w:color w:val="auto"/>
        </w:rPr>
        <w:t>Excludes the shares issuable upon the vesting of RSUs and performance units for which there is no weighted-average exercise price.</w:t>
      </w:r>
    </w:p>
    <w:p>
      <w:pPr>
        <w:spacing w:after="0" w:line="109" w:lineRule="exact"/>
        <w:rPr>
          <w:rFonts w:ascii="Arial" w:cs="Arial" w:eastAsia="Arial" w:hAnsi="Arial"/>
          <w:sz w:val="14"/>
          <w:szCs w:val="14"/>
          <w:color w:val="auto"/>
        </w:rPr>
      </w:pPr>
    </w:p>
    <w:p>
      <w:pPr>
        <w:ind w:left="347" w:right="100" w:hanging="347"/>
        <w:spacing w:after="0" w:line="250" w:lineRule="auto"/>
        <w:tabs>
          <w:tab w:leader="none" w:pos="347"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Represents the total number of shares available for issuance under the Matrix Service Company 2018 Stock and Incentive Compensation Plan. Of the 1,629,134 shares available for issuance, all may be awarded as stock options, stock appreciation rights, restricted stock, RSUs, performance shares or performance units.</w:t>
      </w:r>
    </w:p>
    <w:p>
      <w:pPr>
        <w:spacing w:after="0" w:line="131"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61DA16"/>
        </w:rPr>
        <w:t>PROPOSALS OF STOCKHOLDERS</w:t>
      </w:r>
    </w:p>
    <w:p>
      <w:pPr>
        <w:spacing w:after="0" w:line="126" w:lineRule="exact"/>
        <w:rPr>
          <w:sz w:val="20"/>
          <w:szCs w:val="20"/>
          <w:color w:val="auto"/>
        </w:rPr>
      </w:pPr>
    </w:p>
    <w:p>
      <w:pPr>
        <w:jc w:val="both"/>
        <w:ind w:left="7" w:right="100"/>
        <w:spacing w:after="0" w:line="254" w:lineRule="auto"/>
        <w:rPr>
          <w:sz w:val="20"/>
          <w:szCs w:val="20"/>
          <w:color w:val="auto"/>
        </w:rPr>
      </w:pPr>
      <w:r>
        <w:rPr>
          <w:rFonts w:ascii="Arial" w:cs="Arial" w:eastAsia="Arial" w:hAnsi="Arial"/>
          <w:sz w:val="18"/>
          <w:szCs w:val="18"/>
          <w:color w:val="auto"/>
        </w:rPr>
        <w:t>A proposal of a stockholder intended to be presented at the Company’s 2020 Annual Meeting of Stockholders must be received at the Company’s principal executive offices no later than May 29, 2020, if the proposal is to be considered for inclusion pursuant to Rule 14a-8 promulgated under the Securities Exchange Act of 1934, as amended (“Rule 14a-8”), in the Company’s proxy statement and proxy card for such meeting.</w:t>
      </w:r>
    </w:p>
    <w:p>
      <w:pPr>
        <w:spacing w:after="0" w:line="96" w:lineRule="exact"/>
        <w:rPr>
          <w:sz w:val="20"/>
          <w:szCs w:val="20"/>
          <w:color w:val="auto"/>
        </w:rPr>
      </w:pPr>
    </w:p>
    <w:p>
      <w:pPr>
        <w:ind w:left="7" w:right="40"/>
        <w:spacing w:after="0" w:line="214" w:lineRule="auto"/>
        <w:rPr>
          <w:sz w:val="20"/>
          <w:szCs w:val="20"/>
          <w:color w:val="auto"/>
        </w:rPr>
      </w:pPr>
      <w:r>
        <w:rPr>
          <w:rFonts w:ascii="Arial" w:cs="Arial" w:eastAsia="Arial" w:hAnsi="Arial"/>
          <w:sz w:val="18"/>
          <w:szCs w:val="18"/>
          <w:color w:val="auto"/>
        </w:rPr>
        <w:t>In accordance with the Bylaws, any stockholder who intends to present a proposal at the Company’s 2020 Annual Meeting of Stockholders and has not sought inclusion of the proposal in the Company’s proxy statement and accompanying proxy pursuant to Rule 14a-8, must provide the Secretary of the Company with notice of such proposal in order for such proposal to be properly brought before the meeting, no later than the close of business on the 90th day nor earlier than the close of business on the 120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prior to the first anniversary of the preceding year’s annual meeting; provided, however, that in the event that the date of such annual meeting is more than 30 days before or more than 60 days after such anniversary date, notice by the stockholder must be delivered not earlier than the close of business on the 120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prior to such annual meeting and not later than the close of business on the later of the 90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prior to such annual meeting or if the first public announcement of the date of such annual meeting is less than 100 days prior to the date of such annual meeting, the close of business on the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the day on which public announcement of the date of such meeting is first made by the Company.</w:t>
      </w:r>
    </w:p>
    <w:p>
      <w:pPr>
        <w:spacing w:after="0" w:line="224"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6071870" cy="431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63"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61DA16"/>
        </w:rPr>
        <w:t>OTHER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61DA16"/>
        </w:rPr>
        <w:t>Matters That May Come Before the Annual Meeting</w:t>
      </w:r>
    </w:p>
    <w:p>
      <w:pPr>
        <w:spacing w:after="0" w:line="12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Board knows of no matters other than those described in this proxy statement which will be brought before the Annual Meeting for a vote of the stockholders. If, however, any other matter requiring a vote of stockholders arises, the persons named in the accompanying proxy card will vote thereon in accordance with their best judgment. The enclosed proxy card confers discretionary authority to take action with respect to any additional matters that may come before the meeting.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61DA16"/>
        </w:rPr>
        <w:t>Availability of Form 10-K</w:t>
      </w:r>
    </w:p>
    <w:p>
      <w:pPr>
        <w:spacing w:after="0" w:line="126"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 xml:space="preserve">A copy of the Company’s Annual Report on Form 10-K for the fiscal year ended June 30, 2019 is first being mailed to stockholders on or about September 26, 2019 and accompanies this proxy statement. In addition, a copy of the Company’s Annual Report on Form 10-K for the fiscal year ended June 30, 2019 may be found by visiting the Company’s website at </w:t>
      </w:r>
      <w:r>
        <w:rPr>
          <w:rFonts w:ascii="Arial" w:cs="Arial" w:eastAsia="Arial" w:hAnsi="Arial"/>
          <w:sz w:val="18"/>
          <w:szCs w:val="18"/>
          <w:u w:val="single" w:color="auto"/>
          <w:color w:val="auto"/>
        </w:rPr>
        <w:t>matrixservicecompany.com</w:t>
      </w:r>
      <w:r>
        <w:rPr>
          <w:rFonts w:ascii="Arial" w:cs="Arial" w:eastAsia="Arial" w:hAnsi="Arial"/>
          <w:sz w:val="18"/>
          <w:szCs w:val="18"/>
          <w:color w:val="auto"/>
        </w:rPr>
        <w: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61DA16"/>
        </w:rPr>
        <w:t>Householding of Proxy Materials</w:t>
      </w:r>
    </w:p>
    <w:p>
      <w:pPr>
        <w:spacing w:after="0" w:line="126"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The SEC has adopted rules that permit companies and intermediaries (such as banks and brokers) to satisfy the delivery requirements for proxy statements and annual reports with respect to two or more stockholders sharing the same address by delivering a single proxy statement addressed to those stockholders. This process, which is commonly referred to as “householding,” potentially means extra convenience for stockholders and cost savings for companies.</w:t>
      </w:r>
    </w:p>
    <w:p>
      <w:pPr>
        <w:spacing w:after="0" w:line="9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 number of banks and brokers with account holders who are Company stockholders may be “householding” the Company’s proxy materials and annual report. A single proxy statement and annual report will be delivered to multiple stockholders sharing an address unless contrary instructions have been received from the affected stockholders. Once you have received notice from your bank or broker that it will be “householding” communications to your address, “householding” will continue until you are notified otherwise or until you revoke your consent. If, at any time, you no longer wish to participate in “householding” and would prefer to receive a separate proxy statement and annual report, please notify your bank or broker, or direct your written request to Matrix Service Company, 5100 E. Skelly Dr., Ste. 100, Tulsa, OK 74135, Attention: Justin D. Sheets, or telephone at (918) 838-8822 and the Company will deliver a separate copy of the annual report or proxy statement upon request. Stockholders who currently receive multiple copies of the proxy statement and annual report at their address and would like to request “householding” of their communications should contact their bank or broker.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61DA16"/>
        </w:rPr>
        <w:t>Forward-Looking Statements</w:t>
      </w:r>
    </w:p>
    <w:p>
      <w:pPr>
        <w:spacing w:after="0" w:line="126"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Certain statements contained in this Proxy Statement are not based on historical fact and are forward-looking statements within the meaning of federal securities laws and regulations. These statements are based on management’s current expectations, assumptions, estimates and observations of future events and include any statements that do not directly relate to any historical or current fact; actual results may differ materially due in part to the risk factors set forth in Item 1A of the 2019 Form 10-K. These forward-looking statements can be identified by the use of words “believes,” “intends,” “expects,” “anticipates,” “projects,” “estimates,” “predicts” and similar expressions. These forward-looking statements include, among others, such things as:</w:t>
      </w:r>
    </w:p>
    <w:p>
      <w:pPr>
        <w:spacing w:after="0" w:line="99" w:lineRule="exact"/>
        <w:rPr>
          <w:sz w:val="20"/>
          <w:szCs w:val="20"/>
          <w:color w:val="auto"/>
        </w:rPr>
      </w:pPr>
    </w:p>
    <w:p>
      <w:pPr>
        <w:ind w:left="700" w:hanging="356"/>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impact to our business of crude oil and other commodity prices;</w:t>
      </w:r>
    </w:p>
    <w:p>
      <w:pPr>
        <w:spacing w:after="0" w:line="103" w:lineRule="exact"/>
        <w:rPr>
          <w:rFonts w:ascii="Arial" w:cs="Arial" w:eastAsia="Arial" w:hAnsi="Arial"/>
          <w:sz w:val="18"/>
          <w:szCs w:val="18"/>
          <w:color w:val="auto"/>
        </w:rPr>
      </w:pPr>
    </w:p>
    <w:p>
      <w:pPr>
        <w:ind w:left="700" w:hanging="356"/>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amounts and nature of future revenues and margins from each of our segments; and</w:t>
      </w:r>
    </w:p>
    <w:p>
      <w:pPr>
        <w:spacing w:after="0" w:line="103" w:lineRule="exact"/>
        <w:rPr>
          <w:rFonts w:ascii="Arial" w:cs="Arial" w:eastAsia="Arial" w:hAnsi="Arial"/>
          <w:sz w:val="18"/>
          <w:szCs w:val="18"/>
          <w:color w:val="auto"/>
        </w:rPr>
      </w:pPr>
    </w:p>
    <w:p>
      <w:pPr>
        <w:ind w:left="700" w:hanging="356"/>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trends in the industries we serve.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6071870" cy="431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5"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These statements are based on certain assumptions and analyses we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spacing w:after="0" w:line="80" w:lineRule="exact"/>
        <w:rPr>
          <w:sz w:val="20"/>
          <w:szCs w:val="20"/>
          <w:color w:val="auto"/>
        </w:rPr>
      </w:pPr>
    </w:p>
    <w:p>
      <w:pPr>
        <w:ind w:left="700" w:right="160" w:hanging="356"/>
        <w:spacing w:after="0" w:line="246" w:lineRule="auto"/>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economic, market or business conditions in general and in the oil, gas, power, iron and steel, agricultural and mining industries in particular;</w:t>
      </w:r>
    </w:p>
    <w:p>
      <w:pPr>
        <w:spacing w:after="0" w:line="88" w:lineRule="exact"/>
        <w:rPr>
          <w:rFonts w:ascii="Arial" w:cs="Arial" w:eastAsia="Arial" w:hAnsi="Arial"/>
          <w:sz w:val="18"/>
          <w:szCs w:val="18"/>
          <w:color w:val="auto"/>
        </w:rPr>
      </w:pPr>
    </w:p>
    <w:p>
      <w:pPr>
        <w:ind w:left="700" w:hanging="356"/>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under-utilization of our work force;</w:t>
      </w:r>
    </w:p>
    <w:p>
      <w:pPr>
        <w:spacing w:after="0" w:line="103" w:lineRule="exact"/>
        <w:rPr>
          <w:rFonts w:ascii="Arial" w:cs="Arial" w:eastAsia="Arial" w:hAnsi="Arial"/>
          <w:sz w:val="18"/>
          <w:szCs w:val="18"/>
          <w:color w:val="auto"/>
        </w:rPr>
      </w:pPr>
    </w:p>
    <w:p>
      <w:pPr>
        <w:ind w:left="700" w:right="200" w:hanging="356"/>
        <w:spacing w:after="0" w:line="246" w:lineRule="auto"/>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reduced creditworthiness of our customer base and the higher risk of non-payment of receivables due to low prevailing crude oil and other commodity prices;</w:t>
      </w:r>
    </w:p>
    <w:p>
      <w:pPr>
        <w:spacing w:after="0" w:line="88" w:lineRule="exact"/>
        <w:rPr>
          <w:rFonts w:ascii="Arial" w:cs="Arial" w:eastAsia="Arial" w:hAnsi="Arial"/>
          <w:sz w:val="18"/>
          <w:szCs w:val="18"/>
          <w:color w:val="auto"/>
        </w:rPr>
      </w:pPr>
    </w:p>
    <w:p>
      <w:pPr>
        <w:ind w:left="700" w:hanging="356"/>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inherently uncertain outcome of current and future litigation;</w:t>
      </w:r>
    </w:p>
    <w:p>
      <w:pPr>
        <w:spacing w:after="0" w:line="103" w:lineRule="exact"/>
        <w:rPr>
          <w:rFonts w:ascii="Arial" w:cs="Arial" w:eastAsia="Arial" w:hAnsi="Arial"/>
          <w:sz w:val="18"/>
          <w:szCs w:val="18"/>
          <w:color w:val="auto"/>
        </w:rPr>
      </w:pPr>
    </w:p>
    <w:p>
      <w:pPr>
        <w:ind w:left="700" w:hanging="356"/>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adequacy of our reserves for claims and contingencies;</w:t>
      </w:r>
    </w:p>
    <w:p>
      <w:pPr>
        <w:spacing w:after="0" w:line="103" w:lineRule="exact"/>
        <w:rPr>
          <w:rFonts w:ascii="Arial" w:cs="Arial" w:eastAsia="Arial" w:hAnsi="Arial"/>
          <w:sz w:val="18"/>
          <w:szCs w:val="18"/>
          <w:color w:val="auto"/>
        </w:rPr>
      </w:pPr>
    </w:p>
    <w:p>
      <w:pPr>
        <w:ind w:left="700" w:hanging="356"/>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laws or regulations, including the imposition, cancellation or delay of tariffs on imported goods; and</w:t>
      </w:r>
    </w:p>
    <w:p>
      <w:pPr>
        <w:spacing w:after="0" w:line="103" w:lineRule="exact"/>
        <w:rPr>
          <w:rFonts w:ascii="Arial" w:cs="Arial" w:eastAsia="Arial" w:hAnsi="Arial"/>
          <w:sz w:val="18"/>
          <w:szCs w:val="18"/>
          <w:color w:val="auto"/>
        </w:rPr>
      </w:pPr>
    </w:p>
    <w:p>
      <w:pPr>
        <w:ind w:left="700" w:hanging="356"/>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other factors, many of which are beyond our control.</w:t>
      </w:r>
    </w:p>
    <w:p>
      <w:pPr>
        <w:spacing w:after="0" w:line="10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Consequently, all of the forward-looking statements made in this proxy statement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update publicly, except as required by law, any such forward-looking statements, whether as a result of new information, future events or otherwise.</w:t>
      </w:r>
    </w:p>
    <w:p>
      <w:pPr>
        <w:spacing w:after="0" w:line="75"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i w:val="1"/>
          <w:iCs w:val="1"/>
          <w:color w:val="auto"/>
        </w:rPr>
        <w:t>Important Notice Regarding the Availability of Proxy Materials for the Stockholders Meeting to be Held on November 5, 2019</w:t>
      </w:r>
    </w:p>
    <w:p>
      <w:pPr>
        <w:spacing w:after="0" w:line="45" w:lineRule="exact"/>
        <w:rPr>
          <w:sz w:val="20"/>
          <w:szCs w:val="20"/>
          <w:color w:val="auto"/>
        </w:rPr>
      </w:pPr>
    </w:p>
    <w:p>
      <w:pPr>
        <w:ind w:right="360"/>
        <w:spacing w:after="0" w:line="269" w:lineRule="auto"/>
        <w:rPr>
          <w:sz w:val="20"/>
          <w:szCs w:val="20"/>
          <w:color w:val="auto"/>
        </w:rPr>
      </w:pPr>
      <w:r>
        <w:rPr>
          <w:rFonts w:ascii="Arial" w:cs="Arial" w:eastAsia="Arial" w:hAnsi="Arial"/>
          <w:sz w:val="18"/>
          <w:szCs w:val="18"/>
          <w:b w:val="1"/>
          <w:bCs w:val="1"/>
          <w:color w:val="auto"/>
        </w:rPr>
        <w:t xml:space="preserve">Stockholders may view this proxy statement, the enclosed proxy card and our 2019 Annual Report to Stockholders over the Internet by accessing our website at </w:t>
      </w:r>
      <w:r>
        <w:rPr>
          <w:rFonts w:ascii="Arial" w:cs="Arial" w:eastAsia="Arial" w:hAnsi="Arial"/>
          <w:sz w:val="18"/>
          <w:szCs w:val="18"/>
          <w:b w:val="1"/>
          <w:bCs w:val="1"/>
          <w:u w:val="single" w:color="auto"/>
          <w:color w:val="auto"/>
        </w:rPr>
        <w:t>matrixservicecompany.com</w:t>
      </w:r>
      <w:r>
        <w:rPr>
          <w:rFonts w:ascii="Arial" w:cs="Arial" w:eastAsia="Arial" w:hAnsi="Arial"/>
          <w:sz w:val="18"/>
          <w:szCs w:val="18"/>
          <w:b w:val="1"/>
          <w:bCs w:val="1"/>
          <w:color w:val="auto"/>
        </w:rPr>
        <w:t>. Information on our website does not constitute a part of this proxy statement.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1337945" cy="4800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3794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Justin D.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General Counsel and Secretary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September 26,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Tulsa, Oklahoma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6071870" cy="431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92075</wp:posOffset>
            </wp:positionV>
            <wp:extent cx="6791960" cy="9313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91960" cy="9313545"/>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9363075</wp:posOffset>
            </wp:positionV>
            <wp:extent cx="6071870" cy="431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6294755" cy="88760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4755" cy="8876030"/>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8925560</wp:posOffset>
            </wp:positionV>
            <wp:extent cx="6071870" cy="431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sectPr>
      <w:pgSz w:w="11900" w:h="16838" w:orient="portrait"/>
      <w:cols w:equalWidth="0" w:num="1">
        <w:col w:w="9279"/>
      </w:cols>
      <w:pgMar w:left="1180" w:top="27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o"/>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o"/>
      <w:numFmt w:val="bullet"/>
      <w:start w:val="1"/>
    </w:lvl>
    <w:lvl w:ilvl="1">
      <w:lvlJc w:val="left"/>
      <w:lvlText w:val="(%2)"/>
      <w:numFmt w:val="decimal"/>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1)"/>
      <w:numFmt w:val="decimal"/>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1)"/>
      <w:numFmt w:val="decimal"/>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lvl w:ilvl="1">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1)"/>
      <w:numFmt w:val="decimal"/>
      <w:start w:val="1"/>
    </w:lvl>
  </w:abstractNum>
  <w:abstractNum w:abstractNumId="32">
    <w:nsid w:val="2A487CB0"/>
    <w:multiLevelType w:val="hybridMultilevel"/>
    <w:lvl w:ilvl="0">
      <w:lvlJc w:val="left"/>
      <w:lvlText w:val="(%1)"/>
      <w:numFmt w:val="decimal"/>
      <w:start w:val="1"/>
    </w:lvl>
  </w:abstractNum>
  <w:abstractNum w:abstractNumId="33">
    <w:nsid w:val="1D4ED43B"/>
    <w:multiLevelType w:val="hybridMultilevel"/>
    <w:lvl w:ilvl="0">
      <w:lvlJc w:val="left"/>
      <w:lvlText w:val="(%1)"/>
      <w:numFmt w:val="decimal"/>
      <w:start w:val="4"/>
    </w:lvl>
  </w:abstractNum>
  <w:abstractNum w:abstractNumId="34">
    <w:nsid w:val="725A06FB"/>
    <w:multiLevelType w:val="hybridMultilevel"/>
    <w:lvl w:ilvl="0">
      <w:lvlJc w:val="left"/>
      <w:lvlText w:val="(%1)"/>
      <w:numFmt w:val="decimal"/>
      <w:start w:val="1"/>
    </w:lvl>
  </w:abstractNum>
  <w:abstractNum w:abstractNumId="35">
    <w:nsid w:val="2CD89A32"/>
    <w:multiLevelType w:val="hybridMultilevel"/>
    <w:lvl w:ilvl="0">
      <w:lvlJc w:val="left"/>
      <w:lvlText w:val="(%1)"/>
      <w:numFmt w:val="decimal"/>
      <w:start w:val="1"/>
    </w:lvl>
  </w:abstractNum>
  <w:abstractNum w:abstractNumId="36">
    <w:nsid w:val="57E4CCAF"/>
    <w:multiLevelType w:val="hybridMultilevel"/>
    <w:lvl w:ilvl="0">
      <w:lvlJc w:val="left"/>
      <w:lvlText w:val="(%1)"/>
      <w:numFmt w:val="decimal"/>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1)"/>
      <w:numFmt w:val="decimal"/>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
      <w:numFmt w:val="bullet"/>
      <w:start w:val="1"/>
    </w:lvl>
  </w:abstractNum>
  <w:abstractNum w:abstractNumId="47">
    <w:nsid w:val="3DC240FB"/>
    <w:multiLevelType w:val="hybridMultilevel"/>
    <w:lvl w:ilvl="0">
      <w:lvlJc w:val="left"/>
      <w:lvlText w:val="(%1)"/>
      <w:numFmt w:val="decimal"/>
      <w:start w:val="1"/>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
      <w:numFmt w:val="bullet"/>
      <w:start w:val="1"/>
    </w:lvl>
    <w:lvl w:ilvl="1">
      <w:lvlJc w:val="left"/>
      <w:lvlText w:val="•"/>
      <w:numFmt w:val="bullet"/>
      <w:start w:val="1"/>
    </w:lvl>
  </w:abstractNum>
  <w:abstractNum w:abstractNumId="50">
    <w:nsid w:val="75C6C33A"/>
    <w:multiLevelType w:val="hybridMultilevel"/>
    <w:lvl w:ilvl="0">
      <w:lvlJc w:val="left"/>
      <w:lvlText w:val="(%1)"/>
      <w:numFmt w:val="decimal"/>
      <w:start w:val="1"/>
    </w:lvl>
  </w:abstractNum>
  <w:abstractNum w:abstractNumId="51">
    <w:nsid w:val="12E685FB"/>
    <w:multiLevelType w:val="hybridMultilevel"/>
    <w:lvl w:ilvl="0">
      <w:lvlJc w:val="left"/>
      <w:lvlText w:val="•"/>
      <w:numFmt w:val="bullet"/>
      <w:start w:val="1"/>
    </w:lvl>
  </w:abstractNum>
  <w:abstractNum w:abstractNumId="52">
    <w:nsid w:val="70C6A5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2019-11-29T01:03:23Z</dcterms:created>
  <dcterms:modified xsi:type="dcterms:W3CDTF">2019-11-29T01:03:23Z</dcterms:modified>
</cp:coreProperties>
</file>