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720" w:hanging="422"/>
        <w:spacing w:after="0"/>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242" w:lineRule="exact"/>
        <w:rPr>
          <w:sz w:val="24"/>
          <w:szCs w:val="24"/>
          <w:color w:val="auto"/>
        </w:rPr>
      </w:pPr>
    </w:p>
    <w:p>
      <w:pPr>
        <w:ind w:left="39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-5080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1-15461</w:t>
      </w:r>
    </w:p>
    <w:p>
      <w:pPr>
        <w:spacing w:after="0" w:line="3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MATRIX SERVICE COMPANY</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ectPr>
          <w:pgSz w:w="11900" w:h="16838" w:orient="portrait"/>
          <w:cols w:equalWidth="0" w:num="1">
            <w:col w:w="11380"/>
          </w:cols>
          <w:pgMar w:left="240" w:top="957" w:right="279" w:bottom="1440" w:gutter="0" w:footer="0" w:header="0"/>
        </w:sectPr>
      </w:pPr>
    </w:p>
    <w:p>
      <w:pPr>
        <w:spacing w:after="0" w:line="145"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73-1352174</w:t>
      </w:r>
    </w:p>
    <w:p>
      <w:pPr>
        <w:spacing w:after="0" w:line="72" w:lineRule="exact"/>
        <w:rPr>
          <w:sz w:val="24"/>
          <w:szCs w:val="24"/>
          <w:color w:val="auto"/>
        </w:rPr>
      </w:pPr>
    </w:p>
    <w:p>
      <w:pPr>
        <w:sectPr>
          <w:pgSz w:w="11900" w:h="16838" w:orient="portrait"/>
          <w:cols w:equalWidth="0" w:num="2">
            <w:col w:w="7080" w:space="720"/>
            <w:col w:w="3580"/>
          </w:cols>
          <w:pgMar w:left="240" w:top="957" w:right="27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9" w:lineRule="exact"/>
        <w:rPr>
          <w:sz w:val="24"/>
          <w:szCs w:val="24"/>
          <w:color w:val="auto"/>
        </w:rPr>
      </w:pPr>
    </w:p>
    <w:p>
      <w:pPr>
        <w:sectPr>
          <w:pgSz w:w="11900" w:h="16838" w:orient="portrait"/>
          <w:cols w:equalWidth="0" w:num="2">
            <w:col w:w="6420" w:space="720"/>
            <w:col w:w="4240"/>
          </w:cols>
          <w:pgMar w:left="240" w:top="957"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5100 East Skelly Drive, Suite 500, Tulsa, Oklahoma 74135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70"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6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t>
            </w: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2015 there were 27,888,217 shares of the Company’s common stock, $0.01 par value per share, issued and 26,538,320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57" w:right="279" w:bottom="1440" w:gutter="0" w:footer="0" w:header="0"/>
          <w:type w:val="continuous"/>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13"/>
        </w:trPr>
        <w:tc>
          <w:tcPr>
            <w:tcW w:w="10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 (Unaudited)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Income for the Three Months Ended September 30, 2015 and 2014</w:t>
              </w:r>
            </w:hyperlink>
          </w:p>
        </w:tc>
        <w:tc>
          <w:tcPr>
            <w:tcW w:w="1720" w:type="dxa"/>
            <w:vAlign w:val="bottom"/>
            <w:gridSpan w:val="4"/>
          </w:tcPr>
          <w:p>
            <w:pPr>
              <w:spacing w:after="0"/>
              <w:rPr>
                <w:sz w:val="24"/>
                <w:szCs w:val="24"/>
                <w:color w:val="auto"/>
              </w:rPr>
            </w:pPr>
          </w:p>
        </w:tc>
        <w:tc>
          <w:tcPr>
            <w:tcW w:w="580" w:type="dxa"/>
            <w:vAlign w:val="bottom"/>
          </w:tcPr>
          <w:p>
            <w:pPr>
              <w:jc w:val="center"/>
              <w:ind w:left="291"/>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Comprehensive Income for the Three Months Ended September 30, 2015 and 2014</w:t>
              </w:r>
            </w:hyperlink>
          </w:p>
        </w:tc>
        <w:tc>
          <w:tcPr>
            <w:tcW w:w="580" w:type="dxa"/>
            <w:vAlign w:val="bottom"/>
          </w:tcPr>
          <w:p>
            <w:pPr>
              <w:jc w:val="center"/>
              <w:ind w:left="291"/>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September 30, 2015 and June 30, 2015</w:t>
              </w:r>
            </w:hyperlink>
          </w:p>
        </w:tc>
        <w:tc>
          <w:tcPr>
            <w:tcW w:w="26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580" w:type="dxa"/>
            <w:vAlign w:val="bottom"/>
          </w:tcPr>
          <w:p>
            <w:pPr>
              <w:jc w:val="center"/>
              <w:ind w:left="291"/>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September 30, 2015 and 2014</w:t>
              </w:r>
            </w:hyperlink>
          </w:p>
        </w:tc>
        <w:tc>
          <w:tcPr>
            <w:tcW w:w="580" w:type="dxa"/>
            <w:vAlign w:val="bottom"/>
          </w:tcPr>
          <w:p>
            <w:pPr>
              <w:jc w:val="center"/>
              <w:ind w:left="291"/>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Changes in Stockholders’ Equity for the Three Months Ended September 30, 2015 and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2014</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restart"/>
          </w:tcPr>
          <w:p>
            <w:pPr>
              <w:jc w:val="center"/>
              <w:ind w:left="291"/>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Condensed Consolidated Financial Statements</w:t>
              </w:r>
            </w:hyperlink>
          </w:p>
        </w:tc>
        <w:tc>
          <w:tcPr>
            <w:tcW w:w="5420" w:type="dxa"/>
            <w:vAlign w:val="bottom"/>
            <w:gridSpan w:val="8"/>
          </w:tcPr>
          <w:p>
            <w:pPr>
              <w:spacing w:after="0"/>
              <w:rPr>
                <w:sz w:val="24"/>
                <w:szCs w:val="24"/>
                <w:color w:val="auto"/>
              </w:rPr>
            </w:pPr>
          </w:p>
        </w:tc>
        <w:tc>
          <w:tcPr>
            <w:tcW w:w="580" w:type="dxa"/>
            <w:vAlign w:val="bottom"/>
          </w:tcPr>
          <w:p>
            <w:pPr>
              <w:jc w:val="center"/>
              <w:ind w:left="291"/>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6"/>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Management’s Discussion and Analysis of Financial Condition and Results of Operations</w:t>
              </w:r>
            </w:hyperlink>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17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9"/>
          </w:tcPr>
          <w:p>
            <w:pPr>
              <w:spacing w:after="0"/>
              <w:rPr>
                <w:rFonts w:ascii="Times New Roman" w:cs="Times New Roman" w:eastAsia="Times New Roman" w:hAnsi="Times New Roman"/>
                <w:sz w:val="18"/>
                <w:szCs w:val="18"/>
                <w:color w:val="0000FF"/>
                <w:w w:val="99"/>
              </w:rPr>
            </w:pPr>
            <w:hyperlink w:anchor="page28">
              <w:r>
                <w:rPr>
                  <w:rFonts w:ascii="Times New Roman" w:cs="Times New Roman" w:eastAsia="Times New Roman" w:hAnsi="Times New Roman"/>
                  <w:sz w:val="18"/>
                  <w:szCs w:val="18"/>
                  <w:color w:val="0000FF"/>
                  <w:w w:val="99"/>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27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gridSpan w:val="9"/>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Controls and Procedures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8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4"/>
              </w:rPr>
            </w:pPr>
            <w:hyperlink w:anchor="page29">
              <w:r>
                <w:rPr>
                  <w:rFonts w:ascii="Times New Roman" w:cs="Times New Roman" w:eastAsia="Times New Roman" w:hAnsi="Times New Roman"/>
                  <w:sz w:val="18"/>
                  <w:szCs w:val="18"/>
                  <w:b w:val="1"/>
                  <w:bCs w:val="1"/>
                  <w:color w:val="0000EE"/>
                  <w:w w:val="94"/>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rFonts w:ascii="Times New Roman" w:cs="Times New Roman" w:eastAsia="Times New Roman" w:hAnsi="Times New Roman"/>
                <w:sz w:val="18"/>
                <w:szCs w:val="18"/>
                <w:color w:val="0000FF"/>
                <w:w w:val="95"/>
              </w:rPr>
            </w:pPr>
            <w:hyperlink w:anchor="page30">
              <w:r>
                <w:rPr>
                  <w:rFonts w:ascii="Times New Roman" w:cs="Times New Roman" w:eastAsia="Times New Roman" w:hAnsi="Times New Roman"/>
                  <w:sz w:val="18"/>
                  <w:szCs w:val="18"/>
                  <w:color w:val="0000FF"/>
                  <w:w w:val="95"/>
                </w:rPr>
                <w:t>Legal Proceedings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Risk Factors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9"/>
          </w:tcPr>
          <w:p>
            <w:pPr>
              <w:spacing w:after="0"/>
              <w:rPr>
                <w:rFonts w:ascii="Times New Roman" w:cs="Times New Roman" w:eastAsia="Times New Roman" w:hAnsi="Times New Roman"/>
                <w:sz w:val="18"/>
                <w:szCs w:val="18"/>
                <w:color w:val="0000FF"/>
                <w:w w:val="99"/>
              </w:rPr>
            </w:pPr>
            <w:hyperlink w:anchor="page30">
              <w:r>
                <w:rPr>
                  <w:rFonts w:ascii="Times New Roman" w:cs="Times New Roman" w:eastAsia="Times New Roman" w:hAnsi="Times New Roman"/>
                  <w:sz w:val="18"/>
                  <w:szCs w:val="18"/>
                  <w:color w:val="0000FF"/>
                  <w:w w:val="99"/>
                </w:rPr>
                <w:t>Unregistered Sales of Equity Securities and Use of Proceeds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9"/>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rFonts w:ascii="Times New Roman" w:cs="Times New Roman" w:eastAsia="Times New Roman" w:hAnsi="Times New Roman"/>
                <w:sz w:val="18"/>
                <w:szCs w:val="18"/>
                <w:color w:val="0000FF"/>
                <w:w w:val="97"/>
              </w:rPr>
            </w:pPr>
            <w:hyperlink w:anchor="page31">
              <w:r>
                <w:rPr>
                  <w:rFonts w:ascii="Times New Roman" w:cs="Times New Roman" w:eastAsia="Times New Roman" w:hAnsi="Times New Roman"/>
                  <w:sz w:val="18"/>
                  <w:szCs w:val="18"/>
                  <w:color w:val="0000FF"/>
                  <w:w w:val="97"/>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Exhibits</w:t>
              </w:r>
            </w:hyperlink>
          </w:p>
        </w:tc>
        <w:tc>
          <w:tcPr>
            <w:tcW w:w="8100" w:type="dxa"/>
            <w:vAlign w:val="bottom"/>
            <w:gridSpan w:val="12"/>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left="311"/>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29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80" w:top="57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321,683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284,747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293,304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28,379</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19,832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8,295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federal, state and foreign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3,624</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4,671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5,914</w:t>
            </w:r>
          </w:p>
        </w:tc>
      </w:tr>
      <w:tr>
        <w:trPr>
          <w:trHeight w:val="67"/>
        </w:trPr>
        <w:tc>
          <w:tcPr>
            <w:tcW w:w="88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26,470</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27,134</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8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4,671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7,290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2,901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Matrix Service Company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4,144</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ectPr>
          <w:pgSz w:w="11900" w:h="16838" w:orient="portrait"/>
          <w:cols w:equalWidth="0" w:num="1">
            <w:col w:w="11420"/>
          </w:cols>
          <w:pgMar w:left="240" w:top="65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79,239</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less allowances (September 30, 2015— $895 and June 30, 2015—$561)</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199,149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86,071</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8,298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2,773</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5,660</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354,508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381,769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Land and buildings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32,746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Construction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87,561</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47,468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28,874</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5,196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201,845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85,063</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71,518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23,961</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 noncurrent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3,947</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536,571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568,331</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ectPr>
          <w:pgSz w:w="11900" w:h="16838" w:orient="portrait"/>
          <w:cols w:equalWidth="0" w:num="1">
            <w:col w:w="11420"/>
          </w:cols>
          <w:pgMar w:left="240" w:top="576" w:right="2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125,792</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96,704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26,725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3,268</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6,498</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217,532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267,560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7,413</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Borrowings under senior credit facility</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8,804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283,777</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Matrix Service Company 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 September 30, 2015,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June 30, 2015; 26,531,657 and 26,440,823 shares outstanding as of September 30, 2015 and June 30,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123,038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194,394</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311,785</w:t>
            </w:r>
          </w:p>
        </w:tc>
      </w:tr>
      <w:tr>
        <w:trPr>
          <w:trHeight w:val="225"/>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Treasury stock, at cost— 1,356,560 shares as of September 30, 2015, and 1,447,394 shares as of June 30,</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2015</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Matrix Service Company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302,540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293,296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302,029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284,554</w:t>
            </w: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536,571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568,331</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4,671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of exercised stock options and vesting of deferred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 net of effects from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w:t>
            </w: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10,726</w:t>
            </w: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5,112</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(Note 2)</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r>
    </w:tbl>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w:t>
      </w:r>
    </w:p>
    <w:p>
      <w:pPr>
        <w:sectPr>
          <w:pgSz w:w="11900" w:h="16838" w:orient="portrait"/>
          <w:cols w:equalWidth="0" w:num="1">
            <w:col w:w="11420"/>
          </w:cols>
          <w:pgMar w:left="240" w:top="576" w:right="239" w:bottom="1440" w:gutter="0" w:footer="0" w:header="0"/>
        </w:sectPr>
      </w:pPr>
    </w:p>
    <w:bookmarkStart w:id="7" w:name="page8"/>
    <w:bookmarkEnd w:id="7"/>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contributions from noncontrolling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tax benefit of exercised stock options and vesting of deferred shares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Advances under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Repayments of advances under credit agreement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77,115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72,754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July 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123,038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194,394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284,554</w:t>
            </w:r>
          </w:p>
        </w:tc>
        <w:tc>
          <w:tcPr>
            <w:tcW w:w="0" w:type="dxa"/>
            <w:vAlign w:val="bottom"/>
          </w:tcPr>
          <w:p>
            <w:pPr>
              <w:spacing w:after="0"/>
              <w:rPr>
                <w:sz w:val="1"/>
                <w:szCs w:val="1"/>
                <w:color w:val="auto"/>
              </w:rPr>
            </w:pPr>
          </w:p>
        </w:tc>
      </w:tr>
      <w:tr>
        <w:trPr>
          <w:trHeight w:val="265"/>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contributions from non-controlling interest</w:t>
            </w: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8,433</w:t>
            </w: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9,739</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 (43,137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 of exercised stock options and vesting of</w:t>
            </w:r>
          </w:p>
        </w:tc>
        <w:tc>
          <w:tcPr>
            <w:tcW w:w="16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02"/>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deferred shares (63,809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shares sold to Employee Stock Purchase</w:t>
            </w:r>
          </w:p>
        </w:tc>
        <w:tc>
          <w:tcPr>
            <w:tcW w:w="16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02"/>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Plan (3,993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shares purchased to satisfy tax withholding</w:t>
            </w: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102"/>
        </w:trPr>
        <w:tc>
          <w:tcPr>
            <w:tcW w:w="3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obligations (20,105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September 30,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302,029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July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177,237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282,283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4,671</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 (23,100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effect of exercised stock options and vesting of</w:t>
            </w: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102"/>
        </w:trPr>
        <w:tc>
          <w:tcPr>
            <w:tcW w:w="3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deferred shares (89,738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shares sold to Employee Stock Purchase</w:t>
            </w: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02"/>
        </w:trPr>
        <w:tc>
          <w:tcPr>
            <w:tcW w:w="3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 (1,790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shares purchased to satisfy tax withholding</w:t>
            </w:r>
          </w:p>
        </w:tc>
        <w:tc>
          <w:tcPr>
            <w:tcW w:w="16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102"/>
        </w:trPr>
        <w:tc>
          <w:tcPr>
            <w:tcW w:w="3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obligations (33,304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September 30, 2014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120,129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183,151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286,639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ectPr>
          <w:pgSz w:w="11900" w:h="16838" w:orient="portrait"/>
          <w:cols w:equalWidth="0" w:num="1">
            <w:col w:w="11420"/>
          </w:cols>
          <w:pgMar w:left="240" w:top="954"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Accounting Policies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2015, included in the Company’s Annual Report on Form 10-K for the year then ended.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2014-09 (Topic 606), Revenue from Contracts with Customers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259"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adoption is permitted. We expect to adopt this standard in fiscal 2017.</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Accounting Standards Update 2015-15—Interest—Imputation of Interest (Subtopic 835-30): Presentation and Subsequent Measurement of Debt Issuance Costs Associated with Line-of-Credit Arrangements—Amendments to SEC Paragraphs Pursuant to Staff Announcement at June 18, 2015 EITF Meeting (SEC Update)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2015, the FASB issued ASU 2015-15 to clarify the Securities and Exchange Commission ("SEC") staff’s position on presenting and measuring debt issuance costs incurred in connection with line-of-credit arrangements given the lack of guidance on this topic in ASU 2015-03. The SEC has announced that it would “not object to an entity deferring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w:t>
      </w:r>
    </w:p>
    <w:p>
      <w:pPr>
        <w:sectPr>
          <w:pgSz w:w="11900" w:h="16838" w:orient="portrait"/>
          <w:cols w:equalWidth="0" w:num="1">
            <w:col w:w="11420"/>
          </w:cols>
          <w:pgMar w:left="240" w:top="657" w:right="239" w:bottom="1440" w:gutter="0" w:footer="0" w:header="0"/>
        </w:sectPr>
      </w:pPr>
    </w:p>
    <w:bookmarkStart w:id="10" w:name="page11"/>
    <w:bookmarkEnd w:id="10"/>
    <w:p>
      <w:pPr>
        <w:ind w:right="120"/>
        <w:spacing w:after="0" w:line="261" w:lineRule="auto"/>
        <w:rPr>
          <w:sz w:val="20"/>
          <w:szCs w:val="20"/>
          <w:color w:val="auto"/>
        </w:rPr>
      </w:pPr>
      <w:r>
        <w:rPr>
          <w:rFonts w:ascii="Times New Roman" w:cs="Times New Roman" w:eastAsia="Times New Roman" w:hAnsi="Times New Roman"/>
          <w:sz w:val="18"/>
          <w:szCs w:val="18"/>
          <w:color w:val="auto"/>
        </w:rPr>
        <w:t>presenting debt issuance costs as an asset and subsequently amortizing the deferred debt issuance costs ratably over the term of the line-of-credit arrangement.” For public business entities, the amendments in this Update are effective for financial statements issued for fiscal years beginning after December 15, 2015, and interim periods within those fiscal years. We expect to adopt this standard in fiscal 2017. The adoption of this standard will have no impact on the Company's presentation of debt issuance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2015-16—Business Combinations (Topic 805)—</w:t>
      </w:r>
      <w:r>
        <w:rPr>
          <w:rFonts w:ascii="Times New Roman" w:cs="Times New Roman" w:eastAsia="Times New Roman" w:hAnsi="Times New Roman"/>
          <w:sz w:val="18"/>
          <w:szCs w:val="18"/>
          <w:color w:val="auto"/>
        </w:rPr>
        <w:t>Simplifying the Accounting for Measurement-Period Adjustments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in fiscal 2017.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HDB Ltd. Limited Partnership</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advances a strategic goal of the Company to expand into the upstream energy market. The acquisition purchase price was $5.3 million and was funded with cash on hand. Commencing on August 22, 2014, HDB's operating results are included in the Oil Gas &amp; Chemical Segment.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major categories of assets and liabilities based on their estimated fair value at the acquisition date. The following table summarizes the purchase price allocation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6,306</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recorded goodwill from the HDB acquisition is tax deductible. The operating data related to this acquisition was not material.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Uncompleted Contracts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1,744,572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1,633,780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1,736,243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1,644,413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Shown on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86,071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75,275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96,704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September 30, 2015 and June 30, 2015 included retentions to be collected within one year of $26.3 million and $25.2 million, respectively. Contract retentions collectible beyond one year are included in Other Assets on the Condensed Consolidated Balance Sheet and totaled $1.0 million at September 30, 2015 and $2.8 million at June 30, 2015.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2014 our results of operations were materially impacted by charges resulting from a change in estimate related to an acquired EPC joint venture project in the Electrical Infrastructure segment. The charges resulted in a reduction to operating income of $3.3 million and an after-tax reduction of $1.3 million to net income attributable to Matrix Service Company. The Company reached substantial completion in the fourth quarter of fiscal 2015 on the project and is currently working through project closeout.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Intangible Assets Including Goodwill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60,027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June 30, 2015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 (2)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balance at September 30,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41,998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70,940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million impairment charge was recorded in February 2005.</w:t>
      </w:r>
    </w:p>
    <w:p>
      <w:pPr>
        <w:spacing w:after="0" w:line="27" w:lineRule="exact"/>
        <w:rPr>
          <w:rFonts w:ascii="Times New Roman" w:cs="Times New Roman" w:eastAsia="Times New Roman" w:hAnsi="Times New Roman"/>
          <w:sz w:val="18"/>
          <w:szCs w:val="18"/>
          <w:color w:val="auto"/>
        </w:rPr>
      </w:pPr>
    </w:p>
    <w:p>
      <w:pPr>
        <w:ind w:left="540" w:right="820" w:hanging="316"/>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 adjustments relate to the periodic translation of Canadian Dollar denominated goodwill recorded as a part of prior Canadian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September 30, 2015</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19,935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22,926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At June 30, 2015</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based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20,728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23,961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$0.8 million in the three months ended September 30, 2015 and $1.2 million in the three months ended September 30, 2014. We estimate that the remaining amortization expense at September 30, 2015 will be as follows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Matrix Service Company</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7"/>
        </w:trPr>
        <w:tc>
          <w:tcPr>
            <w:tcW w:w="94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94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21"/>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35"/>
        </w:trPr>
        <w:tc>
          <w:tcPr>
            <w:tcW w:w="9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Remainder of Fiscal 2016</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2,509</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2,506</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estimated remaining amortization expense at September 30, 2015</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Leverage Ratio, as defined in the agreement, may not exceed 2.50 to 1.00, determined as of the end of each fiscal quarter.</w:t>
      </w:r>
    </w:p>
    <w:p>
      <w:pPr>
        <w:spacing w:after="0" w:line="171" w:lineRule="exact"/>
        <w:rPr>
          <w:rFonts w:ascii="Times New Roman" w:cs="Times New Roman" w:eastAsia="Times New Roman" w:hAnsi="Times New Roman"/>
          <w:sz w:val="18"/>
          <w:szCs w:val="18"/>
          <w:color w:val="auto"/>
        </w:rPr>
      </w:pPr>
    </w:p>
    <w:p>
      <w:pPr>
        <w:ind w:left="1300" w:right="160" w:hanging="48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as defined in the agreement, greater than or equal to 1.25 to 1.00, determined as of the end of each fiscal quarter.</w:t>
      </w:r>
    </w:p>
    <w:p>
      <w:pPr>
        <w:spacing w:after="0" w:line="107" w:lineRule="exact"/>
        <w:rPr>
          <w:rFonts w:ascii="Times New Roman" w:cs="Times New Roman" w:eastAsia="Times New Roman" w:hAnsi="Times New Roman"/>
          <w:sz w:val="18"/>
          <w:szCs w:val="18"/>
          <w:color w:val="auto"/>
        </w:rPr>
      </w:pPr>
    </w:p>
    <w:p>
      <w:pPr>
        <w:ind w:left="1300" w:right="160" w:hanging="482"/>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inventory and obsolete or unneeded equipment disposed of in the ordinary course of business) are limited to $20.0 million per 12-month period.</w:t>
      </w:r>
    </w:p>
    <w:p>
      <w:pPr>
        <w:spacing w:after="0" w:line="108" w:lineRule="exact"/>
        <w:rPr>
          <w:sz w:val="20"/>
          <w:szCs w:val="20"/>
          <w:color w:val="auto"/>
        </w:rPr>
      </w:pPr>
    </w:p>
    <w:p>
      <w:pPr>
        <w:ind w:left="60" w:right="400"/>
        <w:spacing w:after="0" w:line="266"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0.20% and 0.35% based on the Senior Leverage Ratio.</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September 30, 2015, Consolidated EBITDA, as defined in the Credit Agreement, was $63.3 million. Accordingly, at September 30, 2015, there was a restriction on our ability to access the full amount of the credit facility. Consolidated Funded Indebtedness at September 30, 2015 was $25.1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credit facility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158,277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145,032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8,804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40,587</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125,169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Outstanding borrowings at September 30, 2015 under our Credit Agreement were used for Canadian dollar advances required for short term working capital, including cross-border purchases of materials and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2015, 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Unapproved Change Orders and Claims</w:t>
      </w:r>
    </w:p>
    <w:p>
      <w:pPr>
        <w:spacing w:after="0" w:line="9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unapproved change orders and claims of $13.1 million at September 30, 2015 and $12.7 million at June 30, 2015.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Common Share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926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80"/>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52"/>
              <w:spacing w:after="0"/>
              <w:rPr>
                <w:sz w:val="20"/>
                <w:szCs w:val="20"/>
                <w:color w:val="auto"/>
              </w:rPr>
            </w:pPr>
            <w:r>
              <w:rPr>
                <w:rFonts w:ascii="Times New Roman" w:cs="Times New Roman" w:eastAsia="Times New Roman" w:hAnsi="Times New Roman"/>
                <w:sz w:val="13"/>
                <w:szCs w:val="13"/>
                <w:color w:val="auto"/>
                <w:w w:val="97"/>
              </w:rPr>
              <w:t>(In thousands, except per share data)</w:t>
            </w:r>
          </w:p>
        </w:tc>
      </w:tr>
      <w:tr>
        <w:trPr>
          <w:trHeight w:val="258"/>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304"/>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9,941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5,914</w:t>
            </w:r>
          </w:p>
        </w:tc>
      </w:tr>
      <w:tr>
        <w:trPr>
          <w:trHeight w:val="251"/>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26,470</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91"/>
        </w:trPr>
        <w:tc>
          <w:tcPr>
            <w:tcW w:w="9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26,470</w:t>
            </w:r>
          </w:p>
        </w:tc>
      </w:tr>
      <w:tr>
        <w:trPr>
          <w:trHeight w:val="27"/>
        </w:trPr>
        <w:tc>
          <w:tcPr>
            <w:tcW w:w="9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nonvested deferred shares</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9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27,050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27,134</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EPS: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92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9260" w:type="dxa"/>
            <w:vAlign w:val="bottom"/>
          </w:tcPr>
          <w:p>
            <w:pPr>
              <w:spacing w:after="0"/>
              <w:rPr>
                <w:sz w:val="16"/>
                <w:szCs w:val="16"/>
                <w:color w:val="auto"/>
              </w:rPr>
            </w:pPr>
          </w:p>
        </w:tc>
        <w:tc>
          <w:tcPr>
            <w:tcW w:w="10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926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r>
      <w:tr>
        <w:trPr>
          <w:trHeight w:val="248"/>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10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56</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2015. Intersegment sales and transfers are recorded at cost; therefore, no intercompany profit or loss is recognized.</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- 15-</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revenues</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gross revenues</w:t>
            </w:r>
          </w:p>
        </w:tc>
        <w:tc>
          <w:tcPr>
            <w:tcW w:w="456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320,489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322,582</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Less: Inter-segment revenues</w:t>
            </w:r>
          </w:p>
        </w:tc>
        <w:tc>
          <w:tcPr>
            <w:tcW w:w="4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inter-segment revenues</w:t>
            </w:r>
          </w:p>
        </w:tc>
        <w:tc>
          <w:tcPr>
            <w:tcW w:w="456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4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53,359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456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319,331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321,683</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4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gross profit</w:t>
            </w:r>
          </w:p>
        </w:tc>
        <w:tc>
          <w:tcPr>
            <w:tcW w:w="456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34,584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28,379</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income</w:t>
            </w:r>
          </w:p>
        </w:tc>
        <w:tc>
          <w:tcPr>
            <w:tcW w:w="456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by segment were as follows:</w:t>
            </w: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44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Electrical Infrastructure</w:t>
            </w:r>
          </w:p>
        </w:tc>
        <w:tc>
          <w:tcPr>
            <w:tcW w:w="47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129,725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Oil Gas &amp; Chemical</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101,988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108,960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Storage Solutions</w:t>
            </w:r>
          </w:p>
        </w:tc>
        <w:tc>
          <w:tcPr>
            <w:tcW w:w="4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172,900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172,857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4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102,761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assets</w:t>
            </w:r>
          </w:p>
        </w:tc>
        <w:tc>
          <w:tcPr>
            <w:tcW w:w="4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54,028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segment assets</w:t>
            </w:r>
          </w:p>
        </w:tc>
        <w:tc>
          <w:tcPr>
            <w:tcW w:w="44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536,571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568,331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6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- 16-</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reported in our fiscal 2015 Annual Report on Form 10-K filed with the SEC. For more information on our critical accounting policies, see Part II, Item 7 of our fiscal 2015 Annual Report on Form 10-K. The following section provides certain information with respect to our critical accounting estimates as of the close of our most recent quarterly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five significant reporting units with goodwill representing 59%, 12%, 9%, 8% and 6% of the total goodwill balance. Our most recent annual goodwill impairment test, performed in the fourth quarter of fiscal 2015, indicated that the fair value of these reporting units exceeded their respective carrying values by 347%, 142%, 134%, 586% and 144%, respectively. The remaining 6% of total goodwill is spread between two other reporting units. Based on the excess of estimated fair value over carrying value and the absence of any indicators of impairment at September 30, 2015, the Company does not currently anticipate recording a goodwill impairment charge for any of its operating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that have finite useful lives are amortized by the straight-line method over their useful lives ranging from 1.5 to 15 years. The Company tests intangible assets with finite lives for impairment whenever events or circumstances indicate that the carrying value may not be recoverable. The Company did not observe any events or circumstances during the three months ended September 30, 2015 that would indicate that the carrying value of its intangible assets may not be recoverable.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Unapproved Change Orders and Claims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unapproved change orders and claims of $13.1 million at September 30, 2015 and $12.7 million at June 30, 2015. The amounts ultimately realized may be significantly different than the recorded amounts resulting in a material adjustment to future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Reserves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 2014-09 (Topic 606), Revenue from Contracts with Customers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July 2015, the FASB deferred the effective date of ASU 2014-09 by one year. With the deferral, this ASU is now effective for annual reporting periods beginning after December 15, 2017, with early adoption now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w:t>
      </w:r>
    </w:p>
    <w:p>
      <w:pPr>
        <w:sectPr>
          <w:pgSz w:w="11900" w:h="16838" w:orient="portrait"/>
          <w:cols w:equalWidth="0" w:num="1">
            <w:col w:w="11400"/>
          </w:cols>
          <w:pgMar w:left="240" w:top="576" w:right="259" w:bottom="1440" w:gutter="0" w:footer="0" w:header="0"/>
        </w:sectPr>
      </w:pPr>
    </w:p>
    <w:bookmarkStart w:id="19" w:name="page20"/>
    <w:bookmarkEnd w:id="19"/>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5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adoption is permitted. We expect to adopt this standard in fiscal 2017.</w:t>
      </w:r>
    </w:p>
    <w:p>
      <w:pPr>
        <w:spacing w:after="0" w:line="20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Accounting Standards Update 2015-15—Interest—Imputation of Interest (Subtopic 835-30): Presentation and Subsequent Measurement of Debt Issuance Costs Associated with Line-of-Credit Arrangements—Amendments to SEC Paragraphs Pursuant to Staff Announcement at June 18, 2015 EITF Meeting (SEC Update)</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16, 2015, the FASB issued ASU 2015-15 to clarify the Securities and Exchange Commission ("SEC") staff’s position on presenting and measuring debt issuance costs incurred in connection with line-of-credit arrangements given the lack of guidance on this topic in ASU 2015-03. The SEC has announced that it would “not object to an entity deferring and presenting debt issuance costs as an asset and subsequently amortizing the deferred debt issuance costs ratably over the term of the line-of-credit arrangement.” For public business entities, the amendments in this Update are effective for financial statements issued for fiscal years beginning after December 15, 2015, and interim periods within those fiscal years. We expect to adopt this standard in fiscal 2017. The adoption of this standard will have no impact on the Company's presentation of debt issuance costs.</w:t>
      </w:r>
    </w:p>
    <w:p>
      <w:pPr>
        <w:spacing w:after="0" w:line="186" w:lineRule="exact"/>
        <w:rPr>
          <w:sz w:val="20"/>
          <w:szCs w:val="20"/>
          <w:color w:val="auto"/>
        </w:rPr>
      </w:pPr>
    </w:p>
    <w:p>
      <w:pPr>
        <w:ind w:right="346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2015-16—Business Combinations (Topic 805)—</w:t>
      </w:r>
      <w:r>
        <w:rPr>
          <w:rFonts w:ascii="Times New Roman" w:cs="Times New Roman" w:eastAsia="Times New Roman" w:hAnsi="Times New Roman"/>
          <w:sz w:val="18"/>
          <w:szCs w:val="18"/>
          <w:color w:val="auto"/>
        </w:rPr>
        <w:t>Simplifying the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Measurement-Period Adjustments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expect to adopt this standard in fiscal 2017.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Storage Solutions segment includes new construction of crude and refined products aboveground storage tanks (“ASTs”), as well as planned and emergency maintenance services. The Storage Solutions segment also includes balance of plant work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w:t>
      </w:r>
    </w:p>
    <w:p>
      <w:pPr>
        <w:sectPr>
          <w:pgSz w:w="11900" w:h="16838" w:orient="portrait"/>
          <w:cols w:equalWidth="0" w:num="1">
            <w:col w:w="11420"/>
          </w:cols>
          <w:pgMar w:left="240" w:top="875" w:right="239" w:bottom="1440" w:gutter="0" w:footer="0" w:header="0"/>
        </w:sectPr>
      </w:pPr>
    </w:p>
    <w:bookmarkStart w:id="20" w:name="page21"/>
    <w:bookmarkEnd w:id="20"/>
    <w:p>
      <w:pPr>
        <w:ind w:right="160"/>
        <w:spacing w:after="0" w:line="266" w:lineRule="auto"/>
        <w:rPr>
          <w:sz w:val="20"/>
          <w:szCs w:val="20"/>
          <w:color w:val="auto"/>
        </w:rPr>
      </w:pPr>
      <w:r>
        <w:rPr>
          <w:rFonts w:ascii="Times New Roman" w:cs="Times New Roman" w:eastAsia="Times New Roman" w:hAnsi="Times New Roman"/>
          <w:sz w:val="18"/>
          <w:szCs w:val="18"/>
          <w:color w:val="auto"/>
        </w:rPr>
        <w:t>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floating roof seals.</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to the Three Months Ended September 30,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Consolidated revenue was $319.3 million for the three months ended September 30, 2015, compared to consolidated revenue of $321.7 million in the same period in the prior fiscal year. On a segment basis, consolidated revenue increased in the Electrical Infrastructure, Storage Solutions and Oil Gas &amp; Chemical segments by $9.9 million, $10.9 million and $15.0 million, respectively. These increases were offset by a reduction in the Industrial segment of $38.2 million.</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gross profit increased from $28.4 million in the three months ended September 30, 2014 to $34.6 million in the three months ended September 30, 2015. Gross margins were 10.8% in the three months ended September 30, 2015 compared to 8.8% for the three months ended September 30, 2015. Fiscal 2015 margins were reduced 1.8% to 8.8% due to a $3.3 million project charge for the acquired EPC joint venture project.</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Consolidated SG&amp;A expenses were $19.5 million in the three months ended September 30, 2015 compared to $19.8 million in the same period a year earlier. SG&amp;A expense as a percentage of revenue was 6.1% in the three months ended September 30, 2015 compared to 6.2% for the three months ended September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was $0.2 million and $0.3 million in the three months ended September 30, 2015 and September 30, 2014, respectively.</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2015 decreased to 34.3% compared to 43.7% the same period a year earlier. Our effective tax rate for the three months ended September 30, 2014 was impacted, in part, by the acquired EPC joint venture project in which the Company has a 65% interest and for which the Company does not receive a tax benefit. The inclusion of the acquired EPC joint venture project loss for the three months ended September 30, 2014 increased our effective tax rate by 5.7%. The fiscal 2015 tax rate was positively impacted by a discrete item related to our Canadian operations.</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net income attributable to Matrix Service Company and the related fully diluted earnings per share were $9.9 million and $0.37 compared to net income attributable to Matrix Service Company of $5.9 million and fully diluted earnings per share of $0.22 in the same period a year earlier.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Electrical Infrastructure</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Revenue for the Electrical Infrastructure segment increased $9.9 million to $65.6 million in the three months ended September 30, 2015 compared to $55.7 million in the same period a year earlier as a result of volume increases in both power delivery and power generation. Gross margins increased to 7.2% in the three months ended September 30, 2015 compared to (0.9%) in the same period a year earlier. Fiscal 2015 gross margins were negatively impacted by a $3.3 million project charge related to an acquired EPC joint venture project. Fiscal 2016 gross margins were negatively impacted by $12.7 million of revenue related to this project being recognized at zero margin. The Company reached substantial completion of this project in the fourth quarter of fiscal 2015 and is working through final close out with the client.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Gas &amp; Chemical</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Revenue for the Oil Gas &amp; Chemical segment increased to $68.3 million in the three months ended September 30, 2015 compared to $53.3 million in the same period a year earlier. The increase of $15.0 million, or 28.1%, was primarily due to higher levels of both capital and maintenance work. Gross margins were 8.3% and 8.2% for three months ended September 30, 2015 and September 30, 2014, respectively, as the impact of better absorption of overhead costs was largely offset by lower direct margins.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Solutions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 for the Storage Solutions segment increased to $144.2 million in the three months ended September 30, 2015 compared to $133.3 million in the same period a year earlier, an increase of 8.2%. The increase is primarily attributable to higher domestic levels of balance of plant work partially offset by lower revenue in our Canadian operations. Gross margins were 14.0% for the three months ended September 30, 2015 compared to 10.9% in the same period a year earlier. Fiscal 2016 margin were positively impacted by the over recovery of construction overhead costs due to higher revenue along with strong project execution.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for the Industrial segment decreased $38.2 million to $41.2 million in the three months ended September 30, 2015 compared to $79.4 million in the same period a year earlier. The decline in revenue is primarily attributable to lower business volumes from the iron and steel industry customers that the Company serves. Gross margins were 9.6% in the three months ended September 30, 2015 compared to 12.6% in the same period a year earlier. Fiscal 2016 margins were positively impacted by the mix of work and strong project execution. Fiscal 2015 margins were positively impacted by favorable project completions.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three months ended September 30,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Electrical</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Oil Gas &amp;</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28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Backlog as of June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493,973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132,985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670,493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123,147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1,420,598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183,443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Backlog as of September 30, 2015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466,788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129,038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593,822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95,062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1,284,710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to complete. Backlog in the Storage Solutions and Electrical Infrastructure segments typically have the greatest volatility because individual project awards can be less frequent and more significant. Project awards in these segments were slightly less than anticipated but generally in line with the Company's expectations. Backlog in the Industrial segment was negatively impacted by a project cancellation of $11.5 million related to an on-going project and a slowdown in the iron and steel industry. The cancellation was not attributable to the Company's performance on the project. It is our belief that the cancellation was attributable to softness in commodity prices, including copper, for which the client is exposed.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2016, The Company saw no cancellations that were the result of crude oil price declines during the period.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3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Crude Oil Prices</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effect of declining crude prices on our results for the three months ended September 30, 2015 was not significant, and there have been no significant reductions to our backlog as a result of project cancellations. In addition, we expect that any future impact to the Electrical Infrastructure and Industrial segments will be minimal as these segments have limited exposure to the price of crude.</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our Storage Solutions segment, our customers continue to take a long-term view of the crude market and continue to be cautious short-term. If crude oil prices continue at current levels or decline further into fiscal 2016, we could see some reduction in customer spending. Although we do not expect the impact to future earnings to be significant, we cannot predict the direction of crude oil prices or our customers’ ultimate reaction to the market.</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mid and downstream portions of the Oil Gas &amp; Chemical segment, we expect minimal mid and long term impact to our revenue volume attributable to routine maintenance and turnaround work. However, we are receiving mixed messages from our customers regarding the magnitude and timing of work and it is unclear, what, if any impact the price of crude oil has had. Additionally, some of our mid and downstream customers are integrated oil companies with exposure to the price of crude, and if the prices continue at current levels or decline further during fiscal 2016, spending levels may be reduced. Our exposure to non-integrated upstream clients in the Oil Gas &amp; Chemical segment, who have direct exposure to the price of crude, is limited to the operations from our recent acquisition of substantially all of the assets of HDB Ltd. Limited Partnership which conducts most of its business with upstream exploration companies. Although we expect this customer base to continue spending at a reduced level, our exposure to upstream clients is not currently significant.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w:t>
      </w:r>
    </w:p>
    <w:p>
      <w:pPr>
        <w:sectPr>
          <w:pgSz w:w="11900" w:h="16838" w:orient="portrait"/>
          <w:cols w:equalWidth="0" w:num="1">
            <w:col w:w="11400"/>
          </w:cols>
          <w:pgMar w:left="240" w:top="661" w:right="25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80" w:lineRule="exact"/>
        <w:rPr>
          <w:sz w:val="20"/>
          <w:szCs w:val="20"/>
          <w:color w:val="auto"/>
        </w:rPr>
      </w:pPr>
    </w:p>
    <w:p>
      <w:pPr>
        <w:ind w:left="980" w:right="22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76"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EBITDA to net income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188"/>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Matrix Service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9,941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5,914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3,624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5,771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20,709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15,660</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define liquidity as the ongoing ability to pay our liabilities as they become due, fund business operations and meet all monetary contractual obligations. Our primary sources of liquidity for the three months ended September 30, 2015 were cash on hand at the beginning of the fiscal year, capacity under our senior revolving credit facility and cash generated from operations before consideration of changes in working capital. Cash on hand at September 30, 2015 totaled $69.2 million and availability under the senior revolving credit facility totaled $125.2 million resulting in available liquidity of $194.4 million.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61" w:lineRule="exact"/>
        <w:rPr>
          <w:rFonts w:ascii="Times New Roman" w:cs="Times New Roman" w:eastAsia="Times New Roman" w:hAnsi="Times New Roman"/>
          <w:sz w:val="18"/>
          <w:szCs w:val="18"/>
          <w:color w:val="auto"/>
        </w:rPr>
      </w:pPr>
    </w:p>
    <w:p>
      <w:pPr>
        <w:ind w:left="1620" w:right="960" w:hanging="315"/>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 plus and fixed price customer contracts are billed based on milestones which may require us to incur significant expenditures prior to collections from our customers.</w:t>
      </w:r>
    </w:p>
    <w:p>
      <w:pPr>
        <w:spacing w:after="0" w:line="161" w:lineRule="exact"/>
        <w:rPr>
          <w:rFonts w:ascii="Times New Roman" w:cs="Times New Roman" w:eastAsia="Times New Roman" w:hAnsi="Times New Roman"/>
          <w:sz w:val="18"/>
          <w:szCs w:val="18"/>
          <w:color w:val="auto"/>
        </w:rPr>
      </w:pPr>
    </w:p>
    <w:p>
      <w:pPr>
        <w:ind w:left="1620" w:right="280" w:hanging="315"/>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w:t>
      </w:r>
    </w:p>
    <w:p>
      <w:pPr>
        <w:spacing w:after="0" w:line="161"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significant retentions or security in the form of letters of credit.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52"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new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or collection issues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under our credit facility and remaining in compliance with all covenants contained in the credit agreement.</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discussed under the caption "Senior Revolving Credit Facility" included in this Financial Condition and Liquidity section of the Form 10-Q, our Credit Agreement includes a Senior Leverage Ratio covenant, which provides that Consolidated Funded Indebtedness, as of the end of any fiscal quarter, may not exceed 2.5 times Consolidated EBITDA, as defined in the Credit Agreement, over the previous four quarters. Consequently, project charges that the Company has made in connection with the acquired EPC joint venture have resulted in a significant short term capacity constraint on the Company's senior revolving credit facility Although the constraint does reduce our liquidity,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for the Three Months Ended September 30, 2015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Operating Activities</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used by operating activities for the three months ended September 30, 2015 totaled $14.5 million. The various components of cash flows from operating activities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632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b w:val="1"/>
                <w:bCs w:val="1"/>
                <w:color w:val="auto"/>
              </w:rPr>
              <w:t>Net Cash Used by Operating Activities</w:t>
            </w:r>
          </w:p>
        </w:tc>
        <w:tc>
          <w:tcPr>
            <w:tcW w:w="960" w:type="dxa"/>
            <w:vAlign w:val="bottom"/>
          </w:tcPr>
          <w:p>
            <w:pPr>
              <w:spacing w:after="0"/>
              <w:rPr>
                <w:sz w:val="19"/>
                <w:szCs w:val="19"/>
                <w:color w:val="auto"/>
              </w:rPr>
            </w:pPr>
          </w:p>
        </w:tc>
      </w:tr>
      <w:tr>
        <w:trPr>
          <w:trHeight w:val="234"/>
        </w:trPr>
        <w:tc>
          <w:tcPr>
            <w:tcW w:w="4140" w:type="dxa"/>
            <w:vAlign w:val="bottom"/>
          </w:tcPr>
          <w:p>
            <w:pPr>
              <w:spacing w:after="0"/>
              <w:rPr>
                <w:sz w:val="20"/>
                <w:szCs w:val="20"/>
                <w:color w:val="auto"/>
              </w:rPr>
            </w:pPr>
          </w:p>
        </w:tc>
        <w:tc>
          <w:tcPr>
            <w:tcW w:w="6320" w:type="dxa"/>
            <w:vAlign w:val="bottom"/>
            <w:gridSpan w:val="2"/>
          </w:tcPr>
          <w:p>
            <w:pPr>
              <w:jc w:val="right"/>
              <w:ind w:right="413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0"/>
                <w:szCs w:val="20"/>
                <w:color w:val="auto"/>
              </w:rPr>
            </w:pPr>
          </w:p>
        </w:tc>
      </w:tr>
      <w:tr>
        <w:trPr>
          <w:trHeight w:val="324"/>
        </w:trPr>
        <w:tc>
          <w:tcPr>
            <w:tcW w:w="4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3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9,739</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expenses</w:t>
            </w:r>
          </w:p>
        </w:tc>
        <w:tc>
          <w:tcPr>
            <w:tcW w:w="5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7,327</w:t>
            </w: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w:t>
            </w:r>
          </w:p>
        </w:tc>
        <w:tc>
          <w:tcPr>
            <w:tcW w:w="5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1,380</w:t>
            </w:r>
          </w:p>
        </w:tc>
      </w:tr>
      <w:tr>
        <w:trPr>
          <w:trHeight w:val="243"/>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5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(32,957)</w:t>
            </w: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4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59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(14,451)</w:t>
            </w:r>
          </w:p>
        </w:tc>
      </w:tr>
      <w:tr>
        <w:trPr>
          <w:trHeight w:val="20"/>
        </w:trPr>
        <w:tc>
          <w:tcPr>
            <w:tcW w:w="4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effect of significant changes in operating assets and liabilities at September 30, 2015 in comparison to June 30, 2015 include the following:</w:t>
      </w:r>
    </w:p>
    <w:p>
      <w:pPr>
        <w:spacing w:after="0" w:line="225" w:lineRule="exact"/>
        <w:rPr>
          <w:sz w:val="20"/>
          <w:szCs w:val="20"/>
          <w:color w:val="auto"/>
        </w:rPr>
      </w:pPr>
    </w:p>
    <w:p>
      <w:pPr>
        <w:ind w:left="980" w:right="12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accounts receivable caused an increase in cash of $16.2 million. The variance is primarily attributable to higher revenues in the fiscal 2015 fourth quarter of $364.4 million in comparison to $319.3 million for the fiscal 2016 first quarter. Consequently, collection of amounts in the fiscal 2016 first quarter that were billed in the fiscal 2015 fourth quarter, along with the decrease in revenue (which drove lower billings in the fiscal 2016 first quarter), contributed to the increase in cash.</w:t>
      </w:r>
    </w:p>
    <w:p>
      <w:pPr>
        <w:spacing w:after="0" w:line="180" w:lineRule="exact"/>
        <w:rPr>
          <w:rFonts w:ascii="Times New Roman" w:cs="Times New Roman" w:eastAsia="Times New Roman" w:hAnsi="Times New Roman"/>
          <w:sz w:val="18"/>
          <w:szCs w:val="18"/>
          <w:color w:val="auto"/>
        </w:rPr>
      </w:pPr>
    </w:p>
    <w:p>
      <w:pPr>
        <w:ind w:left="980" w:right="80" w:hanging="324"/>
        <w:spacing w:after="0" w:line="25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decreased $2.5 million million while billings on uncompleted contracts in excess of costs and estimated earnings ("BIE") decreased $21.4 million . The net change in CIE and BIE decreased cash $19.0 million for the three months ended September 30, 2015. CIE and BIE balances can experience significant day-to-day fluctuations based on the timing of when job costs are incurred, the invoicing of those job costs to the customer and subsequent cash collection, and other working capital management factors. The overall net change change was primarily attributable to decreased business activity for the fiscal 2016 first quarter in comparison to the fiscal 2015 fourth quarter.</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5" w:name="page26"/>
    <w:bookmarkEnd w:id="25"/>
    <w:p>
      <w:pPr>
        <w:ind w:left="980" w:right="14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accounts payable resulted in a decrease to cash of $26.2 million. The variance is primarily due to decreased business activity for the fiscal 2016 first quarter in comparison to the fiscal 2015 fourth quarter. Revenues in the fiscal 2015 fourth quarter were $364.4 million in comparison to $319.3 for the fiscal 2016 first quarter.</w:t>
      </w:r>
    </w:p>
    <w:p>
      <w:pPr>
        <w:spacing w:after="0" w:line="176"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accrued wages and benefits resulted in a decrease to cash of $4.0 million driven primarily by payment of short term incentives accrued at June 30, 2015 but paid in the fiscal 2016 first quarter.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for Investing Activities</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Investing activities used $3.8 million of cash in the first three months of fiscal 2016 primarily due to capital expenditures of $3.9 million. Capital expenditures consisted of $0.9 million for the purchase of construction equipment, $0.5 million for transportation and fabrication equipment, $1.7 million for office equipment, $0.6 million for buildings, and $0.2 million for small tools. Proceeds from asset sales provided $0.1 million of cash.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Financing activities provided $9.5 million of cash in the first three months of fiscal 2016 primarily due to $8.4 million in proceeds contributed from the noncontrolling interest partner in our acquired EPC joint venture project, borrowings of $1.0 million under our credit facility, cash received for the issuance of stock options of $0.4 million, $0.1 million in cash received from employees participating in the Company's employee stock purchase program, partially offset by treasury share purchases of $0.4 million. The excess tax benefit of exercised stock options and vesting of deferred shares provided less than $0.1 million of cash. Cash borrowings were used for Canadian dollar advances to fund our existing Canadian operations including amounts to settle intercompany cross currency billings and other borrowings to finance our short-term working capital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Revolving Credit Facility</w:t>
      </w:r>
    </w:p>
    <w:p>
      <w:pPr>
        <w:spacing w:after="0" w:line="175" w:lineRule="exact"/>
        <w:rPr>
          <w:sz w:val="20"/>
          <w:szCs w:val="20"/>
          <w:color w:val="auto"/>
        </w:rPr>
      </w:pPr>
    </w:p>
    <w:p>
      <w:pPr>
        <w:jc w:val="both"/>
        <w:ind w:left="60" w:right="40"/>
        <w:spacing w:after="0" w:line="266" w:lineRule="auto"/>
        <w:rPr>
          <w:sz w:val="20"/>
          <w:szCs w:val="20"/>
          <w:color w:val="auto"/>
        </w:rPr>
      </w:pPr>
      <w:r>
        <w:rPr>
          <w:rFonts w:ascii="Times New Roman" w:cs="Times New Roman" w:eastAsia="Times New Roman" w:hAnsi="Times New Roman"/>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Leverage Ratio, as defined in the agreement, may not exceed 2.50 to 1.00, determined as of the end of each fiscal quarter.</w:t>
      </w:r>
    </w:p>
    <w:p>
      <w:pPr>
        <w:spacing w:after="0" w:line="171" w:lineRule="exact"/>
        <w:rPr>
          <w:rFonts w:ascii="Times New Roman" w:cs="Times New Roman" w:eastAsia="Times New Roman" w:hAnsi="Times New Roman"/>
          <w:sz w:val="18"/>
          <w:szCs w:val="18"/>
          <w:color w:val="auto"/>
        </w:rPr>
      </w:pPr>
    </w:p>
    <w:p>
      <w:pPr>
        <w:ind w:left="1300" w:right="160" w:hanging="48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maintain a Fixed Charge Coverage Ratio, as defined in the agreement, greater than or equal to 1.25 to 1.00, determined as of the end of each fiscal quarter.</w:t>
      </w:r>
    </w:p>
    <w:p>
      <w:pPr>
        <w:spacing w:after="0" w:line="107" w:lineRule="exact"/>
        <w:rPr>
          <w:rFonts w:ascii="Times New Roman" w:cs="Times New Roman" w:eastAsia="Times New Roman" w:hAnsi="Times New Roman"/>
          <w:sz w:val="18"/>
          <w:szCs w:val="18"/>
          <w:color w:val="auto"/>
        </w:rPr>
      </w:pPr>
    </w:p>
    <w:p>
      <w:pPr>
        <w:ind w:left="1300" w:right="160" w:hanging="482"/>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dispositions (other than inventory and obsolete or unneeded equipment disposed of in the ordinary course of business) are limited to $20.0 million per 12-month period.</w:t>
      </w:r>
    </w:p>
    <w:p>
      <w:pPr>
        <w:spacing w:after="0" w:line="108" w:lineRule="exact"/>
        <w:rPr>
          <w:sz w:val="20"/>
          <w:szCs w:val="20"/>
          <w:color w:val="auto"/>
        </w:rPr>
      </w:pPr>
    </w:p>
    <w:p>
      <w:pPr>
        <w:ind w:left="60" w:right="400"/>
        <w:spacing w:after="0" w:line="266"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Credit Facility Fee is between 0.20% and 0.35% based on the Senior Leverage Ratio.</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Senior Leverage Ratio covenant, which provides that Consolidated Funded Indebtedness, as of the end of any fiscal quarter, may not exceed 2.5 times Consolidated EBITDA, as defined in the Credit Agreement, over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w:t>
      </w:r>
    </w:p>
    <w:p>
      <w:pPr>
        <w:sectPr>
          <w:pgSz w:w="11900" w:h="16838" w:orient="portrait"/>
          <w:cols w:equalWidth="0" w:num="1">
            <w:col w:w="11420"/>
          </w:cols>
          <w:pgMar w:left="240" w:top="580" w:right="23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previous four quarters. For the four quarters ended September 30, 2015, Consolidated EBITDA, as defined in the Credit Agreement, was $63.3 million. Accordingly, at September 30, 2015, there was a restriction on our ability to access the full amount of the credit facility. Consolidated Funded Indebtedness at September 30, 2015 was $25.1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under the senior credit facility at September 30, 2015 and June 30,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3"/>
                <w:szCs w:val="13"/>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54,968</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158,277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145,032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8,804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40,587</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Availability under the senior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125,169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95,641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Outstanding borrowings at September 30, 2015 consisted of Canadian dollar advances to fund our existing Canadian operations including amounts to settle intercompany cross currency billings and other borrowings to finance our short-term working capital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 compliance with all affirmative, negative, and financial covenants under the Credit Agreement.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 and Treasury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4, 2014 the Board of Directors approved a stock buyback program that replaced the program that had previously been in place.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As of September 30, 2015, the Company has purchased 283,772 shares under the program. No shares were purchased during the first quarter of fiscal 2016 under the stock buyback program.</w:t>
      </w:r>
    </w:p>
    <w:p>
      <w:pPr>
        <w:spacing w:after="0" w:line="13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addition to the stock buyback program, the Company may withhold shares of common stock to satisfy the tax withholding obligations upon vesting of an employee’s deferred shares. Matrix withheld 20,105 shares in the first three months of fiscal 2016 to satisfy these obligations. These shares were returned to the Company’s pool of treasury shares.</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1,356,560 treasury shares as of September 30, 2015 and intends to utilize these treasury shares solely in connection with equity awards under the Company’s stock incentive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revenues and margins from each of our segments;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40" w:hanging="98"/>
        <w:spacing w:after="0"/>
        <w:tabs>
          <w:tab w:leader="none" w:pos="5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industries we serve;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crude oil and other commodity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or to raise cash in order to meet our short and long-term capital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76"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discussed in our Form 10-K for the fiscal year ended June 30, 2015 and listed from time to time in our filings with the Securities and Exchange Commission;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gas, power and mining and minerals industries in particular;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contingencies;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many of which are beyond our control.</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- 26-</w:t>
      </w:r>
    </w:p>
    <w:p>
      <w:pPr>
        <w:sectPr>
          <w:pgSz w:w="11900" w:h="16838" w:orient="portrait"/>
          <w:cols w:equalWidth="0" w:num="1">
            <w:col w:w="11340"/>
          </w:cols>
          <w:pgMar w:left="240" w:top="58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faced by us from those reported in our Annual Report on Form 10-K for the fiscal year ended June 30, 2015, filed with the Securities and Exchange Commission. For more information on market risk, see Part II, Item 7A in our fiscal 2015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2015. Based on the foregoing, our Chief Executive Officer and Chief Financial Officer concluded that our disclosure controls and procedures were effective at the reasonable assurance level at September 30, 2015.</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w:t>
      </w:r>
    </w:p>
    <w:p>
      <w:pPr>
        <w:sectPr>
          <w:pgSz w:w="11900" w:h="16838" w:orient="portrait"/>
          <w:cols w:equalWidth="0" w:num="1">
            <w:col w:w="11400"/>
          </w:cols>
          <w:pgMar w:left="240" w:top="819" w:right="25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Risk Factors from those reported in Item 1A of Part I of our Annual Report on Form 10-K for the fiscal year ended June 30,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information with respect to purchases made by the Company of its common stock during the first quarter of fiscal year 2016.</w:t>
      </w:r>
    </w:p>
    <w:p>
      <w:pPr>
        <w:spacing w:after="0" w:line="34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(C)</w:t>
            </w:r>
          </w:p>
        </w:tc>
        <w:tc>
          <w:tcPr>
            <w:tcW w:w="0" w:type="dxa"/>
            <w:vAlign w:val="bottom"/>
          </w:tcPr>
          <w:p>
            <w:pPr>
              <w:spacing w:after="0"/>
              <w:rPr>
                <w:sz w:val="1"/>
                <w:szCs w:val="1"/>
                <w:color w:val="auto"/>
              </w:rPr>
            </w:pPr>
          </w:p>
        </w:tc>
      </w:tr>
      <w:tr>
        <w:trPr>
          <w:trHeight w:val="249"/>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1 to July 31, 2015</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2,369,627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1 to August 31, 2015</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2,369,627</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Transactions (B)</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17,239</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1 to September 30, 2015</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2,369,627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Transactions (B)</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2,606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purchased under our stock buyback program.</w:t>
      </w:r>
    </w:p>
    <w:p>
      <w:pPr>
        <w:spacing w:after="0" w:line="27" w:lineRule="exact"/>
        <w:rPr>
          <w:rFonts w:ascii="Times New Roman" w:cs="Times New Roman" w:eastAsia="Times New Roman" w:hAnsi="Times New Roman"/>
          <w:sz w:val="18"/>
          <w:szCs w:val="18"/>
          <w:color w:val="auto"/>
        </w:rPr>
      </w:pPr>
    </w:p>
    <w:p>
      <w:pPr>
        <w:ind w:left="540" w:right="60" w:hanging="316"/>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the employee’s tax withholding obligation that is incurred upon the vesting of deferred shares granted under the Company’s stock incentive plans.</w:t>
      </w:r>
    </w:p>
    <w:p>
      <w:pPr>
        <w:ind w:left="540" w:right="200" w:hanging="316"/>
        <w:spacing w:after="0" w:line="253"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2014 the Board of Directors approved a stock buyback program. The program, which expires on December 31, 2016, allows the Company to purchase up to $25.0 million of common stock annually if sufficient liquidity exists and management believes the purchase would be beneficial to the Company's stockholders. The annual $25.0 million limitation is applied on a calendar year basis. The cumulative number of shares repurchased cannot exceed 2,653,399, which represents 10% of the shares outstanding on the date the new repurchase program was approved. No shares were purchased during the first quarter of fiscal 2016 under the stock buyback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- 28-</w:t>
      </w:r>
    </w:p>
    <w:p>
      <w:pPr>
        <w:sectPr>
          <w:pgSz w:w="11900" w:h="16838" w:orient="portrait"/>
          <w:cols w:equalWidth="0" w:num="1">
            <w:col w:w="11360"/>
          </w:cols>
          <w:pgMar w:left="240" w:top="576"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8" w:lineRule="exact"/>
        <w:rPr>
          <w:sz w:val="20"/>
          <w:szCs w:val="20"/>
          <w:color w:val="auto"/>
        </w:rPr>
      </w:pPr>
    </w:p>
    <w:p>
      <w:pPr>
        <w:ind w:left="4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31.1:</w:t>
      </w:r>
      <w:r>
        <w:rPr>
          <w:sz w:val="20"/>
          <w:szCs w:val="20"/>
          <w:color w:val="auto"/>
        </w:rPr>
        <w:tab/>
      </w:r>
      <w:r>
        <w:rPr>
          <w:rFonts w:ascii="Times New Roman" w:cs="Times New Roman" w:eastAsia="Times New Roman" w:hAnsi="Times New Roman"/>
          <w:sz w:val="17"/>
          <w:szCs w:val="17"/>
          <w:color w:val="auto"/>
        </w:rPr>
        <w:t>Certification Pursuant to Section 302 of Sarbanes-Oxley Act of 2002 – CEO.</w:t>
      </w:r>
    </w:p>
    <w:p>
      <w:pPr>
        <w:spacing w:after="0" w:line="185" w:lineRule="exact"/>
        <w:rPr>
          <w:sz w:val="20"/>
          <w:szCs w:val="20"/>
          <w:color w:val="auto"/>
        </w:rPr>
      </w:pPr>
    </w:p>
    <w:p>
      <w:pPr>
        <w:ind w:left="40"/>
        <w:spacing w:after="0"/>
        <w:tabs>
          <w:tab w:leader="none" w:pos="1920" w:val="left"/>
        </w:tabs>
        <w:rPr>
          <w:sz w:val="20"/>
          <w:szCs w:val="20"/>
          <w:color w:val="auto"/>
        </w:rPr>
      </w:pPr>
      <w:r>
        <w:rPr>
          <w:rFonts w:ascii="Times New Roman" w:cs="Times New Roman" w:eastAsia="Times New Roman" w:hAnsi="Times New Roman"/>
          <w:sz w:val="18"/>
          <w:szCs w:val="18"/>
          <w:color w:val="auto"/>
        </w:rPr>
        <w:t>Exhibit 31.2:</w:t>
      </w:r>
      <w:r>
        <w:rPr>
          <w:sz w:val="20"/>
          <w:szCs w:val="20"/>
          <w:color w:val="auto"/>
        </w:rPr>
        <w:tab/>
      </w:r>
      <w:r>
        <w:rPr>
          <w:rFonts w:ascii="Times New Roman" w:cs="Times New Roman" w:eastAsia="Times New Roman" w:hAnsi="Times New Roman"/>
          <w:sz w:val="17"/>
          <w:szCs w:val="17"/>
          <w:color w:val="auto"/>
        </w:rPr>
        <w:t>Certification Pursuant to Section 302 of Sarbanes-Oxley Act of 2002 – CFO.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2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U.S.C. 1350</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906 of Sarbanes-Oxley Act of 2002) – CEO.</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32.2:</w:t>
            </w:r>
          </w:p>
        </w:tc>
        <w:tc>
          <w:tcPr>
            <w:tcW w:w="2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U.S.C. 1350</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(section 906 of Sarbanes-Oxley Act of 2002) – CFO.</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95:</w:t>
            </w:r>
          </w:p>
        </w:tc>
        <w:tc>
          <w:tcPr>
            <w:tcW w:w="2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Mine Safety Disclosure.</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2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c>
          <w:tcPr>
            <w:tcW w:w="9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XBRL Taxonomy Schema Document.</w:t>
            </w:r>
          </w:p>
        </w:tc>
        <w:tc>
          <w:tcPr>
            <w:tcW w:w="3840" w:type="dxa"/>
            <w:vAlign w:val="bottom"/>
          </w:tcPr>
          <w:p>
            <w:pPr>
              <w:spacing w:after="0"/>
              <w:rPr>
                <w:sz w:val="24"/>
                <w:szCs w:val="24"/>
                <w:color w:val="auto"/>
              </w:rPr>
            </w:pP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7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7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7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71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2015</w:t>
      </w:r>
      <w:r>
        <w:rPr>
          <w:sz w:val="20"/>
          <w:szCs w:val="20"/>
          <w:color w:val="auto"/>
        </w:rPr>
        <w:tab/>
      </w:r>
      <w:r>
        <w:rPr>
          <w:rFonts w:ascii="Times New Roman" w:cs="Times New Roman" w:eastAsia="Times New Roman" w:hAnsi="Times New Roman"/>
          <w:sz w:val="18"/>
          <w:szCs w:val="18"/>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34290</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82" w:lineRule="auto"/>
        <w:rPr>
          <w:sz w:val="20"/>
          <w:szCs w:val="20"/>
          <w:color w:val="auto"/>
        </w:rPr>
      </w:pPr>
      <w:r>
        <w:rPr>
          <w:rFonts w:ascii="Times New Roman" w:cs="Times New Roman" w:eastAsia="Times New Roman" w:hAnsi="Times New Roman"/>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- 29-</w:t>
      </w:r>
    </w:p>
    <w:p>
      <w:pPr>
        <w:sectPr>
          <w:pgSz w:w="11900" w:h="16838" w:orient="portrait"/>
          <w:cols w:equalWidth="0" w:num="1">
            <w:col w:w="11340"/>
          </w:cols>
          <w:pgMar w:left="240" w:top="57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2360" w:type="dxa"/>
            <w:vAlign w:val="bottom"/>
          </w:tcPr>
          <w:p>
            <w:pPr>
              <w:spacing w:after="0"/>
              <w:rPr>
                <w:sz w:val="17"/>
                <w:szCs w:val="17"/>
                <w:color w:val="auto"/>
              </w:rPr>
            </w:pPr>
          </w:p>
        </w:tc>
      </w:tr>
      <w:tr>
        <w:trPr>
          <w:trHeight w:val="70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31.1:</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 – CEO.</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31.2:</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Pursuant to Section 302 of Sarbanes-Oxley Act of 2002 – CFO.</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1350 (section 906 of Sarbanes-Oxley Act of 2002) – CEO.</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32.2:</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Certification Pursuant to 18 U.S.C. 1350 (section 906 of Sarbanes-Oxley Act of 2002) – CFO.</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95:</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Mine Safety Disclosure.</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7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702"/>
        </w:trPr>
        <w:tc>
          <w:tcPr>
            <w:tcW w:w="162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Times New Roman" w:cs="Times New Roman" w:eastAsia="Times New Roman" w:hAnsi="Times New Roman"/>
                <w:sz w:val="18"/>
                <w:szCs w:val="18"/>
                <w:color w:val="auto"/>
              </w:rPr>
              <w:t>- 30-</w:t>
            </w:r>
          </w:p>
        </w:tc>
        <w:tc>
          <w:tcPr>
            <w:tcW w:w="2360" w:type="dxa"/>
            <w:vAlign w:val="bottom"/>
          </w:tcPr>
          <w:p>
            <w:pPr>
              <w:spacing w:after="0"/>
              <w:rPr>
                <w:sz w:val="24"/>
                <w:szCs w:val="24"/>
                <w:color w:val="auto"/>
              </w:rPr>
            </w:pPr>
          </w:p>
        </w:tc>
      </w:tr>
    </w:tbl>
    <w:p>
      <w:pPr>
        <w:sectPr>
          <w:pgSz w:w="11900" w:h="16838" w:orient="portrait"/>
          <w:cols w:equalWidth="0" w:num="1">
            <w:col w:w="10179"/>
          </w:cols>
          <w:pgMar w:left="280" w:top="567"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November 5, 2015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324"/>
        <w:spacing w:after="0" w:line="276" w:lineRule="auto"/>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620" w:right="20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November 5, 2015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90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September 30, 2015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November 5, 2015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September 30, 2015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November 5, 2015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420"/>
          </w:cols>
          <w:pgMar w:left="240" w:top="576" w:right="239" w:bottom="1440" w:gutter="0" w:footer="0" w:header="0"/>
        </w:sectPr>
      </w:pPr>
    </w:p>
    <w:bookmarkStart w:id="36" w:name="page37"/>
    <w:bookmarkEnd w:id="36"/>
    <w:p>
      <w:pPr>
        <w:ind w:left="1062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54875" cy="1551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55194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Notice of</w:t>
            </w: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 Notice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Have Pattern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Legal</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Legal</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Legal</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1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10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Pattern of</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Violations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Name/MSHA</w:t>
            </w:r>
          </w:p>
        </w:tc>
        <w:tc>
          <w:tcPr>
            <w:tcW w:w="9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Citations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w:t>
            </w:r>
          </w:p>
        </w:tc>
        <w:tc>
          <w:tcPr>
            <w:tcW w:w="6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 of 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Mining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Violations Under</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Pending as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Initiated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S&amp;S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1100" w:type="dxa"/>
            <w:vAlign w:val="bottom"/>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Section 104(e)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104(e)</w:t>
            </w:r>
            <w:r>
              <w:rPr>
                <w:rFonts w:ascii="Times New Roman" w:cs="Times New Roman" w:eastAsia="Times New Roman" w:hAnsi="Times New Roman"/>
                <w:sz w:val="8"/>
                <w:szCs w:val="8"/>
                <w:color w:val="auto"/>
              </w:rPr>
              <w:t>(7)</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Last Day</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w:t>
            </w:r>
            <w:r>
              <w:rPr>
                <w:rFonts w:ascii="Times New Roman" w:cs="Times New Roman" w:eastAsia="Times New Roman" w:hAnsi="Times New Roman"/>
                <w:sz w:val="8"/>
                <w:szCs w:val="8"/>
                <w:color w:val="auto"/>
              </w:rPr>
              <w:t>(1)</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r>
              <w:rPr>
                <w:rFonts w:ascii="Times New Roman" w:cs="Times New Roman" w:eastAsia="Times New Roman" w:hAnsi="Times New Roman"/>
                <w:sz w:val="8"/>
                <w:szCs w:val="8"/>
                <w:color w:val="auto"/>
              </w:rPr>
              <w:t>(2)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r>
              <w:rPr>
                <w:rFonts w:ascii="Times New Roman" w:cs="Times New Roman" w:eastAsia="Times New Roman" w:hAnsi="Times New Roman"/>
                <w:sz w:val="8"/>
                <w:szCs w:val="8"/>
                <w:color w:val="auto"/>
              </w:rPr>
              <w:t>(3)</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 Violations</w:t>
            </w:r>
            <w:r>
              <w:rPr>
                <w:rFonts w:ascii="Times New Roman" w:cs="Times New Roman" w:eastAsia="Times New Roman" w:hAnsi="Times New Roman"/>
                <w:sz w:val="8"/>
                <w:szCs w:val="8"/>
                <w:color w:val="auto"/>
              </w:rPr>
              <w:t>(4)</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w:t>
            </w:r>
            <w:r>
              <w:rPr>
                <w:rFonts w:ascii="Times New Roman" w:cs="Times New Roman" w:eastAsia="Times New Roman" w:hAnsi="Times New Roman"/>
                <w:sz w:val="8"/>
                <w:szCs w:val="8"/>
                <w:color w:val="auto"/>
              </w:rPr>
              <w:t>(5)</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(yes/no)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McMoran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07"/>
        </w:trPr>
        <w:tc>
          <w:tcPr>
            <w:tcW w:w="112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color w:val="auto"/>
              </w:rPr>
              <w:t>Morenci Inc. 02-</w:t>
            </w:r>
          </w:p>
        </w:tc>
        <w:tc>
          <w:tcPr>
            <w:tcW w:w="9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00024 5CP</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12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color w:val="auto"/>
              </w:rPr>
              <w:t>Solvay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Chemicals Inc.</w:t>
            </w:r>
          </w:p>
        </w:tc>
        <w:tc>
          <w:tcPr>
            <w:tcW w:w="9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48-01295</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60" w:right="360" w:hanging="252"/>
        <w:spacing w:after="0" w:line="261" w:lineRule="auto"/>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28"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7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upp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2019-12-29T14:29:03Z</dcterms:created>
  <dcterms:modified xsi:type="dcterms:W3CDTF">2019-12-29T14:29:03Z</dcterms:modified>
</cp:coreProperties>
</file>