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7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4, 2026</w:t>
      </w:r>
    </w:p>
    <w:p>
      <w:pPr>
        <w:spacing w:after="0" w:line="80"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Matrix Service Company</w:t>
      </w:r>
    </w:p>
    <w:p>
      <w:pPr>
        <w:spacing w:after="0" w:line="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ectPr>
          <w:pgSz w:w="11900" w:h="16838" w:orient="portrait"/>
          <w:cols w:equalWidth="0" w:num="1">
            <w:col w:w="11100"/>
          </w:cols>
          <w:pgMar w:left="320" w:top="1145" w:right="479" w:bottom="1440" w:gutter="0" w:footer="0" w:header="0"/>
        </w:sectPr>
      </w:pPr>
    </w:p>
    <w:p>
      <w:pPr>
        <w:spacing w:after="0" w:line="14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7"/>
          <w:szCs w:val="17"/>
          <w:b w:val="1"/>
          <w:bCs w:val="1"/>
          <w:color w:val="auto"/>
        </w:rPr>
        <w:t>001-15461</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73-1352174</w:t>
      </w:r>
    </w:p>
    <w:p>
      <w:pPr>
        <w:spacing w:after="0" w:line="26" w:lineRule="exact"/>
        <w:rPr>
          <w:sz w:val="24"/>
          <w:szCs w:val="24"/>
          <w:color w:val="auto"/>
        </w:rPr>
      </w:pPr>
    </w:p>
    <w:p>
      <w:pPr>
        <w:sectPr>
          <w:pgSz w:w="11900" w:h="16838" w:orient="portrait"/>
          <w:cols w:equalWidth="0" w:num="3">
            <w:col w:w="4420" w:space="720"/>
            <w:col w:w="2520" w:space="720"/>
            <w:col w:w="2720"/>
          </w:cols>
          <w:pgMar w:left="320" w:top="1145" w:right="479" w:bottom="1440" w:gutter="0" w:footer="0" w:header="0"/>
          <w:type w:val="continuous"/>
        </w:sectPr>
      </w:pPr>
    </w:p>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3">
            <w:col w:w="4400" w:space="720"/>
            <w:col w:w="2420" w:space="720"/>
            <w:col w:w="2840"/>
          </w:cols>
          <w:pgMar w:left="320" w:top="1145"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15333 JFK Blvd., Ste. 400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Houston, Texas 77032</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281-458-8781</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66"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ectPr>
          <w:pgSz w:w="11900" w:h="16838" w:orient="portrait"/>
          <w:cols w:equalWidth="0" w:num="1">
            <w:col w:w="11100"/>
          </w:cols>
          <w:pgMar w:left="320" w:top="1145" w:right="479" w:bottom="1440" w:gutter="0" w:footer="0" w:header="0"/>
          <w:type w:val="continuous"/>
        </w:sectPr>
      </w:pPr>
    </w:p>
    <w:p>
      <w:pPr>
        <w:spacing w:after="0" w:line="108" w:lineRule="exact"/>
        <w:rPr>
          <w:sz w:val="24"/>
          <w:szCs w:val="24"/>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04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38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MTRX</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9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Act of 1934 (17 CFR §240.12b-2).</w:t>
      </w:r>
    </w:p>
    <w:p>
      <w:pPr>
        <w:spacing w:after="0" w:line="2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145415</wp:posOffset>
            </wp:positionV>
            <wp:extent cx="69691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76835</wp:posOffset>
            </wp:positionV>
            <wp:extent cx="6969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9125" cy="8890"/>
                    </a:xfrm>
                    <a:prstGeom prst="rect">
                      <a:avLst/>
                    </a:prstGeom>
                    <a:noFill/>
                  </pic:spPr>
                </pic:pic>
              </a:graphicData>
            </a:graphic>
          </wp:anchor>
        </w:drawing>
      </w:r>
    </w:p>
    <w:p>
      <w:pPr>
        <w:sectPr>
          <w:pgSz w:w="11900" w:h="16838" w:orient="portrait"/>
          <w:cols w:equalWidth="0" w:num="1">
            <w:col w:w="11100"/>
          </w:cols>
          <w:pgMar w:left="320" w:top="1145"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4, 2026 the Company issued a press release announcing financial results for the fiscal 2027 first quarter. The full text of the press release is attached as Exhibit 99 to this Current Report on Form 8-K. The information in this Item 2.02 and Exhibit 99 attached hereto is being furnished pursuant to Item 2.02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02" w:lineRule="exact"/>
        <w:rPr>
          <w:sz w:val="20"/>
          <w:szCs w:val="20"/>
          <w:color w:val="auto"/>
        </w:rPr>
      </w:pPr>
    </w:p>
    <w:p>
      <w:pPr>
        <w:ind w:left="1320" w:hanging="129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Press release dated November 4, 2026, announcing financial results for the fiscal 2027 first quarter.</w:t>
      </w:r>
    </w:p>
    <w:p>
      <w:pPr>
        <w:spacing w:after="0" w:line="77"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293" w:lineRule="exact"/>
        <w:rPr>
          <w:sz w:val="20"/>
          <w:szCs w:val="20"/>
          <w:color w:val="auto"/>
        </w:rPr>
      </w:pPr>
    </w:p>
    <w:p>
      <w:pPr>
        <w:ind w:left="1140"/>
        <w:spacing w:after="0"/>
        <w:tabs>
          <w:tab w:leader="none" w:pos="4440" w:val="left"/>
          <w:tab w:leader="none" w:pos="6040" w:val="left"/>
        </w:tabs>
        <w:rPr>
          <w:sz w:val="20"/>
          <w:szCs w:val="20"/>
          <w:color w:val="auto"/>
        </w:rPr>
      </w:pPr>
      <w:r>
        <w:rPr>
          <w:rFonts w:ascii="Times New Roman" w:cs="Times New Roman" w:eastAsia="Times New Roman" w:hAnsi="Times New Roman"/>
          <w:sz w:val="18"/>
          <w:szCs w:val="18"/>
          <w:color w:val="auto"/>
        </w:rPr>
        <w:t>Dated: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Andrew J. Smith</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(Duly Authorized Officer and Principal Accounting Officer)</w:t>
      </w:r>
    </w:p>
    <w:p>
      <w:pPr>
        <w:sectPr>
          <w:pgSz w:w="11900" w:h="16838" w:orient="portrait"/>
          <w:cols w:equalWidth="0" w:num="1">
            <w:col w:w="10400"/>
          </w:cols>
          <w:pgMar w:left="320" w:top="1130" w:right="11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937260</wp:posOffset>
            </wp:positionV>
            <wp:extent cx="1354455" cy="822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445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 REPORTS FISCAL YEAR 2027 FIRST QUARTER RESULTS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HOUSTON, TX – November 4, 2026 </w:t>
      </w:r>
      <w:r>
        <w:rPr>
          <w:rFonts w:ascii="Times New Roman" w:cs="Times New Roman" w:eastAsia="Times New Roman" w:hAnsi="Times New Roman"/>
          <w:sz w:val="18"/>
          <w:szCs w:val="18"/>
          <w:b w:val="1"/>
          <w:bCs w:val="1"/>
          <w:color w:val="auto"/>
        </w:rPr>
        <w:t>– Matrix Service Company</w:t>
      </w:r>
      <w:r>
        <w:rPr>
          <w:rFonts w:ascii="Times New Roman" w:cs="Times New Roman" w:eastAsia="Times New Roman" w:hAnsi="Times New Roman"/>
          <w:sz w:val="18"/>
          <w:szCs w:val="18"/>
          <w:color w:val="auto"/>
        </w:rPr>
        <w:t xml:space="preserve"> (Nasdaq: MTRX, "Matrix" or "the Company"), a leading heavy industrial contractor that engineers, constructs, and maintains critical infrastructure across the energy, power, and industrial end-markets, today announced financial results for the first quarter of fiscal 2027 ended September 30, 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2027 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comparisons versus the prior year period unless otherwise noted)</w:t>
      </w:r>
    </w:p>
    <w:p>
      <w:pPr>
        <w:spacing w:after="0" w:line="301"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$219.4 million versus $211.9 million;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$6.2 million, or $0.22 per diluted share versus net loss of $3.7 million or $(0.13) per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$6.4 million, or $0.23 per diluted share versus adjusted net loss of $0.3 million, or $(0.01) per share;</w:t>
      </w:r>
    </w:p>
    <w:p>
      <w:pPr>
        <w:spacing w:after="0" w:line="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$7.7 million versus $2.5 million</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at September 30, 2026 of $221.8 million with no outstanding debt</w:t>
      </w:r>
    </w:p>
    <w:p>
      <w:pPr>
        <w:spacing w:after="0" w:line="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backlog of $872.6 million, with awards of $138.8 million</w:t>
      </w:r>
    </w:p>
    <w:p>
      <w:pPr>
        <w:spacing w:after="0" w:line="56" w:lineRule="exact"/>
        <w:rPr>
          <w:rFonts w:ascii="Times New Roman" w:cs="Times New Roman" w:eastAsia="Times New Roman" w:hAnsi="Times New Roman"/>
          <w:sz w:val="18"/>
          <w:szCs w:val="18"/>
          <w:color w:val="auto"/>
        </w:rPr>
      </w:pPr>
    </w:p>
    <w:p>
      <w:pPr>
        <w:jc w:val="both"/>
        <w:ind w:firstLine="8"/>
        <w:spacing w:after="0" w:line="268"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net income and adjusted net income per diluted share are non-GAAP financial measures which exclude restructuring expense, Adjusted EBITDA is a non-GAAP financial measure which excludes interest expense, interest income, income taxes, depreciation and amortization expense, restructuring expense, and stock-based compensation. See the Non-GAAP Financial Measures section included at the end of this release for a reconciliation to net income and net income per share.</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Liquidity includes unrestricted cash, cash equivalents and borrowing availability under a $90 million ABL facility maturing in September 2029.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COMMENTARY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first quarter results reflect the continued execution of our WIN, EXECUTE, DELIVER strategy and demonstrate the progress we are making to position Matrix for sustainable, profitable growth,” said Shawn P. Payne, President and Chief Executive Officer. “Our third consecutive quarter of profitability, coupled with meaningful Adjusted EBITDA margin expansion, reflects the structural changes we have made over the past 18 months to improve execution, create a more efficient operating model, and drive more consistent profitability as we grow.</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“Double-digit organic revenue growth in our Storage and Terminal Solutions and Process and Industrial Facilities segments, led by specialty storage and mining and minerals activity, more than offset lower natural gas peak shaving volumes in Utility and Power Infrastructure,” continued Shawn P. Payne. “Book-to-bill was at or above 1.0x in both Utility and Power Infrastructure and Process and Industrial Facilities. First quarter awards include a limited notice to proceed for a meaningful power generation project supporting data center infrastructure, an award that combines our power generation expertise, construction-only capabilities, and growing participation in data center-related infrastructure. We also secured new mining and minerals work in the quarter, demonstrating continued commercial momentum in a market where we see favorable long-term investments trends. Also during the quarter, and as previously disclosed, we were selected to complete the front-end engineering and design of the storage tank farm for the America First Refining facility in Brownsville, Texas, which is expected to be the first major new</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360" w:right="339" w:bottom="1440" w:gutter="0" w:footer="0" w:header="0"/>
          <w:type w:val="continuous"/>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refinery constructed in the United States in more than 50 years. These awards, together with LNG storage, substation, and mining projects already underway, demonstrate the breadth of opportunities available across our end markets. With sustained customer investment in LNG and NGL infrastructure, power generation and electrical infrastructure, data centers, and mining and minerals, we remain focused on converting our opportunity pipeline into high-quality backlog as larger pursuits reach final investment decision.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ahead, our commercial priorities are deepening strategic customer relationships, expanding our presence in attractive growth markets, broadening our service capabilities, and converting our strong opportunity pipeline into high-quality backlog,” continued Payne. “Operationally, we are focused on recruiting and retaining the skilled labor our revenue base requires, applying disciplined bidding and pricing strategies, and delivering best-in-class project execution. We will deploy capital with the same discipline, evaluating share repurchases and, when available, acquisitions that expand our footprint and capabilities, supported by a debt-free balance sheet and $221.8 million of liquidity at quarter end.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“Reflecting confidence in our strategy and the strength of our financial position, the board also approved a new share buyback program for $25 million,” concluded Payne. “We view share repurchases as an attractive use of capital, and we intend to execute against the expanded authorization opportunistically, subject to market conditions, as part of our commitment to long-term value creation for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2027 FIRST QUARTER CONSOLIDATED RESULTS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Fiscal 2027 first quarter revenue was $219.4 million, compared to $211.9 million in the first quarter of fiscal 2026. The increase in revenue for the quarter was attributable to higher revenue in the Storage and Terminal Solutions and Process and Industrial Facilities segments, partially offset by lower revenue in the Utility and Power Infrastructure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$18.1 million, or 8.2% of revenue, in the first quarter of fiscal 2027 compared to $14.2 million, or 6.7% of revenue, for the first quarter of fiscal 2026. The increase in gross margin was due to higher gross margins in the Storage and Terminal Solutions segment, partially offset by lower gross margins in the Process and Industrial Facilities segment. Overall, gross margins during the period benefited from strong project execution and improved overhead recovery.</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expenses were $13.3 million in the first quarter of fiscal 2027, compared to $16.3 million for the first quarter of fiscal 2026. The decrease in SG&amp;A expenses is due in part to lower salaries and wages and stock compensation expense resulting from our organizational restructuring plan. Additionally, SG&amp;A decreased $1.9 million associated with the variable accounting for cash-settled stock-based compensation, primarily as a result of fluctuations in our stock price.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quarter of fiscal 2027, the Company had net income of $6.2 million, or $0.22 per diluted share, compared to a net loss of $3.7 million, or $(0.13) per share, in the first quarter of fiscal 2026. Adjusted net income for the first quarter of fiscal 2027 was $6.4 million, or $0.23 per share, compared to adjusted net loss of $0.3 million, or $(0.01) per share in the first quarter of fiscal 2026. Adjusted EBITDA for the first quarter of fiscal 2027 was $7.7 million compared to $2.5 million for the first quarter of fiscal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2027 FIRST QUARTER SEGMENT RESULTS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Storage and Terminal Solutions segment revenue increased 12% to $122.9 million in the first quarter of fiscal 2027 compared to $109.5 million in the first quarter of fiscal 2026, driven by an increased volume of work for specialty tanks and the associated balance of plant. Gross margin was 9.0% in the first quarter of fiscal 2027, compared to 5.9% in the first quarter of fiscal 2026. Segment gross margin was driven by improved project execution overall as well as improvement in overhead cost absorption.</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Utility and Power Infrastructure segment revenue decreased 21% to $59.1 million in the first quarter of fiscal 2027 compared to $74.5 million in the first quarter of fiscal 2026, due to a decrease in volume of work for natural gas peak shaving projects, partially offset by an increase in power generation work. Gross margin was 8.6% in the first quarter of fiscal 2027, compared to 9.1% for the first quarter of fiscal 2026, a </w:t>
      </w:r>
      <w:r>
        <w:rPr>
          <w:rFonts w:ascii="Times New Roman" w:cs="Times New Roman" w:eastAsia="Times New Roman" w:hAnsi="Times New Roman"/>
          <w:sz w:val="16"/>
          <w:szCs w:val="16"/>
          <w:color w:val="auto"/>
        </w:rPr>
        <w:t>decrease</w:t>
      </w:r>
      <w:r>
        <w:rPr>
          <w:rFonts w:ascii="Times New Roman" w:cs="Times New Roman" w:eastAsia="Times New Roman" w:hAnsi="Times New Roman"/>
          <w:sz w:val="18"/>
          <w:szCs w:val="18"/>
          <w:color w:val="auto"/>
        </w:rPr>
        <w:t xml:space="preserve"> of 0.5% due to mix of work, partially offset by improved overhead cost absorption.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91"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Process and Industrial Facilities segment revenue increased to $37.4 million in the first quarter of fiscal 2027 compared to $27.9 million in the first quarter of fiscal 2026, primarily due to increased revenue volumes for mining and minerals work. Gross margin was 3.7% in the first quarter of fiscal 2027, compared to 5.1% for the first quarter of fiscal 2026, a decrease of 1.4%, primarily due the resolution during the first quarter of fiscal 2027 of a subcontractor dispute for a project originally completed in fiscal 2023. While resulting in a decrease in segment margins in the current quarter, the impact will be offset by savings of anticipated legal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BACKLOG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backlog was $872.6 million as of September 30, 2026. Project awards totaled $138.8 million in the first quarter of fiscal 2027, resulting in a book-to-bill ratio of 0.6x for the quarter. Awards in the Utility and Power Infrastructure segment include a limited notice to proceed for a meaningful power generation project supporting data center infrastructure.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our awards, book-to-bill ratios and backlog by segment for our first quarter ended September 30, 2026 (amounts are in thousands, except for book-to-bill ratios):</w:t>
      </w:r>
    </w:p>
    <w:p>
      <w:pPr>
        <w:spacing w:after="0" w:line="236"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60" w:type="dxa"/>
            <w:vAlign w:val="bottom"/>
            <w:gridSpan w:val="3"/>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6"/>
        </w:trPr>
        <w:tc>
          <w:tcPr>
            <w:tcW w:w="4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60" w:type="dxa"/>
            <w:vAlign w:val="bottom"/>
            <w:gridSpan w:val="3"/>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Backlog as of</w:t>
            </w:r>
          </w:p>
        </w:tc>
      </w:tr>
      <w:tr>
        <w:trPr>
          <w:trHeight w:val="23"/>
        </w:trPr>
        <w:tc>
          <w:tcPr>
            <w:tcW w:w="43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327"/>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Book-to-Bill</w:t>
            </w:r>
            <w:r>
              <w:rPr>
                <w:rFonts w:ascii="Times New Roman" w:cs="Times New Roman" w:eastAsia="Times New Roman" w:hAnsi="Times New Roman"/>
                <w:sz w:val="18"/>
                <w:szCs w:val="18"/>
                <w:b w:val="1"/>
                <w:bCs w:val="1"/>
                <w:color w:val="auto"/>
                <w:vertAlign w:val="superscript"/>
              </w:rPr>
              <w:t>(1)</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362"/>
        </w:trPr>
        <w:tc>
          <w:tcPr>
            <w:tcW w:w="4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126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29,805</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0.2x</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548,089</w:t>
            </w:r>
          </w:p>
        </w:tc>
      </w:tr>
      <w:tr>
        <w:trPr>
          <w:trHeight w:val="38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58,150</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1.0x</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144,737</w:t>
            </w:r>
          </w:p>
        </w:tc>
      </w:tr>
      <w:tr>
        <w:trPr>
          <w:trHeight w:val="391"/>
        </w:trPr>
        <w:tc>
          <w:tcPr>
            <w:tcW w:w="4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12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50,844</w:t>
            </w:r>
          </w:p>
        </w:tc>
        <w:tc>
          <w:tcPr>
            <w:tcW w:w="10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1.4x</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179,749</w:t>
            </w:r>
          </w:p>
        </w:tc>
      </w:tr>
      <w:tr>
        <w:trPr>
          <w:trHeight w:val="22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jc w:val="right"/>
              <w:ind w:right="10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138,799</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0.6x</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872,575</w:t>
            </w:r>
          </w:p>
        </w:tc>
      </w:tr>
      <w:tr>
        <w:trPr>
          <w:trHeight w:val="20"/>
        </w:trPr>
        <w:tc>
          <w:tcPr>
            <w:tcW w:w="43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96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560" w:hanging="309"/>
        <w:spacing w:after="0"/>
        <w:tabs>
          <w:tab w:leader="none" w:pos="5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 during the period.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 &amp; LIQUIDITY</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Matrix had total liquidity of $221.8 million. Liquidity is comprised of $182.4 million of unrestricted cash and cash equivalents and $39.4 million of borrowing availability under the credit facility. The Company also has $25.0 million of restricted cash to support the credit facility. As of September 30, 2026, the Company had no outstanding debt.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the earnings release, Matrix Service Company will host a conference call with Shawn P. Payne, President and CEO, A.J. Smith, Interim CFO, and Patrick Roberts, Director, Corporate Development and Investor Relations. The call will take place at 10:30 a.m. (Eastern) / 9:30 a.m. (Central) on Thursday, November 5, 2026.</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Investors and other interested parties can access a live audio-visual webcast using this webcast link: </w:t>
      </w:r>
      <w:r>
        <w:rPr>
          <w:rFonts w:ascii="Times New Roman" w:cs="Times New Roman" w:eastAsia="Times New Roman" w:hAnsi="Times New Roman"/>
          <w:sz w:val="18"/>
          <w:szCs w:val="18"/>
          <w:b w:val="1"/>
          <w:bCs w:val="1"/>
          <w:u w:val="single" w:color="auto"/>
          <w:color w:val="0E32E1"/>
        </w:rPr>
        <w:t>https://edge.media-server.com/mmc/p/7nuiewar</w:t>
      </w:r>
      <w:r>
        <w:rPr>
          <w:rFonts w:ascii="Times New Roman" w:cs="Times New Roman" w:eastAsia="Times New Roman" w:hAnsi="Times New Roman"/>
          <w:sz w:val="18"/>
          <w:szCs w:val="18"/>
          <w:color w:val="auto"/>
        </w:rPr>
        <w:t xml:space="preserve">, or through the Company’s website at </w:t>
      </w:r>
      <w:r>
        <w:rPr>
          <w:rFonts w:ascii="Times New Roman" w:cs="Times New Roman" w:eastAsia="Times New Roman" w:hAnsi="Times New Roman"/>
          <w:sz w:val="18"/>
          <w:szCs w:val="18"/>
          <w:b w:val="1"/>
          <w:bCs w:val="1"/>
          <w:u w:val="single" w:color="auto"/>
          <w:color w:val="3051F2"/>
        </w:rPr>
        <w:t>www.matrixservicecompany.com</w:t>
      </w:r>
      <w:r>
        <w:rPr>
          <w:rFonts w:ascii="Times New Roman" w:cs="Times New Roman" w:eastAsia="Times New Roman" w:hAnsi="Times New Roman"/>
          <w:sz w:val="18"/>
          <w:szCs w:val="18"/>
          <w:color w:val="auto"/>
        </w:rPr>
        <w:t xml:space="preserve"> on the Investors Relations page under Events &amp; Presentations.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If you would like to dial in to the conference call, please register at </w:t>
      </w:r>
      <w:r>
        <w:rPr>
          <w:rFonts w:ascii="Times New Roman" w:cs="Times New Roman" w:eastAsia="Times New Roman" w:hAnsi="Times New Roman"/>
          <w:sz w:val="18"/>
          <w:szCs w:val="18"/>
          <w:b w:val="1"/>
          <w:bCs w:val="1"/>
          <w:u w:val="single" w:color="auto"/>
          <w:color w:val="0000FF"/>
        </w:rPr>
        <w:t>https://register-conf.media-server.com/register/BIc437e80b0df14b30887796589e4253d5</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at least 10 minutes prior to the start time. Upon registration, participants will receive a dial-in number and unique PIN to join the call as well as an e-mail confirmation with the details.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unable to participate in the conference call, a replay of the webcast will be available on the Investor Relations page of the Company's website.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conference call will be recorded and will be available for replay within one hour of completion of the live call and can be accessed following the same link as the live call.</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89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MATRIX SERVICE COMPANY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Matrix Service Company (Nasdaq: MTRX) is a leading heavy industrial contractor that engineers, constructs, and maintains critical energy, power, and industrial infrastructure. Our commitment to safety, quality, and integrity has earned the Company a leadership position in providing infrastructure solutions across multiple end markets. Our work is foundational to helping our energy, power, and industrial clients achieve their objectives, positively impact quality of life through the products they provide and improve the efficiency and resilience of their critical infrastructure. We pride ourselves on our commitment to our culture and core values, offering an inclusive and respectful work environment, and being certified as a Great Place To Work®.</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principle executive offices in Houston, Texas with offices located throughout the United States and Canada, as well as Sydney, Australia, and Seoul, South Korea. The Company reports its financial results in three key operating segments: Storage and Terminal Solutions, Utility and Power Infrastructure, and Process and Industrial Facilities.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Matrix Service Company, visit </w:t>
      </w:r>
      <w:r>
        <w:rPr>
          <w:rFonts w:ascii="Times New Roman" w:cs="Times New Roman" w:eastAsia="Times New Roman" w:hAnsi="Times New Roman"/>
          <w:sz w:val="18"/>
          <w:szCs w:val="18"/>
          <w:u w:val="single" w:color="auto"/>
          <w:color w:val="3051F2"/>
        </w:rPr>
        <w:t>matrixservicecompany.com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that are made in reliance upon the safe harbor provisions of the Private Securities Litigation Reform Act of 1995. These statements are generally accompanied by words such as “anticipate,” “continues,” “expect,” “forecast,” “outlook,” “believe,” “estimate,” “should” and “will” and words of similar effect that convey future meaning, concerning the Company’s operations, economic performance, financial guidance, sustained profitable growth and management’s best judgment as to what may occur in the future. Future events involve risks and uncertainties that may cause actual results to differ materially from those we currently anticipate. The actual results for the current and future periods and other corporate developments will depend upon a number of economic, competitive and other influences, including the successful implementation of the Company's business improvement plan and the factors discussed in the “Risk Factors” and “Forward Looking Statements” sections and elsewhere in the Company’s reports and filings made from time to time with the Securities and Exchange Commission. Many of these risks and uncertainties are beyond the control of the Company, and any one of which, or a combination of which, could materially and adversely affect the results of the Company's operations and its financial condition. We undertake no obligation to update information contained in this release, except as required by law.</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should note that the Company announces material financial information in SEC filings, press releases, presentations and public conference calls. Based on guidance from the SEC, the Company may use the Investors section of its website (www.matrixservicecompany.com) to communicate with investors, and the Company intends to post presentations there, among other things. It is possible that the financial and other information posted there could be deemed to be material information. The information on the Company’s website is not part of, and is not incorporated into, this release.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 CONTACT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Corporate Development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918-359-8249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ir@matrixservicecompany.com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7"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00" w:type="dxa"/>
            <w:vAlign w:val="bottom"/>
          </w:tcPr>
          <w:p>
            <w:pPr>
              <w:jc w:val="right"/>
              <w:ind w:right="312"/>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211,884</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201,348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197,702</w:t>
            </w:r>
          </w:p>
        </w:tc>
        <w:tc>
          <w:tcPr>
            <w:tcW w:w="0" w:type="dxa"/>
            <w:vAlign w:val="bottom"/>
          </w:tcPr>
          <w:p>
            <w:pPr>
              <w:spacing w:after="0"/>
              <w:rPr>
                <w:sz w:val="1"/>
                <w:szCs w:val="1"/>
                <w:color w:val="auto"/>
              </w:rPr>
            </w:pPr>
          </w:p>
        </w:tc>
      </w:tr>
      <w:tr>
        <w:trPr>
          <w:trHeight w:val="23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3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federal, state and foreign income taxes</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62"/>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28,008</w:t>
            </w:r>
          </w:p>
        </w:tc>
        <w:tc>
          <w:tcPr>
            <w:tcW w:w="0" w:type="dxa"/>
            <w:vAlign w:val="bottom"/>
          </w:tcPr>
          <w:p>
            <w:pPr>
              <w:spacing w:after="0"/>
              <w:rPr>
                <w:sz w:val="1"/>
                <w:szCs w:val="1"/>
                <w:color w:val="auto"/>
              </w:rPr>
            </w:pPr>
          </w:p>
        </w:tc>
      </w:tr>
      <w:tr>
        <w:trPr>
          <w:trHeight w:val="243"/>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60"/>
          </w:cols>
          <w:pgMar w:left="920" w:top="887" w:right="9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4"/>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0"/>
        </w:trPr>
        <w:tc>
          <w:tcPr>
            <w:tcW w:w="818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222,966</w:t>
            </w:r>
          </w:p>
        </w:tc>
      </w:tr>
      <w:tr>
        <w:trPr>
          <w:trHeight w:val="24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171,955</w:t>
            </w:r>
          </w:p>
        </w:tc>
      </w:tr>
      <w:tr>
        <w:trPr>
          <w:trHeight w:val="24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29,231</w:t>
            </w:r>
          </w:p>
        </w:tc>
      </w:tr>
      <w:tr>
        <w:trPr>
          <w:trHeight w:val="24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r>
      <w:tr>
        <w:trPr>
          <w:trHeight w:val="24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r>
      <w:tr>
        <w:trPr>
          <w:trHeight w:val="243"/>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37"/>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435,650</w:t>
            </w:r>
          </w:p>
        </w:tc>
      </w:tr>
      <w:tr>
        <w:trPr>
          <w:trHeight w:val="24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w:t>
            </w:r>
          </w:p>
        </w:tc>
      </w:tr>
      <w:tr>
        <w:trPr>
          <w:trHeight w:val="24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w:t>
            </w:r>
          </w:p>
        </w:tc>
      </w:tr>
      <w:tr>
        <w:trPr>
          <w:trHeight w:val="24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w:t>
            </w:r>
          </w:p>
        </w:tc>
      </w:tr>
      <w:tr>
        <w:trPr>
          <w:trHeight w:val="243"/>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61,967</w:t>
            </w:r>
          </w:p>
        </w:tc>
      </w:tr>
      <w:tr>
        <w:trPr>
          <w:trHeight w:val="262"/>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60" w:top="887" w:right="35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4"/>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18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108,722</w:t>
            </w:r>
          </w:p>
        </w:tc>
      </w:tr>
      <w:tr>
        <w:trPr>
          <w:trHeight w:val="24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299,947</w:t>
            </w:r>
          </w:p>
        </w:tc>
      </w:tr>
      <w:tr>
        <w:trPr>
          <w:trHeight w:val="24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w:t>
            </w:r>
          </w:p>
        </w:tc>
      </w:tr>
      <w:tr>
        <w:trPr>
          <w:trHeight w:val="24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insurance</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r>
      <w:tr>
        <w:trPr>
          <w:trHeight w:val="24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4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37"/>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442,416</w:t>
            </w:r>
          </w:p>
        </w:tc>
      </w:tr>
      <w:tr>
        <w:trPr>
          <w:trHeight w:val="24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15,094</w:t>
            </w:r>
          </w:p>
        </w:tc>
      </w:tr>
      <w:tr>
        <w:trPr>
          <w:trHeight w:val="24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460,750</w:t>
            </w:r>
          </w:p>
        </w:tc>
      </w:tr>
      <w:tr>
        <w:trPr>
          <w:trHeight w:val="24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198"/>
        </w:trPr>
        <w:tc>
          <w:tcPr>
            <w:tcW w:w="8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stock—$0.01 par value; 60,000,000 shares authorized; 28,291,921 shares issued and 28,057,121</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as of September 30, 2026; 28,133,850 shares issued and outstanding as of June 30, 2026;</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4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150,483</w:t>
            </w:r>
          </w:p>
        </w:tc>
      </w:tr>
      <w:tr>
        <w:trPr>
          <w:trHeight w:val="24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4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w:t>
            </w:r>
          </w:p>
        </w:tc>
      </w:tr>
      <w:tr>
        <w:trPr>
          <w:trHeight w:val="24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 — 234,800 shares as of September 30, 2026 and 0 shares as of June 30, 2026;</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146,678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141,855</w:t>
            </w:r>
          </w:p>
        </w:tc>
      </w:tr>
      <w:tr>
        <w:trPr>
          <w:trHeight w:val="262"/>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60" w:top="887" w:right="359" w:bottom="1440" w:gutter="0" w:footer="0" w:header="0"/>
        </w:sectPr>
      </w:pPr>
    </w:p>
    <w:bookmarkStart w:id="10" w:name="page11"/>
    <w:bookmarkEnd w:id="1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44"/>
        </w:trPr>
        <w:tc>
          <w:tcPr>
            <w:tcW w:w="7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00" w:type="dxa"/>
            <w:vAlign w:val="bottom"/>
          </w:tcPr>
          <w:p>
            <w:pPr>
              <w:jc w:val="right"/>
              <w:ind w:right="291"/>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4"/>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3"/>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4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by operating activities:</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r>
      <w:tr>
        <w:trPr>
          <w:trHeight w:val="24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43"/>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impairment due to restructuring</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4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43"/>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increasing (decreasing) cash:</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w:t>
            </w:r>
          </w:p>
        </w:tc>
      </w:tr>
      <w:tr>
        <w:trPr>
          <w:trHeight w:val="243"/>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w:t>
            </w:r>
          </w:p>
        </w:tc>
      </w:tr>
      <w:tr>
        <w:trPr>
          <w:trHeight w:val="243"/>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43"/>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w:t>
            </w:r>
          </w:p>
        </w:tc>
      </w:tr>
      <w:tr>
        <w:trPr>
          <w:trHeight w:val="243"/>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r>
      <w:tr>
        <w:trPr>
          <w:trHeight w:val="243"/>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w:t>
            </w:r>
          </w:p>
        </w:tc>
      </w:tr>
      <w:tr>
        <w:trPr>
          <w:trHeight w:val="243"/>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r>
      <w:tr>
        <w:trPr>
          <w:trHeight w:val="23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(25,899)</w:t>
            </w:r>
          </w:p>
        </w:tc>
      </w:tr>
      <w:tr>
        <w:trPr>
          <w:trHeight w:val="243"/>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43"/>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6"/>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23"/>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 amendment fees</w:t>
            </w:r>
          </w:p>
        </w:tc>
        <w:tc>
          <w:tcPr>
            <w:tcW w:w="24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 of treasury shares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r>
      <w:tr>
        <w:trPr>
          <w:trHeight w:val="237"/>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r>
      <w:tr>
        <w:trPr>
          <w:trHeight w:val="243"/>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(32,334)</w:t>
            </w:r>
          </w:p>
        </w:tc>
      </w:tr>
      <w:tr>
        <w:trPr>
          <w:trHeight w:val="243"/>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247,966</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249,641</w:t>
            </w:r>
          </w:p>
        </w:tc>
      </w:tr>
      <w:tr>
        <w:trPr>
          <w:trHeight w:val="23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207,381</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217,307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8"/>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 on account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540" w:top="104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900"/>
          </w:cols>
          <w:pgMar w:left="540" w:top="1049" w:right="45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 and</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Process and</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3"/>
                <w:szCs w:val="13"/>
                <w:color w:val="auto"/>
              </w:rPr>
            </w:pPr>
          </w:p>
        </w:tc>
        <w:tc>
          <w:tcPr>
            <w:tcW w:w="110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Terminal Solutions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4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Industrial Facilities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gridSpan w:val="8"/>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219,402</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(201,348)</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18,054</w:t>
            </w:r>
          </w:p>
        </w:tc>
        <w:tc>
          <w:tcPr>
            <w:tcW w:w="0" w:type="dxa"/>
            <w:vAlign w:val="bottom"/>
          </w:tcPr>
          <w:p>
            <w:pPr>
              <w:spacing w:after="0"/>
              <w:rPr>
                <w:sz w:val="1"/>
                <w:szCs w:val="1"/>
                <w:color w:val="auto"/>
              </w:rPr>
            </w:pP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 and other</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hanging="154"/>
        <w:spacing w:after="0" w:line="226"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revenues are net of inter-segment revenues which are primarily Storage and Terminal Solutions and were $3.6 million for the three months ended September 30, 2026.</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 and</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Process and</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3"/>
                <w:szCs w:val="13"/>
                <w:color w:val="auto"/>
              </w:rPr>
            </w:pPr>
          </w:p>
        </w:tc>
        <w:tc>
          <w:tcPr>
            <w:tcW w:w="110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Terminal Solutions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4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Industrial Facilities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gridSpan w:val="8"/>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211,884</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(197,702)</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14,182</w:t>
            </w: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 and other</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0" w:type="dxa"/>
            <w:vAlign w:val="bottom"/>
          </w:tcPr>
          <w:p>
            <w:pPr>
              <w:spacing w:after="0"/>
              <w:rPr>
                <w:sz w:val="1"/>
                <w:szCs w:val="1"/>
                <w:color w:val="auto"/>
              </w:rPr>
            </w:pP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20" w:right="20" w:firstLine="6"/>
        <w:spacing w:after="0" w:line="219" w:lineRule="auto"/>
        <w:tabs>
          <w:tab w:leader="none" w:pos="167"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Total revenues are net of inter-segment revenues which are primarily Storage and Terminal Solutions and Process and Industrial Facilities segments and were $0.6 million for the three months ended September 30, 2025.</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awards;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customer commitments on cost plus arrangements; and</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time and material arrangements in which the estimated value is firm or can be estimated with a reasonable amount of certainty in both timing and amounts.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220" w:type="dxa"/>
            <w:vAlign w:val="bottom"/>
          </w:tcPr>
          <w:p>
            <w:pPr>
              <w:spacing w:after="0"/>
              <w:rPr>
                <w:sz w:val="13"/>
                <w:szCs w:val="13"/>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20" w:type="dxa"/>
            <w:vAlign w:val="bottom"/>
          </w:tcPr>
          <w:p>
            <w:pPr>
              <w:spacing w:after="0"/>
              <w:rPr>
                <w:sz w:val="13"/>
                <w:szCs w:val="13"/>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Process and Industrial</w:t>
            </w:r>
          </w:p>
        </w:tc>
        <w:tc>
          <w:tcPr>
            <w:tcW w:w="380" w:type="dxa"/>
            <w:vAlign w:val="bottom"/>
          </w:tcPr>
          <w:p>
            <w:pPr>
              <w:spacing w:after="0"/>
              <w:rPr>
                <w:sz w:val="13"/>
                <w:szCs w:val="13"/>
                <w:color w:val="auto"/>
              </w:rPr>
            </w:pPr>
          </w:p>
        </w:tc>
        <w:tc>
          <w:tcPr>
            <w:tcW w:w="12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June 30,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641,159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145,732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166,287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953,178</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awards</w:t>
            </w:r>
          </w:p>
        </w:tc>
        <w:tc>
          <w:tcPr>
            <w:tcW w:w="160" w:type="dxa"/>
            <w:vAlign w:val="bottom"/>
          </w:tcPr>
          <w:p>
            <w:pPr>
              <w:spacing w:after="0"/>
              <w:rPr>
                <w:sz w:val="21"/>
                <w:szCs w:val="21"/>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center"/>
              <w:ind w:left="521"/>
              <w:spacing w:after="0"/>
              <w:rPr>
                <w:sz w:val="20"/>
                <w:szCs w:val="20"/>
                <w:color w:val="auto"/>
              </w:rPr>
            </w:pPr>
            <w:r>
              <w:rPr>
                <w:rFonts w:ascii="Times New Roman" w:cs="Times New Roman" w:eastAsia="Times New Roman" w:hAnsi="Times New Roman"/>
                <w:sz w:val="16"/>
                <w:szCs w:val="16"/>
                <w:color w:val="auto"/>
              </w:rPr>
              <w:t>138,799</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(122,875)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rPr>
              <w:t>(219,402)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 as of September 30,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548,089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144,737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rPr>
              <w:t>872,575</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0.2x</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1.0x</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1.4x</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99"/>
              </w:rPr>
              <w:t>0.6x</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60" w:hanging="309"/>
        <w:spacing w:after="0"/>
        <w:tabs>
          <w:tab w:leader="none" w:pos="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presented Adjusted net income (loss), which we define as Net income (loss) before Restructuring costs and other expenses, and the tax impact of this adjustment, because we believe it better depicts our core operating results. We believe that the line item on our Consolidated Statements of Income entitled “Net income (loss)” is the most directly comparable GAAP measure to Adjusted net income (loss). Since Adjusted net income (loss) is not a measure of performance calculated in accordance with GAAP, it should not be considered in isolation of, or as a substitute for, Net income (loss) as an indicator of operating performance. Adjusted net income (loss), as we calculate it, may not be comparable to similarly titled measures employed by other companies. In addition, this measure is not a measure of our ability to fund our cash needs. As Adjusted net income (loss) excludes certain financial information compared with Net income (loss), the most directly comparable GAAP financial measure, users of this financial information should consider the type of events and transactions that are excluded. Our non-GAAP performance measure, Adjusted net income (loss), has certain material limitations as follows:</w:t>
      </w:r>
    </w:p>
    <w:p>
      <w:pPr>
        <w:spacing w:after="0" w:line="134" w:lineRule="exact"/>
        <w:rPr>
          <w:sz w:val="20"/>
          <w:szCs w:val="20"/>
          <w:color w:val="auto"/>
        </w:rPr>
      </w:pPr>
    </w:p>
    <w:p>
      <w:pPr>
        <w:ind w:left="980" w:right="2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restructuring costs and other expenses. Restructuring costs represent material costs that were incurred and are oftentimes cash expenses. Therefore, any measure that excludes restructuring costs has material limitations.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(loss) to Adjusted net income (loss) follows: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Net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36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44"/>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2"/>
                <w:szCs w:val="12"/>
                <w:color w:val="auto"/>
              </w:rPr>
            </w:pPr>
          </w:p>
        </w:tc>
      </w:tr>
      <w:tr>
        <w:trPr>
          <w:trHeight w:val="195"/>
        </w:trPr>
        <w:tc>
          <w:tcPr>
            <w:tcW w:w="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r>
      <w:tr>
        <w:trPr>
          <w:trHeight w:val="228"/>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as reported</w:t>
            </w:r>
          </w:p>
        </w:tc>
        <w:tc>
          <w:tcPr>
            <w:tcW w:w="1420" w:type="dxa"/>
            <w:vAlign w:val="bottom"/>
            <w:shd w:val="clear" w:color="auto" w:fill="CCEEFF"/>
          </w:tcPr>
          <w:p>
            <w:pPr>
              <w:jc w:val="right"/>
              <w:ind w:right="12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(3,663)</w:t>
            </w:r>
          </w:p>
        </w:tc>
      </w:tr>
      <w:tr>
        <w:trPr>
          <w:trHeight w:val="227"/>
        </w:trPr>
        <w:tc>
          <w:tcPr>
            <w:tcW w:w="40" w:type="dxa"/>
            <w:vAlign w:val="bottom"/>
          </w:tcPr>
          <w:p>
            <w:pPr>
              <w:spacing w:after="0"/>
              <w:rPr>
                <w:sz w:val="19"/>
                <w:szCs w:val="19"/>
                <w:color w:val="auto"/>
              </w:rPr>
            </w:pPr>
          </w:p>
        </w:tc>
        <w:tc>
          <w:tcPr>
            <w:tcW w:w="72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Restructuring costs incurred</w:t>
            </w:r>
          </w:p>
        </w:tc>
        <w:tc>
          <w:tcPr>
            <w:tcW w:w="1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w:t>
            </w:r>
          </w:p>
        </w:tc>
      </w:tr>
      <w:tr>
        <w:trPr>
          <w:trHeight w:val="233"/>
        </w:trPr>
        <w:tc>
          <w:tcPr>
            <w:tcW w:w="4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ind w:left="420"/>
              <w:spacing w:after="0" w:line="233" w:lineRule="exact"/>
              <w:rPr>
                <w:sz w:val="20"/>
                <w:szCs w:val="20"/>
                <w:color w:val="auto"/>
              </w:rPr>
            </w:pPr>
            <w:r>
              <w:rPr>
                <w:rFonts w:ascii="Times New Roman" w:cs="Times New Roman" w:eastAsia="Times New Roman" w:hAnsi="Times New Roman"/>
                <w:sz w:val="16"/>
                <w:szCs w:val="16"/>
                <w:color w:val="auto"/>
              </w:rPr>
              <w:t>Tax impact of adjustments and other net tax items</w:t>
            </w:r>
            <w:r>
              <w:rPr>
                <w:rFonts w:ascii="Times New Roman" w:cs="Times New Roman" w:eastAsia="Times New Roman" w:hAnsi="Times New Roman"/>
                <w:sz w:val="21"/>
                <w:szCs w:val="21"/>
                <w:color w:val="auto"/>
                <w:vertAlign w:val="superscript"/>
              </w:rPr>
              <w:t>(1)</w:t>
            </w:r>
          </w:p>
        </w:tc>
        <w:tc>
          <w:tcPr>
            <w:tcW w:w="1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Adjusted net income ( loss)</w:t>
            </w:r>
          </w:p>
        </w:tc>
        <w:tc>
          <w:tcPr>
            <w:tcW w:w="1420" w:type="dxa"/>
            <w:vAlign w:val="bottom"/>
            <w:tcBorders>
              <w:top w:val="single" w:sz="8" w:color="auto"/>
              <w:bottom w:val="single" w:sz="8" w:color="auto"/>
            </w:tcBorders>
          </w:tcPr>
          <w:p>
            <w:pPr>
              <w:jc w:val="right"/>
              <w:ind w:right="12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6,418</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1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0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30"/>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420" w:type="dxa"/>
            <w:vAlign w:val="bottom"/>
            <w:tcBorders>
              <w:bottom w:val="single" w:sz="8" w:color="auto"/>
            </w:tcBorders>
          </w:tcPr>
          <w:p>
            <w:pPr>
              <w:jc w:val="right"/>
              <w:ind w:right="12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48"/>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(loss) per share</w:t>
            </w:r>
          </w:p>
        </w:tc>
        <w:tc>
          <w:tcPr>
            <w:tcW w:w="1420" w:type="dxa"/>
            <w:vAlign w:val="bottom"/>
            <w:tcBorders>
              <w:bottom w:val="single" w:sz="8" w:color="auto"/>
            </w:tcBorders>
            <w:shd w:val="clear" w:color="auto" w:fill="CCEEFF"/>
          </w:tcPr>
          <w:p>
            <w:pPr>
              <w:jc w:val="right"/>
              <w:ind w:right="12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2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6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r>
    </w:tbl>
    <w:p>
      <w:pPr>
        <w:spacing w:after="0" w:line="315" w:lineRule="exact"/>
        <w:rPr>
          <w:sz w:val="20"/>
          <w:szCs w:val="20"/>
          <w:color w:val="auto"/>
        </w:rPr>
      </w:pPr>
    </w:p>
    <w:p>
      <w:pPr>
        <w:ind w:left="580" w:hanging="329"/>
        <w:spacing w:after="0" w:line="302" w:lineRule="auto"/>
        <w:tabs>
          <w:tab w:leader="none" w:pos="57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impact of the adjustments to Net loss, calculated using the applicable effective tax rate of the adjustment. Due to the existence of valuation allowances on our deferred tax assets and net operating losses, there was no tax impact of any of the adjustments in any period presented.</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4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presented Adjusted EBITDA, which we define as net loss before gain on sale of assets, stock-based compensation, interest expense, interest income, income taxes, and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215" w:lineRule="exact"/>
        <w:rPr>
          <w:sz w:val="20"/>
          <w:szCs w:val="20"/>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interest expense. Because we have borrowed money to finance our operations and to acquire businesses, pay commitment fees to maintain our senior secured revolving credit facility, and incur fees to issue letters of credit under the senior secured revolving credit facility, interest expense is a necessary and ongoing part of our costs and has assisted us in generating revenue. Therefore, any measure that excludes interest expense has material limitations.</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interest income. Because we have cash invested in certain investment accounts and we will have earned interest income on these investments, any measure that excludes interest income has material limitations.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income taxes. Because the payment of income taxes is a necessary and ongoing part of our operations, any measure that excludes income taxes has material limitations.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restructuring costs. Restructuring costs represent material costs that were incurred and are oftentimes cash expenses. Therefore, any measure that excludes restructuring costs has material limitations.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equity-settled stock-based compensation expense. Stock-based compensation represents material amounts of equity that are awarded to our employees and directors for services rendered. While the expense is non-cash, we historically release vested shares out of our treasury stock, which has been replenished by using cash to periodically repurchase our stock. Therefore, any measure that excludes stock-based compensation has material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 reconciliation of Net income (loss) to Adjusted EBITDA follows: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EBITDA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360" w:type="dxa"/>
            <w:vAlign w:val="bottom"/>
            <w:gridSpan w:val="4"/>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42"/>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2"/>
                <w:szCs w:val="12"/>
                <w:color w:val="auto"/>
              </w:rPr>
            </w:pPr>
          </w:p>
        </w:tc>
      </w:tr>
      <w:tr>
        <w:trPr>
          <w:trHeight w:val="196"/>
        </w:trPr>
        <w:tc>
          <w:tcPr>
            <w:tcW w:w="40" w:type="dxa"/>
            <w:vAlign w:val="bottom"/>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6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380" w:type="dxa"/>
            <w:vAlign w:val="bottom"/>
            <w:shd w:val="clear" w:color="auto" w:fill="CCEEFF"/>
          </w:tcPr>
          <w:p>
            <w:pPr>
              <w:jc w:val="right"/>
              <w:ind w:right="12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(3,663)</w:t>
            </w:r>
          </w:p>
        </w:tc>
      </w:tr>
      <w:tr>
        <w:trPr>
          <w:trHeight w:val="227"/>
        </w:trPr>
        <w:tc>
          <w:tcPr>
            <w:tcW w:w="40" w:type="dxa"/>
            <w:vAlign w:val="bottom"/>
          </w:tcPr>
          <w:p>
            <w:pPr>
              <w:spacing w:after="0"/>
              <w:rPr>
                <w:sz w:val="19"/>
                <w:szCs w:val="19"/>
                <w:color w:val="auto"/>
              </w:rPr>
            </w:pP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32"/>
        </w:trPr>
        <w:tc>
          <w:tcPr>
            <w:tcW w:w="40" w:type="dxa"/>
            <w:vAlign w:val="bottom"/>
          </w:tcPr>
          <w:p>
            <w:pPr>
              <w:spacing w:after="0"/>
              <w:rPr>
                <w:sz w:val="20"/>
                <w:szCs w:val="20"/>
                <w:color w:val="auto"/>
              </w:rPr>
            </w:pPr>
          </w:p>
        </w:tc>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(1,961)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(1,802)</w:t>
            </w:r>
          </w:p>
        </w:tc>
      </w:tr>
      <w:tr>
        <w:trPr>
          <w:trHeight w:val="227"/>
        </w:trPr>
        <w:tc>
          <w:tcPr>
            <w:tcW w:w="40" w:type="dxa"/>
            <w:vAlign w:val="bottom"/>
          </w:tcPr>
          <w:p>
            <w:pPr>
              <w:spacing w:after="0"/>
              <w:rPr>
                <w:sz w:val="19"/>
                <w:szCs w:val="19"/>
                <w:color w:val="auto"/>
              </w:rPr>
            </w:pP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(benefit) for federal, state and foreign income taxes</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33"/>
        </w:trPr>
        <w:tc>
          <w:tcPr>
            <w:tcW w:w="40" w:type="dxa"/>
            <w:vAlign w:val="bottom"/>
          </w:tcPr>
          <w:p>
            <w:pPr>
              <w:spacing w:after="0"/>
              <w:rPr>
                <w:sz w:val="20"/>
                <w:szCs w:val="20"/>
                <w:color w:val="auto"/>
              </w:rPr>
            </w:pPr>
          </w:p>
        </w:tc>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r>
      <w:tr>
        <w:trPr>
          <w:trHeight w:val="227"/>
        </w:trPr>
        <w:tc>
          <w:tcPr>
            <w:tcW w:w="40" w:type="dxa"/>
            <w:vAlign w:val="bottom"/>
          </w:tcPr>
          <w:p>
            <w:pPr>
              <w:spacing w:after="0"/>
              <w:rPr>
                <w:sz w:val="19"/>
                <w:szCs w:val="19"/>
                <w:color w:val="auto"/>
              </w:rPr>
            </w:pP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Restructuring costs and other</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w:t>
            </w:r>
          </w:p>
        </w:tc>
      </w:tr>
      <w:tr>
        <w:trPr>
          <w:trHeight w:val="232"/>
        </w:trPr>
        <w:tc>
          <w:tcPr>
            <w:tcW w:w="40" w:type="dxa"/>
            <w:vAlign w:val="bottom"/>
          </w:tcPr>
          <w:p>
            <w:pPr>
              <w:spacing w:after="0"/>
              <w:rPr>
                <w:sz w:val="20"/>
                <w:szCs w:val="20"/>
                <w:color w:val="auto"/>
              </w:rPr>
            </w:pPr>
          </w:p>
        </w:tc>
        <w:tc>
          <w:tcPr>
            <w:tcW w:w="7320" w:type="dxa"/>
            <w:vAlign w:val="bottom"/>
            <w:gridSpan w:val="2"/>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1"/>
                <w:szCs w:val="21"/>
                <w:color w:val="auto"/>
                <w:vertAlign w:val="superscript"/>
              </w:rPr>
              <w:t>(1)</w:t>
            </w:r>
          </w:p>
        </w:tc>
        <w:tc>
          <w:tcPr>
            <w:tcW w:w="13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w:t>
            </w:r>
          </w:p>
        </w:tc>
      </w:tr>
      <w:tr>
        <w:trPr>
          <w:trHeight w:val="223"/>
        </w:trPr>
        <w:tc>
          <w:tcPr>
            <w:tcW w:w="40" w:type="dxa"/>
            <w:vAlign w:val="bottom"/>
          </w:tcPr>
          <w:p>
            <w:pPr>
              <w:spacing w:after="0"/>
              <w:rPr>
                <w:sz w:val="19"/>
                <w:szCs w:val="19"/>
                <w:color w:val="auto"/>
              </w:rPr>
            </w:pP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380" w:type="dxa"/>
            <w:vAlign w:val="bottom"/>
            <w:tcBorders>
              <w:bottom w:val="single" w:sz="8" w:color="auto"/>
            </w:tcBorders>
          </w:tcPr>
          <w:p>
            <w:pPr>
              <w:jc w:val="right"/>
              <w:ind w:right="12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2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r>
    </w:tbl>
    <w:p>
      <w:pPr>
        <w:spacing w:after="0" w:line="301" w:lineRule="exact"/>
        <w:rPr>
          <w:sz w:val="20"/>
          <w:szCs w:val="20"/>
          <w:color w:val="auto"/>
        </w:rPr>
      </w:pPr>
    </w:p>
    <w:p>
      <w:pPr>
        <w:ind w:left="560" w:hanging="309"/>
        <w:spacing w:after="0"/>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only the equity-settled portion of our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20"/>
      </w:cols>
      <w:pgMar w:left="320" w:top="105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9"/>
    </w:lvl>
  </w:abstractNum>
  <w:abstractNum w:abstractNumId="2">
    <w:nsid w:val="79E2A9E3"/>
    <w:multiLevelType w:val="hybridMultilevel"/>
    <w:lvl w:ilvl="0">
      <w:lvlJc w:val="left"/>
      <w:lvlText w:val="(%1)"/>
      <w:numFmt w:val="decimal"/>
    </w:lvl>
    <w:lvl w:ilvl="1">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2026-11-04T15:57:05Z</dcterms:created>
  <dcterms:modified xsi:type="dcterms:W3CDTF">2026-11-04T15:57:05Z</dcterms:modified>
</cp:coreProperties>
</file>